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4.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5.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6.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7.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8.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9.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10.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drawings/drawing11.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37AA2" w:rsidRPr="00B118E9" w:rsidRDefault="00537AA2" w:rsidP="003F3F99">
      <w:pPr>
        <w:rPr>
          <w:rFonts w:eastAsia="標楷體"/>
          <w:color w:val="FF0000"/>
          <w:lang w:val="zh-TW"/>
        </w:rPr>
      </w:pPr>
      <w:bookmarkStart w:id="0" w:name="_GoBack"/>
      <w:bookmarkEnd w:id="0"/>
    </w:p>
    <w:p w:rsidR="003F3F99" w:rsidRPr="00B118E9" w:rsidRDefault="003826CA" w:rsidP="003F3F99">
      <w:pPr>
        <w:rPr>
          <w:rFonts w:eastAsia="標楷體"/>
          <w:color w:val="FF0000"/>
          <w:lang w:val="zh-TW"/>
        </w:rPr>
      </w:pPr>
      <w:r w:rsidRPr="00B118E9">
        <w:rPr>
          <w:rFonts w:eastAsia="標楷體"/>
          <w:noProof/>
          <w:color w:val="FF0000"/>
          <w:sz w:val="20"/>
        </w:rPr>
        <mc:AlternateContent>
          <mc:Choice Requires="wpg">
            <w:drawing>
              <wp:anchor distT="0" distB="0" distL="114300" distR="114300" simplePos="0" relativeHeight="252067328" behindDoc="0" locked="0" layoutInCell="1" allowOverlap="1" wp14:anchorId="59467EB4" wp14:editId="0077AF43">
                <wp:simplePos x="0" y="0"/>
                <wp:positionH relativeFrom="column">
                  <wp:posOffset>-300990</wp:posOffset>
                </wp:positionH>
                <wp:positionV relativeFrom="paragraph">
                  <wp:posOffset>-118110</wp:posOffset>
                </wp:positionV>
                <wp:extent cx="1955165" cy="530225"/>
                <wp:effectExtent l="0" t="0" r="26035" b="22225"/>
                <wp:wrapNone/>
                <wp:docPr id="27"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5165" cy="530225"/>
                          <a:chOff x="234" y="774"/>
                          <a:chExt cx="3079" cy="835"/>
                        </a:xfrm>
                      </wpg:grpSpPr>
                      <wps:wsp>
                        <wps:cNvPr id="28" name="Freeform 49"/>
                        <wps:cNvSpPr>
                          <a:spLocks/>
                        </wps:cNvSpPr>
                        <wps:spPr bwMode="auto">
                          <a:xfrm>
                            <a:off x="2571" y="960"/>
                            <a:ext cx="619" cy="454"/>
                          </a:xfrm>
                          <a:custGeom>
                            <a:avLst/>
                            <a:gdLst>
                              <a:gd name="T0" fmla="*/ 619 w 619"/>
                              <a:gd name="T1" fmla="*/ 0 h 454"/>
                              <a:gd name="T2" fmla="*/ 0 w 619"/>
                              <a:gd name="T3" fmla="*/ 215 h 454"/>
                              <a:gd name="T4" fmla="*/ 325 w 619"/>
                              <a:gd name="T5" fmla="*/ 454 h 454"/>
                              <a:gd name="T6" fmla="*/ 619 w 619"/>
                              <a:gd name="T7" fmla="*/ 0 h 454"/>
                            </a:gdLst>
                            <a:ahLst/>
                            <a:cxnLst>
                              <a:cxn ang="0">
                                <a:pos x="T0" y="T1"/>
                              </a:cxn>
                              <a:cxn ang="0">
                                <a:pos x="T2" y="T3"/>
                              </a:cxn>
                              <a:cxn ang="0">
                                <a:pos x="T4" y="T5"/>
                              </a:cxn>
                              <a:cxn ang="0">
                                <a:pos x="T6" y="T7"/>
                              </a:cxn>
                            </a:cxnLst>
                            <a:rect l="0" t="0" r="r" b="b"/>
                            <a:pathLst>
                              <a:path w="619" h="454">
                                <a:moveTo>
                                  <a:pt x="619" y="0"/>
                                </a:moveTo>
                                <a:lnTo>
                                  <a:pt x="0" y="215"/>
                                </a:lnTo>
                                <a:lnTo>
                                  <a:pt x="325" y="454"/>
                                </a:lnTo>
                                <a:lnTo>
                                  <a:pt x="619" y="0"/>
                                </a:lnTo>
                                <a:close/>
                              </a:path>
                            </a:pathLst>
                          </a:custGeom>
                          <a:solidFill>
                            <a:srgbClr val="FF0000"/>
                          </a:solidFill>
                          <a:ln w="0">
                            <a:solidFill>
                              <a:srgbClr val="FF0000"/>
                            </a:solidFill>
                            <a:prstDash val="solid"/>
                            <a:round/>
                            <a:headEnd/>
                            <a:tailEnd/>
                          </a:ln>
                        </wps:spPr>
                        <wps:bodyPr rot="0" vert="horz" wrap="square" lIns="91440" tIns="45720" rIns="91440" bIns="45720" anchor="t" anchorCtr="0" upright="1">
                          <a:noAutofit/>
                        </wps:bodyPr>
                      </wps:wsp>
                      <wps:wsp>
                        <wps:cNvPr id="29" name="Freeform 50"/>
                        <wps:cNvSpPr>
                          <a:spLocks/>
                        </wps:cNvSpPr>
                        <wps:spPr bwMode="auto">
                          <a:xfrm>
                            <a:off x="2034" y="774"/>
                            <a:ext cx="1279" cy="835"/>
                          </a:xfrm>
                          <a:custGeom>
                            <a:avLst/>
                            <a:gdLst>
                              <a:gd name="T0" fmla="*/ 796 w 1279"/>
                              <a:gd name="T1" fmla="*/ 706 h 835"/>
                              <a:gd name="T2" fmla="*/ 719 w 1279"/>
                              <a:gd name="T3" fmla="*/ 706 h 835"/>
                              <a:gd name="T4" fmla="*/ 686 w 1279"/>
                              <a:gd name="T5" fmla="*/ 696 h 835"/>
                              <a:gd name="T6" fmla="*/ 652 w 1279"/>
                              <a:gd name="T7" fmla="*/ 690 h 835"/>
                              <a:gd name="T8" fmla="*/ 623 w 1279"/>
                              <a:gd name="T9" fmla="*/ 677 h 835"/>
                              <a:gd name="T10" fmla="*/ 596 w 1279"/>
                              <a:gd name="T11" fmla="*/ 663 h 835"/>
                              <a:gd name="T12" fmla="*/ 570 w 1279"/>
                              <a:gd name="T13" fmla="*/ 647 h 835"/>
                              <a:gd name="T14" fmla="*/ 546 w 1279"/>
                              <a:gd name="T15" fmla="*/ 630 h 835"/>
                              <a:gd name="T16" fmla="*/ 525 w 1279"/>
                              <a:gd name="T17" fmla="*/ 609 h 835"/>
                              <a:gd name="T18" fmla="*/ 507 w 1279"/>
                              <a:gd name="T19" fmla="*/ 588 h 835"/>
                              <a:gd name="T20" fmla="*/ 492 w 1279"/>
                              <a:gd name="T21" fmla="*/ 566 h 835"/>
                              <a:gd name="T22" fmla="*/ 483 w 1279"/>
                              <a:gd name="T23" fmla="*/ 541 h 835"/>
                              <a:gd name="T24" fmla="*/ 475 w 1279"/>
                              <a:gd name="T25" fmla="*/ 516 h 835"/>
                              <a:gd name="T26" fmla="*/ 470 w 1279"/>
                              <a:gd name="T27" fmla="*/ 492 h 835"/>
                              <a:gd name="T28" fmla="*/ 470 w 1279"/>
                              <a:gd name="T29" fmla="*/ 462 h 835"/>
                              <a:gd name="T30" fmla="*/ 475 w 1279"/>
                              <a:gd name="T31" fmla="*/ 436 h 835"/>
                              <a:gd name="T32" fmla="*/ 483 w 1279"/>
                              <a:gd name="T33" fmla="*/ 406 h 835"/>
                              <a:gd name="T34" fmla="*/ 496 w 1279"/>
                              <a:gd name="T35" fmla="*/ 381 h 835"/>
                              <a:gd name="T36" fmla="*/ 510 w 1279"/>
                              <a:gd name="T37" fmla="*/ 353 h 835"/>
                              <a:gd name="T38" fmla="*/ 531 w 1279"/>
                              <a:gd name="T39" fmla="*/ 326 h 835"/>
                              <a:gd name="T40" fmla="*/ 557 w 1279"/>
                              <a:gd name="T41" fmla="*/ 296 h 835"/>
                              <a:gd name="T42" fmla="*/ 591 w 1279"/>
                              <a:gd name="T43" fmla="*/ 272 h 835"/>
                              <a:gd name="T44" fmla="*/ 625 w 1279"/>
                              <a:gd name="T45" fmla="*/ 247 h 835"/>
                              <a:gd name="T46" fmla="*/ 669 w 1279"/>
                              <a:gd name="T47" fmla="*/ 224 h 835"/>
                              <a:gd name="T48" fmla="*/ 715 w 1279"/>
                              <a:gd name="T49" fmla="*/ 201 h 835"/>
                              <a:gd name="T50" fmla="*/ 769 w 1279"/>
                              <a:gd name="T51" fmla="*/ 185 h 835"/>
                              <a:gd name="T52" fmla="*/ 825 w 1279"/>
                              <a:gd name="T53" fmla="*/ 161 h 835"/>
                              <a:gd name="T54" fmla="*/ 892 w 1279"/>
                              <a:gd name="T55" fmla="*/ 144 h 835"/>
                              <a:gd name="T56" fmla="*/ 964 w 1279"/>
                              <a:gd name="T57" fmla="*/ 131 h 835"/>
                              <a:gd name="T58" fmla="*/ 1042 w 1279"/>
                              <a:gd name="T59" fmla="*/ 120 h 835"/>
                              <a:gd name="T60" fmla="*/ 1124 w 1279"/>
                              <a:gd name="T61" fmla="*/ 110 h 835"/>
                              <a:gd name="T62" fmla="*/ 1215 w 1279"/>
                              <a:gd name="T63" fmla="*/ 103 h 835"/>
                              <a:gd name="T64" fmla="*/ 1221 w 1279"/>
                              <a:gd name="T65" fmla="*/ 98 h 835"/>
                              <a:gd name="T66" fmla="*/ 1279 w 1279"/>
                              <a:gd name="T67" fmla="*/ 0 h 835"/>
                              <a:gd name="T68" fmla="*/ 560 w 1279"/>
                              <a:gd name="T69" fmla="*/ 0 h 835"/>
                              <a:gd name="T70" fmla="*/ 0 w 1279"/>
                              <a:gd name="T71" fmla="*/ 835 h 835"/>
                              <a:gd name="T72" fmla="*/ 711 w 1279"/>
                              <a:gd name="T73" fmla="*/ 835 h 835"/>
                              <a:gd name="T74" fmla="*/ 804 w 1279"/>
                              <a:gd name="T75" fmla="*/ 701 h 835"/>
                              <a:gd name="T76" fmla="*/ 796 w 1279"/>
                              <a:gd name="T77" fmla="*/ 706 h 8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279" h="835">
                                <a:moveTo>
                                  <a:pt x="796" y="706"/>
                                </a:moveTo>
                                <a:lnTo>
                                  <a:pt x="719" y="706"/>
                                </a:lnTo>
                                <a:lnTo>
                                  <a:pt x="686" y="696"/>
                                </a:lnTo>
                                <a:lnTo>
                                  <a:pt x="652" y="690"/>
                                </a:lnTo>
                                <a:lnTo>
                                  <a:pt x="623" y="677"/>
                                </a:lnTo>
                                <a:lnTo>
                                  <a:pt x="596" y="663"/>
                                </a:lnTo>
                                <a:lnTo>
                                  <a:pt x="570" y="647"/>
                                </a:lnTo>
                                <a:lnTo>
                                  <a:pt x="546" y="630"/>
                                </a:lnTo>
                                <a:lnTo>
                                  <a:pt x="525" y="609"/>
                                </a:lnTo>
                                <a:lnTo>
                                  <a:pt x="507" y="588"/>
                                </a:lnTo>
                                <a:lnTo>
                                  <a:pt x="492" y="566"/>
                                </a:lnTo>
                                <a:lnTo>
                                  <a:pt x="483" y="541"/>
                                </a:lnTo>
                                <a:lnTo>
                                  <a:pt x="475" y="516"/>
                                </a:lnTo>
                                <a:lnTo>
                                  <a:pt x="470" y="492"/>
                                </a:lnTo>
                                <a:lnTo>
                                  <a:pt x="470" y="462"/>
                                </a:lnTo>
                                <a:lnTo>
                                  <a:pt x="475" y="436"/>
                                </a:lnTo>
                                <a:lnTo>
                                  <a:pt x="483" y="406"/>
                                </a:lnTo>
                                <a:lnTo>
                                  <a:pt x="496" y="381"/>
                                </a:lnTo>
                                <a:lnTo>
                                  <a:pt x="510" y="353"/>
                                </a:lnTo>
                                <a:lnTo>
                                  <a:pt x="531" y="326"/>
                                </a:lnTo>
                                <a:lnTo>
                                  <a:pt x="557" y="296"/>
                                </a:lnTo>
                                <a:lnTo>
                                  <a:pt x="591" y="272"/>
                                </a:lnTo>
                                <a:lnTo>
                                  <a:pt x="625" y="247"/>
                                </a:lnTo>
                                <a:lnTo>
                                  <a:pt x="669" y="224"/>
                                </a:lnTo>
                                <a:lnTo>
                                  <a:pt x="715" y="201"/>
                                </a:lnTo>
                                <a:lnTo>
                                  <a:pt x="769" y="185"/>
                                </a:lnTo>
                                <a:lnTo>
                                  <a:pt x="825" y="161"/>
                                </a:lnTo>
                                <a:lnTo>
                                  <a:pt x="892" y="144"/>
                                </a:lnTo>
                                <a:lnTo>
                                  <a:pt x="964" y="131"/>
                                </a:lnTo>
                                <a:lnTo>
                                  <a:pt x="1042" y="120"/>
                                </a:lnTo>
                                <a:lnTo>
                                  <a:pt x="1124" y="110"/>
                                </a:lnTo>
                                <a:lnTo>
                                  <a:pt x="1215" y="103"/>
                                </a:lnTo>
                                <a:lnTo>
                                  <a:pt x="1221" y="98"/>
                                </a:lnTo>
                                <a:lnTo>
                                  <a:pt x="1279" y="0"/>
                                </a:lnTo>
                                <a:lnTo>
                                  <a:pt x="560" y="0"/>
                                </a:lnTo>
                                <a:lnTo>
                                  <a:pt x="0" y="835"/>
                                </a:lnTo>
                                <a:lnTo>
                                  <a:pt x="711" y="835"/>
                                </a:lnTo>
                                <a:lnTo>
                                  <a:pt x="804" y="701"/>
                                </a:lnTo>
                                <a:lnTo>
                                  <a:pt x="796" y="706"/>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480" name="Freeform 51"/>
                        <wps:cNvSpPr>
                          <a:spLocks/>
                        </wps:cNvSpPr>
                        <wps:spPr bwMode="auto">
                          <a:xfrm>
                            <a:off x="234" y="774"/>
                            <a:ext cx="2247" cy="834"/>
                          </a:xfrm>
                          <a:custGeom>
                            <a:avLst/>
                            <a:gdLst>
                              <a:gd name="T0" fmla="*/ 1685 w 2247"/>
                              <a:gd name="T1" fmla="*/ 834 h 834"/>
                              <a:gd name="T2" fmla="*/ 2247 w 2247"/>
                              <a:gd name="T3" fmla="*/ 0 h 834"/>
                              <a:gd name="T4" fmla="*/ 0 w 2247"/>
                              <a:gd name="T5" fmla="*/ 0 h 834"/>
                              <a:gd name="T6" fmla="*/ 0 w 2247"/>
                              <a:gd name="T7" fmla="*/ 834 h 834"/>
                              <a:gd name="T8" fmla="*/ 1685 w 2247"/>
                              <a:gd name="T9" fmla="*/ 834 h 834"/>
                            </a:gdLst>
                            <a:ahLst/>
                            <a:cxnLst>
                              <a:cxn ang="0">
                                <a:pos x="T0" y="T1"/>
                              </a:cxn>
                              <a:cxn ang="0">
                                <a:pos x="T2" y="T3"/>
                              </a:cxn>
                              <a:cxn ang="0">
                                <a:pos x="T4" y="T5"/>
                              </a:cxn>
                              <a:cxn ang="0">
                                <a:pos x="T6" y="T7"/>
                              </a:cxn>
                              <a:cxn ang="0">
                                <a:pos x="T8" y="T9"/>
                              </a:cxn>
                            </a:cxnLst>
                            <a:rect l="0" t="0" r="r" b="b"/>
                            <a:pathLst>
                              <a:path w="2247" h="834">
                                <a:moveTo>
                                  <a:pt x="1685" y="834"/>
                                </a:moveTo>
                                <a:lnTo>
                                  <a:pt x="2247" y="0"/>
                                </a:lnTo>
                                <a:lnTo>
                                  <a:pt x="0" y="0"/>
                                </a:lnTo>
                                <a:lnTo>
                                  <a:pt x="0" y="834"/>
                                </a:lnTo>
                                <a:lnTo>
                                  <a:pt x="1685" y="834"/>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503" name="Rectangle 52"/>
                        <wps:cNvSpPr>
                          <a:spLocks noChangeArrowheads="1"/>
                        </wps:cNvSpPr>
                        <wps:spPr bwMode="auto">
                          <a:xfrm>
                            <a:off x="383" y="890"/>
                            <a:ext cx="1651"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0D7B" w:rsidRPr="007E1257" w:rsidRDefault="00C20D7B"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 o:spid="_x0000_s1026" style="position:absolute;margin-left:-23.7pt;margin-top:-9.3pt;width:153.95pt;height:41.75pt;z-index:252067328" coordorigin="234,774" coordsize="3079,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">
                <v:shape id="Freeform 49" o:spid="_x0000_s1027" style="position:absolute;left:2571;top:960;width:619;height:454;visibility:visible;mso-wrap-style:square;v-text-anchor:top" coordsize="619,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UlXsIA&#10;AADbAAAADwAAAGRycy9kb3ducmV2LnhtbERPyWrDMBC9B/oPYgq9xXIDLcG1EkKgtIdSSGIIuQ3W&#10;1DK2RsaSl/jrq0Ohx8fb8/1sWzFS72vHCp6TFARx6XTNlYLi8r7egvABWWPrmBTcycN+97DKMdNu&#10;4hON51CJGMI+QwUmhC6T0peGLPrEdcSR+3G9xRBhX0nd4xTDbSs3afoqLdYcGwx2dDRUNufBKhiX&#10;W+ObD3Nvl1PxleLLMF3nb6WeHufDG4hAc/gX/7k/tYJN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SVewgAAANsAAAAPAAAAAAAAAAAAAAAAAJgCAABkcnMvZG93&#10;bnJldi54bWxQSwUGAAAAAAQABAD1AAAAhwMAAAAA&#10;" path="m619,l,215,325,454,619,xe" fillcolor="red" strokecolor="red" strokeweight="0">
                  <v:path arrowok="t" o:connecttype="custom" o:connectlocs="619,0;0,215;325,454;619,0" o:connectangles="0,0,0,0"/>
                </v:shape>
                <v:shape id="Freeform 50" o:spid="_x0000_s1028" style="position:absolute;left:2034;top:774;width:1279;height:835;visibility:visible;mso-wrap-style:square;v-text-anchor:top" coordsize="1279,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2Va8MA&#10;AADbAAAADwAAAGRycy9kb3ducmV2LnhtbESPQWvCQBSE70L/w/IK3swmFsSmWaUNWDyIoG3ur9ln&#10;Esy+TbOrxn/vCoLHYWa+YbLlYFpxpt41lhUkUQyCuLS64UrB789qMgfhPLLG1jIpuJKD5eJllGGq&#10;7YV3dN77SgQIuxQV1N53qZSurMmgi2xHHLyD7Q36IPtK6h4vAW5aOY3jmTTYcFiosaO8pvK4PxkF&#10;20PSFt/mPzeWuuPmz369NcVOqfHr8PkBwtPgn+FHe60VTN/h/iX8A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2Va8MAAADbAAAADwAAAAAAAAAAAAAAAACYAgAAZHJzL2Rv&#10;d25yZXYueG1sUEsFBgAAAAAEAAQA9QAAAIgDAAAAAA==&#10;" path="m796,706r-77,l686,696r-34,-6l623,677,596,663,570,647,546,630,525,609,507,588,492,566r-9,-25l475,516r-5,-24l470,462r5,-26l483,406r13,-25l510,353r21,-27l557,296r34,-24l625,247r44,-23l715,201r54,-16l825,161r67,-17l964,131r78,-11l1124,110r91,-7l1221,98,1279,,560,,,835r711,l804,701r-8,5xe" fillcolor="navy" strokecolor="navy" strokeweight="0">
                  <v:path arrowok="t" o:connecttype="custom" o:connectlocs="796,706;719,706;686,696;652,690;623,677;596,663;570,647;546,630;525,609;507,588;492,566;483,541;475,516;470,492;470,462;475,436;483,406;496,381;510,353;531,326;557,296;591,272;625,247;669,224;715,201;769,185;825,161;892,144;964,131;1042,120;1124,110;1215,103;1221,98;1279,0;560,0;0,835;711,835;804,701;796,706" o:connectangles="0,0,0,0,0,0,0,0,0,0,0,0,0,0,0,0,0,0,0,0,0,0,0,0,0,0,0,0,0,0,0,0,0,0,0,0,0,0,0"/>
                </v:shape>
                <v:shape id="Freeform 51" o:spid="_x0000_s1029" style="position:absolute;left:234;top:774;width:2247;height:834;visibility:visible;mso-wrap-style:square;v-text-anchor:top" coordsize="2247,8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twsIA&#10;AADcAAAADwAAAGRycy9kb3ducmV2LnhtbERPy4rCMBTdD/gP4QqzGcbUIqIdo4giiODCF8zy0txp&#10;q81NbTIa/94sBJeH857MgqnFjVpXWVbQ7yUgiHOrKy4UHA+r7xEI55E11pZJwYMczKadjwlm2t55&#10;R7e9L0QMYZehgtL7JpPS5SUZdD3bEEfuz7YGfYRtIXWL9xhuapkmyVAarDg2lNjQoqT8sv83Cuzx&#10;6xe342u9HDxCWm3ScJLnnVKf3TD/AeEp+Lf45V5rBYNRnB/PxCMgp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6y3CwgAAANwAAAAPAAAAAAAAAAAAAAAAAJgCAABkcnMvZG93&#10;bnJldi54bWxQSwUGAAAAAAQABAD1AAAAhwMAAAAA&#10;" path="m1685,834l2247,,,,,834r1685,xe" fillcolor="navy" strokecolor="navy" strokeweight="0">
                  <v:path arrowok="t" o:connecttype="custom" o:connectlocs="1685,834;2247,0;0,0;0,834;1685,834" o:connectangles="0,0,0,0,0"/>
                </v:shape>
                <v:rect id="Rectangle 52" o:spid="_x0000_s1030" style="position:absolute;left:383;top:890;width:1651;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beJMUA&#10;AADcAAAADwAAAGRycy9kb3ducmV2LnhtbESPS4vCQBCE7wv7H4Ze8LZOVnHR6CjiAz36AvXWZNok&#10;bKYnZEYT/fWOsOCxqKqvqNGkMYW4UeVyywp+2hEI4sTqnFMFh/3yuw/CeWSNhWVScCcHk/Hnxwhj&#10;bWve0m3nUxEg7GJUkHlfxlK6JCODrm1L4uBdbGXQB1mlUldYB7gpZCeKfqXBnMNChiXNMkr+dlej&#10;YNUvp6e1fdRpsTivjpvjYL4feKVaX810CMJT49/h//ZaK+hFXX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Zt4kxQAAANwAAAAPAAAAAAAAAAAAAAAAAJgCAABkcnMv&#10;ZG93bnJldi54bWxQSwUGAAAAAAQABAD1AAAAigMAAAAA&#10;" filled="f" stroked="f">
                  <v:textbox inset="0,0,0,0">
                    <w:txbxContent>
                      <w:p w:rsidR="00C20D7B" w:rsidRPr="007E1257" w:rsidRDefault="00C20D7B"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v:textbox>
                </v:rect>
              </v:group>
            </w:pict>
          </mc:Fallback>
        </mc:AlternateContent>
      </w:r>
    </w:p>
    <w:p w:rsidR="003826CA" w:rsidRPr="00B118E9" w:rsidRDefault="00453937" w:rsidP="003826CA">
      <w:pPr>
        <w:jc w:val="right"/>
        <w:rPr>
          <w:rFonts w:eastAsia="標楷體"/>
          <w:sz w:val="40"/>
        </w:rPr>
      </w:pPr>
      <w:r w:rsidRPr="00B118E9">
        <w:rPr>
          <w:rFonts w:eastAsia="標楷體"/>
          <w:b/>
          <w:spacing w:val="20"/>
          <w:sz w:val="40"/>
        </w:rPr>
        <w:t>104</w:t>
      </w:r>
      <w:r w:rsidRPr="00B118E9">
        <w:rPr>
          <w:rFonts w:eastAsia="標楷體"/>
          <w:b/>
          <w:spacing w:val="20"/>
          <w:sz w:val="40"/>
        </w:rPr>
        <w:t>年</w:t>
      </w:r>
      <w:r w:rsidRPr="00B118E9">
        <w:rPr>
          <w:rFonts w:eastAsia="標楷體"/>
          <w:b/>
          <w:spacing w:val="20"/>
          <w:sz w:val="40"/>
        </w:rPr>
        <w:t>4</w:t>
      </w:r>
      <w:r w:rsidRPr="00B118E9">
        <w:rPr>
          <w:rFonts w:eastAsia="標楷體"/>
          <w:b/>
          <w:spacing w:val="20"/>
          <w:sz w:val="40"/>
        </w:rPr>
        <w:t>月號</w:t>
      </w: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snapToGrid w:val="0"/>
        <w:jc w:val="center"/>
        <w:rPr>
          <w:rFonts w:eastAsia="標楷體"/>
          <w:b/>
          <w:spacing w:val="20"/>
          <w:sz w:val="72"/>
        </w:rPr>
      </w:pPr>
      <w:r w:rsidRPr="00B118E9">
        <w:rPr>
          <w:rFonts w:eastAsia="標楷體"/>
          <w:b/>
          <w:spacing w:val="20"/>
          <w:sz w:val="72"/>
        </w:rPr>
        <w:t>國內外經濟情勢分析</w:t>
      </w: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r w:rsidRPr="00B118E9">
        <w:rPr>
          <w:rFonts w:eastAsia="標楷體"/>
          <w:b/>
          <w:sz w:val="56"/>
        </w:rPr>
        <w:t>經濟部研究發展委員會</w:t>
      </w:r>
    </w:p>
    <w:p w:rsidR="003826CA" w:rsidRPr="00B118E9" w:rsidRDefault="003826CA" w:rsidP="003826CA">
      <w:pPr>
        <w:spacing w:before="100" w:beforeAutospacing="1" w:after="100" w:afterAutospacing="1"/>
        <w:jc w:val="center"/>
        <w:rPr>
          <w:rFonts w:eastAsia="標楷體"/>
          <w:b/>
          <w:sz w:val="48"/>
        </w:rPr>
        <w:sectPr w:rsidR="003826CA" w:rsidRPr="00B118E9" w:rsidSect="003826CA">
          <w:footerReference w:type="even" r:id="rId9"/>
          <w:footerReference w:type="default" r:id="rId10"/>
          <w:type w:val="continuous"/>
          <w:pgSz w:w="11906" w:h="16838"/>
          <w:pgMar w:top="1134" w:right="1134" w:bottom="1134" w:left="1134" w:header="851" w:footer="992" w:gutter="0"/>
          <w:pgNumType w:start="1"/>
          <w:cols w:space="425"/>
          <w:docGrid w:type="lines" w:linePitch="360"/>
        </w:sectPr>
      </w:pPr>
      <w:r w:rsidRPr="00B118E9">
        <w:rPr>
          <w:rFonts w:eastAsia="標楷體"/>
          <w:b/>
          <w:kern w:val="0"/>
          <w:sz w:val="52"/>
          <w:szCs w:val="20"/>
        </w:rPr>
        <w:t>中華民國</w:t>
      </w:r>
      <w:r w:rsidRPr="00B118E9">
        <w:rPr>
          <w:rFonts w:eastAsia="標楷體"/>
          <w:b/>
          <w:kern w:val="0"/>
          <w:sz w:val="52"/>
          <w:szCs w:val="20"/>
        </w:rPr>
        <w:t>10</w:t>
      </w:r>
      <w:r w:rsidR="00453937" w:rsidRPr="00B118E9">
        <w:rPr>
          <w:rFonts w:eastAsia="標楷體"/>
          <w:b/>
          <w:kern w:val="0"/>
          <w:sz w:val="52"/>
          <w:szCs w:val="20"/>
        </w:rPr>
        <w:t>4</w:t>
      </w:r>
      <w:r w:rsidRPr="00B118E9">
        <w:rPr>
          <w:rFonts w:eastAsia="標楷體"/>
          <w:b/>
          <w:kern w:val="0"/>
          <w:sz w:val="52"/>
          <w:szCs w:val="20"/>
        </w:rPr>
        <w:t>年</w:t>
      </w:r>
      <w:r w:rsidR="00453937" w:rsidRPr="00B118E9">
        <w:rPr>
          <w:rFonts w:eastAsia="標楷體"/>
          <w:b/>
          <w:kern w:val="0"/>
          <w:sz w:val="52"/>
          <w:szCs w:val="20"/>
        </w:rPr>
        <w:t>5</w:t>
      </w:r>
      <w:r w:rsidRPr="00B118E9">
        <w:rPr>
          <w:rFonts w:eastAsia="標楷體"/>
          <w:b/>
          <w:kern w:val="0"/>
          <w:sz w:val="52"/>
          <w:szCs w:val="20"/>
        </w:rPr>
        <w:t>月</w:t>
      </w:r>
      <w:r w:rsidR="0089628F" w:rsidRPr="00B118E9">
        <w:rPr>
          <w:rFonts w:eastAsia="標楷體"/>
          <w:b/>
          <w:kern w:val="0"/>
          <w:sz w:val="52"/>
          <w:szCs w:val="20"/>
        </w:rPr>
        <w:t>31</w:t>
      </w:r>
      <w:r w:rsidRPr="00B118E9">
        <w:rPr>
          <w:rFonts w:eastAsia="標楷體"/>
          <w:b/>
          <w:kern w:val="0"/>
          <w:sz w:val="52"/>
          <w:szCs w:val="20"/>
        </w:rPr>
        <w:t>日</w:t>
      </w:r>
    </w:p>
    <w:p w:rsidR="00670CC0" w:rsidRPr="00B118E9" w:rsidRDefault="00670CC0" w:rsidP="00670CC0">
      <w:pPr>
        <w:spacing w:before="100" w:beforeAutospacing="1" w:after="100" w:afterAutospacing="1"/>
        <w:jc w:val="center"/>
        <w:rPr>
          <w:rFonts w:eastAsia="標楷體"/>
          <w:b/>
          <w:color w:val="FF0000"/>
          <w:sz w:val="48"/>
        </w:rPr>
        <w:sectPr w:rsidR="00670CC0" w:rsidRPr="00B118E9" w:rsidSect="00670CC0">
          <w:footerReference w:type="default" r:id="rId11"/>
          <w:type w:val="continuous"/>
          <w:pgSz w:w="11906" w:h="16838"/>
          <w:pgMar w:top="1361" w:right="1797" w:bottom="1361" w:left="1797" w:header="851" w:footer="992" w:gutter="0"/>
          <w:pgNumType w:fmt="upperRoman" w:start="1"/>
          <w:cols w:space="425"/>
          <w:docGrid w:type="lines" w:linePitch="360"/>
        </w:sectPr>
      </w:pPr>
    </w:p>
    <w:p w:rsidR="00D36D66" w:rsidRPr="00B118E9" w:rsidRDefault="009A0B00" w:rsidP="00670CC0">
      <w:pPr>
        <w:spacing w:before="100" w:beforeAutospacing="1" w:after="100" w:afterAutospacing="1"/>
        <w:jc w:val="center"/>
        <w:rPr>
          <w:rFonts w:eastAsia="標楷體"/>
          <w:b/>
          <w:sz w:val="48"/>
        </w:rPr>
      </w:pPr>
      <w:r w:rsidRPr="00B118E9">
        <w:rPr>
          <w:rFonts w:eastAsia="標楷體"/>
        </w:rPr>
        <w:lastRenderedPageBreak/>
        <w:t xml:space="preserve"> </w:t>
      </w:r>
      <w:r w:rsidR="00D36D66" w:rsidRPr="00B118E9">
        <w:rPr>
          <w:rFonts w:eastAsia="標楷體"/>
          <w:b/>
          <w:sz w:val="48"/>
        </w:rPr>
        <w:t>大</w:t>
      </w:r>
      <w:r w:rsidR="00D36D66" w:rsidRPr="00B118E9">
        <w:rPr>
          <w:rFonts w:eastAsia="標楷體"/>
          <w:b/>
          <w:sz w:val="48"/>
        </w:rPr>
        <w:t xml:space="preserve">  </w:t>
      </w:r>
      <w:r w:rsidR="00D36D66" w:rsidRPr="00B118E9">
        <w:rPr>
          <w:rFonts w:eastAsia="標楷體"/>
          <w:b/>
          <w:sz w:val="48"/>
        </w:rPr>
        <w:t>綱</w:t>
      </w:r>
    </w:p>
    <w:sdt>
      <w:sdtPr>
        <w:rPr>
          <w:rFonts w:eastAsia="新細明體"/>
          <w:b w:val="0"/>
          <w:bCs w:val="0"/>
          <w:caps/>
          <w:smallCaps w:val="0"/>
          <w:noProof w:val="0"/>
          <w:sz w:val="24"/>
          <w:szCs w:val="24"/>
          <w:lang w:val="en-US"/>
        </w:rPr>
        <w:id w:val="1959609224"/>
        <w:docPartObj>
          <w:docPartGallery w:val="Table of Contents"/>
          <w:docPartUnique/>
        </w:docPartObj>
      </w:sdtPr>
      <w:sdtEndPr>
        <w:rPr>
          <w:caps w:val="0"/>
        </w:rPr>
      </w:sdtEndPr>
      <w:sdtContent>
        <w:p w:rsidR="00326A4B" w:rsidRPr="00D27C12" w:rsidRDefault="00D36D66" w:rsidP="0058711C">
          <w:pPr>
            <w:pStyle w:val="25"/>
            <w:ind w:firstLine="120"/>
            <w:rPr>
              <w:sz w:val="24"/>
              <w:szCs w:val="22"/>
              <w:lang w:val="en-US"/>
            </w:rPr>
          </w:pPr>
          <w:r w:rsidRPr="00B118E9">
            <w:rPr>
              <w:color w:val="FF0000"/>
            </w:rPr>
            <w:fldChar w:fldCharType="begin"/>
          </w:r>
          <w:r w:rsidRPr="00B118E9">
            <w:instrText xml:space="preserve"> TOC \o "1-3" \h \z \u </w:instrText>
          </w:r>
          <w:r w:rsidRPr="00B118E9">
            <w:rPr>
              <w:color w:val="FF0000"/>
            </w:rPr>
            <w:fldChar w:fldCharType="separate"/>
          </w:r>
          <w:hyperlink w:anchor="_Toc420680020" w:history="1">
            <w:r w:rsidR="00326A4B" w:rsidRPr="0058711C">
              <w:rPr>
                <w:rStyle w:val="aff7"/>
                <w:sz w:val="40"/>
                <w:szCs w:val="40"/>
              </w:rPr>
              <w:t>壹、當前經濟情勢概要</w:t>
            </w:r>
            <w:r w:rsidR="00326A4B" w:rsidRPr="0058711C">
              <w:rPr>
                <w:webHidden/>
              </w:rPr>
              <w:tab/>
            </w:r>
            <w:r w:rsidR="00326A4B" w:rsidRPr="0058711C">
              <w:rPr>
                <w:webHidden/>
              </w:rPr>
              <w:fldChar w:fldCharType="begin"/>
            </w:r>
            <w:r w:rsidR="00326A4B" w:rsidRPr="0058711C">
              <w:rPr>
                <w:webHidden/>
              </w:rPr>
              <w:instrText xml:space="preserve"> PAGEREF _Toc420680020 \h </w:instrText>
            </w:r>
            <w:r w:rsidR="00326A4B" w:rsidRPr="0058711C">
              <w:rPr>
                <w:webHidden/>
              </w:rPr>
            </w:r>
            <w:r w:rsidR="00326A4B" w:rsidRPr="0058711C">
              <w:rPr>
                <w:webHidden/>
              </w:rPr>
              <w:fldChar w:fldCharType="separate"/>
            </w:r>
            <w:r w:rsidR="00C20D7B">
              <w:rPr>
                <w:webHidden/>
              </w:rPr>
              <w:t>1</w:t>
            </w:r>
            <w:r w:rsidR="00326A4B" w:rsidRPr="0058711C">
              <w:rPr>
                <w:webHidden/>
              </w:rPr>
              <w:fldChar w:fldCharType="end"/>
            </w:r>
          </w:hyperlink>
        </w:p>
        <w:p w:rsidR="00326A4B" w:rsidRPr="00D27C12" w:rsidRDefault="00A95184" w:rsidP="0058711C">
          <w:pPr>
            <w:pStyle w:val="25"/>
            <w:rPr>
              <w:lang w:val="en-US"/>
            </w:rPr>
          </w:pPr>
          <w:hyperlink w:anchor="_Toc420680021" w:history="1">
            <w:r w:rsidR="00326A4B" w:rsidRPr="00D27C12">
              <w:rPr>
                <w:rStyle w:val="aff7"/>
              </w:rPr>
              <w:t>一、國際經濟</w:t>
            </w:r>
            <w:r w:rsidR="00326A4B" w:rsidRPr="00D27C12">
              <w:rPr>
                <w:webHidden/>
              </w:rPr>
              <w:tab/>
            </w:r>
            <w:r w:rsidR="00326A4B" w:rsidRPr="00D27C12">
              <w:rPr>
                <w:webHidden/>
              </w:rPr>
              <w:fldChar w:fldCharType="begin"/>
            </w:r>
            <w:r w:rsidR="00326A4B" w:rsidRPr="00D27C12">
              <w:rPr>
                <w:webHidden/>
              </w:rPr>
              <w:instrText xml:space="preserve"> PAGEREF _Toc420680021 \h </w:instrText>
            </w:r>
            <w:r w:rsidR="00326A4B" w:rsidRPr="00D27C12">
              <w:rPr>
                <w:webHidden/>
              </w:rPr>
            </w:r>
            <w:r w:rsidR="00326A4B" w:rsidRPr="00D27C12">
              <w:rPr>
                <w:webHidden/>
              </w:rPr>
              <w:fldChar w:fldCharType="separate"/>
            </w:r>
            <w:r w:rsidR="00C20D7B">
              <w:rPr>
                <w:webHidden/>
              </w:rPr>
              <w:t>1</w:t>
            </w:r>
            <w:r w:rsidR="00326A4B" w:rsidRPr="00D27C12">
              <w:rPr>
                <w:webHidden/>
              </w:rPr>
              <w:fldChar w:fldCharType="end"/>
            </w:r>
          </w:hyperlink>
        </w:p>
        <w:p w:rsidR="00326A4B" w:rsidRPr="00D27C12" w:rsidRDefault="00A95184" w:rsidP="0058711C">
          <w:pPr>
            <w:pStyle w:val="25"/>
            <w:rPr>
              <w:lang w:val="en-US"/>
            </w:rPr>
          </w:pPr>
          <w:hyperlink w:anchor="_Toc420680022" w:history="1">
            <w:r w:rsidR="00326A4B" w:rsidRPr="00D27C12">
              <w:rPr>
                <w:rStyle w:val="aff7"/>
              </w:rPr>
              <w:t>二、國內經濟</w:t>
            </w:r>
            <w:r w:rsidR="00326A4B" w:rsidRPr="00D27C12">
              <w:rPr>
                <w:webHidden/>
              </w:rPr>
              <w:tab/>
            </w:r>
            <w:r w:rsidR="00326A4B" w:rsidRPr="00D27C12">
              <w:rPr>
                <w:webHidden/>
              </w:rPr>
              <w:fldChar w:fldCharType="begin"/>
            </w:r>
            <w:r w:rsidR="00326A4B" w:rsidRPr="00D27C12">
              <w:rPr>
                <w:webHidden/>
              </w:rPr>
              <w:instrText xml:space="preserve"> PAGEREF _Toc420680022 \h </w:instrText>
            </w:r>
            <w:r w:rsidR="00326A4B" w:rsidRPr="00D27C12">
              <w:rPr>
                <w:webHidden/>
              </w:rPr>
            </w:r>
            <w:r w:rsidR="00326A4B" w:rsidRPr="00D27C12">
              <w:rPr>
                <w:webHidden/>
              </w:rPr>
              <w:fldChar w:fldCharType="separate"/>
            </w:r>
            <w:r w:rsidR="00C20D7B">
              <w:rPr>
                <w:webHidden/>
              </w:rPr>
              <w:t>1</w:t>
            </w:r>
            <w:r w:rsidR="00326A4B" w:rsidRPr="00D27C12">
              <w:rPr>
                <w:webHidden/>
              </w:rPr>
              <w:fldChar w:fldCharType="end"/>
            </w:r>
          </w:hyperlink>
        </w:p>
        <w:p w:rsidR="00326A4B" w:rsidRPr="00D27C12" w:rsidRDefault="00A95184" w:rsidP="0058711C">
          <w:pPr>
            <w:pStyle w:val="25"/>
            <w:rPr>
              <w:lang w:val="en-US"/>
            </w:rPr>
          </w:pPr>
          <w:hyperlink w:anchor="_Toc420680023" w:history="1">
            <w:r w:rsidR="00326A4B" w:rsidRPr="00D27C12">
              <w:rPr>
                <w:rStyle w:val="aff7"/>
              </w:rPr>
              <w:t>三、中國大陸經濟</w:t>
            </w:r>
            <w:r w:rsidR="00326A4B" w:rsidRPr="00D27C12">
              <w:rPr>
                <w:webHidden/>
              </w:rPr>
              <w:tab/>
            </w:r>
            <w:r w:rsidR="00326A4B" w:rsidRPr="00D27C12">
              <w:rPr>
                <w:webHidden/>
              </w:rPr>
              <w:fldChar w:fldCharType="begin"/>
            </w:r>
            <w:r w:rsidR="00326A4B" w:rsidRPr="00D27C12">
              <w:rPr>
                <w:webHidden/>
              </w:rPr>
              <w:instrText xml:space="preserve"> PAGEREF _Toc420680023 \h </w:instrText>
            </w:r>
            <w:r w:rsidR="00326A4B" w:rsidRPr="00D27C12">
              <w:rPr>
                <w:webHidden/>
              </w:rPr>
            </w:r>
            <w:r w:rsidR="00326A4B" w:rsidRPr="00D27C12">
              <w:rPr>
                <w:webHidden/>
              </w:rPr>
              <w:fldChar w:fldCharType="separate"/>
            </w:r>
            <w:r w:rsidR="00C20D7B">
              <w:rPr>
                <w:webHidden/>
              </w:rPr>
              <w:t>2</w:t>
            </w:r>
            <w:r w:rsidR="00326A4B" w:rsidRPr="00D27C12">
              <w:rPr>
                <w:webHidden/>
              </w:rPr>
              <w:fldChar w:fldCharType="end"/>
            </w:r>
          </w:hyperlink>
        </w:p>
        <w:p w:rsidR="00326A4B" w:rsidRPr="0058711C" w:rsidRDefault="00A95184" w:rsidP="0058711C">
          <w:pPr>
            <w:pStyle w:val="25"/>
            <w:rPr>
              <w:lang w:val="en-US"/>
            </w:rPr>
          </w:pPr>
          <w:hyperlink w:anchor="_Toc420680024" w:history="1">
            <w:r w:rsidR="00326A4B" w:rsidRPr="0058711C">
              <w:rPr>
                <w:rStyle w:val="aff7"/>
                <w:sz w:val="40"/>
                <w:szCs w:val="40"/>
              </w:rPr>
              <w:t>貳、國內外經濟指標</w:t>
            </w:r>
            <w:r w:rsidR="00326A4B" w:rsidRPr="0058711C">
              <w:rPr>
                <w:webHidden/>
              </w:rPr>
              <w:tab/>
            </w:r>
            <w:r w:rsidR="00326A4B" w:rsidRPr="0058711C">
              <w:rPr>
                <w:webHidden/>
              </w:rPr>
              <w:fldChar w:fldCharType="begin"/>
            </w:r>
            <w:r w:rsidR="00326A4B" w:rsidRPr="0058711C">
              <w:rPr>
                <w:webHidden/>
              </w:rPr>
              <w:instrText xml:space="preserve"> PAGEREF _Toc420680024 \h </w:instrText>
            </w:r>
            <w:r w:rsidR="00326A4B" w:rsidRPr="0058711C">
              <w:rPr>
                <w:webHidden/>
              </w:rPr>
            </w:r>
            <w:r w:rsidR="00326A4B" w:rsidRPr="0058711C">
              <w:rPr>
                <w:webHidden/>
              </w:rPr>
              <w:fldChar w:fldCharType="separate"/>
            </w:r>
            <w:r w:rsidR="00C20D7B">
              <w:rPr>
                <w:webHidden/>
              </w:rPr>
              <w:t>3</w:t>
            </w:r>
            <w:r w:rsidR="00326A4B" w:rsidRPr="0058711C">
              <w:rPr>
                <w:webHidden/>
              </w:rPr>
              <w:fldChar w:fldCharType="end"/>
            </w:r>
          </w:hyperlink>
        </w:p>
        <w:p w:rsidR="00326A4B" w:rsidRPr="00D27C12" w:rsidRDefault="00A95184" w:rsidP="0058711C">
          <w:pPr>
            <w:pStyle w:val="25"/>
            <w:rPr>
              <w:lang w:val="en-US"/>
            </w:rPr>
          </w:pPr>
          <w:hyperlink w:anchor="_Toc420680025" w:history="1">
            <w:r w:rsidR="00326A4B" w:rsidRPr="00D27C12">
              <w:rPr>
                <w:rStyle w:val="aff7"/>
                <w:b w:val="0"/>
              </w:rPr>
              <w:t>表</w:t>
            </w:r>
            <w:r w:rsidR="00326A4B" w:rsidRPr="00D27C12">
              <w:rPr>
                <w:rStyle w:val="aff7"/>
                <w:b w:val="0"/>
              </w:rPr>
              <w:t xml:space="preserve">1  </w:t>
            </w:r>
            <w:r w:rsidR="00326A4B" w:rsidRPr="00D27C12">
              <w:rPr>
                <w:rStyle w:val="aff7"/>
                <w:b w:val="0"/>
              </w:rPr>
              <w:t>世界經濟成長率及物價上漲率</w:t>
            </w:r>
            <w:r w:rsidR="00326A4B" w:rsidRPr="00D27C12">
              <w:rPr>
                <w:webHidden/>
              </w:rPr>
              <w:tab/>
            </w:r>
            <w:r w:rsidR="00326A4B" w:rsidRPr="00D27C12">
              <w:rPr>
                <w:webHidden/>
              </w:rPr>
              <w:fldChar w:fldCharType="begin"/>
            </w:r>
            <w:r w:rsidR="00326A4B" w:rsidRPr="00D27C12">
              <w:rPr>
                <w:webHidden/>
              </w:rPr>
              <w:instrText xml:space="preserve"> PAGEREF _Toc420680025 \h </w:instrText>
            </w:r>
            <w:r w:rsidR="00326A4B" w:rsidRPr="00D27C12">
              <w:rPr>
                <w:webHidden/>
              </w:rPr>
            </w:r>
            <w:r w:rsidR="00326A4B" w:rsidRPr="00D27C12">
              <w:rPr>
                <w:webHidden/>
              </w:rPr>
              <w:fldChar w:fldCharType="separate"/>
            </w:r>
            <w:r w:rsidR="00C20D7B">
              <w:rPr>
                <w:webHidden/>
              </w:rPr>
              <w:t>3</w:t>
            </w:r>
            <w:r w:rsidR="00326A4B" w:rsidRPr="00D27C12">
              <w:rPr>
                <w:webHidden/>
              </w:rPr>
              <w:fldChar w:fldCharType="end"/>
            </w:r>
          </w:hyperlink>
        </w:p>
        <w:p w:rsidR="00326A4B" w:rsidRPr="00D27C12" w:rsidRDefault="00A95184" w:rsidP="0058711C">
          <w:pPr>
            <w:pStyle w:val="25"/>
            <w:rPr>
              <w:lang w:val="en-US"/>
            </w:rPr>
          </w:pPr>
          <w:hyperlink w:anchor="_Toc420680026" w:history="1">
            <w:r w:rsidR="00326A4B" w:rsidRPr="00D27C12">
              <w:rPr>
                <w:rStyle w:val="aff7"/>
                <w:b w:val="0"/>
              </w:rPr>
              <w:t>表</w:t>
            </w:r>
            <w:r w:rsidR="00326A4B" w:rsidRPr="00D27C12">
              <w:rPr>
                <w:rStyle w:val="aff7"/>
                <w:b w:val="0"/>
              </w:rPr>
              <w:t xml:space="preserve">2  </w:t>
            </w:r>
            <w:r w:rsidR="00326A4B" w:rsidRPr="00D27C12">
              <w:rPr>
                <w:rStyle w:val="aff7"/>
                <w:b w:val="0"/>
              </w:rPr>
              <w:t>世界貿易量成長率</w:t>
            </w:r>
            <w:r w:rsidR="00183AD5" w:rsidRPr="00D27C12">
              <w:rPr>
                <w:rStyle w:val="aff7"/>
                <w:b w:val="0"/>
              </w:rPr>
              <w:t>…………….</w:t>
            </w:r>
            <w:r w:rsidR="00326A4B" w:rsidRPr="00D27C12">
              <w:rPr>
                <w:webHidden/>
              </w:rPr>
              <w:tab/>
            </w:r>
            <w:r w:rsidR="00326A4B" w:rsidRPr="00D27C12">
              <w:rPr>
                <w:webHidden/>
              </w:rPr>
              <w:fldChar w:fldCharType="begin"/>
            </w:r>
            <w:r w:rsidR="00326A4B" w:rsidRPr="00D27C12">
              <w:rPr>
                <w:webHidden/>
              </w:rPr>
              <w:instrText xml:space="preserve"> PAGEREF _Toc420680026 \h </w:instrText>
            </w:r>
            <w:r w:rsidR="00326A4B" w:rsidRPr="00D27C12">
              <w:rPr>
                <w:webHidden/>
              </w:rPr>
            </w:r>
            <w:r w:rsidR="00326A4B" w:rsidRPr="00D27C12">
              <w:rPr>
                <w:webHidden/>
              </w:rPr>
              <w:fldChar w:fldCharType="separate"/>
            </w:r>
            <w:r w:rsidR="00C20D7B">
              <w:rPr>
                <w:webHidden/>
              </w:rPr>
              <w:t>3</w:t>
            </w:r>
            <w:r w:rsidR="00326A4B" w:rsidRPr="00D27C12">
              <w:rPr>
                <w:webHidden/>
              </w:rPr>
              <w:fldChar w:fldCharType="end"/>
            </w:r>
          </w:hyperlink>
        </w:p>
        <w:p w:rsidR="00326A4B" w:rsidRPr="00D27C12" w:rsidRDefault="00A95184" w:rsidP="0058711C">
          <w:pPr>
            <w:pStyle w:val="25"/>
            <w:rPr>
              <w:lang w:val="en-US"/>
            </w:rPr>
          </w:pPr>
          <w:hyperlink w:anchor="_Toc420680027" w:history="1">
            <w:r w:rsidR="00326A4B" w:rsidRPr="00D27C12">
              <w:rPr>
                <w:rStyle w:val="aff7"/>
                <w:b w:val="0"/>
              </w:rPr>
              <w:t>表</w:t>
            </w:r>
            <w:r w:rsidR="00326A4B" w:rsidRPr="00D27C12">
              <w:rPr>
                <w:rStyle w:val="aff7"/>
                <w:b w:val="0"/>
              </w:rPr>
              <w:t xml:space="preserve">3  </w:t>
            </w:r>
            <w:r w:rsidR="00326A4B" w:rsidRPr="00D27C12">
              <w:rPr>
                <w:rStyle w:val="aff7"/>
                <w:b w:val="0"/>
              </w:rPr>
              <w:t>國內主要經濟指標</w:t>
            </w:r>
            <w:r w:rsidR="00326A4B" w:rsidRPr="00D27C12">
              <w:rPr>
                <w:webHidden/>
              </w:rPr>
              <w:tab/>
            </w:r>
            <w:r w:rsidR="00326A4B" w:rsidRPr="00D27C12">
              <w:rPr>
                <w:webHidden/>
              </w:rPr>
              <w:fldChar w:fldCharType="begin"/>
            </w:r>
            <w:r w:rsidR="00326A4B" w:rsidRPr="00D27C12">
              <w:rPr>
                <w:webHidden/>
              </w:rPr>
              <w:instrText xml:space="preserve"> PAGEREF _Toc420680027 \h </w:instrText>
            </w:r>
            <w:r w:rsidR="00326A4B" w:rsidRPr="00D27C12">
              <w:rPr>
                <w:webHidden/>
              </w:rPr>
            </w:r>
            <w:r w:rsidR="00326A4B" w:rsidRPr="00D27C12">
              <w:rPr>
                <w:webHidden/>
              </w:rPr>
              <w:fldChar w:fldCharType="separate"/>
            </w:r>
            <w:r w:rsidR="00C20D7B">
              <w:rPr>
                <w:webHidden/>
              </w:rPr>
              <w:t>4</w:t>
            </w:r>
            <w:r w:rsidR="00326A4B" w:rsidRPr="00D27C12">
              <w:rPr>
                <w:webHidden/>
              </w:rPr>
              <w:fldChar w:fldCharType="end"/>
            </w:r>
          </w:hyperlink>
        </w:p>
        <w:p w:rsidR="00326A4B" w:rsidRPr="00D27C12" w:rsidRDefault="00A95184" w:rsidP="0058711C">
          <w:pPr>
            <w:pStyle w:val="25"/>
            <w:rPr>
              <w:lang w:val="en-US"/>
            </w:rPr>
          </w:pPr>
          <w:hyperlink w:anchor="_Toc420680028" w:history="1">
            <w:r w:rsidR="00326A4B" w:rsidRPr="00D27C12">
              <w:rPr>
                <w:rStyle w:val="aff7"/>
                <w:b w:val="0"/>
              </w:rPr>
              <w:t>表</w:t>
            </w:r>
            <w:r w:rsidR="00326A4B" w:rsidRPr="00D27C12">
              <w:rPr>
                <w:rStyle w:val="aff7"/>
                <w:b w:val="0"/>
              </w:rPr>
              <w:t xml:space="preserve">4  </w:t>
            </w:r>
            <w:r w:rsidR="00326A4B" w:rsidRPr="00D27C12">
              <w:rPr>
                <w:rStyle w:val="aff7"/>
                <w:b w:val="0"/>
              </w:rPr>
              <w:t>中國大陸主要經濟指標</w:t>
            </w:r>
            <w:r w:rsidR="00326A4B" w:rsidRPr="00D27C12">
              <w:rPr>
                <w:webHidden/>
              </w:rPr>
              <w:tab/>
            </w:r>
            <w:r w:rsidR="00326A4B" w:rsidRPr="00D27C12">
              <w:rPr>
                <w:webHidden/>
              </w:rPr>
              <w:fldChar w:fldCharType="begin"/>
            </w:r>
            <w:r w:rsidR="00326A4B" w:rsidRPr="00D27C12">
              <w:rPr>
                <w:webHidden/>
              </w:rPr>
              <w:instrText xml:space="preserve"> PAGEREF _Toc420680028 \h </w:instrText>
            </w:r>
            <w:r w:rsidR="00326A4B" w:rsidRPr="00D27C12">
              <w:rPr>
                <w:webHidden/>
              </w:rPr>
            </w:r>
            <w:r w:rsidR="00326A4B" w:rsidRPr="00D27C12">
              <w:rPr>
                <w:webHidden/>
              </w:rPr>
              <w:fldChar w:fldCharType="separate"/>
            </w:r>
            <w:r w:rsidR="00C20D7B">
              <w:rPr>
                <w:webHidden/>
              </w:rPr>
              <w:t>5</w:t>
            </w:r>
            <w:r w:rsidR="00326A4B" w:rsidRPr="00D27C12">
              <w:rPr>
                <w:webHidden/>
              </w:rPr>
              <w:fldChar w:fldCharType="end"/>
            </w:r>
          </w:hyperlink>
        </w:p>
        <w:p w:rsidR="00326A4B" w:rsidRPr="00D27C12" w:rsidRDefault="00A95184" w:rsidP="0058711C">
          <w:pPr>
            <w:pStyle w:val="25"/>
            <w:rPr>
              <w:lang w:val="en-US"/>
            </w:rPr>
          </w:pPr>
          <w:hyperlink w:anchor="_Toc420680029" w:history="1">
            <w:r w:rsidR="00326A4B" w:rsidRPr="00D27C12">
              <w:rPr>
                <w:rStyle w:val="aff7"/>
                <w:b w:val="0"/>
              </w:rPr>
              <w:t>表</w:t>
            </w:r>
            <w:r w:rsidR="00326A4B" w:rsidRPr="00D27C12">
              <w:rPr>
                <w:rStyle w:val="aff7"/>
                <w:b w:val="0"/>
              </w:rPr>
              <w:t xml:space="preserve">5  </w:t>
            </w:r>
            <w:r w:rsidR="00326A4B" w:rsidRPr="00D27C12">
              <w:rPr>
                <w:rStyle w:val="aff7"/>
                <w:b w:val="0"/>
              </w:rPr>
              <w:t>兩岸經貿統計</w:t>
            </w:r>
            <w:r w:rsidR="00326A4B" w:rsidRPr="00D27C12">
              <w:rPr>
                <w:webHidden/>
              </w:rPr>
              <w:tab/>
            </w:r>
            <w:r w:rsidR="00326A4B" w:rsidRPr="00D27C12">
              <w:rPr>
                <w:webHidden/>
              </w:rPr>
              <w:fldChar w:fldCharType="begin"/>
            </w:r>
            <w:r w:rsidR="00326A4B" w:rsidRPr="00D27C12">
              <w:rPr>
                <w:webHidden/>
              </w:rPr>
              <w:instrText xml:space="preserve"> PAGEREF _Toc420680029 \h </w:instrText>
            </w:r>
            <w:r w:rsidR="00326A4B" w:rsidRPr="00D27C12">
              <w:rPr>
                <w:webHidden/>
              </w:rPr>
            </w:r>
            <w:r w:rsidR="00326A4B" w:rsidRPr="00D27C12">
              <w:rPr>
                <w:webHidden/>
              </w:rPr>
              <w:fldChar w:fldCharType="separate"/>
            </w:r>
            <w:r w:rsidR="00C20D7B">
              <w:rPr>
                <w:webHidden/>
              </w:rPr>
              <w:t>6</w:t>
            </w:r>
            <w:r w:rsidR="00326A4B" w:rsidRPr="00D27C12">
              <w:rPr>
                <w:webHidden/>
              </w:rPr>
              <w:fldChar w:fldCharType="end"/>
            </w:r>
          </w:hyperlink>
        </w:p>
        <w:p w:rsidR="00326A4B" w:rsidRPr="00D27C12" w:rsidRDefault="00A95184" w:rsidP="0058711C">
          <w:pPr>
            <w:pStyle w:val="25"/>
            <w:rPr>
              <w:lang w:val="en-US"/>
            </w:rPr>
          </w:pPr>
          <w:hyperlink w:anchor="_Toc420680030" w:history="1">
            <w:r w:rsidR="00326A4B" w:rsidRPr="00D27C12">
              <w:rPr>
                <w:rStyle w:val="aff7"/>
                <w:sz w:val="40"/>
                <w:szCs w:val="40"/>
              </w:rPr>
              <w:t>參、經濟情勢分析</w:t>
            </w:r>
            <w:r w:rsidR="00326A4B" w:rsidRPr="00D27C12">
              <w:rPr>
                <w:webHidden/>
              </w:rPr>
              <w:tab/>
            </w:r>
            <w:r w:rsidR="00326A4B" w:rsidRPr="00D27C12">
              <w:rPr>
                <w:webHidden/>
              </w:rPr>
              <w:fldChar w:fldCharType="begin"/>
            </w:r>
            <w:r w:rsidR="00326A4B" w:rsidRPr="00D27C12">
              <w:rPr>
                <w:webHidden/>
              </w:rPr>
              <w:instrText xml:space="preserve"> PAGEREF _Toc420680030 \h </w:instrText>
            </w:r>
            <w:r w:rsidR="00326A4B" w:rsidRPr="00D27C12">
              <w:rPr>
                <w:webHidden/>
              </w:rPr>
            </w:r>
            <w:r w:rsidR="00326A4B" w:rsidRPr="00D27C12">
              <w:rPr>
                <w:webHidden/>
              </w:rPr>
              <w:fldChar w:fldCharType="separate"/>
            </w:r>
            <w:r w:rsidR="00C20D7B">
              <w:rPr>
                <w:webHidden/>
              </w:rPr>
              <w:t>7</w:t>
            </w:r>
            <w:r w:rsidR="00326A4B" w:rsidRPr="00D27C12">
              <w:rPr>
                <w:webHidden/>
              </w:rPr>
              <w:fldChar w:fldCharType="end"/>
            </w:r>
          </w:hyperlink>
        </w:p>
        <w:p w:rsidR="00326A4B" w:rsidRPr="0058711C" w:rsidRDefault="00A95184" w:rsidP="0058711C">
          <w:pPr>
            <w:pStyle w:val="25"/>
            <w:rPr>
              <w:lang w:val="en-US"/>
            </w:rPr>
          </w:pPr>
          <w:hyperlink w:anchor="_Toc420680031" w:history="1">
            <w:r w:rsidR="00326A4B" w:rsidRPr="0058711C">
              <w:rPr>
                <w:rStyle w:val="aff7"/>
              </w:rPr>
              <w:t>一、國際經濟</w:t>
            </w:r>
            <w:r w:rsidR="00326A4B" w:rsidRPr="0058711C">
              <w:rPr>
                <w:webHidden/>
              </w:rPr>
              <w:tab/>
            </w:r>
            <w:r w:rsidR="00326A4B" w:rsidRPr="0058711C">
              <w:rPr>
                <w:webHidden/>
              </w:rPr>
              <w:fldChar w:fldCharType="begin"/>
            </w:r>
            <w:r w:rsidR="00326A4B" w:rsidRPr="0058711C">
              <w:rPr>
                <w:webHidden/>
              </w:rPr>
              <w:instrText xml:space="preserve"> PAGEREF _Toc420680031 \h </w:instrText>
            </w:r>
            <w:r w:rsidR="00326A4B" w:rsidRPr="0058711C">
              <w:rPr>
                <w:webHidden/>
              </w:rPr>
            </w:r>
            <w:r w:rsidR="00326A4B" w:rsidRPr="0058711C">
              <w:rPr>
                <w:webHidden/>
              </w:rPr>
              <w:fldChar w:fldCharType="separate"/>
            </w:r>
            <w:r w:rsidR="00C20D7B">
              <w:rPr>
                <w:webHidden/>
              </w:rPr>
              <w:t>7</w:t>
            </w:r>
            <w:r w:rsidR="00326A4B" w:rsidRPr="0058711C">
              <w:rPr>
                <w:webHidden/>
              </w:rPr>
              <w:fldChar w:fldCharType="end"/>
            </w:r>
          </w:hyperlink>
        </w:p>
        <w:p w:rsidR="00326A4B" w:rsidRPr="00D27C12" w:rsidRDefault="00A95184" w:rsidP="00D27C12">
          <w:pPr>
            <w:pStyle w:val="33"/>
            <w:rPr>
              <w:bCs w:val="0"/>
              <w:szCs w:val="32"/>
            </w:rPr>
          </w:pPr>
          <w:hyperlink w:anchor="_Toc420680032" w:history="1">
            <w:r w:rsidR="00326A4B" w:rsidRPr="00D27C12">
              <w:rPr>
                <w:rStyle w:val="aff7"/>
                <w:szCs w:val="32"/>
              </w:rPr>
              <w:t>（一）美國</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_Toc420680032 \h </w:instrText>
            </w:r>
            <w:r w:rsidR="00326A4B" w:rsidRPr="00D27C12">
              <w:rPr>
                <w:webHidden/>
                <w:szCs w:val="32"/>
              </w:rPr>
            </w:r>
            <w:r w:rsidR="00326A4B" w:rsidRPr="00D27C12">
              <w:rPr>
                <w:webHidden/>
                <w:szCs w:val="32"/>
              </w:rPr>
              <w:fldChar w:fldCharType="separate"/>
            </w:r>
            <w:r w:rsidR="00C20D7B">
              <w:rPr>
                <w:webHidden/>
                <w:szCs w:val="32"/>
              </w:rPr>
              <w:t>7</w:t>
            </w:r>
            <w:r w:rsidR="00326A4B" w:rsidRPr="00D27C12">
              <w:rPr>
                <w:webHidden/>
                <w:szCs w:val="32"/>
              </w:rPr>
              <w:fldChar w:fldCharType="end"/>
            </w:r>
          </w:hyperlink>
        </w:p>
        <w:p w:rsidR="00326A4B" w:rsidRPr="00D27C12" w:rsidRDefault="00A95184" w:rsidP="00D27C12">
          <w:pPr>
            <w:pStyle w:val="33"/>
            <w:rPr>
              <w:bCs w:val="0"/>
              <w:szCs w:val="32"/>
            </w:rPr>
          </w:pPr>
          <w:hyperlink w:anchor="_Toc420680033" w:history="1">
            <w:r w:rsidR="00326A4B" w:rsidRPr="00D27C12">
              <w:rPr>
                <w:rStyle w:val="aff7"/>
                <w:szCs w:val="32"/>
              </w:rPr>
              <w:t>（二）歐元區</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_Toc420680033 \h </w:instrText>
            </w:r>
            <w:r w:rsidR="00326A4B" w:rsidRPr="00D27C12">
              <w:rPr>
                <w:webHidden/>
                <w:szCs w:val="32"/>
              </w:rPr>
            </w:r>
            <w:r w:rsidR="00326A4B" w:rsidRPr="00D27C12">
              <w:rPr>
                <w:webHidden/>
                <w:szCs w:val="32"/>
              </w:rPr>
              <w:fldChar w:fldCharType="separate"/>
            </w:r>
            <w:r w:rsidR="00C20D7B">
              <w:rPr>
                <w:webHidden/>
                <w:szCs w:val="32"/>
              </w:rPr>
              <w:t>9</w:t>
            </w:r>
            <w:r w:rsidR="00326A4B" w:rsidRPr="00D27C12">
              <w:rPr>
                <w:webHidden/>
                <w:szCs w:val="32"/>
              </w:rPr>
              <w:fldChar w:fldCharType="end"/>
            </w:r>
          </w:hyperlink>
        </w:p>
        <w:p w:rsidR="00326A4B" w:rsidRPr="00D27C12" w:rsidRDefault="00A95184" w:rsidP="00D27C12">
          <w:pPr>
            <w:pStyle w:val="33"/>
            <w:rPr>
              <w:bCs w:val="0"/>
              <w:szCs w:val="32"/>
            </w:rPr>
          </w:pPr>
          <w:hyperlink w:anchor="_Toc420680034" w:history="1">
            <w:r w:rsidR="00326A4B" w:rsidRPr="00D27C12">
              <w:rPr>
                <w:rStyle w:val="aff7"/>
                <w:szCs w:val="32"/>
              </w:rPr>
              <w:t>（三）亞太地區</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_Toc420680034 \h </w:instrText>
            </w:r>
            <w:r w:rsidR="00326A4B" w:rsidRPr="00D27C12">
              <w:rPr>
                <w:webHidden/>
                <w:szCs w:val="32"/>
              </w:rPr>
            </w:r>
            <w:r w:rsidR="00326A4B" w:rsidRPr="00D27C12">
              <w:rPr>
                <w:webHidden/>
                <w:szCs w:val="32"/>
              </w:rPr>
              <w:fldChar w:fldCharType="separate"/>
            </w:r>
            <w:r w:rsidR="00C20D7B">
              <w:rPr>
                <w:webHidden/>
                <w:szCs w:val="32"/>
              </w:rPr>
              <w:t>11</w:t>
            </w:r>
            <w:r w:rsidR="00326A4B" w:rsidRPr="00D27C12">
              <w:rPr>
                <w:webHidden/>
                <w:szCs w:val="32"/>
              </w:rPr>
              <w:fldChar w:fldCharType="end"/>
            </w:r>
          </w:hyperlink>
        </w:p>
        <w:p w:rsidR="00326A4B" w:rsidRPr="00D27C12" w:rsidRDefault="00A95184" w:rsidP="0058711C">
          <w:pPr>
            <w:pStyle w:val="25"/>
            <w:rPr>
              <w:lang w:val="en-US"/>
            </w:rPr>
          </w:pPr>
          <w:hyperlink w:anchor="_Toc420680035" w:history="1">
            <w:r w:rsidR="00326A4B" w:rsidRPr="00D27C12">
              <w:rPr>
                <w:rStyle w:val="aff7"/>
              </w:rPr>
              <w:t>二、國內經濟</w:t>
            </w:r>
            <w:r w:rsidR="00326A4B" w:rsidRPr="00D27C12">
              <w:rPr>
                <w:webHidden/>
              </w:rPr>
              <w:tab/>
            </w:r>
            <w:r w:rsidR="00326A4B" w:rsidRPr="00D27C12">
              <w:rPr>
                <w:webHidden/>
              </w:rPr>
              <w:fldChar w:fldCharType="begin"/>
            </w:r>
            <w:r w:rsidR="00326A4B" w:rsidRPr="00D27C12">
              <w:rPr>
                <w:webHidden/>
              </w:rPr>
              <w:instrText xml:space="preserve"> PAGEREF _Toc420680035 \h </w:instrText>
            </w:r>
            <w:r w:rsidR="00326A4B" w:rsidRPr="00D27C12">
              <w:rPr>
                <w:webHidden/>
              </w:rPr>
            </w:r>
            <w:r w:rsidR="00326A4B" w:rsidRPr="00D27C12">
              <w:rPr>
                <w:webHidden/>
              </w:rPr>
              <w:fldChar w:fldCharType="separate"/>
            </w:r>
            <w:r w:rsidR="00C20D7B">
              <w:rPr>
                <w:webHidden/>
              </w:rPr>
              <w:t>19</w:t>
            </w:r>
            <w:r w:rsidR="00326A4B" w:rsidRPr="00D27C12">
              <w:rPr>
                <w:webHidden/>
              </w:rPr>
              <w:fldChar w:fldCharType="end"/>
            </w:r>
          </w:hyperlink>
        </w:p>
        <w:p w:rsidR="00326A4B" w:rsidRPr="00D27C12" w:rsidRDefault="00A95184" w:rsidP="00D27C12">
          <w:pPr>
            <w:pStyle w:val="33"/>
            <w:rPr>
              <w:bCs w:val="0"/>
              <w:szCs w:val="32"/>
            </w:rPr>
          </w:pPr>
          <w:hyperlink w:anchor="_Toc420680036" w:history="1">
            <w:r w:rsidR="00326A4B" w:rsidRPr="00D27C12">
              <w:rPr>
                <w:rStyle w:val="aff7"/>
                <w:szCs w:val="32"/>
              </w:rPr>
              <w:t>（一）總體情勢</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_Toc420680036 \h </w:instrText>
            </w:r>
            <w:r w:rsidR="00326A4B" w:rsidRPr="00D27C12">
              <w:rPr>
                <w:webHidden/>
                <w:szCs w:val="32"/>
              </w:rPr>
            </w:r>
            <w:r w:rsidR="00326A4B" w:rsidRPr="00D27C12">
              <w:rPr>
                <w:webHidden/>
                <w:szCs w:val="32"/>
              </w:rPr>
              <w:fldChar w:fldCharType="separate"/>
            </w:r>
            <w:r w:rsidR="00C20D7B">
              <w:rPr>
                <w:webHidden/>
                <w:szCs w:val="32"/>
              </w:rPr>
              <w:t>19</w:t>
            </w:r>
            <w:r w:rsidR="00326A4B" w:rsidRPr="00D27C12">
              <w:rPr>
                <w:webHidden/>
                <w:szCs w:val="32"/>
              </w:rPr>
              <w:fldChar w:fldCharType="end"/>
            </w:r>
          </w:hyperlink>
        </w:p>
        <w:p w:rsidR="00326A4B" w:rsidRPr="00D27C12" w:rsidRDefault="00A95184" w:rsidP="00D27C12">
          <w:pPr>
            <w:pStyle w:val="33"/>
            <w:rPr>
              <w:bCs w:val="0"/>
              <w:szCs w:val="32"/>
            </w:rPr>
          </w:pPr>
          <w:hyperlink w:anchor="_Toc420680037" w:history="1">
            <w:r w:rsidR="00326A4B" w:rsidRPr="00D27C12">
              <w:rPr>
                <w:rStyle w:val="aff7"/>
                <w:szCs w:val="32"/>
              </w:rPr>
              <w:t>（二）工業生產</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_Toc420680037 \h </w:instrText>
            </w:r>
            <w:r w:rsidR="00326A4B" w:rsidRPr="00D27C12">
              <w:rPr>
                <w:webHidden/>
                <w:szCs w:val="32"/>
              </w:rPr>
            </w:r>
            <w:r w:rsidR="00326A4B" w:rsidRPr="00D27C12">
              <w:rPr>
                <w:webHidden/>
                <w:szCs w:val="32"/>
              </w:rPr>
              <w:fldChar w:fldCharType="separate"/>
            </w:r>
            <w:r w:rsidR="00C20D7B">
              <w:rPr>
                <w:webHidden/>
                <w:szCs w:val="32"/>
              </w:rPr>
              <w:t>22</w:t>
            </w:r>
            <w:r w:rsidR="00326A4B" w:rsidRPr="00D27C12">
              <w:rPr>
                <w:webHidden/>
                <w:szCs w:val="32"/>
              </w:rPr>
              <w:fldChar w:fldCharType="end"/>
            </w:r>
          </w:hyperlink>
        </w:p>
        <w:p w:rsidR="00326A4B" w:rsidRPr="00D27C12" w:rsidRDefault="00A95184" w:rsidP="00D27C12">
          <w:pPr>
            <w:pStyle w:val="33"/>
            <w:rPr>
              <w:bCs w:val="0"/>
              <w:szCs w:val="32"/>
            </w:rPr>
          </w:pPr>
          <w:hyperlink w:anchor="_Toc420680038" w:history="1">
            <w:r w:rsidR="00326A4B" w:rsidRPr="00D27C12">
              <w:rPr>
                <w:rStyle w:val="aff7"/>
                <w:szCs w:val="32"/>
              </w:rPr>
              <w:t>（三）商業</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_Toc420680038 \h </w:instrText>
            </w:r>
            <w:r w:rsidR="00326A4B" w:rsidRPr="00D27C12">
              <w:rPr>
                <w:webHidden/>
                <w:szCs w:val="32"/>
              </w:rPr>
            </w:r>
            <w:r w:rsidR="00326A4B" w:rsidRPr="00D27C12">
              <w:rPr>
                <w:webHidden/>
                <w:szCs w:val="32"/>
              </w:rPr>
              <w:fldChar w:fldCharType="separate"/>
            </w:r>
            <w:r w:rsidR="00C20D7B">
              <w:rPr>
                <w:webHidden/>
                <w:szCs w:val="32"/>
              </w:rPr>
              <w:t>26</w:t>
            </w:r>
            <w:r w:rsidR="00326A4B" w:rsidRPr="00D27C12">
              <w:rPr>
                <w:webHidden/>
                <w:szCs w:val="32"/>
              </w:rPr>
              <w:fldChar w:fldCharType="end"/>
            </w:r>
          </w:hyperlink>
        </w:p>
        <w:p w:rsidR="00326A4B" w:rsidRPr="00D27C12" w:rsidRDefault="00A95184" w:rsidP="00D27C12">
          <w:pPr>
            <w:pStyle w:val="33"/>
            <w:rPr>
              <w:bCs w:val="0"/>
              <w:szCs w:val="32"/>
            </w:rPr>
          </w:pPr>
          <w:hyperlink w:anchor="_Toc420680039" w:history="1">
            <w:r w:rsidR="00326A4B" w:rsidRPr="00D27C12">
              <w:rPr>
                <w:rStyle w:val="aff7"/>
                <w:szCs w:val="32"/>
              </w:rPr>
              <w:t>（四）貿易</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_Toc420680039 \h </w:instrText>
            </w:r>
            <w:r w:rsidR="00326A4B" w:rsidRPr="00D27C12">
              <w:rPr>
                <w:webHidden/>
                <w:szCs w:val="32"/>
              </w:rPr>
            </w:r>
            <w:r w:rsidR="00326A4B" w:rsidRPr="00D27C12">
              <w:rPr>
                <w:webHidden/>
                <w:szCs w:val="32"/>
              </w:rPr>
              <w:fldChar w:fldCharType="separate"/>
            </w:r>
            <w:r w:rsidR="00C20D7B">
              <w:rPr>
                <w:webHidden/>
                <w:szCs w:val="32"/>
              </w:rPr>
              <w:t>30</w:t>
            </w:r>
            <w:r w:rsidR="00326A4B" w:rsidRPr="00D27C12">
              <w:rPr>
                <w:webHidden/>
                <w:szCs w:val="32"/>
              </w:rPr>
              <w:fldChar w:fldCharType="end"/>
            </w:r>
          </w:hyperlink>
        </w:p>
        <w:p w:rsidR="00326A4B" w:rsidRPr="00D27C12" w:rsidRDefault="00A95184" w:rsidP="00D27C12">
          <w:pPr>
            <w:pStyle w:val="33"/>
            <w:rPr>
              <w:bCs w:val="0"/>
              <w:szCs w:val="32"/>
            </w:rPr>
          </w:pPr>
          <w:hyperlink w:anchor="_Toc420680040" w:history="1">
            <w:r w:rsidR="00326A4B" w:rsidRPr="00D27C12">
              <w:rPr>
                <w:rStyle w:val="aff7"/>
                <w:szCs w:val="32"/>
              </w:rPr>
              <w:t>（五）外銷訂單</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_Toc420680040 \h </w:instrText>
            </w:r>
            <w:r w:rsidR="00326A4B" w:rsidRPr="00D27C12">
              <w:rPr>
                <w:webHidden/>
                <w:szCs w:val="32"/>
              </w:rPr>
            </w:r>
            <w:r w:rsidR="00326A4B" w:rsidRPr="00D27C12">
              <w:rPr>
                <w:webHidden/>
                <w:szCs w:val="32"/>
              </w:rPr>
              <w:fldChar w:fldCharType="separate"/>
            </w:r>
            <w:r w:rsidR="00C20D7B">
              <w:rPr>
                <w:webHidden/>
                <w:szCs w:val="32"/>
              </w:rPr>
              <w:t>33</w:t>
            </w:r>
            <w:r w:rsidR="00326A4B" w:rsidRPr="00D27C12">
              <w:rPr>
                <w:webHidden/>
                <w:szCs w:val="32"/>
              </w:rPr>
              <w:fldChar w:fldCharType="end"/>
            </w:r>
          </w:hyperlink>
        </w:p>
        <w:p w:rsidR="00326A4B" w:rsidRPr="00D27C12" w:rsidRDefault="00A95184" w:rsidP="00D27C12">
          <w:pPr>
            <w:pStyle w:val="33"/>
            <w:rPr>
              <w:bCs w:val="0"/>
              <w:szCs w:val="32"/>
            </w:rPr>
          </w:pPr>
          <w:hyperlink w:anchor="_Toc420680041" w:history="1">
            <w:r w:rsidR="00326A4B" w:rsidRPr="00D27C12">
              <w:rPr>
                <w:rStyle w:val="aff7"/>
                <w:szCs w:val="32"/>
              </w:rPr>
              <w:t>（六）投資</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_Toc420680041 \h </w:instrText>
            </w:r>
            <w:r w:rsidR="00326A4B" w:rsidRPr="00D27C12">
              <w:rPr>
                <w:webHidden/>
                <w:szCs w:val="32"/>
              </w:rPr>
            </w:r>
            <w:r w:rsidR="00326A4B" w:rsidRPr="00D27C12">
              <w:rPr>
                <w:webHidden/>
                <w:szCs w:val="32"/>
              </w:rPr>
              <w:fldChar w:fldCharType="separate"/>
            </w:r>
            <w:r w:rsidR="00C20D7B">
              <w:rPr>
                <w:webHidden/>
                <w:szCs w:val="32"/>
              </w:rPr>
              <w:t>36</w:t>
            </w:r>
            <w:r w:rsidR="00326A4B" w:rsidRPr="00D27C12">
              <w:rPr>
                <w:webHidden/>
                <w:szCs w:val="32"/>
              </w:rPr>
              <w:fldChar w:fldCharType="end"/>
            </w:r>
          </w:hyperlink>
        </w:p>
        <w:p w:rsidR="00326A4B" w:rsidRPr="00D27C12" w:rsidRDefault="00A95184" w:rsidP="00D27C12">
          <w:pPr>
            <w:pStyle w:val="33"/>
            <w:rPr>
              <w:bCs w:val="0"/>
              <w:szCs w:val="32"/>
            </w:rPr>
          </w:pPr>
          <w:hyperlink w:anchor="_Toc420680042" w:history="1">
            <w:r w:rsidR="00326A4B" w:rsidRPr="00D27C12">
              <w:rPr>
                <w:rStyle w:val="aff7"/>
                <w:szCs w:val="32"/>
              </w:rPr>
              <w:t>（七）物價</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_Toc420680042 \h </w:instrText>
            </w:r>
            <w:r w:rsidR="00326A4B" w:rsidRPr="00D27C12">
              <w:rPr>
                <w:webHidden/>
                <w:szCs w:val="32"/>
              </w:rPr>
            </w:r>
            <w:r w:rsidR="00326A4B" w:rsidRPr="00D27C12">
              <w:rPr>
                <w:webHidden/>
                <w:szCs w:val="32"/>
              </w:rPr>
              <w:fldChar w:fldCharType="separate"/>
            </w:r>
            <w:r w:rsidR="00C20D7B">
              <w:rPr>
                <w:webHidden/>
                <w:szCs w:val="32"/>
              </w:rPr>
              <w:t>39</w:t>
            </w:r>
            <w:r w:rsidR="00326A4B" w:rsidRPr="00D27C12">
              <w:rPr>
                <w:webHidden/>
                <w:szCs w:val="32"/>
              </w:rPr>
              <w:fldChar w:fldCharType="end"/>
            </w:r>
          </w:hyperlink>
        </w:p>
        <w:p w:rsidR="00326A4B" w:rsidRPr="00D27C12" w:rsidRDefault="00A95184" w:rsidP="00D27C12">
          <w:pPr>
            <w:pStyle w:val="33"/>
            <w:rPr>
              <w:bCs w:val="0"/>
              <w:szCs w:val="32"/>
            </w:rPr>
          </w:pPr>
          <w:hyperlink w:anchor="_Toc420680043" w:history="1">
            <w:r w:rsidR="00326A4B" w:rsidRPr="00D27C12">
              <w:rPr>
                <w:rStyle w:val="aff7"/>
                <w:szCs w:val="32"/>
              </w:rPr>
              <w:t>（八）金融</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_Toc420680043 \h </w:instrText>
            </w:r>
            <w:r w:rsidR="00326A4B" w:rsidRPr="00D27C12">
              <w:rPr>
                <w:webHidden/>
                <w:szCs w:val="32"/>
              </w:rPr>
            </w:r>
            <w:r w:rsidR="00326A4B" w:rsidRPr="00D27C12">
              <w:rPr>
                <w:webHidden/>
                <w:szCs w:val="32"/>
              </w:rPr>
              <w:fldChar w:fldCharType="separate"/>
            </w:r>
            <w:r w:rsidR="00C20D7B">
              <w:rPr>
                <w:webHidden/>
                <w:szCs w:val="32"/>
              </w:rPr>
              <w:t>44</w:t>
            </w:r>
            <w:r w:rsidR="00326A4B" w:rsidRPr="00D27C12">
              <w:rPr>
                <w:webHidden/>
                <w:szCs w:val="32"/>
              </w:rPr>
              <w:fldChar w:fldCharType="end"/>
            </w:r>
          </w:hyperlink>
        </w:p>
        <w:p w:rsidR="00326A4B" w:rsidRPr="00D27C12" w:rsidRDefault="00A95184" w:rsidP="00D27C12">
          <w:pPr>
            <w:pStyle w:val="33"/>
            <w:rPr>
              <w:bCs w:val="0"/>
              <w:szCs w:val="32"/>
            </w:rPr>
          </w:pPr>
          <w:hyperlink w:anchor="_Toc420680044" w:history="1">
            <w:r w:rsidR="00326A4B" w:rsidRPr="00D27C12">
              <w:rPr>
                <w:rStyle w:val="aff7"/>
                <w:szCs w:val="32"/>
              </w:rPr>
              <w:t>（九）就業</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_Toc420680044 \h </w:instrText>
            </w:r>
            <w:r w:rsidR="00326A4B" w:rsidRPr="00D27C12">
              <w:rPr>
                <w:webHidden/>
                <w:szCs w:val="32"/>
              </w:rPr>
            </w:r>
            <w:r w:rsidR="00326A4B" w:rsidRPr="00D27C12">
              <w:rPr>
                <w:webHidden/>
                <w:szCs w:val="32"/>
              </w:rPr>
              <w:fldChar w:fldCharType="separate"/>
            </w:r>
            <w:r w:rsidR="00C20D7B">
              <w:rPr>
                <w:webHidden/>
                <w:szCs w:val="32"/>
              </w:rPr>
              <w:t>47</w:t>
            </w:r>
            <w:r w:rsidR="00326A4B" w:rsidRPr="00D27C12">
              <w:rPr>
                <w:webHidden/>
                <w:szCs w:val="32"/>
              </w:rPr>
              <w:fldChar w:fldCharType="end"/>
            </w:r>
          </w:hyperlink>
        </w:p>
        <w:p w:rsidR="00326A4B" w:rsidRPr="00D27C12" w:rsidRDefault="00A95184" w:rsidP="0058711C">
          <w:pPr>
            <w:pStyle w:val="25"/>
            <w:rPr>
              <w:lang w:val="en-US"/>
            </w:rPr>
          </w:pPr>
          <w:hyperlink w:anchor="_Toc420680045" w:history="1">
            <w:r w:rsidR="00326A4B" w:rsidRPr="00D27C12">
              <w:rPr>
                <w:rStyle w:val="aff7"/>
              </w:rPr>
              <w:t>三、中國大陸經濟</w:t>
            </w:r>
            <w:r w:rsidR="00326A4B" w:rsidRPr="00D27C12">
              <w:rPr>
                <w:webHidden/>
              </w:rPr>
              <w:tab/>
            </w:r>
            <w:r w:rsidR="00326A4B" w:rsidRPr="00D27C12">
              <w:rPr>
                <w:webHidden/>
              </w:rPr>
              <w:fldChar w:fldCharType="begin"/>
            </w:r>
            <w:r w:rsidR="00326A4B" w:rsidRPr="00D27C12">
              <w:rPr>
                <w:webHidden/>
              </w:rPr>
              <w:instrText xml:space="preserve"> PAGEREF _Toc420680045 \h </w:instrText>
            </w:r>
            <w:r w:rsidR="00326A4B" w:rsidRPr="00D27C12">
              <w:rPr>
                <w:webHidden/>
              </w:rPr>
            </w:r>
            <w:r w:rsidR="00326A4B" w:rsidRPr="00D27C12">
              <w:rPr>
                <w:webHidden/>
              </w:rPr>
              <w:fldChar w:fldCharType="separate"/>
            </w:r>
            <w:r w:rsidR="00C20D7B">
              <w:rPr>
                <w:webHidden/>
              </w:rPr>
              <w:t>50</w:t>
            </w:r>
            <w:r w:rsidR="00326A4B" w:rsidRPr="00D27C12">
              <w:rPr>
                <w:webHidden/>
              </w:rPr>
              <w:fldChar w:fldCharType="end"/>
            </w:r>
          </w:hyperlink>
        </w:p>
        <w:p w:rsidR="00326A4B" w:rsidRPr="00D27C12" w:rsidRDefault="00A95184" w:rsidP="00D27C12">
          <w:pPr>
            <w:pStyle w:val="33"/>
            <w:rPr>
              <w:bCs w:val="0"/>
              <w:szCs w:val="32"/>
            </w:rPr>
          </w:pPr>
          <w:hyperlink w:anchor="_Toc420680046" w:history="1">
            <w:r w:rsidR="00326A4B" w:rsidRPr="00D27C12">
              <w:rPr>
                <w:rStyle w:val="aff7"/>
                <w:szCs w:val="32"/>
              </w:rPr>
              <w:t>（一）固定資產投資</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_Toc420680046 \h </w:instrText>
            </w:r>
            <w:r w:rsidR="00326A4B" w:rsidRPr="00D27C12">
              <w:rPr>
                <w:webHidden/>
                <w:szCs w:val="32"/>
              </w:rPr>
            </w:r>
            <w:r w:rsidR="00326A4B" w:rsidRPr="00D27C12">
              <w:rPr>
                <w:webHidden/>
                <w:szCs w:val="32"/>
              </w:rPr>
              <w:fldChar w:fldCharType="separate"/>
            </w:r>
            <w:r w:rsidR="00C20D7B">
              <w:rPr>
                <w:webHidden/>
                <w:szCs w:val="32"/>
              </w:rPr>
              <w:t>50</w:t>
            </w:r>
            <w:r w:rsidR="00326A4B" w:rsidRPr="00D27C12">
              <w:rPr>
                <w:webHidden/>
                <w:szCs w:val="32"/>
              </w:rPr>
              <w:fldChar w:fldCharType="end"/>
            </w:r>
          </w:hyperlink>
        </w:p>
        <w:p w:rsidR="00326A4B" w:rsidRPr="00D27C12" w:rsidRDefault="00A95184" w:rsidP="00D27C12">
          <w:pPr>
            <w:pStyle w:val="33"/>
            <w:rPr>
              <w:bCs w:val="0"/>
              <w:szCs w:val="32"/>
            </w:rPr>
          </w:pPr>
          <w:hyperlink w:anchor="_Toc420680047" w:history="1">
            <w:r w:rsidR="00326A4B" w:rsidRPr="00D27C12">
              <w:rPr>
                <w:rStyle w:val="aff7"/>
                <w:szCs w:val="32"/>
              </w:rPr>
              <w:t>（二）吸引外資</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_Toc420680047 \h </w:instrText>
            </w:r>
            <w:r w:rsidR="00326A4B" w:rsidRPr="00D27C12">
              <w:rPr>
                <w:webHidden/>
                <w:szCs w:val="32"/>
              </w:rPr>
            </w:r>
            <w:r w:rsidR="00326A4B" w:rsidRPr="00D27C12">
              <w:rPr>
                <w:webHidden/>
                <w:szCs w:val="32"/>
              </w:rPr>
              <w:fldChar w:fldCharType="separate"/>
            </w:r>
            <w:r w:rsidR="00C20D7B">
              <w:rPr>
                <w:webHidden/>
                <w:szCs w:val="32"/>
              </w:rPr>
              <w:t>51</w:t>
            </w:r>
            <w:r w:rsidR="00326A4B" w:rsidRPr="00D27C12">
              <w:rPr>
                <w:webHidden/>
                <w:szCs w:val="32"/>
              </w:rPr>
              <w:fldChar w:fldCharType="end"/>
            </w:r>
          </w:hyperlink>
        </w:p>
        <w:p w:rsidR="00326A4B" w:rsidRPr="00D27C12" w:rsidRDefault="00A95184" w:rsidP="00D27C12">
          <w:pPr>
            <w:pStyle w:val="33"/>
            <w:rPr>
              <w:bCs w:val="0"/>
              <w:szCs w:val="32"/>
            </w:rPr>
          </w:pPr>
          <w:hyperlink w:anchor="_Toc420680048" w:history="1">
            <w:r w:rsidR="00326A4B" w:rsidRPr="00D27C12">
              <w:rPr>
                <w:rStyle w:val="aff7"/>
                <w:szCs w:val="32"/>
              </w:rPr>
              <w:t>（三）對外貿易</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_Toc420680048 \h </w:instrText>
            </w:r>
            <w:r w:rsidR="00326A4B" w:rsidRPr="00D27C12">
              <w:rPr>
                <w:webHidden/>
                <w:szCs w:val="32"/>
              </w:rPr>
            </w:r>
            <w:r w:rsidR="00326A4B" w:rsidRPr="00D27C12">
              <w:rPr>
                <w:webHidden/>
                <w:szCs w:val="32"/>
              </w:rPr>
              <w:fldChar w:fldCharType="separate"/>
            </w:r>
            <w:r w:rsidR="00C20D7B">
              <w:rPr>
                <w:webHidden/>
                <w:szCs w:val="32"/>
              </w:rPr>
              <w:t>52</w:t>
            </w:r>
            <w:r w:rsidR="00326A4B" w:rsidRPr="00D27C12">
              <w:rPr>
                <w:webHidden/>
                <w:szCs w:val="32"/>
              </w:rPr>
              <w:fldChar w:fldCharType="end"/>
            </w:r>
          </w:hyperlink>
        </w:p>
        <w:p w:rsidR="00326A4B" w:rsidRPr="00D27C12" w:rsidRDefault="00A95184" w:rsidP="0058711C">
          <w:pPr>
            <w:pStyle w:val="25"/>
            <w:rPr>
              <w:sz w:val="24"/>
              <w:szCs w:val="22"/>
              <w:lang w:val="en-US"/>
            </w:rPr>
          </w:pPr>
          <w:hyperlink w:anchor="_Toc420680049" w:history="1">
            <w:r w:rsidR="00326A4B" w:rsidRPr="00D27C12">
              <w:rPr>
                <w:rStyle w:val="aff7"/>
              </w:rPr>
              <w:t>四、兩岸經貿統計</w:t>
            </w:r>
            <w:r w:rsidR="00D27C12" w:rsidRPr="00D27C12">
              <w:rPr>
                <w:rStyle w:val="aff7"/>
                <w:sz w:val="32"/>
                <w:szCs w:val="32"/>
              </w:rPr>
              <w:t>..</w:t>
            </w:r>
            <w:r w:rsidR="00326A4B" w:rsidRPr="00D27C12">
              <w:rPr>
                <w:webHidden/>
              </w:rPr>
              <w:tab/>
            </w:r>
            <w:r w:rsidR="00326A4B" w:rsidRPr="00D27C12">
              <w:rPr>
                <w:webHidden/>
              </w:rPr>
              <w:fldChar w:fldCharType="begin"/>
            </w:r>
            <w:r w:rsidR="00326A4B" w:rsidRPr="00D27C12">
              <w:rPr>
                <w:webHidden/>
              </w:rPr>
              <w:instrText xml:space="preserve"> PAGEREF _Toc420680049 \h </w:instrText>
            </w:r>
            <w:r w:rsidR="00326A4B" w:rsidRPr="00D27C12">
              <w:rPr>
                <w:webHidden/>
              </w:rPr>
            </w:r>
            <w:r w:rsidR="00326A4B" w:rsidRPr="00D27C12">
              <w:rPr>
                <w:webHidden/>
              </w:rPr>
              <w:fldChar w:fldCharType="separate"/>
            </w:r>
            <w:r w:rsidR="00C20D7B">
              <w:rPr>
                <w:webHidden/>
              </w:rPr>
              <w:t>53</w:t>
            </w:r>
            <w:r w:rsidR="00326A4B" w:rsidRPr="00D27C12">
              <w:rPr>
                <w:webHidden/>
              </w:rPr>
              <w:fldChar w:fldCharType="end"/>
            </w:r>
          </w:hyperlink>
        </w:p>
        <w:p w:rsidR="00326A4B" w:rsidRPr="00D27C12" w:rsidRDefault="00A95184" w:rsidP="00D27C12">
          <w:pPr>
            <w:pStyle w:val="33"/>
            <w:rPr>
              <w:bCs w:val="0"/>
              <w:szCs w:val="32"/>
            </w:rPr>
          </w:pPr>
          <w:hyperlink w:anchor="_Toc420680050" w:history="1">
            <w:r w:rsidR="00326A4B" w:rsidRPr="00D27C12">
              <w:rPr>
                <w:rStyle w:val="aff7"/>
                <w:szCs w:val="32"/>
              </w:rPr>
              <w:t>（一）兩岸投資</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_Toc420680050 \h </w:instrText>
            </w:r>
            <w:r w:rsidR="00326A4B" w:rsidRPr="00D27C12">
              <w:rPr>
                <w:webHidden/>
                <w:szCs w:val="32"/>
              </w:rPr>
            </w:r>
            <w:r w:rsidR="00326A4B" w:rsidRPr="00D27C12">
              <w:rPr>
                <w:webHidden/>
                <w:szCs w:val="32"/>
              </w:rPr>
              <w:fldChar w:fldCharType="separate"/>
            </w:r>
            <w:r w:rsidR="00C20D7B">
              <w:rPr>
                <w:webHidden/>
                <w:szCs w:val="32"/>
              </w:rPr>
              <w:t>53</w:t>
            </w:r>
            <w:r w:rsidR="00326A4B" w:rsidRPr="00D27C12">
              <w:rPr>
                <w:webHidden/>
                <w:szCs w:val="32"/>
              </w:rPr>
              <w:fldChar w:fldCharType="end"/>
            </w:r>
          </w:hyperlink>
        </w:p>
        <w:p w:rsidR="00326A4B" w:rsidRPr="00D27C12" w:rsidRDefault="00A95184" w:rsidP="0058711C">
          <w:pPr>
            <w:pStyle w:val="25"/>
            <w:rPr>
              <w:lang w:val="en-US"/>
            </w:rPr>
          </w:pPr>
          <w:hyperlink w:anchor="_Toc420680051" w:history="1">
            <w:r w:rsidR="00326A4B" w:rsidRPr="00A857BA">
              <w:rPr>
                <w:rStyle w:val="aff7"/>
                <w:b w:val="0"/>
                <w:sz w:val="32"/>
                <w:szCs w:val="32"/>
              </w:rPr>
              <w:t>（二）兩岸貿易</w:t>
            </w:r>
            <w:r w:rsidR="00D27C12" w:rsidRPr="00D27C12">
              <w:rPr>
                <w:rStyle w:val="aff7"/>
                <w:b w:val="0"/>
                <w:webHidden/>
                <w:lang w:val="en-US"/>
              </w:rPr>
              <w:tab/>
            </w:r>
            <w:r w:rsidR="00326A4B" w:rsidRPr="00A857BA">
              <w:rPr>
                <w:rStyle w:val="aff7"/>
                <w:b w:val="0"/>
                <w:webHidden/>
                <w:sz w:val="32"/>
                <w:szCs w:val="32"/>
              </w:rPr>
              <w:fldChar w:fldCharType="begin"/>
            </w:r>
            <w:r w:rsidR="00326A4B" w:rsidRPr="00A857BA">
              <w:rPr>
                <w:rStyle w:val="aff7"/>
                <w:b w:val="0"/>
                <w:webHidden/>
                <w:sz w:val="32"/>
                <w:szCs w:val="32"/>
              </w:rPr>
              <w:instrText xml:space="preserve"> PAGEREF _Toc420680051 \h </w:instrText>
            </w:r>
            <w:r w:rsidR="00326A4B" w:rsidRPr="00A857BA">
              <w:rPr>
                <w:rStyle w:val="aff7"/>
                <w:b w:val="0"/>
                <w:webHidden/>
                <w:sz w:val="32"/>
                <w:szCs w:val="32"/>
              </w:rPr>
            </w:r>
            <w:r w:rsidR="00326A4B" w:rsidRPr="00A857BA">
              <w:rPr>
                <w:rStyle w:val="aff7"/>
                <w:b w:val="0"/>
                <w:webHidden/>
                <w:sz w:val="32"/>
                <w:szCs w:val="32"/>
              </w:rPr>
              <w:fldChar w:fldCharType="separate"/>
            </w:r>
            <w:r w:rsidR="00C20D7B">
              <w:rPr>
                <w:rStyle w:val="aff7"/>
                <w:b w:val="0"/>
                <w:webHidden/>
                <w:sz w:val="32"/>
                <w:szCs w:val="32"/>
              </w:rPr>
              <w:t>55</w:t>
            </w:r>
            <w:r w:rsidR="00326A4B" w:rsidRPr="00A857BA">
              <w:rPr>
                <w:rStyle w:val="aff7"/>
                <w:b w:val="0"/>
                <w:webHidden/>
                <w:sz w:val="32"/>
                <w:szCs w:val="32"/>
              </w:rPr>
              <w:fldChar w:fldCharType="end"/>
            </w:r>
          </w:hyperlink>
        </w:p>
        <w:p w:rsidR="00326A4B" w:rsidRPr="00D27C12" w:rsidRDefault="00A95184">
          <w:pPr>
            <w:pStyle w:val="19"/>
            <w:rPr>
              <w:b w:val="0"/>
              <w:bCs w:val="0"/>
              <w:caps w:val="0"/>
              <w:sz w:val="24"/>
              <w:szCs w:val="22"/>
            </w:rPr>
          </w:pPr>
          <w:hyperlink w:anchor="_Toc420680052" w:history="1">
            <w:r w:rsidR="00326A4B" w:rsidRPr="00D27C12">
              <w:rPr>
                <w:rStyle w:val="aff7"/>
              </w:rPr>
              <w:t>肆、專論</w:t>
            </w:r>
            <w:r w:rsidR="00183AD5" w:rsidRPr="00D27C12">
              <w:rPr>
                <w:rStyle w:val="aff7"/>
              </w:rPr>
              <w:t>：</w:t>
            </w:r>
            <w:r w:rsidR="008B35ED" w:rsidRPr="00D27C12">
              <w:t>歐元區結構性改革成效及經濟觀察</w:t>
            </w:r>
            <w:r w:rsidR="00326A4B" w:rsidRPr="00D27C12">
              <w:rPr>
                <w:webHidden/>
              </w:rPr>
              <w:tab/>
            </w:r>
            <w:r w:rsidR="00326A4B" w:rsidRPr="00D27C12">
              <w:rPr>
                <w:webHidden/>
              </w:rPr>
              <w:fldChar w:fldCharType="begin"/>
            </w:r>
            <w:r w:rsidR="00326A4B" w:rsidRPr="00D27C12">
              <w:rPr>
                <w:webHidden/>
              </w:rPr>
              <w:instrText xml:space="preserve"> PAGEREF _Toc420680052 \h </w:instrText>
            </w:r>
            <w:r w:rsidR="00326A4B" w:rsidRPr="00D27C12">
              <w:rPr>
                <w:webHidden/>
              </w:rPr>
            </w:r>
            <w:r w:rsidR="00326A4B" w:rsidRPr="00D27C12">
              <w:rPr>
                <w:webHidden/>
              </w:rPr>
              <w:fldChar w:fldCharType="separate"/>
            </w:r>
            <w:r w:rsidR="00C20D7B">
              <w:rPr>
                <w:webHidden/>
              </w:rPr>
              <w:t>56</w:t>
            </w:r>
            <w:r w:rsidR="00326A4B" w:rsidRPr="00D27C12">
              <w:rPr>
                <w:webHidden/>
              </w:rPr>
              <w:fldChar w:fldCharType="end"/>
            </w:r>
          </w:hyperlink>
        </w:p>
        <w:p w:rsidR="00670CC0" w:rsidRPr="00B118E9" w:rsidRDefault="00D36D66" w:rsidP="000C232E">
          <w:pPr>
            <w:spacing w:before="100" w:beforeAutospacing="1" w:after="100" w:afterAutospacing="1"/>
            <w:rPr>
              <w:rFonts w:eastAsia="標楷體"/>
              <w:b/>
              <w:bCs/>
              <w:color w:val="FF0000"/>
              <w:lang w:val="zh-TW"/>
            </w:rPr>
          </w:pPr>
          <w:r w:rsidRPr="00B118E9">
            <w:rPr>
              <w:rFonts w:eastAsia="標楷體"/>
              <w:b/>
              <w:bCs/>
              <w:lang w:val="zh-TW"/>
            </w:rPr>
            <w:fldChar w:fldCharType="end"/>
          </w:r>
        </w:p>
      </w:sdtContent>
    </w:sdt>
    <w:bookmarkStart w:id="13" w:name="_Toc402171695" w:displacedByCustomXml="prev"/>
    <w:bookmarkStart w:id="14" w:name="_Toc401923781" w:displacedByCustomXml="prev"/>
    <w:p w:rsidR="00670CC0" w:rsidRPr="00B118E9" w:rsidRDefault="00670CC0" w:rsidP="00670CC0">
      <w:pPr>
        <w:rPr>
          <w:rFonts w:eastAsia="標楷體"/>
          <w:b/>
          <w:color w:val="FF0000"/>
          <w:kern w:val="0"/>
          <w:sz w:val="40"/>
          <w:szCs w:val="40"/>
        </w:rPr>
        <w:sectPr w:rsidR="00670CC0" w:rsidRPr="00B118E9" w:rsidSect="00670CC0">
          <w:pgSz w:w="11906" w:h="16838"/>
          <w:pgMar w:top="1361" w:right="1797" w:bottom="1361" w:left="1797" w:header="851" w:footer="992" w:gutter="0"/>
          <w:pgNumType w:fmt="upperRoman" w:start="1"/>
          <w:cols w:space="425"/>
          <w:docGrid w:type="lines" w:linePitch="360"/>
        </w:sectPr>
      </w:pPr>
    </w:p>
    <w:p w:rsidR="003F3F99" w:rsidRPr="00B118E9" w:rsidRDefault="003F3F99" w:rsidP="00970A15">
      <w:pPr>
        <w:keepNext/>
        <w:adjustRightInd w:val="0"/>
        <w:snapToGrid w:val="0"/>
        <w:spacing w:line="300" w:lineRule="auto"/>
        <w:outlineLvl w:val="1"/>
        <w:rPr>
          <w:rFonts w:eastAsia="標楷體"/>
          <w:b/>
          <w:kern w:val="0"/>
          <w:sz w:val="40"/>
          <w:szCs w:val="40"/>
        </w:rPr>
      </w:pPr>
      <w:bookmarkStart w:id="15" w:name="_Toc420680020"/>
      <w:r w:rsidRPr="00B118E9">
        <w:rPr>
          <w:rFonts w:eastAsia="標楷體"/>
          <w:b/>
          <w:bCs/>
          <w:sz w:val="40"/>
          <w:szCs w:val="36"/>
        </w:rPr>
        <w:t>壹、當前經濟情勢概要</w:t>
      </w:r>
      <w:bookmarkEnd w:id="14"/>
      <w:bookmarkEnd w:id="13"/>
      <w:bookmarkEnd w:id="15"/>
    </w:p>
    <w:p w:rsidR="00514656" w:rsidRPr="00B118E9" w:rsidRDefault="00514656" w:rsidP="001A5CA1">
      <w:pPr>
        <w:keepNext/>
        <w:adjustRightInd w:val="0"/>
        <w:snapToGrid w:val="0"/>
        <w:spacing w:beforeLines="50" w:before="180" w:line="300" w:lineRule="auto"/>
        <w:outlineLvl w:val="1"/>
        <w:rPr>
          <w:rFonts w:eastAsia="標楷體"/>
        </w:rPr>
      </w:pPr>
      <w:bookmarkStart w:id="16" w:name="_一、國際經濟"/>
      <w:bookmarkStart w:id="17" w:name="_Toc279048461"/>
      <w:bookmarkStart w:id="18" w:name="_Toc349916573"/>
      <w:bookmarkStart w:id="19" w:name="_Toc401923782"/>
      <w:bookmarkStart w:id="20" w:name="_Toc402171696"/>
      <w:bookmarkStart w:id="21" w:name="_Toc420680021"/>
      <w:bookmarkStart w:id="22" w:name="_Toc190847404"/>
      <w:bookmarkStart w:id="23" w:name="_Toc201487767"/>
      <w:bookmarkStart w:id="24" w:name="_Toc190847403"/>
      <w:bookmarkStart w:id="25" w:name="_Toc230064818"/>
      <w:bookmarkStart w:id="26" w:name="_Toc279048462"/>
      <w:bookmarkStart w:id="27" w:name="_Toc337122120"/>
      <w:bookmarkStart w:id="28" w:name="_Toc349916574"/>
      <w:bookmarkEnd w:id="16"/>
      <w:r w:rsidRPr="00B118E9">
        <w:rPr>
          <w:rFonts w:eastAsia="標楷體"/>
          <w:b/>
          <w:bCs/>
          <w:sz w:val="40"/>
          <w:szCs w:val="36"/>
        </w:rPr>
        <w:t>一、國際經濟</w:t>
      </w:r>
      <w:bookmarkEnd w:id="17"/>
      <w:bookmarkEnd w:id="18"/>
      <w:bookmarkEnd w:id="19"/>
      <w:bookmarkEnd w:id="20"/>
      <w:bookmarkEnd w:id="21"/>
    </w:p>
    <w:p w:rsidR="00131CEA" w:rsidRPr="00B118E9" w:rsidRDefault="00131CEA" w:rsidP="00131CEA">
      <w:pPr>
        <w:autoSpaceDE w:val="0"/>
        <w:autoSpaceDN w:val="0"/>
        <w:adjustRightInd w:val="0"/>
        <w:snapToGrid w:val="0"/>
        <w:spacing w:before="50" w:line="300" w:lineRule="auto"/>
        <w:ind w:right="-153" w:firstLineChars="202" w:firstLine="566"/>
        <w:jc w:val="both"/>
        <w:rPr>
          <w:rFonts w:eastAsia="標楷體"/>
          <w:sz w:val="28"/>
          <w:szCs w:val="28"/>
        </w:rPr>
      </w:pPr>
      <w:bookmarkStart w:id="29" w:name="_Toc401923783"/>
      <w:bookmarkStart w:id="30" w:name="_Toc402171697"/>
      <w:bookmarkEnd w:id="22"/>
      <w:bookmarkEnd w:id="23"/>
      <w:bookmarkEnd w:id="24"/>
      <w:bookmarkEnd w:id="25"/>
      <w:r w:rsidRPr="00B118E9">
        <w:rPr>
          <w:rFonts w:eastAsia="標楷體"/>
          <w:sz w:val="28"/>
          <w:szCs w:val="28"/>
        </w:rPr>
        <w:t>今</w:t>
      </w:r>
      <w:r w:rsidRPr="00B118E9">
        <w:rPr>
          <w:rFonts w:eastAsia="標楷體"/>
          <w:sz w:val="28"/>
          <w:szCs w:val="28"/>
        </w:rPr>
        <w:t>(2015)</w:t>
      </w:r>
      <w:r w:rsidRPr="00B118E9">
        <w:rPr>
          <w:rFonts w:eastAsia="標楷體"/>
          <w:sz w:val="28"/>
          <w:szCs w:val="28"/>
        </w:rPr>
        <w:t>年全球景氣持續復甦，惟力道疲弱且各國復甦腳步不一。根據環球透視</w:t>
      </w:r>
      <w:r w:rsidRPr="00B118E9">
        <w:rPr>
          <w:rFonts w:eastAsia="標楷體"/>
          <w:sz w:val="28"/>
          <w:szCs w:val="28"/>
        </w:rPr>
        <w:t>(Global Insight)2015</w:t>
      </w:r>
      <w:r w:rsidRPr="00B118E9">
        <w:rPr>
          <w:rFonts w:eastAsia="標楷體"/>
          <w:sz w:val="28"/>
          <w:szCs w:val="28"/>
        </w:rPr>
        <w:t>年</w:t>
      </w:r>
      <w:r w:rsidRPr="00B118E9">
        <w:rPr>
          <w:rFonts w:eastAsia="標楷體"/>
          <w:sz w:val="28"/>
          <w:szCs w:val="28"/>
        </w:rPr>
        <w:t>5</w:t>
      </w:r>
      <w:r w:rsidRPr="00B118E9">
        <w:rPr>
          <w:rFonts w:eastAsia="標楷體"/>
          <w:sz w:val="28"/>
          <w:szCs w:val="28"/>
        </w:rPr>
        <w:t>月經濟預測，</w:t>
      </w:r>
      <w:r w:rsidRPr="00B118E9">
        <w:rPr>
          <w:rFonts w:eastAsia="標楷體"/>
          <w:sz w:val="28"/>
          <w:szCs w:val="28"/>
        </w:rPr>
        <w:t>2015</w:t>
      </w:r>
      <w:r w:rsidRPr="00B118E9">
        <w:rPr>
          <w:rFonts w:eastAsia="標楷體"/>
          <w:sz w:val="28"/>
          <w:szCs w:val="28"/>
        </w:rPr>
        <w:t>年全球經濟成長</w:t>
      </w:r>
      <w:r w:rsidRPr="00B118E9">
        <w:rPr>
          <w:rFonts w:eastAsia="標楷體"/>
          <w:sz w:val="28"/>
          <w:szCs w:val="28"/>
        </w:rPr>
        <w:t>2.7%</w:t>
      </w:r>
      <w:r w:rsidRPr="00B118E9">
        <w:rPr>
          <w:rFonts w:eastAsia="標楷體"/>
          <w:sz w:val="28"/>
          <w:szCs w:val="28"/>
        </w:rPr>
        <w:t>，較</w:t>
      </w:r>
      <w:r w:rsidRPr="00B118E9">
        <w:rPr>
          <w:rFonts w:eastAsia="標楷體"/>
          <w:sz w:val="28"/>
          <w:szCs w:val="28"/>
        </w:rPr>
        <w:t>2014</w:t>
      </w:r>
      <w:r w:rsidRPr="00B118E9">
        <w:rPr>
          <w:rFonts w:eastAsia="標楷體"/>
          <w:sz w:val="28"/>
          <w:szCs w:val="28"/>
        </w:rPr>
        <w:t>年下滑</w:t>
      </w:r>
      <w:r w:rsidRPr="00B118E9">
        <w:rPr>
          <w:rFonts w:eastAsia="標楷體"/>
          <w:sz w:val="28"/>
          <w:szCs w:val="28"/>
        </w:rPr>
        <w:t>0.1</w:t>
      </w:r>
      <w:r w:rsidRPr="00B118E9">
        <w:rPr>
          <w:rFonts w:eastAsia="標楷體"/>
          <w:sz w:val="28"/>
          <w:szCs w:val="28"/>
        </w:rPr>
        <w:t>個百分點，</w:t>
      </w:r>
      <w:r w:rsidRPr="00B118E9">
        <w:rPr>
          <w:rFonts w:eastAsia="標楷體"/>
          <w:sz w:val="28"/>
          <w:szCs w:val="28"/>
        </w:rPr>
        <w:t>2016</w:t>
      </w:r>
      <w:r w:rsidRPr="00B118E9">
        <w:rPr>
          <w:rFonts w:eastAsia="標楷體"/>
          <w:sz w:val="28"/>
          <w:szCs w:val="28"/>
        </w:rPr>
        <w:t>年預估可望增至</w:t>
      </w:r>
      <w:r w:rsidRPr="00B118E9">
        <w:rPr>
          <w:rFonts w:eastAsia="標楷體"/>
          <w:sz w:val="28"/>
          <w:szCs w:val="28"/>
        </w:rPr>
        <w:t>3.3%</w:t>
      </w:r>
      <w:r w:rsidRPr="00B118E9">
        <w:rPr>
          <w:rFonts w:eastAsia="標楷體"/>
          <w:sz w:val="28"/>
          <w:szCs w:val="28"/>
        </w:rPr>
        <w:t>。</w:t>
      </w:r>
      <w:r w:rsidRPr="00B118E9">
        <w:rPr>
          <w:rFonts w:eastAsia="標楷體"/>
          <w:sz w:val="28"/>
          <w:szCs w:val="28"/>
        </w:rPr>
        <w:t>2015</w:t>
      </w:r>
      <w:r w:rsidRPr="00B118E9">
        <w:rPr>
          <w:rFonts w:eastAsia="標楷體"/>
          <w:sz w:val="28"/>
          <w:szCs w:val="28"/>
        </w:rPr>
        <w:t>年全球物價上漲率</w:t>
      </w:r>
      <w:r w:rsidRPr="00B118E9">
        <w:rPr>
          <w:rFonts w:eastAsia="標楷體"/>
          <w:sz w:val="28"/>
          <w:szCs w:val="28"/>
        </w:rPr>
        <w:t>2.2%</w:t>
      </w:r>
      <w:r w:rsidRPr="00B118E9">
        <w:rPr>
          <w:rFonts w:eastAsia="標楷體"/>
          <w:sz w:val="28"/>
          <w:szCs w:val="28"/>
        </w:rPr>
        <w:t>，低於</w:t>
      </w:r>
      <w:r w:rsidRPr="00B118E9">
        <w:rPr>
          <w:rFonts w:eastAsia="標楷體"/>
          <w:sz w:val="28"/>
          <w:szCs w:val="28"/>
        </w:rPr>
        <w:t>2014</w:t>
      </w:r>
      <w:r w:rsidRPr="00B118E9">
        <w:rPr>
          <w:rFonts w:eastAsia="標楷體"/>
          <w:sz w:val="28"/>
          <w:szCs w:val="28"/>
        </w:rPr>
        <w:t>年之</w:t>
      </w:r>
      <w:r w:rsidRPr="00B118E9">
        <w:rPr>
          <w:rFonts w:eastAsia="標楷體"/>
          <w:sz w:val="28"/>
          <w:szCs w:val="28"/>
        </w:rPr>
        <w:t>2.9%</w:t>
      </w:r>
      <w:r w:rsidRPr="00B118E9">
        <w:rPr>
          <w:rFonts w:eastAsia="標楷體"/>
          <w:sz w:val="28"/>
          <w:szCs w:val="28"/>
        </w:rPr>
        <w:t>，顯示油價下跌，加以需求依然疲弱，緩和物價上漲。</w:t>
      </w:r>
    </w:p>
    <w:p w:rsidR="00131CEA" w:rsidRPr="00B118E9" w:rsidRDefault="00131CEA" w:rsidP="00131CEA">
      <w:pPr>
        <w:adjustRightInd w:val="0"/>
        <w:snapToGrid w:val="0"/>
        <w:spacing w:before="50" w:line="300" w:lineRule="auto"/>
        <w:ind w:right="-153" w:firstLineChars="202" w:firstLine="566"/>
        <w:jc w:val="both"/>
        <w:rPr>
          <w:rFonts w:eastAsia="標楷體"/>
          <w:sz w:val="28"/>
          <w:szCs w:val="28"/>
        </w:rPr>
      </w:pPr>
      <w:r w:rsidRPr="00B118E9">
        <w:rPr>
          <w:rFonts w:eastAsia="標楷體"/>
          <w:sz w:val="28"/>
          <w:szCs w:val="28"/>
        </w:rPr>
        <w:t>德國</w:t>
      </w:r>
      <w:r w:rsidRPr="00B118E9">
        <w:rPr>
          <w:rFonts w:eastAsia="標楷體"/>
          <w:sz w:val="28"/>
          <w:szCs w:val="28"/>
        </w:rPr>
        <w:t>Ifo</w:t>
      </w:r>
      <w:r w:rsidRPr="00B118E9">
        <w:rPr>
          <w:rFonts w:eastAsia="標楷體"/>
          <w:sz w:val="28"/>
          <w:szCs w:val="28"/>
        </w:rPr>
        <w:t>經濟研究院於今年</w:t>
      </w:r>
      <w:r w:rsidRPr="00B118E9">
        <w:rPr>
          <w:rFonts w:eastAsia="標楷體"/>
          <w:sz w:val="28"/>
          <w:szCs w:val="28"/>
        </w:rPr>
        <w:t>5</w:t>
      </w:r>
      <w:r w:rsidRPr="00B118E9">
        <w:rPr>
          <w:rFonts w:eastAsia="標楷體"/>
          <w:sz w:val="28"/>
          <w:szCs w:val="28"/>
        </w:rPr>
        <w:t>月</w:t>
      </w:r>
      <w:r w:rsidRPr="00B118E9">
        <w:rPr>
          <w:rFonts w:eastAsia="標楷體"/>
          <w:sz w:val="28"/>
          <w:szCs w:val="28"/>
        </w:rPr>
        <w:t>12</w:t>
      </w:r>
      <w:r w:rsidRPr="00B118E9">
        <w:rPr>
          <w:rFonts w:eastAsia="標楷體"/>
          <w:sz w:val="28"/>
          <w:szCs w:val="28"/>
        </w:rPr>
        <w:t>日發布</w:t>
      </w:r>
      <w:r w:rsidRPr="00B118E9">
        <w:rPr>
          <w:rFonts w:eastAsia="標楷體"/>
          <w:sz w:val="28"/>
          <w:szCs w:val="28"/>
        </w:rPr>
        <w:t>2015</w:t>
      </w:r>
      <w:r w:rsidRPr="00B118E9">
        <w:rPr>
          <w:rFonts w:eastAsia="標楷體"/>
          <w:sz w:val="28"/>
          <w:szCs w:val="28"/>
        </w:rPr>
        <w:t>年第</w:t>
      </w:r>
      <w:r w:rsidRPr="00B118E9">
        <w:rPr>
          <w:rFonts w:eastAsia="標楷體"/>
          <w:sz w:val="28"/>
          <w:szCs w:val="28"/>
        </w:rPr>
        <w:t>2</w:t>
      </w:r>
      <w:r w:rsidRPr="00B118E9">
        <w:rPr>
          <w:rFonts w:eastAsia="標楷體"/>
          <w:sz w:val="28"/>
          <w:szCs w:val="28"/>
        </w:rPr>
        <w:t>季全球經濟氣候指數</w:t>
      </w:r>
      <w:r w:rsidRPr="00B118E9">
        <w:rPr>
          <w:rFonts w:eastAsia="標楷體"/>
          <w:sz w:val="28"/>
          <w:szCs w:val="28"/>
        </w:rPr>
        <w:t>(World Economic Climate)</w:t>
      </w:r>
      <w:r w:rsidRPr="00B118E9">
        <w:rPr>
          <w:rFonts w:eastAsia="標楷體"/>
          <w:sz w:val="28"/>
          <w:szCs w:val="28"/>
        </w:rPr>
        <w:t>為</w:t>
      </w:r>
      <w:r w:rsidRPr="00B118E9">
        <w:rPr>
          <w:rFonts w:eastAsia="標楷體"/>
          <w:sz w:val="28"/>
          <w:szCs w:val="28"/>
        </w:rPr>
        <w:t>99.5</w:t>
      </w:r>
      <w:r w:rsidRPr="00B118E9">
        <w:rPr>
          <w:rFonts w:eastAsia="標楷體"/>
          <w:sz w:val="28"/>
          <w:szCs w:val="28"/>
        </w:rPr>
        <w:t>，較上季上升</w:t>
      </w:r>
      <w:r w:rsidRPr="00B118E9">
        <w:rPr>
          <w:rFonts w:eastAsia="標楷體"/>
          <w:sz w:val="28"/>
          <w:szCs w:val="28"/>
        </w:rPr>
        <w:t>3.6</w:t>
      </w:r>
      <w:r w:rsidRPr="00B118E9">
        <w:rPr>
          <w:rFonts w:eastAsia="標楷體"/>
          <w:sz w:val="28"/>
          <w:szCs w:val="28"/>
        </w:rPr>
        <w:t>點，主要是受訪專家對當前經濟現況評價與</w:t>
      </w:r>
      <w:r w:rsidRPr="00B118E9">
        <w:rPr>
          <w:rFonts w:eastAsia="標楷體"/>
          <w:sz w:val="28"/>
          <w:szCs w:val="28"/>
        </w:rPr>
        <w:t>6</w:t>
      </w:r>
      <w:r w:rsidRPr="00B118E9">
        <w:rPr>
          <w:rFonts w:eastAsia="標楷體"/>
          <w:sz w:val="28"/>
          <w:szCs w:val="28"/>
        </w:rPr>
        <w:t>個月後經濟預期均較上季上升所致。調查顯示，受訪專家平均預測今年全球經濟成長率為</w:t>
      </w:r>
      <w:r w:rsidRPr="00B118E9">
        <w:rPr>
          <w:rFonts w:eastAsia="標楷體"/>
          <w:sz w:val="28"/>
          <w:szCs w:val="28"/>
        </w:rPr>
        <w:t>2.3%</w:t>
      </w:r>
      <w:r w:rsidRPr="00B118E9">
        <w:rPr>
          <w:rFonts w:eastAsia="標楷體"/>
          <w:sz w:val="28"/>
          <w:szCs w:val="28"/>
        </w:rPr>
        <w:t>，美國、歐洲地區及亞洲地區分別為</w:t>
      </w:r>
      <w:r w:rsidRPr="00B118E9">
        <w:rPr>
          <w:rFonts w:eastAsia="標楷體"/>
          <w:sz w:val="28"/>
          <w:szCs w:val="28"/>
        </w:rPr>
        <w:t>2.7%</w:t>
      </w:r>
      <w:r w:rsidRPr="00B118E9">
        <w:rPr>
          <w:rFonts w:eastAsia="標楷體"/>
          <w:sz w:val="28"/>
          <w:szCs w:val="28"/>
        </w:rPr>
        <w:t>、</w:t>
      </w:r>
      <w:r w:rsidRPr="00B118E9">
        <w:rPr>
          <w:rFonts w:eastAsia="標楷體"/>
          <w:sz w:val="28"/>
          <w:szCs w:val="28"/>
        </w:rPr>
        <w:t>1.7%</w:t>
      </w:r>
      <w:r w:rsidRPr="00B118E9">
        <w:rPr>
          <w:rFonts w:eastAsia="標楷體"/>
          <w:sz w:val="28"/>
          <w:szCs w:val="28"/>
        </w:rPr>
        <w:t>與</w:t>
      </w:r>
      <w:r w:rsidRPr="00B118E9">
        <w:rPr>
          <w:rFonts w:eastAsia="標楷體"/>
          <w:sz w:val="28"/>
          <w:szCs w:val="28"/>
        </w:rPr>
        <w:t>3.6%</w:t>
      </w:r>
      <w:r w:rsidRPr="00B118E9">
        <w:rPr>
          <w:rFonts w:eastAsia="標楷體"/>
          <w:sz w:val="28"/>
          <w:szCs w:val="28"/>
        </w:rPr>
        <w:t>。就個別區域觀察，本季北美地區經濟氣候指數</w:t>
      </w:r>
      <w:r w:rsidRPr="00B118E9">
        <w:rPr>
          <w:rFonts w:eastAsia="標楷體"/>
          <w:sz w:val="28"/>
          <w:szCs w:val="28"/>
        </w:rPr>
        <w:t>97.9</w:t>
      </w:r>
      <w:r w:rsidRPr="00B118E9">
        <w:rPr>
          <w:rFonts w:eastAsia="標楷體"/>
          <w:sz w:val="28"/>
          <w:szCs w:val="28"/>
        </w:rPr>
        <w:t>，較上季下降</w:t>
      </w:r>
      <w:r w:rsidRPr="00B118E9">
        <w:rPr>
          <w:rFonts w:eastAsia="標楷體"/>
          <w:sz w:val="28"/>
          <w:szCs w:val="28"/>
        </w:rPr>
        <w:t>9.2</w:t>
      </w:r>
      <w:r w:rsidRPr="00B118E9">
        <w:rPr>
          <w:rFonts w:eastAsia="標楷體"/>
          <w:sz w:val="28"/>
          <w:szCs w:val="28"/>
        </w:rPr>
        <w:t>點；歐洲地區經濟氣候指數較上季大幅上升</w:t>
      </w:r>
      <w:r w:rsidRPr="00B118E9">
        <w:rPr>
          <w:rFonts w:eastAsia="標楷體"/>
          <w:sz w:val="28"/>
          <w:szCs w:val="28"/>
        </w:rPr>
        <w:t>11.7</w:t>
      </w:r>
      <w:r w:rsidRPr="00B118E9">
        <w:rPr>
          <w:rFonts w:eastAsia="標楷體"/>
          <w:sz w:val="28"/>
          <w:szCs w:val="28"/>
        </w:rPr>
        <w:t>點至</w:t>
      </w:r>
      <w:r w:rsidRPr="00B118E9">
        <w:rPr>
          <w:rFonts w:eastAsia="標楷體"/>
          <w:sz w:val="28"/>
          <w:szCs w:val="28"/>
        </w:rPr>
        <w:t>120.4</w:t>
      </w:r>
      <w:r w:rsidRPr="00B118E9">
        <w:rPr>
          <w:rFonts w:eastAsia="標楷體"/>
          <w:sz w:val="28"/>
          <w:szCs w:val="28"/>
        </w:rPr>
        <w:t>；亞洲地區則由</w:t>
      </w:r>
      <w:r w:rsidRPr="00B118E9">
        <w:rPr>
          <w:rFonts w:eastAsia="標楷體"/>
          <w:sz w:val="28"/>
          <w:szCs w:val="28"/>
        </w:rPr>
        <w:t>90.4</w:t>
      </w:r>
      <w:r w:rsidRPr="00B118E9">
        <w:rPr>
          <w:rFonts w:eastAsia="標楷體"/>
          <w:sz w:val="28"/>
          <w:szCs w:val="28"/>
        </w:rPr>
        <w:t>上升至</w:t>
      </w:r>
      <w:r w:rsidRPr="00B118E9">
        <w:rPr>
          <w:rFonts w:eastAsia="標楷體"/>
          <w:sz w:val="28"/>
          <w:szCs w:val="28"/>
        </w:rPr>
        <w:t>93.0</w:t>
      </w:r>
      <w:r w:rsidRPr="00B118E9">
        <w:rPr>
          <w:rFonts w:eastAsia="標楷體"/>
          <w:sz w:val="28"/>
          <w:szCs w:val="28"/>
        </w:rPr>
        <w:t>。</w:t>
      </w:r>
    </w:p>
    <w:p w:rsidR="00131CEA" w:rsidRPr="00B118E9" w:rsidRDefault="00131CEA" w:rsidP="00131CEA">
      <w:pPr>
        <w:adjustRightInd w:val="0"/>
        <w:snapToGrid w:val="0"/>
        <w:spacing w:before="50" w:line="300" w:lineRule="auto"/>
        <w:ind w:right="-153" w:firstLineChars="202" w:firstLine="566"/>
        <w:jc w:val="both"/>
        <w:rPr>
          <w:rFonts w:eastAsia="標楷體"/>
          <w:sz w:val="28"/>
          <w:szCs w:val="28"/>
        </w:rPr>
      </w:pPr>
      <w:r w:rsidRPr="00B118E9">
        <w:rPr>
          <w:rFonts w:eastAsia="標楷體"/>
          <w:sz w:val="28"/>
          <w:szCs w:val="28"/>
        </w:rPr>
        <w:t>當前國際經濟仍面臨諸多風險變數，值得持續關注，包括歐元區經濟潛存低通膨隱憂，希臘債務問題恐退出歐元區；美國貨幣政策對新興經濟體之外溢效應；中國大陸及部分新興經濟體成長力道放緩；日本安倍三箭政策成效待觀察；地緣政治風險；國際油價變動趨勢等，皆影響國際經濟前景。</w:t>
      </w:r>
    </w:p>
    <w:p w:rsidR="003F3F99" w:rsidRPr="00B118E9" w:rsidRDefault="003F3F99" w:rsidP="001A5CA1">
      <w:pPr>
        <w:keepNext/>
        <w:adjustRightInd w:val="0"/>
        <w:snapToGrid w:val="0"/>
        <w:spacing w:beforeLines="50" w:before="180" w:line="300" w:lineRule="auto"/>
        <w:outlineLvl w:val="1"/>
        <w:rPr>
          <w:rFonts w:eastAsia="標楷體"/>
          <w:b/>
          <w:bCs/>
          <w:sz w:val="40"/>
          <w:szCs w:val="36"/>
        </w:rPr>
      </w:pPr>
      <w:bookmarkStart w:id="31" w:name="_Toc420680022"/>
      <w:r w:rsidRPr="00B118E9">
        <w:rPr>
          <w:rFonts w:eastAsia="標楷體"/>
          <w:b/>
          <w:bCs/>
          <w:sz w:val="40"/>
          <w:szCs w:val="36"/>
        </w:rPr>
        <w:t>二、國內經濟</w:t>
      </w:r>
      <w:bookmarkEnd w:id="26"/>
      <w:bookmarkEnd w:id="27"/>
      <w:bookmarkEnd w:id="28"/>
      <w:bookmarkEnd w:id="29"/>
      <w:bookmarkEnd w:id="30"/>
      <w:bookmarkEnd w:id="31"/>
    </w:p>
    <w:p w:rsidR="00E159BD" w:rsidRPr="00B118E9" w:rsidRDefault="00E159BD" w:rsidP="00E159BD">
      <w:pPr>
        <w:autoSpaceDE w:val="0"/>
        <w:autoSpaceDN w:val="0"/>
        <w:adjustRightInd w:val="0"/>
        <w:snapToGrid w:val="0"/>
        <w:spacing w:before="50" w:line="300" w:lineRule="auto"/>
        <w:ind w:right="-153" w:firstLineChars="202" w:firstLine="566"/>
        <w:jc w:val="both"/>
        <w:rPr>
          <w:rFonts w:eastAsia="標楷體"/>
          <w:sz w:val="28"/>
          <w:szCs w:val="28"/>
        </w:rPr>
      </w:pPr>
      <w:bookmarkStart w:id="32" w:name="_Toc368324010"/>
      <w:bookmarkStart w:id="33" w:name="_Toc402171698"/>
      <w:r w:rsidRPr="00B118E9">
        <w:rPr>
          <w:rFonts w:eastAsia="標楷體"/>
          <w:sz w:val="28"/>
          <w:szCs w:val="28"/>
        </w:rPr>
        <w:t>全球景氣復甦力道疲弱，不利出口擴增；就業人數持續成長，薪資增幅擴大，有助提升消費信心，物聯網、巨量資料等應用商機，以及半導體及相關供應鏈業者投資可望延續，帶動民間投資持續成長。根據行政院主計總處</w:t>
      </w:r>
      <w:r w:rsidRPr="00B118E9">
        <w:rPr>
          <w:rFonts w:eastAsia="標楷體"/>
          <w:sz w:val="28"/>
          <w:szCs w:val="28"/>
        </w:rPr>
        <w:t>104</w:t>
      </w:r>
      <w:r w:rsidRPr="00B118E9">
        <w:rPr>
          <w:rFonts w:eastAsia="標楷體"/>
          <w:sz w:val="28"/>
          <w:szCs w:val="28"/>
        </w:rPr>
        <w:t>年</w:t>
      </w:r>
      <w:r w:rsidRPr="00B118E9">
        <w:rPr>
          <w:rFonts w:eastAsia="標楷體"/>
          <w:sz w:val="28"/>
          <w:szCs w:val="28"/>
        </w:rPr>
        <w:t>5</w:t>
      </w:r>
      <w:r w:rsidRPr="00B118E9">
        <w:rPr>
          <w:rFonts w:eastAsia="標楷體"/>
          <w:sz w:val="28"/>
          <w:szCs w:val="28"/>
        </w:rPr>
        <w:t>月預測</w:t>
      </w:r>
      <w:r w:rsidR="00661361">
        <w:rPr>
          <w:rFonts w:eastAsia="標楷體" w:hint="eastAsia"/>
          <w:sz w:val="28"/>
          <w:szCs w:val="28"/>
        </w:rPr>
        <w:t>，</w:t>
      </w:r>
      <w:r w:rsidRPr="00B118E9">
        <w:rPr>
          <w:rFonts w:eastAsia="標楷體"/>
          <w:sz w:val="28"/>
          <w:szCs w:val="28"/>
        </w:rPr>
        <w:t>104</w:t>
      </w:r>
      <w:r w:rsidRPr="00B118E9">
        <w:rPr>
          <w:rFonts w:eastAsia="標楷體"/>
          <w:sz w:val="28"/>
          <w:szCs w:val="28"/>
        </w:rPr>
        <w:t>年經濟成長</w:t>
      </w:r>
      <w:r w:rsidRPr="00B118E9">
        <w:rPr>
          <w:rFonts w:eastAsia="標楷體"/>
          <w:sz w:val="28"/>
          <w:szCs w:val="28"/>
        </w:rPr>
        <w:t>3.28%</w:t>
      </w:r>
      <w:r w:rsidRPr="00B118E9">
        <w:rPr>
          <w:rFonts w:eastAsia="標楷體"/>
          <w:sz w:val="28"/>
          <w:szCs w:val="28"/>
        </w:rPr>
        <w:t>。</w:t>
      </w:r>
    </w:p>
    <w:p w:rsidR="00E159BD" w:rsidRPr="00B118E9" w:rsidRDefault="00E159BD" w:rsidP="00E159BD">
      <w:pPr>
        <w:autoSpaceDE w:val="0"/>
        <w:autoSpaceDN w:val="0"/>
        <w:adjustRightInd w:val="0"/>
        <w:snapToGrid w:val="0"/>
        <w:spacing w:before="50" w:line="300" w:lineRule="auto"/>
        <w:ind w:right="-153" w:firstLineChars="202" w:firstLine="566"/>
        <w:jc w:val="both"/>
        <w:rPr>
          <w:rFonts w:eastAsia="標楷體"/>
          <w:sz w:val="28"/>
          <w:szCs w:val="28"/>
        </w:rPr>
      </w:pPr>
      <w:r w:rsidRPr="00B118E9">
        <w:rPr>
          <w:rFonts w:eastAsia="標楷體"/>
          <w:sz w:val="28"/>
          <w:szCs w:val="28"/>
        </w:rPr>
        <w:t>經濟指標表現方面，</w:t>
      </w:r>
      <w:r w:rsidRPr="00B118E9">
        <w:rPr>
          <w:rFonts w:eastAsia="標楷體"/>
          <w:sz w:val="28"/>
          <w:szCs w:val="28"/>
        </w:rPr>
        <w:t>104</w:t>
      </w:r>
      <w:r w:rsidRPr="00B118E9">
        <w:rPr>
          <w:rFonts w:eastAsia="標楷體"/>
          <w:sz w:val="28"/>
          <w:szCs w:val="28"/>
        </w:rPr>
        <w:t>年</w:t>
      </w:r>
      <w:r w:rsidRPr="00B118E9">
        <w:rPr>
          <w:rFonts w:eastAsia="標楷體"/>
          <w:sz w:val="28"/>
          <w:szCs w:val="28"/>
        </w:rPr>
        <w:t>4</w:t>
      </w:r>
      <w:r w:rsidRPr="00B118E9">
        <w:rPr>
          <w:rFonts w:eastAsia="標楷體"/>
          <w:sz w:val="28"/>
          <w:szCs w:val="28"/>
        </w:rPr>
        <w:t>月工業生產增加</w:t>
      </w:r>
      <w:r w:rsidRPr="00B118E9">
        <w:rPr>
          <w:rFonts w:eastAsia="標楷體"/>
          <w:sz w:val="28"/>
          <w:szCs w:val="28"/>
        </w:rPr>
        <w:t>1.06%</w:t>
      </w:r>
      <w:r w:rsidRPr="00B118E9">
        <w:rPr>
          <w:rFonts w:eastAsia="標楷體"/>
          <w:sz w:val="28"/>
          <w:szCs w:val="28"/>
        </w:rPr>
        <w:t>；商業營業額</w:t>
      </w:r>
      <w:r w:rsidRPr="00B118E9">
        <w:rPr>
          <w:rFonts w:eastAsia="標楷體"/>
          <w:sz w:val="28"/>
          <w:szCs w:val="28"/>
        </w:rPr>
        <w:t>11,690</w:t>
      </w:r>
      <w:r w:rsidRPr="00B118E9">
        <w:rPr>
          <w:rFonts w:eastAsia="標楷體"/>
          <w:sz w:val="28"/>
          <w:szCs w:val="28"/>
        </w:rPr>
        <w:t>億元，減少</w:t>
      </w:r>
      <w:r w:rsidRPr="00B118E9">
        <w:rPr>
          <w:rFonts w:eastAsia="標楷體"/>
          <w:sz w:val="28"/>
          <w:szCs w:val="28"/>
        </w:rPr>
        <w:t>2.0%</w:t>
      </w:r>
      <w:r w:rsidRPr="00B118E9">
        <w:rPr>
          <w:rFonts w:eastAsia="標楷體"/>
          <w:sz w:val="28"/>
          <w:szCs w:val="28"/>
        </w:rPr>
        <w:t>；外銷訂單金額</w:t>
      </w:r>
      <w:r w:rsidRPr="00B118E9">
        <w:rPr>
          <w:rFonts w:eastAsia="標楷體"/>
          <w:sz w:val="28"/>
          <w:szCs w:val="28"/>
        </w:rPr>
        <w:t>373.2</w:t>
      </w:r>
      <w:r w:rsidRPr="00B118E9">
        <w:rPr>
          <w:rFonts w:eastAsia="標楷體"/>
          <w:sz w:val="28"/>
          <w:szCs w:val="28"/>
        </w:rPr>
        <w:t>億美元，減少</w:t>
      </w:r>
      <w:r w:rsidRPr="00B118E9">
        <w:rPr>
          <w:rFonts w:eastAsia="標楷體"/>
          <w:sz w:val="28"/>
          <w:szCs w:val="28"/>
        </w:rPr>
        <w:t>4.0%</w:t>
      </w:r>
      <w:r w:rsidRPr="00B118E9">
        <w:rPr>
          <w:rFonts w:eastAsia="標楷體"/>
          <w:sz w:val="28"/>
          <w:szCs w:val="28"/>
        </w:rPr>
        <w:t>；出口值</w:t>
      </w:r>
      <w:r w:rsidRPr="00B118E9">
        <w:rPr>
          <w:rFonts w:eastAsia="標楷體"/>
          <w:sz w:val="28"/>
          <w:szCs w:val="28"/>
        </w:rPr>
        <w:t>234.9</w:t>
      </w:r>
      <w:r w:rsidRPr="00B118E9">
        <w:rPr>
          <w:rFonts w:eastAsia="標楷體"/>
          <w:sz w:val="28"/>
          <w:szCs w:val="28"/>
        </w:rPr>
        <w:t>億美元，減少</w:t>
      </w:r>
      <w:r w:rsidRPr="00B118E9">
        <w:rPr>
          <w:rFonts w:eastAsia="標楷體"/>
          <w:sz w:val="28"/>
          <w:szCs w:val="28"/>
        </w:rPr>
        <w:t>11.7%</w:t>
      </w:r>
      <w:r w:rsidRPr="00B118E9">
        <w:rPr>
          <w:rFonts w:eastAsia="標楷體"/>
          <w:sz w:val="28"/>
          <w:szCs w:val="28"/>
        </w:rPr>
        <w:t>，進口值</w:t>
      </w:r>
      <w:r w:rsidRPr="00B118E9">
        <w:rPr>
          <w:rFonts w:eastAsia="標楷體"/>
          <w:sz w:val="28"/>
          <w:szCs w:val="28"/>
        </w:rPr>
        <w:t>187.3</w:t>
      </w:r>
      <w:r w:rsidRPr="00B118E9">
        <w:rPr>
          <w:rFonts w:eastAsia="標楷體"/>
          <w:sz w:val="28"/>
          <w:szCs w:val="28"/>
        </w:rPr>
        <w:t>億美元，減少</w:t>
      </w:r>
      <w:r w:rsidRPr="00B118E9">
        <w:rPr>
          <w:rFonts w:eastAsia="標楷體"/>
          <w:sz w:val="28"/>
          <w:szCs w:val="28"/>
        </w:rPr>
        <w:t>22.1%</w:t>
      </w:r>
      <w:r w:rsidRPr="00B118E9">
        <w:rPr>
          <w:rFonts w:eastAsia="標楷體"/>
          <w:sz w:val="28"/>
          <w:szCs w:val="28"/>
        </w:rPr>
        <w:t>，貿易出超</w:t>
      </w:r>
      <w:r w:rsidRPr="00B118E9">
        <w:rPr>
          <w:rFonts w:eastAsia="標楷體"/>
          <w:sz w:val="28"/>
          <w:szCs w:val="28"/>
        </w:rPr>
        <w:t>47.6</w:t>
      </w:r>
      <w:r w:rsidRPr="00B118E9">
        <w:rPr>
          <w:rFonts w:eastAsia="標楷體"/>
          <w:sz w:val="28"/>
          <w:szCs w:val="28"/>
        </w:rPr>
        <w:t>億美元；躉售物價指數</w:t>
      </w:r>
      <w:r w:rsidRPr="00B118E9">
        <w:rPr>
          <w:rFonts w:eastAsia="標楷體"/>
          <w:sz w:val="28"/>
          <w:szCs w:val="28"/>
        </w:rPr>
        <w:t>(WPI)</w:t>
      </w:r>
      <w:r w:rsidRPr="00B118E9">
        <w:rPr>
          <w:rFonts w:eastAsia="標楷體"/>
          <w:sz w:val="28"/>
          <w:szCs w:val="28"/>
        </w:rPr>
        <w:t>下跌</w:t>
      </w:r>
      <w:r w:rsidRPr="00B118E9">
        <w:rPr>
          <w:rFonts w:eastAsia="標楷體"/>
          <w:sz w:val="28"/>
          <w:szCs w:val="28"/>
        </w:rPr>
        <w:t>9.15%</w:t>
      </w:r>
      <w:r w:rsidRPr="00B118E9">
        <w:rPr>
          <w:rFonts w:eastAsia="標楷體"/>
          <w:sz w:val="28"/>
          <w:szCs w:val="28"/>
        </w:rPr>
        <w:t>，消費者物價指數</w:t>
      </w:r>
      <w:r w:rsidRPr="00B118E9">
        <w:rPr>
          <w:rFonts w:eastAsia="標楷體"/>
          <w:sz w:val="28"/>
          <w:szCs w:val="28"/>
        </w:rPr>
        <w:t>(CPI)</w:t>
      </w:r>
      <w:r w:rsidRPr="00B118E9">
        <w:rPr>
          <w:rFonts w:eastAsia="標楷體"/>
          <w:sz w:val="28"/>
          <w:szCs w:val="28"/>
        </w:rPr>
        <w:t>下跌</w:t>
      </w:r>
      <w:r w:rsidRPr="00B118E9">
        <w:rPr>
          <w:rFonts w:eastAsia="標楷體"/>
          <w:sz w:val="28"/>
          <w:szCs w:val="28"/>
        </w:rPr>
        <w:t>0.80%</w:t>
      </w:r>
      <w:r w:rsidRPr="00B118E9">
        <w:rPr>
          <w:rFonts w:eastAsia="標楷體"/>
          <w:sz w:val="28"/>
          <w:szCs w:val="28"/>
        </w:rPr>
        <w:t>；失業率</w:t>
      </w:r>
      <w:r w:rsidRPr="00B118E9">
        <w:rPr>
          <w:rFonts w:eastAsia="標楷體"/>
          <w:sz w:val="28"/>
          <w:szCs w:val="28"/>
        </w:rPr>
        <w:t>3.63%</w:t>
      </w:r>
      <w:r w:rsidRPr="00B118E9">
        <w:rPr>
          <w:rFonts w:eastAsia="標楷體"/>
          <w:sz w:val="28"/>
          <w:szCs w:val="28"/>
        </w:rPr>
        <w:t>。</w:t>
      </w:r>
    </w:p>
    <w:p w:rsidR="00E159BD" w:rsidRPr="00B118E9" w:rsidRDefault="00E159BD" w:rsidP="00E159BD">
      <w:pPr>
        <w:autoSpaceDE w:val="0"/>
        <w:autoSpaceDN w:val="0"/>
        <w:adjustRightInd w:val="0"/>
        <w:snapToGrid w:val="0"/>
        <w:spacing w:before="50" w:line="300" w:lineRule="auto"/>
        <w:ind w:right="-153" w:firstLineChars="202" w:firstLine="566"/>
        <w:jc w:val="both"/>
        <w:rPr>
          <w:rFonts w:eastAsia="標楷體"/>
          <w:b/>
          <w:bCs/>
          <w:sz w:val="40"/>
          <w:szCs w:val="36"/>
        </w:rPr>
      </w:pPr>
      <w:r w:rsidRPr="00B118E9">
        <w:rPr>
          <w:rFonts w:eastAsia="標楷體"/>
          <w:sz w:val="28"/>
          <w:szCs w:val="28"/>
        </w:rPr>
        <w:t>104</w:t>
      </w:r>
      <w:r w:rsidRPr="00B118E9">
        <w:rPr>
          <w:rFonts w:eastAsia="標楷體"/>
          <w:sz w:val="28"/>
          <w:szCs w:val="28"/>
        </w:rPr>
        <w:t>年</w:t>
      </w:r>
      <w:r w:rsidRPr="00B118E9">
        <w:rPr>
          <w:rFonts w:eastAsia="標楷體"/>
          <w:sz w:val="28"/>
          <w:szCs w:val="28"/>
        </w:rPr>
        <w:t>4</w:t>
      </w:r>
      <w:r w:rsidRPr="00B118E9">
        <w:rPr>
          <w:rFonts w:eastAsia="標楷體"/>
          <w:sz w:val="28"/>
          <w:szCs w:val="28"/>
        </w:rPr>
        <w:t>月景氣對策信號轉呈</w:t>
      </w:r>
      <w:r w:rsidRPr="00B118E9">
        <w:rPr>
          <w:rFonts w:eastAsia="標楷體"/>
          <w:bCs/>
          <w:sz w:val="28"/>
          <w:szCs w:val="28"/>
        </w:rPr>
        <w:t>藍燈，領先指標及同時指標持續下跌，且跌幅逐漸擴大，國內景氣呈現轉弱跡象。整體而言，目前國內經濟因出口不佳，短期成長動能較弱，未來應可逐漸改善</w:t>
      </w:r>
      <w:r w:rsidRPr="00B118E9">
        <w:rPr>
          <w:rFonts w:eastAsia="標楷體"/>
          <w:sz w:val="28"/>
          <w:szCs w:val="28"/>
        </w:rPr>
        <w:t>。</w:t>
      </w:r>
    </w:p>
    <w:p w:rsidR="00537AA2" w:rsidRPr="00B118E9" w:rsidRDefault="00533177" w:rsidP="001A5CA1">
      <w:pPr>
        <w:keepNext/>
        <w:adjustRightInd w:val="0"/>
        <w:snapToGrid w:val="0"/>
        <w:spacing w:beforeLines="50" w:before="180" w:line="300" w:lineRule="auto"/>
        <w:outlineLvl w:val="1"/>
        <w:rPr>
          <w:rFonts w:eastAsia="標楷體"/>
        </w:rPr>
      </w:pPr>
      <w:bookmarkStart w:id="34" w:name="_Toc420680023"/>
      <w:r w:rsidRPr="00B118E9">
        <w:rPr>
          <w:rFonts w:eastAsia="標楷體"/>
          <w:b/>
          <w:bCs/>
          <w:sz w:val="40"/>
          <w:szCs w:val="36"/>
        </w:rPr>
        <w:t>三、中國大陸經濟</w:t>
      </w:r>
      <w:bookmarkEnd w:id="32"/>
      <w:bookmarkEnd w:id="33"/>
      <w:bookmarkEnd w:id="34"/>
    </w:p>
    <w:p w:rsidR="00E159BD" w:rsidRPr="00B118E9" w:rsidRDefault="00E159BD" w:rsidP="00E159BD">
      <w:pPr>
        <w:autoSpaceDE w:val="0"/>
        <w:autoSpaceDN w:val="0"/>
        <w:adjustRightInd w:val="0"/>
        <w:snapToGrid w:val="0"/>
        <w:spacing w:before="50" w:line="300" w:lineRule="auto"/>
        <w:ind w:right="-153" w:firstLineChars="202" w:firstLine="566"/>
        <w:jc w:val="both"/>
        <w:rPr>
          <w:rFonts w:eastAsia="標楷體"/>
          <w:sz w:val="28"/>
          <w:szCs w:val="28"/>
        </w:rPr>
      </w:pPr>
      <w:r w:rsidRPr="00B118E9">
        <w:rPr>
          <w:rFonts w:eastAsia="標楷體"/>
          <w:sz w:val="28"/>
          <w:szCs w:val="28"/>
        </w:rPr>
        <w:t>中國大陸</w:t>
      </w:r>
      <w:r w:rsidRPr="00B118E9">
        <w:rPr>
          <w:rFonts w:eastAsia="標楷體"/>
          <w:sz w:val="28"/>
          <w:szCs w:val="28"/>
        </w:rPr>
        <w:t>2015</w:t>
      </w:r>
      <w:r w:rsidRPr="00B118E9">
        <w:rPr>
          <w:rFonts w:eastAsia="標楷體"/>
          <w:sz w:val="28"/>
          <w:szCs w:val="28"/>
        </w:rPr>
        <w:t>年第</w:t>
      </w:r>
      <w:r w:rsidRPr="00B118E9">
        <w:rPr>
          <w:rFonts w:eastAsia="標楷體"/>
          <w:sz w:val="28"/>
          <w:szCs w:val="28"/>
        </w:rPr>
        <w:t>1</w:t>
      </w:r>
      <w:r w:rsidRPr="00B118E9">
        <w:rPr>
          <w:rFonts w:eastAsia="標楷體"/>
          <w:sz w:val="28"/>
          <w:szCs w:val="28"/>
        </w:rPr>
        <w:t>季國內生產總值為</w:t>
      </w:r>
      <w:r w:rsidRPr="00B118E9">
        <w:rPr>
          <w:rFonts w:eastAsia="標楷體"/>
          <w:sz w:val="28"/>
          <w:szCs w:val="28"/>
        </w:rPr>
        <w:t>140,667</w:t>
      </w:r>
      <w:r w:rsidRPr="00B118E9">
        <w:rPr>
          <w:rFonts w:eastAsia="標楷體"/>
          <w:sz w:val="28"/>
          <w:szCs w:val="28"/>
        </w:rPr>
        <w:t>億人民幣，成長</w:t>
      </w:r>
      <w:r w:rsidRPr="00B118E9">
        <w:rPr>
          <w:rFonts w:eastAsia="標楷體"/>
          <w:sz w:val="28"/>
          <w:szCs w:val="28"/>
        </w:rPr>
        <w:t>7.0%</w:t>
      </w:r>
      <w:r w:rsidRPr="00B118E9">
        <w:rPr>
          <w:rFonts w:eastAsia="標楷體"/>
          <w:sz w:val="28"/>
          <w:szCs w:val="28"/>
        </w:rPr>
        <w:t>；</w:t>
      </w:r>
      <w:r w:rsidRPr="00B118E9">
        <w:rPr>
          <w:rFonts w:eastAsia="標楷體"/>
          <w:sz w:val="28"/>
          <w:szCs w:val="28"/>
        </w:rPr>
        <w:t>2015</w:t>
      </w:r>
      <w:r w:rsidRPr="00B118E9">
        <w:rPr>
          <w:rFonts w:eastAsia="標楷體"/>
          <w:sz w:val="28"/>
          <w:szCs w:val="28"/>
        </w:rPr>
        <w:t>年</w:t>
      </w:r>
      <w:r w:rsidRPr="00B118E9">
        <w:rPr>
          <w:rFonts w:eastAsia="標楷體"/>
          <w:sz w:val="28"/>
          <w:szCs w:val="28"/>
        </w:rPr>
        <w:t>1</w:t>
      </w:r>
      <w:r w:rsidRPr="00B118E9">
        <w:rPr>
          <w:rFonts w:eastAsia="標楷體"/>
          <w:sz w:val="28"/>
          <w:szCs w:val="28"/>
        </w:rPr>
        <w:t>至</w:t>
      </w:r>
      <w:r w:rsidRPr="00B118E9">
        <w:rPr>
          <w:rFonts w:eastAsia="標楷體"/>
          <w:sz w:val="28"/>
          <w:szCs w:val="28"/>
        </w:rPr>
        <w:t>4</w:t>
      </w:r>
      <w:r w:rsidRPr="00B118E9">
        <w:rPr>
          <w:rFonts w:eastAsia="標楷體"/>
          <w:sz w:val="28"/>
          <w:szCs w:val="28"/>
        </w:rPr>
        <w:t>月固定資產投資</w:t>
      </w:r>
      <w:r w:rsidRPr="00B118E9">
        <w:rPr>
          <w:rFonts w:eastAsia="標楷體"/>
          <w:sz w:val="28"/>
          <w:szCs w:val="28"/>
        </w:rPr>
        <w:t>(</w:t>
      </w:r>
      <w:r w:rsidRPr="00B118E9">
        <w:rPr>
          <w:rFonts w:eastAsia="標楷體"/>
          <w:sz w:val="28"/>
          <w:szCs w:val="28"/>
        </w:rPr>
        <w:t>不含農戶</w:t>
      </w:r>
      <w:r w:rsidRPr="00B118E9">
        <w:rPr>
          <w:rFonts w:eastAsia="標楷體"/>
          <w:sz w:val="28"/>
          <w:szCs w:val="28"/>
        </w:rPr>
        <w:t>)</w:t>
      </w:r>
      <w:r w:rsidRPr="00B118E9">
        <w:rPr>
          <w:rFonts w:eastAsia="標楷體"/>
          <w:sz w:val="28"/>
          <w:szCs w:val="28"/>
        </w:rPr>
        <w:t>金額為</w:t>
      </w:r>
      <w:r w:rsidRPr="00B118E9">
        <w:rPr>
          <w:rFonts w:eastAsia="標楷體"/>
          <w:sz w:val="28"/>
          <w:szCs w:val="28"/>
        </w:rPr>
        <w:t>119,979</w:t>
      </w:r>
      <w:r w:rsidRPr="00B118E9">
        <w:rPr>
          <w:rFonts w:eastAsia="標楷體"/>
          <w:sz w:val="28"/>
          <w:szCs w:val="28"/>
        </w:rPr>
        <w:t>億人民幣，較上年同期增加</w:t>
      </w:r>
      <w:r w:rsidRPr="00B118E9">
        <w:rPr>
          <w:rFonts w:eastAsia="標楷體"/>
          <w:sz w:val="28"/>
          <w:szCs w:val="28"/>
        </w:rPr>
        <w:t>12%</w:t>
      </w:r>
      <w:r w:rsidRPr="00B118E9">
        <w:rPr>
          <w:rFonts w:eastAsia="標楷體"/>
          <w:sz w:val="28"/>
          <w:szCs w:val="28"/>
        </w:rPr>
        <w:t>；規模以上工業生產較上年同期成長</w:t>
      </w:r>
      <w:r w:rsidRPr="00B118E9">
        <w:rPr>
          <w:rFonts w:eastAsia="標楷體"/>
          <w:sz w:val="28"/>
          <w:szCs w:val="28"/>
        </w:rPr>
        <w:t>5.9%</w:t>
      </w:r>
      <w:r w:rsidRPr="00B118E9">
        <w:rPr>
          <w:rFonts w:eastAsia="標楷體"/>
          <w:sz w:val="28"/>
          <w:szCs w:val="28"/>
        </w:rPr>
        <w:t>；</w:t>
      </w:r>
      <w:r w:rsidRPr="00B118E9">
        <w:rPr>
          <w:rFonts w:eastAsia="標楷體"/>
          <w:sz w:val="28"/>
          <w:szCs w:val="28"/>
        </w:rPr>
        <w:t>2015</w:t>
      </w:r>
      <w:r w:rsidRPr="00B118E9">
        <w:rPr>
          <w:rFonts w:eastAsia="標楷體"/>
          <w:sz w:val="28"/>
          <w:szCs w:val="28"/>
        </w:rPr>
        <w:t>年</w:t>
      </w:r>
      <w:r w:rsidRPr="00B118E9">
        <w:rPr>
          <w:rFonts w:eastAsia="標楷體"/>
          <w:sz w:val="28"/>
          <w:szCs w:val="28"/>
        </w:rPr>
        <w:t>1</w:t>
      </w:r>
      <w:r w:rsidRPr="00B118E9">
        <w:rPr>
          <w:rFonts w:eastAsia="標楷體"/>
          <w:sz w:val="28"/>
          <w:szCs w:val="28"/>
        </w:rPr>
        <w:t>至</w:t>
      </w:r>
      <w:r w:rsidRPr="00B118E9">
        <w:rPr>
          <w:rFonts w:eastAsia="標楷體"/>
          <w:sz w:val="28"/>
          <w:szCs w:val="28"/>
        </w:rPr>
        <w:t>3</w:t>
      </w:r>
      <w:r w:rsidRPr="00B118E9">
        <w:rPr>
          <w:rFonts w:eastAsia="標楷體"/>
          <w:sz w:val="28"/>
          <w:szCs w:val="28"/>
        </w:rPr>
        <w:t>月非金融領域實際外商投資金額較上年同期增加</w:t>
      </w:r>
      <w:r w:rsidRPr="00B118E9">
        <w:rPr>
          <w:rFonts w:eastAsia="標楷體"/>
          <w:sz w:val="28"/>
          <w:szCs w:val="28"/>
        </w:rPr>
        <w:t>10.6%</w:t>
      </w:r>
      <w:r w:rsidRPr="00B118E9">
        <w:rPr>
          <w:rFonts w:eastAsia="標楷體"/>
          <w:sz w:val="28"/>
          <w:szCs w:val="28"/>
        </w:rPr>
        <w:t>，金額為</w:t>
      </w:r>
      <w:r w:rsidRPr="00B118E9">
        <w:rPr>
          <w:rFonts w:eastAsia="標楷體"/>
          <w:sz w:val="28"/>
          <w:szCs w:val="28"/>
        </w:rPr>
        <w:t>348.8</w:t>
      </w:r>
      <w:r w:rsidRPr="00B118E9">
        <w:rPr>
          <w:rFonts w:eastAsia="標楷體"/>
          <w:sz w:val="28"/>
          <w:szCs w:val="28"/>
        </w:rPr>
        <w:t>億美元。</w:t>
      </w:r>
    </w:p>
    <w:p w:rsidR="00E159BD" w:rsidRPr="00B118E9" w:rsidRDefault="00E159BD" w:rsidP="00E159BD">
      <w:pPr>
        <w:autoSpaceDE w:val="0"/>
        <w:autoSpaceDN w:val="0"/>
        <w:adjustRightInd w:val="0"/>
        <w:snapToGrid w:val="0"/>
        <w:spacing w:before="50" w:line="300" w:lineRule="auto"/>
        <w:ind w:right="-153" w:firstLineChars="202" w:firstLine="566"/>
        <w:jc w:val="both"/>
        <w:rPr>
          <w:rFonts w:eastAsia="標楷體"/>
          <w:sz w:val="28"/>
          <w:szCs w:val="28"/>
        </w:rPr>
      </w:pPr>
      <w:r w:rsidRPr="00B118E9">
        <w:rPr>
          <w:rFonts w:eastAsia="標楷體"/>
          <w:sz w:val="28"/>
          <w:szCs w:val="28"/>
        </w:rPr>
        <w:t>金融體系方面，</w:t>
      </w:r>
      <w:r w:rsidRPr="00B118E9">
        <w:rPr>
          <w:rFonts w:eastAsia="標楷體"/>
          <w:sz w:val="28"/>
          <w:szCs w:val="28"/>
        </w:rPr>
        <w:t>2015</w:t>
      </w:r>
      <w:r w:rsidRPr="00B118E9">
        <w:rPr>
          <w:rFonts w:eastAsia="標楷體"/>
          <w:sz w:val="28"/>
          <w:szCs w:val="28"/>
        </w:rPr>
        <w:t>年</w:t>
      </w:r>
      <w:r w:rsidRPr="00B118E9">
        <w:rPr>
          <w:rFonts w:eastAsia="標楷體"/>
          <w:sz w:val="28"/>
          <w:szCs w:val="28"/>
        </w:rPr>
        <w:t>4</w:t>
      </w:r>
      <w:r w:rsidRPr="00B118E9">
        <w:rPr>
          <w:rFonts w:eastAsia="標楷體"/>
          <w:sz w:val="28"/>
          <w:szCs w:val="28"/>
        </w:rPr>
        <w:t>月</w:t>
      </w:r>
      <w:r w:rsidRPr="00B118E9">
        <w:rPr>
          <w:rFonts w:eastAsia="標楷體"/>
          <w:sz w:val="28"/>
          <w:szCs w:val="28"/>
        </w:rPr>
        <w:t>M1</w:t>
      </w:r>
      <w:r w:rsidRPr="00B118E9">
        <w:rPr>
          <w:rFonts w:eastAsia="標楷體"/>
          <w:sz w:val="28"/>
          <w:szCs w:val="28"/>
        </w:rPr>
        <w:t>及</w:t>
      </w:r>
      <w:r w:rsidRPr="00B118E9">
        <w:rPr>
          <w:rFonts w:eastAsia="標楷體"/>
          <w:sz w:val="28"/>
          <w:szCs w:val="28"/>
        </w:rPr>
        <w:t>M2</w:t>
      </w:r>
      <w:r w:rsidRPr="00B118E9">
        <w:rPr>
          <w:rFonts w:eastAsia="標楷體"/>
          <w:sz w:val="28"/>
          <w:szCs w:val="28"/>
        </w:rPr>
        <w:t>分別較上年同期增加</w:t>
      </w:r>
      <w:r w:rsidRPr="00B118E9">
        <w:rPr>
          <w:rFonts w:eastAsia="標楷體"/>
          <w:sz w:val="28"/>
          <w:szCs w:val="28"/>
        </w:rPr>
        <w:t>3.7%</w:t>
      </w:r>
      <w:r w:rsidRPr="00B118E9">
        <w:rPr>
          <w:rFonts w:eastAsia="標楷體"/>
          <w:sz w:val="28"/>
          <w:szCs w:val="28"/>
        </w:rPr>
        <w:t>、</w:t>
      </w:r>
      <w:r w:rsidRPr="00B118E9">
        <w:rPr>
          <w:rFonts w:eastAsia="標楷體"/>
          <w:sz w:val="28"/>
          <w:szCs w:val="28"/>
        </w:rPr>
        <w:t>10.1%</w:t>
      </w:r>
      <w:r w:rsidRPr="00B118E9">
        <w:rPr>
          <w:rFonts w:eastAsia="標楷體"/>
          <w:sz w:val="28"/>
          <w:szCs w:val="28"/>
        </w:rPr>
        <w:t>；物價方面，</w:t>
      </w:r>
      <w:r w:rsidRPr="00B118E9">
        <w:rPr>
          <w:rFonts w:eastAsia="標楷體"/>
          <w:sz w:val="28"/>
          <w:szCs w:val="28"/>
        </w:rPr>
        <w:t>2015</w:t>
      </w:r>
      <w:r w:rsidRPr="00B118E9">
        <w:rPr>
          <w:rFonts w:eastAsia="標楷體"/>
          <w:sz w:val="28"/>
          <w:szCs w:val="28"/>
        </w:rPr>
        <w:t>年</w:t>
      </w:r>
      <w:r w:rsidRPr="00B118E9">
        <w:rPr>
          <w:rFonts w:eastAsia="標楷體"/>
          <w:sz w:val="28"/>
          <w:szCs w:val="28"/>
        </w:rPr>
        <w:t>1</w:t>
      </w:r>
      <w:r w:rsidRPr="00B118E9">
        <w:rPr>
          <w:rFonts w:eastAsia="標楷體"/>
          <w:sz w:val="28"/>
          <w:szCs w:val="28"/>
        </w:rPr>
        <w:t>至</w:t>
      </w:r>
      <w:r w:rsidRPr="00B118E9">
        <w:rPr>
          <w:rFonts w:eastAsia="標楷體"/>
          <w:sz w:val="28"/>
          <w:szCs w:val="28"/>
        </w:rPr>
        <w:t>4</w:t>
      </w:r>
      <w:r w:rsidRPr="00B118E9">
        <w:rPr>
          <w:rFonts w:eastAsia="標楷體"/>
          <w:sz w:val="28"/>
          <w:szCs w:val="28"/>
        </w:rPr>
        <w:t>月平均較上年同期上漲</w:t>
      </w:r>
      <w:r w:rsidRPr="00B118E9">
        <w:rPr>
          <w:rFonts w:eastAsia="標楷體"/>
          <w:sz w:val="28"/>
          <w:szCs w:val="28"/>
        </w:rPr>
        <w:t>1.3%</w:t>
      </w:r>
      <w:r w:rsidRPr="00B118E9">
        <w:rPr>
          <w:rFonts w:eastAsia="標楷體"/>
          <w:sz w:val="28"/>
          <w:szCs w:val="28"/>
        </w:rPr>
        <w:t>。</w:t>
      </w:r>
    </w:p>
    <w:p w:rsidR="00E159BD" w:rsidRPr="00B118E9" w:rsidRDefault="00E159BD" w:rsidP="00E159BD">
      <w:pPr>
        <w:autoSpaceDE w:val="0"/>
        <w:autoSpaceDN w:val="0"/>
        <w:adjustRightInd w:val="0"/>
        <w:snapToGrid w:val="0"/>
        <w:spacing w:before="50" w:line="300" w:lineRule="auto"/>
        <w:ind w:right="-153" w:firstLineChars="202" w:firstLine="566"/>
        <w:jc w:val="both"/>
        <w:rPr>
          <w:rFonts w:eastAsia="標楷體"/>
          <w:sz w:val="28"/>
          <w:szCs w:val="28"/>
        </w:rPr>
      </w:pPr>
      <w:r w:rsidRPr="00B118E9">
        <w:rPr>
          <w:rFonts w:eastAsia="標楷體"/>
          <w:sz w:val="28"/>
          <w:szCs w:val="28"/>
        </w:rPr>
        <w:t>中國大陸</w:t>
      </w:r>
      <w:r w:rsidRPr="00B118E9">
        <w:rPr>
          <w:rFonts w:eastAsia="標楷體"/>
          <w:sz w:val="28"/>
          <w:szCs w:val="28"/>
        </w:rPr>
        <w:t>2015</w:t>
      </w:r>
      <w:r w:rsidRPr="00B118E9">
        <w:rPr>
          <w:rFonts w:eastAsia="標楷體"/>
          <w:sz w:val="28"/>
          <w:szCs w:val="28"/>
        </w:rPr>
        <w:t>年</w:t>
      </w:r>
      <w:r w:rsidRPr="00B118E9">
        <w:rPr>
          <w:rFonts w:eastAsia="標楷體"/>
          <w:sz w:val="28"/>
          <w:szCs w:val="28"/>
        </w:rPr>
        <w:t>4</w:t>
      </w:r>
      <w:r w:rsidRPr="00B118E9">
        <w:rPr>
          <w:rFonts w:eastAsia="標楷體"/>
          <w:sz w:val="28"/>
          <w:szCs w:val="28"/>
        </w:rPr>
        <w:t>月份經濟數據持續疲弱，出口年增率較上年同期減少</w:t>
      </w:r>
      <w:r w:rsidRPr="00B118E9">
        <w:rPr>
          <w:rFonts w:eastAsia="標楷體"/>
          <w:sz w:val="28"/>
          <w:szCs w:val="28"/>
        </w:rPr>
        <w:t>6.4%</w:t>
      </w:r>
      <w:r w:rsidRPr="00B118E9">
        <w:rPr>
          <w:rFonts w:eastAsia="標楷體"/>
          <w:sz w:val="28"/>
          <w:szCs w:val="28"/>
        </w:rPr>
        <w:t>、進口減少</w:t>
      </w:r>
      <w:r w:rsidRPr="00B118E9">
        <w:rPr>
          <w:rFonts w:eastAsia="標楷體"/>
          <w:sz w:val="28"/>
          <w:szCs w:val="28"/>
        </w:rPr>
        <w:t>16.2%</w:t>
      </w:r>
      <w:r w:rsidRPr="00B118E9">
        <w:rPr>
          <w:rFonts w:eastAsia="標楷體"/>
          <w:sz w:val="28"/>
          <w:szCs w:val="28"/>
        </w:rPr>
        <w:t>，消費者物價指數</w:t>
      </w:r>
      <w:r w:rsidRPr="00B118E9">
        <w:rPr>
          <w:rFonts w:eastAsia="標楷體"/>
          <w:sz w:val="28"/>
          <w:szCs w:val="28"/>
        </w:rPr>
        <w:t>(CPI)</w:t>
      </w:r>
      <w:r w:rsidRPr="00B118E9">
        <w:rPr>
          <w:rFonts w:eastAsia="標楷體"/>
          <w:sz w:val="28"/>
          <w:szCs w:val="28"/>
        </w:rPr>
        <w:t>年增率</w:t>
      </w:r>
      <w:r w:rsidRPr="00B118E9">
        <w:rPr>
          <w:rFonts w:eastAsia="標楷體"/>
          <w:sz w:val="28"/>
          <w:szCs w:val="28"/>
        </w:rPr>
        <w:t>1.5%</w:t>
      </w:r>
      <w:r w:rsidRPr="00B118E9">
        <w:rPr>
          <w:rFonts w:eastAsia="標楷體"/>
          <w:sz w:val="28"/>
          <w:szCs w:val="28"/>
        </w:rPr>
        <w:t>仍處於低點，生產者物價指數</w:t>
      </w:r>
      <w:r w:rsidRPr="00B118E9">
        <w:rPr>
          <w:rFonts w:eastAsia="標楷體"/>
          <w:sz w:val="28"/>
          <w:szCs w:val="28"/>
        </w:rPr>
        <w:t>(PPI)</w:t>
      </w:r>
      <w:r w:rsidRPr="00B118E9">
        <w:rPr>
          <w:rFonts w:eastAsia="標楷體"/>
          <w:sz w:val="28"/>
          <w:szCs w:val="28"/>
        </w:rPr>
        <w:t>年增率持續為負，促使中國大陸人民銀行繼自</w:t>
      </w:r>
      <w:r w:rsidRPr="00B118E9">
        <w:rPr>
          <w:rFonts w:eastAsia="標楷體"/>
          <w:sz w:val="28"/>
          <w:szCs w:val="28"/>
        </w:rPr>
        <w:t>2015</w:t>
      </w:r>
      <w:r w:rsidRPr="00B118E9">
        <w:rPr>
          <w:rFonts w:eastAsia="標楷體"/>
          <w:sz w:val="28"/>
          <w:szCs w:val="28"/>
        </w:rPr>
        <w:t>年</w:t>
      </w:r>
      <w:r w:rsidRPr="00B118E9">
        <w:rPr>
          <w:rFonts w:eastAsia="標楷體"/>
          <w:sz w:val="28"/>
          <w:szCs w:val="28"/>
        </w:rPr>
        <w:t>4</w:t>
      </w:r>
      <w:r w:rsidRPr="00B118E9">
        <w:rPr>
          <w:rFonts w:eastAsia="標楷體"/>
          <w:sz w:val="28"/>
          <w:szCs w:val="28"/>
        </w:rPr>
        <w:t>月</w:t>
      </w:r>
      <w:r w:rsidRPr="00B118E9">
        <w:rPr>
          <w:rFonts w:eastAsia="標楷體"/>
          <w:sz w:val="28"/>
          <w:szCs w:val="28"/>
        </w:rPr>
        <w:t>20</w:t>
      </w:r>
      <w:r w:rsidRPr="00B118E9">
        <w:rPr>
          <w:rFonts w:eastAsia="標楷體"/>
          <w:sz w:val="28"/>
          <w:szCs w:val="28"/>
        </w:rPr>
        <w:t>日起全面調降各類金融機構人民幣存款準備率</w:t>
      </w:r>
      <w:r w:rsidRPr="00B118E9">
        <w:rPr>
          <w:rFonts w:eastAsia="標楷體"/>
          <w:sz w:val="28"/>
          <w:szCs w:val="28"/>
        </w:rPr>
        <w:t>1</w:t>
      </w:r>
      <w:r w:rsidRPr="00B118E9">
        <w:rPr>
          <w:rFonts w:eastAsia="標楷體"/>
          <w:sz w:val="28"/>
          <w:szCs w:val="28"/>
        </w:rPr>
        <w:t>個百分點</w:t>
      </w:r>
      <w:r w:rsidRPr="00B118E9">
        <w:rPr>
          <w:rFonts w:eastAsia="標楷體"/>
          <w:sz w:val="28"/>
          <w:szCs w:val="28"/>
        </w:rPr>
        <w:t>(4</w:t>
      </w:r>
      <w:r w:rsidRPr="00B118E9">
        <w:rPr>
          <w:rFonts w:eastAsia="標楷體"/>
          <w:sz w:val="28"/>
          <w:szCs w:val="28"/>
        </w:rPr>
        <w:t>碼</w:t>
      </w:r>
      <w:r w:rsidRPr="00B118E9">
        <w:rPr>
          <w:rFonts w:eastAsia="標楷體"/>
          <w:sz w:val="28"/>
          <w:szCs w:val="28"/>
        </w:rPr>
        <w:t>)</w:t>
      </w:r>
      <w:r w:rsidRPr="00B118E9">
        <w:rPr>
          <w:rFonts w:eastAsia="標楷體"/>
          <w:sz w:val="28"/>
          <w:szCs w:val="28"/>
        </w:rPr>
        <w:t>後，再次宣布自</w:t>
      </w:r>
      <w:r w:rsidRPr="00B118E9">
        <w:rPr>
          <w:rFonts w:eastAsia="標楷體"/>
          <w:sz w:val="28"/>
          <w:szCs w:val="28"/>
        </w:rPr>
        <w:t>2015</w:t>
      </w:r>
      <w:r w:rsidRPr="00B118E9">
        <w:rPr>
          <w:rFonts w:eastAsia="標楷體"/>
          <w:sz w:val="28"/>
          <w:szCs w:val="28"/>
        </w:rPr>
        <w:t>年</w:t>
      </w:r>
      <w:r w:rsidRPr="00B118E9">
        <w:rPr>
          <w:rFonts w:eastAsia="標楷體"/>
          <w:sz w:val="28"/>
          <w:szCs w:val="28"/>
        </w:rPr>
        <w:t>5</w:t>
      </w:r>
      <w:r w:rsidRPr="00B118E9">
        <w:rPr>
          <w:rFonts w:eastAsia="標楷體"/>
          <w:sz w:val="28"/>
          <w:szCs w:val="28"/>
        </w:rPr>
        <w:t>月</w:t>
      </w:r>
      <w:r w:rsidRPr="00B118E9">
        <w:rPr>
          <w:rFonts w:eastAsia="標楷體"/>
          <w:sz w:val="28"/>
          <w:szCs w:val="28"/>
        </w:rPr>
        <w:t>11</w:t>
      </w:r>
      <w:r w:rsidRPr="00B118E9">
        <w:rPr>
          <w:rFonts w:eastAsia="標楷體"/>
          <w:sz w:val="28"/>
          <w:szCs w:val="28"/>
        </w:rPr>
        <w:t>日起，調降金融機構</w:t>
      </w:r>
      <w:r w:rsidRPr="00B118E9">
        <w:rPr>
          <w:rFonts w:eastAsia="標楷體"/>
          <w:sz w:val="28"/>
          <w:szCs w:val="28"/>
        </w:rPr>
        <w:t>1</w:t>
      </w:r>
      <w:r w:rsidRPr="00B118E9">
        <w:rPr>
          <w:rFonts w:eastAsia="標楷體"/>
          <w:sz w:val="28"/>
          <w:szCs w:val="28"/>
        </w:rPr>
        <w:t>年期貸款和存款基準利率各</w:t>
      </w:r>
      <w:r w:rsidRPr="00B118E9">
        <w:rPr>
          <w:rFonts w:eastAsia="標楷體"/>
          <w:sz w:val="28"/>
          <w:szCs w:val="28"/>
        </w:rPr>
        <w:t>0.25</w:t>
      </w:r>
      <w:r w:rsidRPr="00B118E9">
        <w:rPr>
          <w:rFonts w:eastAsia="標楷體"/>
          <w:sz w:val="28"/>
          <w:szCs w:val="28"/>
        </w:rPr>
        <w:t>個百分點</w:t>
      </w:r>
      <w:r w:rsidRPr="00B118E9">
        <w:rPr>
          <w:rFonts w:eastAsia="標楷體"/>
          <w:sz w:val="28"/>
          <w:szCs w:val="28"/>
        </w:rPr>
        <w:t>(1</w:t>
      </w:r>
      <w:r w:rsidRPr="00B118E9">
        <w:rPr>
          <w:rFonts w:eastAsia="標楷體"/>
          <w:sz w:val="28"/>
          <w:szCs w:val="28"/>
        </w:rPr>
        <w:t>碼</w:t>
      </w:r>
      <w:r w:rsidRPr="00B118E9">
        <w:rPr>
          <w:rFonts w:eastAsia="標楷體"/>
          <w:sz w:val="28"/>
          <w:szCs w:val="28"/>
        </w:rPr>
        <w:t>)</w:t>
      </w:r>
      <w:r w:rsidRPr="00B118E9">
        <w:rPr>
          <w:rFonts w:eastAsia="標楷體"/>
          <w:sz w:val="28"/>
          <w:szCs w:val="28"/>
        </w:rPr>
        <w:t>，分別調至</w:t>
      </w:r>
      <w:r w:rsidRPr="00B118E9">
        <w:rPr>
          <w:rFonts w:eastAsia="標楷體"/>
          <w:sz w:val="28"/>
          <w:szCs w:val="28"/>
        </w:rPr>
        <w:t>5.1%</w:t>
      </w:r>
      <w:r w:rsidRPr="00B118E9">
        <w:rPr>
          <w:rFonts w:eastAsia="標楷體"/>
          <w:sz w:val="28"/>
          <w:szCs w:val="28"/>
        </w:rPr>
        <w:t>及</w:t>
      </w:r>
      <w:r w:rsidRPr="00B118E9">
        <w:rPr>
          <w:rFonts w:eastAsia="標楷體"/>
          <w:sz w:val="28"/>
          <w:szCs w:val="28"/>
        </w:rPr>
        <w:t>2.25%</w:t>
      </w:r>
      <w:r w:rsidRPr="00B118E9">
        <w:rPr>
          <w:rFonts w:eastAsia="標楷體"/>
          <w:sz w:val="28"/>
          <w:szCs w:val="28"/>
        </w:rPr>
        <w:t>。</w:t>
      </w:r>
    </w:p>
    <w:p w:rsidR="00E159BD" w:rsidRPr="00B118E9" w:rsidRDefault="00E159BD" w:rsidP="00E159BD">
      <w:pPr>
        <w:adjustRightInd w:val="0"/>
        <w:snapToGrid w:val="0"/>
        <w:spacing w:before="50" w:line="300" w:lineRule="auto"/>
        <w:ind w:right="-153" w:firstLineChars="202" w:firstLine="566"/>
        <w:jc w:val="both"/>
        <w:rPr>
          <w:rFonts w:eastAsia="標楷體"/>
          <w:bCs/>
          <w:sz w:val="28"/>
          <w:szCs w:val="28"/>
        </w:rPr>
      </w:pPr>
      <w:r w:rsidRPr="00B118E9">
        <w:rPr>
          <w:rFonts w:eastAsia="標楷體"/>
          <w:bCs/>
          <w:sz w:val="28"/>
          <w:szCs w:val="28"/>
        </w:rPr>
        <w:t>中國大陸國務院</w:t>
      </w:r>
      <w:r w:rsidRPr="00B118E9">
        <w:rPr>
          <w:rFonts w:eastAsia="標楷體"/>
          <w:bCs/>
          <w:sz w:val="28"/>
          <w:szCs w:val="28"/>
        </w:rPr>
        <w:t>2015</w:t>
      </w:r>
      <w:r w:rsidRPr="00B118E9">
        <w:rPr>
          <w:rFonts w:eastAsia="標楷體"/>
          <w:bCs/>
          <w:sz w:val="28"/>
          <w:szCs w:val="28"/>
        </w:rPr>
        <w:t>年</w:t>
      </w:r>
      <w:r w:rsidRPr="00B118E9">
        <w:rPr>
          <w:rFonts w:eastAsia="標楷體"/>
          <w:bCs/>
          <w:sz w:val="28"/>
          <w:szCs w:val="28"/>
        </w:rPr>
        <w:t>5</w:t>
      </w:r>
      <w:r w:rsidRPr="00B118E9">
        <w:rPr>
          <w:rFonts w:eastAsia="標楷體"/>
          <w:bCs/>
          <w:sz w:val="28"/>
          <w:szCs w:val="28"/>
        </w:rPr>
        <w:t>月</w:t>
      </w:r>
      <w:r w:rsidRPr="00B118E9">
        <w:rPr>
          <w:rFonts w:eastAsia="標楷體"/>
          <w:bCs/>
          <w:sz w:val="28"/>
          <w:szCs w:val="28"/>
        </w:rPr>
        <w:t>19</w:t>
      </w:r>
      <w:r w:rsidRPr="00B118E9">
        <w:rPr>
          <w:rFonts w:eastAsia="標楷體"/>
          <w:bCs/>
          <w:sz w:val="28"/>
          <w:szCs w:val="28"/>
        </w:rPr>
        <w:t>日公布《國務院關於印發「中國製造</w:t>
      </w:r>
      <w:r w:rsidRPr="00B118E9">
        <w:rPr>
          <w:rFonts w:eastAsia="標楷體"/>
          <w:bCs/>
          <w:sz w:val="28"/>
          <w:szCs w:val="28"/>
        </w:rPr>
        <w:t>2025</w:t>
      </w:r>
      <w:r w:rsidRPr="00B118E9">
        <w:rPr>
          <w:rFonts w:eastAsia="標楷體"/>
          <w:bCs/>
          <w:sz w:val="28"/>
          <w:szCs w:val="28"/>
        </w:rPr>
        <w:t>」的通知》，明定中國大陸製造業「由大到強」的「三步走」發展路徑。第一步計畫在</w:t>
      </w:r>
      <w:r w:rsidRPr="00B118E9">
        <w:rPr>
          <w:rFonts w:eastAsia="標楷體"/>
          <w:bCs/>
          <w:sz w:val="28"/>
          <w:szCs w:val="28"/>
        </w:rPr>
        <w:t>2020</w:t>
      </w:r>
      <w:r w:rsidRPr="00B118E9">
        <w:rPr>
          <w:rFonts w:eastAsia="標楷體"/>
          <w:bCs/>
          <w:sz w:val="28"/>
          <w:szCs w:val="28"/>
        </w:rPr>
        <w:t>年基本實現工業化，製造大國地位進一步鞏固；</w:t>
      </w:r>
      <w:r w:rsidRPr="00B118E9">
        <w:rPr>
          <w:rFonts w:eastAsia="標楷體"/>
          <w:bCs/>
          <w:sz w:val="28"/>
          <w:szCs w:val="28"/>
        </w:rPr>
        <w:t>2025</w:t>
      </w:r>
      <w:r w:rsidRPr="00B118E9">
        <w:rPr>
          <w:rFonts w:eastAsia="標楷體"/>
          <w:bCs/>
          <w:sz w:val="28"/>
          <w:szCs w:val="28"/>
        </w:rPr>
        <w:t>年邁入世界製造強國之列。第二步計畫在</w:t>
      </w:r>
      <w:r w:rsidRPr="00B118E9">
        <w:rPr>
          <w:rFonts w:eastAsia="標楷體"/>
          <w:bCs/>
          <w:sz w:val="28"/>
          <w:szCs w:val="28"/>
        </w:rPr>
        <w:t>2035</w:t>
      </w:r>
      <w:r w:rsidRPr="00B118E9">
        <w:rPr>
          <w:rFonts w:eastAsia="標楷體"/>
          <w:bCs/>
          <w:sz w:val="28"/>
          <w:szCs w:val="28"/>
        </w:rPr>
        <w:t>年達到世界製造強國陣營中等水準。第三步計畫在「新中國」成立</w:t>
      </w:r>
      <w:r w:rsidRPr="00B118E9">
        <w:rPr>
          <w:rFonts w:eastAsia="標楷體"/>
          <w:bCs/>
          <w:sz w:val="28"/>
          <w:szCs w:val="28"/>
        </w:rPr>
        <w:t>100</w:t>
      </w:r>
      <w:r w:rsidRPr="00B118E9">
        <w:rPr>
          <w:rFonts w:eastAsia="標楷體"/>
          <w:bCs/>
          <w:sz w:val="28"/>
          <w:szCs w:val="28"/>
        </w:rPr>
        <w:t>年時</w:t>
      </w:r>
      <w:r w:rsidRPr="00B118E9">
        <w:rPr>
          <w:rFonts w:eastAsia="標楷體"/>
          <w:bCs/>
          <w:sz w:val="28"/>
          <w:szCs w:val="28"/>
        </w:rPr>
        <w:t>(2049</w:t>
      </w:r>
      <w:r w:rsidRPr="00B118E9">
        <w:rPr>
          <w:rFonts w:eastAsia="標楷體"/>
          <w:bCs/>
          <w:sz w:val="28"/>
          <w:szCs w:val="28"/>
        </w:rPr>
        <w:t>年</w:t>
      </w:r>
      <w:r w:rsidRPr="00B118E9">
        <w:rPr>
          <w:rFonts w:eastAsia="標楷體"/>
          <w:bCs/>
          <w:sz w:val="28"/>
          <w:szCs w:val="28"/>
        </w:rPr>
        <w:t>)</w:t>
      </w:r>
      <w:r w:rsidRPr="00B118E9">
        <w:rPr>
          <w:rFonts w:eastAsia="標楷體"/>
          <w:bCs/>
          <w:sz w:val="28"/>
          <w:szCs w:val="28"/>
        </w:rPr>
        <w:t>，製造大國地位更加鞏固，邁入世界製造強國領先地位。</w:t>
      </w:r>
    </w:p>
    <w:p w:rsidR="00845DE7" w:rsidRPr="00B118E9" w:rsidRDefault="00845DE7" w:rsidP="00DE1909">
      <w:pPr>
        <w:autoSpaceDE w:val="0"/>
        <w:autoSpaceDN w:val="0"/>
        <w:adjustRightInd w:val="0"/>
        <w:snapToGrid w:val="0"/>
        <w:spacing w:before="50" w:line="300" w:lineRule="auto"/>
        <w:ind w:right="-153" w:firstLineChars="202" w:firstLine="566"/>
        <w:jc w:val="both"/>
        <w:rPr>
          <w:rFonts w:eastAsia="標楷體"/>
          <w:color w:val="FF0000"/>
          <w:sz w:val="28"/>
          <w:szCs w:val="28"/>
        </w:rPr>
      </w:pPr>
      <w:r w:rsidRPr="00B118E9">
        <w:rPr>
          <w:rFonts w:eastAsia="標楷體"/>
          <w:color w:val="FF0000"/>
          <w:sz w:val="28"/>
          <w:szCs w:val="28"/>
        </w:rPr>
        <w:br w:type="page"/>
      </w:r>
    </w:p>
    <w:p w:rsidR="00845DE7" w:rsidRPr="00B118E9" w:rsidRDefault="00845DE7" w:rsidP="00171436">
      <w:pPr>
        <w:keepNext/>
        <w:adjustRightInd w:val="0"/>
        <w:snapToGrid w:val="0"/>
        <w:spacing w:line="300" w:lineRule="auto"/>
        <w:outlineLvl w:val="1"/>
        <w:rPr>
          <w:rFonts w:eastAsia="標楷體"/>
          <w:bCs/>
        </w:rPr>
      </w:pPr>
      <w:bookmarkStart w:id="35" w:name="_Toc401923784"/>
      <w:bookmarkStart w:id="36" w:name="_Toc402171699"/>
      <w:bookmarkStart w:id="37" w:name="_Toc420680024"/>
      <w:r w:rsidRPr="00B118E9">
        <w:rPr>
          <w:rFonts w:eastAsia="標楷體"/>
          <w:b/>
          <w:bCs/>
          <w:sz w:val="40"/>
          <w:szCs w:val="36"/>
        </w:rPr>
        <w:t>貳、國內外經濟指標</w:t>
      </w:r>
      <w:bookmarkEnd w:id="35"/>
      <w:bookmarkEnd w:id="36"/>
      <w:bookmarkEnd w:id="37"/>
    </w:p>
    <w:p w:rsidR="00845DE7" w:rsidRPr="00B118E9" w:rsidRDefault="00845DE7" w:rsidP="00845DE7">
      <w:pPr>
        <w:keepNext/>
        <w:snapToGrid w:val="0"/>
        <w:jc w:val="center"/>
        <w:outlineLvl w:val="1"/>
        <w:rPr>
          <w:rFonts w:eastAsia="標楷體"/>
          <w:b/>
          <w:sz w:val="28"/>
          <w:szCs w:val="32"/>
          <w:lang w:val="zh-TW"/>
        </w:rPr>
      </w:pPr>
      <w:bookmarkStart w:id="38" w:name="_Toc401923785"/>
      <w:bookmarkStart w:id="39" w:name="_Toc402171700"/>
      <w:bookmarkStart w:id="40" w:name="_Toc420680025"/>
      <w:r w:rsidRPr="00B118E9">
        <w:rPr>
          <w:rFonts w:eastAsia="標楷體"/>
          <w:b/>
          <w:sz w:val="32"/>
          <w:szCs w:val="32"/>
          <w:lang w:val="zh-TW"/>
        </w:rPr>
        <w:t>表</w:t>
      </w:r>
      <w:r w:rsidRPr="00B118E9">
        <w:rPr>
          <w:rFonts w:eastAsia="標楷體"/>
          <w:b/>
          <w:sz w:val="32"/>
          <w:szCs w:val="32"/>
          <w:lang w:val="zh-TW"/>
        </w:rPr>
        <w:t xml:space="preserve">1  </w:t>
      </w:r>
      <w:r w:rsidRPr="00B118E9">
        <w:rPr>
          <w:rFonts w:eastAsia="標楷體"/>
          <w:b/>
          <w:sz w:val="32"/>
          <w:szCs w:val="32"/>
          <w:lang w:val="zh-TW"/>
        </w:rPr>
        <w:t>世界經濟成長率及物價上漲率</w:t>
      </w:r>
      <w:bookmarkEnd w:id="38"/>
      <w:bookmarkEnd w:id="39"/>
      <w:bookmarkEnd w:id="40"/>
    </w:p>
    <w:p w:rsidR="00E159BD" w:rsidRPr="00B118E9" w:rsidRDefault="00E159BD" w:rsidP="00E159BD">
      <w:pPr>
        <w:jc w:val="right"/>
        <w:rPr>
          <w:rFonts w:eastAsia="標楷體"/>
          <w:bCs/>
          <w:szCs w:val="32"/>
        </w:rPr>
      </w:pPr>
      <w:r w:rsidRPr="00B118E9">
        <w:rPr>
          <w:rFonts w:eastAsia="標楷體"/>
          <w:bCs/>
          <w:szCs w:val="32"/>
        </w:rPr>
        <w:t xml:space="preserve">             </w:t>
      </w:r>
      <w:r w:rsidRPr="00B118E9">
        <w:rPr>
          <w:rFonts w:eastAsia="標楷體"/>
          <w:bCs/>
          <w:szCs w:val="32"/>
          <w:lang w:val="zh-TW"/>
        </w:rPr>
        <w:t>單位</w:t>
      </w:r>
      <w:r w:rsidRPr="00B118E9">
        <w:rPr>
          <w:rFonts w:eastAsia="標楷體"/>
          <w:bCs/>
          <w:szCs w:val="32"/>
        </w:rPr>
        <w:t>：</w:t>
      </w:r>
      <w:r w:rsidRPr="00B118E9">
        <w:rPr>
          <w:rFonts w:eastAsia="標楷體"/>
          <w:bCs/>
          <w:szCs w:val="32"/>
        </w:rPr>
        <w:t>%</w:t>
      </w:r>
    </w:p>
    <w:tbl>
      <w:tblPr>
        <w:tblW w:w="4966"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285"/>
        <w:gridCol w:w="691"/>
        <w:gridCol w:w="1032"/>
        <w:gridCol w:w="1070"/>
        <w:gridCol w:w="1029"/>
        <w:gridCol w:w="1129"/>
        <w:gridCol w:w="1049"/>
        <w:gridCol w:w="1026"/>
      </w:tblGrid>
      <w:tr w:rsidR="00E159BD" w:rsidRPr="00B118E9" w:rsidTr="00BD6B4B">
        <w:trPr>
          <w:cantSplit/>
          <w:trHeight w:val="203"/>
        </w:trPr>
        <w:tc>
          <w:tcPr>
            <w:tcW w:w="1189" w:type="pct"/>
            <w:gridSpan w:val="2"/>
            <w:vMerge w:val="restart"/>
            <w:tcBorders>
              <w:top w:val="single" w:sz="6" w:space="0" w:color="auto"/>
              <w:left w:val="nil"/>
              <w:bottom w:val="single" w:sz="6" w:space="0" w:color="auto"/>
              <w:right w:val="single" w:sz="6" w:space="0" w:color="auto"/>
            </w:tcBorders>
          </w:tcPr>
          <w:p w:rsidR="00E159BD" w:rsidRPr="00B118E9" w:rsidRDefault="00E159BD" w:rsidP="00BD6B4B">
            <w:pPr>
              <w:autoSpaceDE w:val="0"/>
              <w:autoSpaceDN w:val="0"/>
              <w:adjustRightInd w:val="0"/>
              <w:snapToGrid w:val="0"/>
              <w:spacing w:before="120" w:line="240" w:lineRule="exact"/>
              <w:jc w:val="both"/>
              <w:rPr>
                <w:rFonts w:eastAsia="標楷體"/>
                <w:bCs/>
                <w:sz w:val="28"/>
                <w:szCs w:val="32"/>
              </w:rPr>
            </w:pPr>
          </w:p>
        </w:tc>
        <w:tc>
          <w:tcPr>
            <w:tcW w:w="1884" w:type="pct"/>
            <w:gridSpan w:val="3"/>
            <w:tcBorders>
              <w:top w:val="single" w:sz="6" w:space="0" w:color="auto"/>
              <w:left w:val="single" w:sz="6" w:space="0" w:color="auto"/>
              <w:bottom w:val="single" w:sz="6" w:space="0" w:color="auto"/>
              <w:right w:val="single" w:sz="6" w:space="0" w:color="auto"/>
            </w:tcBorders>
            <w:vAlign w:val="center"/>
            <w:hideMark/>
          </w:tcPr>
          <w:p w:rsidR="00E159BD" w:rsidRPr="00B118E9" w:rsidRDefault="00E159BD" w:rsidP="00BD6B4B">
            <w:pPr>
              <w:keepNext/>
              <w:autoSpaceDE w:val="0"/>
              <w:autoSpaceDN w:val="0"/>
              <w:adjustRightInd w:val="0"/>
              <w:snapToGrid w:val="0"/>
              <w:spacing w:before="120" w:line="240" w:lineRule="exact"/>
              <w:jc w:val="center"/>
              <w:outlineLvl w:val="3"/>
              <w:rPr>
                <w:rFonts w:eastAsia="標楷體"/>
                <w:bCs/>
                <w:sz w:val="28"/>
                <w:szCs w:val="32"/>
              </w:rPr>
            </w:pPr>
            <w:r w:rsidRPr="00B118E9">
              <w:rPr>
                <w:rFonts w:eastAsia="標楷體"/>
                <w:bCs/>
                <w:sz w:val="28"/>
                <w:szCs w:val="32"/>
              </w:rPr>
              <w:t>Global Insight</w:t>
            </w:r>
          </w:p>
        </w:tc>
        <w:tc>
          <w:tcPr>
            <w:tcW w:w="1927" w:type="pct"/>
            <w:gridSpan w:val="3"/>
            <w:tcBorders>
              <w:top w:val="single" w:sz="6" w:space="0" w:color="auto"/>
              <w:left w:val="single" w:sz="6" w:space="0" w:color="auto"/>
              <w:bottom w:val="single" w:sz="6" w:space="0" w:color="auto"/>
              <w:right w:val="nil"/>
            </w:tcBorders>
            <w:vAlign w:val="center"/>
            <w:hideMark/>
          </w:tcPr>
          <w:p w:rsidR="00E159BD" w:rsidRPr="00B118E9" w:rsidRDefault="00E159BD" w:rsidP="00BD6B4B">
            <w:pPr>
              <w:keepNext/>
              <w:autoSpaceDE w:val="0"/>
              <w:autoSpaceDN w:val="0"/>
              <w:adjustRightInd w:val="0"/>
              <w:snapToGrid w:val="0"/>
              <w:spacing w:before="120" w:line="240" w:lineRule="exact"/>
              <w:jc w:val="center"/>
              <w:outlineLvl w:val="3"/>
              <w:rPr>
                <w:rFonts w:eastAsia="標楷體"/>
                <w:bCs/>
                <w:sz w:val="28"/>
                <w:szCs w:val="32"/>
              </w:rPr>
            </w:pPr>
            <w:r w:rsidRPr="00B118E9">
              <w:rPr>
                <w:rFonts w:eastAsia="標楷體"/>
                <w:bCs/>
                <w:sz w:val="28"/>
                <w:szCs w:val="32"/>
              </w:rPr>
              <w:t>IMF</w:t>
            </w:r>
          </w:p>
        </w:tc>
      </w:tr>
      <w:tr w:rsidR="00E159BD" w:rsidRPr="00B118E9" w:rsidTr="00BD6B4B">
        <w:trPr>
          <w:cantSplit/>
          <w:trHeight w:val="272"/>
        </w:trPr>
        <w:tc>
          <w:tcPr>
            <w:tcW w:w="0" w:type="auto"/>
            <w:gridSpan w:val="2"/>
            <w:vMerge/>
            <w:tcBorders>
              <w:top w:val="single" w:sz="6" w:space="0" w:color="auto"/>
              <w:left w:val="nil"/>
              <w:bottom w:val="single" w:sz="6" w:space="0" w:color="auto"/>
              <w:right w:val="single" w:sz="6" w:space="0" w:color="auto"/>
            </w:tcBorders>
            <w:vAlign w:val="center"/>
            <w:hideMark/>
          </w:tcPr>
          <w:p w:rsidR="00E159BD" w:rsidRPr="00B118E9" w:rsidRDefault="00E159BD" w:rsidP="00BD6B4B">
            <w:pPr>
              <w:widowControl/>
              <w:spacing w:line="240" w:lineRule="exact"/>
              <w:rPr>
                <w:rFonts w:eastAsia="標楷體"/>
                <w:bCs/>
                <w:sz w:val="28"/>
                <w:szCs w:val="32"/>
              </w:rPr>
            </w:pPr>
          </w:p>
        </w:tc>
        <w:tc>
          <w:tcPr>
            <w:tcW w:w="621" w:type="pct"/>
            <w:tcBorders>
              <w:top w:val="single" w:sz="6" w:space="0" w:color="auto"/>
              <w:left w:val="single" w:sz="6" w:space="0" w:color="auto"/>
              <w:bottom w:val="single" w:sz="6" w:space="0" w:color="auto"/>
              <w:right w:val="single" w:sz="6" w:space="0" w:color="auto"/>
            </w:tcBorders>
            <w:vAlign w:val="center"/>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2014</w:t>
            </w:r>
          </w:p>
        </w:tc>
        <w:tc>
          <w:tcPr>
            <w:tcW w:w="644" w:type="pct"/>
            <w:tcBorders>
              <w:top w:val="single" w:sz="6" w:space="0" w:color="auto"/>
              <w:left w:val="single" w:sz="6"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2015(f)</w:t>
            </w:r>
          </w:p>
        </w:tc>
        <w:tc>
          <w:tcPr>
            <w:tcW w:w="619" w:type="pct"/>
            <w:tcBorders>
              <w:top w:val="single" w:sz="6" w:space="0" w:color="auto"/>
              <w:left w:val="single" w:sz="6"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2016(f)</w:t>
            </w:r>
          </w:p>
        </w:tc>
        <w:tc>
          <w:tcPr>
            <w:tcW w:w="679" w:type="pct"/>
            <w:tcBorders>
              <w:top w:val="single" w:sz="6" w:space="0" w:color="auto"/>
              <w:left w:val="single" w:sz="6" w:space="0" w:color="auto"/>
              <w:bottom w:val="single" w:sz="6" w:space="0" w:color="auto"/>
              <w:right w:val="single" w:sz="6" w:space="0" w:color="auto"/>
            </w:tcBorders>
            <w:vAlign w:val="center"/>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2014</w:t>
            </w:r>
          </w:p>
        </w:tc>
        <w:tc>
          <w:tcPr>
            <w:tcW w:w="631" w:type="pct"/>
            <w:tcBorders>
              <w:top w:val="single" w:sz="6" w:space="0" w:color="auto"/>
              <w:left w:val="single" w:sz="6"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2015(f)</w:t>
            </w:r>
          </w:p>
        </w:tc>
        <w:tc>
          <w:tcPr>
            <w:tcW w:w="617" w:type="pct"/>
            <w:tcBorders>
              <w:top w:val="single" w:sz="6" w:space="0" w:color="auto"/>
              <w:left w:val="single" w:sz="6" w:space="0" w:color="auto"/>
              <w:bottom w:val="single" w:sz="6" w:space="0" w:color="auto"/>
              <w:right w:val="nil"/>
            </w:tcBorders>
            <w:vAlign w:val="center"/>
            <w:hideMark/>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2016(f)</w:t>
            </w:r>
          </w:p>
        </w:tc>
      </w:tr>
      <w:tr w:rsidR="00E159BD" w:rsidRPr="00B118E9" w:rsidTr="00BD6B4B">
        <w:trPr>
          <w:cantSplit/>
          <w:trHeight w:val="259"/>
        </w:trPr>
        <w:tc>
          <w:tcPr>
            <w:tcW w:w="773" w:type="pct"/>
            <w:vMerge w:val="restart"/>
            <w:tcBorders>
              <w:top w:val="single" w:sz="6" w:space="0" w:color="auto"/>
              <w:left w:val="nil"/>
              <w:bottom w:val="single" w:sz="6" w:space="0" w:color="auto"/>
              <w:right w:val="single" w:sz="4"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全</w:t>
            </w:r>
            <w:r w:rsidRPr="00B118E9">
              <w:rPr>
                <w:rFonts w:eastAsia="標楷體"/>
                <w:bCs/>
                <w:sz w:val="28"/>
                <w:szCs w:val="32"/>
              </w:rPr>
              <w:t xml:space="preserve">    </w:t>
            </w:r>
            <w:r w:rsidRPr="00B118E9">
              <w:rPr>
                <w:rFonts w:eastAsia="標楷體"/>
                <w:bCs/>
                <w:sz w:val="28"/>
                <w:szCs w:val="32"/>
                <w:lang w:val="zh-TW"/>
              </w:rPr>
              <w:t>球</w:t>
            </w: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6" w:space="0" w:color="auto"/>
              <w:left w:val="single" w:sz="6" w:space="0" w:color="auto"/>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2.8</w:t>
            </w:r>
          </w:p>
        </w:tc>
        <w:tc>
          <w:tcPr>
            <w:tcW w:w="644" w:type="pct"/>
            <w:tcBorders>
              <w:top w:val="single" w:sz="6"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2.7</w:t>
            </w:r>
          </w:p>
        </w:tc>
        <w:tc>
          <w:tcPr>
            <w:tcW w:w="619" w:type="pct"/>
            <w:tcBorders>
              <w:top w:val="single" w:sz="6" w:space="0" w:color="auto"/>
              <w:left w:val="nil"/>
              <w:bottom w:val="nil"/>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3.3</w:t>
            </w:r>
          </w:p>
        </w:tc>
        <w:tc>
          <w:tcPr>
            <w:tcW w:w="679" w:type="pct"/>
            <w:tcBorders>
              <w:top w:val="single" w:sz="6"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3.4</w:t>
            </w:r>
          </w:p>
        </w:tc>
        <w:tc>
          <w:tcPr>
            <w:tcW w:w="631" w:type="pct"/>
            <w:tcBorders>
              <w:top w:val="single" w:sz="6"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3.5</w:t>
            </w:r>
          </w:p>
        </w:tc>
        <w:tc>
          <w:tcPr>
            <w:tcW w:w="617" w:type="pct"/>
            <w:tcBorders>
              <w:top w:val="single" w:sz="6"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3.8</w:t>
            </w:r>
          </w:p>
        </w:tc>
      </w:tr>
      <w:tr w:rsidR="00E159BD" w:rsidRPr="00B118E9" w:rsidTr="00BD6B4B">
        <w:trPr>
          <w:cantSplit/>
          <w:trHeight w:val="259"/>
        </w:trPr>
        <w:tc>
          <w:tcPr>
            <w:tcW w:w="0" w:type="auto"/>
            <w:vMerge/>
            <w:tcBorders>
              <w:top w:val="single" w:sz="6" w:space="0" w:color="auto"/>
              <w:left w:val="nil"/>
              <w:bottom w:val="single" w:sz="6" w:space="0" w:color="auto"/>
              <w:right w:val="single" w:sz="4" w:space="0" w:color="auto"/>
            </w:tcBorders>
            <w:vAlign w:val="center"/>
            <w:hideMark/>
          </w:tcPr>
          <w:p w:rsidR="00E159BD" w:rsidRPr="00B118E9" w:rsidRDefault="00E159BD"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2.9</w:t>
            </w:r>
          </w:p>
        </w:tc>
        <w:tc>
          <w:tcPr>
            <w:tcW w:w="644"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2.2</w:t>
            </w:r>
          </w:p>
        </w:tc>
        <w:tc>
          <w:tcPr>
            <w:tcW w:w="619" w:type="pct"/>
            <w:tcBorders>
              <w:top w:val="nil"/>
              <w:left w:val="nil"/>
              <w:bottom w:val="single" w:sz="4" w:space="0" w:color="auto"/>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3.0</w:t>
            </w:r>
          </w:p>
        </w:tc>
        <w:tc>
          <w:tcPr>
            <w:tcW w:w="679"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w:t>
            </w:r>
          </w:p>
        </w:tc>
        <w:tc>
          <w:tcPr>
            <w:tcW w:w="631"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w:t>
            </w:r>
          </w:p>
        </w:tc>
        <w:tc>
          <w:tcPr>
            <w:tcW w:w="617"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p>
        </w:tc>
      </w:tr>
      <w:tr w:rsidR="00E159BD" w:rsidRPr="00B118E9" w:rsidTr="00BD6B4B">
        <w:trPr>
          <w:cantSplit/>
          <w:trHeight w:val="218"/>
        </w:trPr>
        <w:tc>
          <w:tcPr>
            <w:tcW w:w="773" w:type="pct"/>
            <w:vMerge w:val="restart"/>
            <w:tcBorders>
              <w:top w:val="single" w:sz="4" w:space="0" w:color="auto"/>
              <w:left w:val="nil"/>
              <w:bottom w:val="single" w:sz="6" w:space="0" w:color="auto"/>
              <w:right w:val="single" w:sz="4"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美</w:t>
            </w:r>
            <w:r w:rsidRPr="00B118E9">
              <w:rPr>
                <w:rFonts w:eastAsia="標楷體"/>
                <w:bCs/>
                <w:sz w:val="28"/>
                <w:szCs w:val="32"/>
              </w:rPr>
              <w:t xml:space="preserve">    </w:t>
            </w:r>
            <w:r w:rsidRPr="00B118E9">
              <w:rPr>
                <w:rFonts w:eastAsia="標楷體"/>
                <w:bCs/>
                <w:sz w:val="28"/>
                <w:szCs w:val="32"/>
                <w:lang w:val="zh-TW"/>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2.4</w:t>
            </w:r>
          </w:p>
        </w:tc>
        <w:tc>
          <w:tcPr>
            <w:tcW w:w="644"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2.3</w:t>
            </w:r>
          </w:p>
        </w:tc>
        <w:tc>
          <w:tcPr>
            <w:tcW w:w="619" w:type="pct"/>
            <w:tcBorders>
              <w:top w:val="single" w:sz="4" w:space="0" w:color="auto"/>
              <w:left w:val="nil"/>
              <w:bottom w:val="nil"/>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2.9</w:t>
            </w:r>
          </w:p>
        </w:tc>
        <w:tc>
          <w:tcPr>
            <w:tcW w:w="679"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2.4</w:t>
            </w:r>
          </w:p>
        </w:tc>
        <w:tc>
          <w:tcPr>
            <w:tcW w:w="631"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3.1</w:t>
            </w:r>
          </w:p>
        </w:tc>
        <w:tc>
          <w:tcPr>
            <w:tcW w:w="617"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3.1</w:t>
            </w:r>
          </w:p>
        </w:tc>
      </w:tr>
      <w:tr w:rsidR="00E159BD" w:rsidRPr="00B118E9" w:rsidTr="00BD6B4B">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E159BD" w:rsidRPr="00B118E9" w:rsidRDefault="00E159BD"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1.6</w:t>
            </w:r>
          </w:p>
        </w:tc>
        <w:tc>
          <w:tcPr>
            <w:tcW w:w="644"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-0.2</w:t>
            </w:r>
          </w:p>
        </w:tc>
        <w:tc>
          <w:tcPr>
            <w:tcW w:w="619" w:type="pct"/>
            <w:tcBorders>
              <w:top w:val="nil"/>
              <w:left w:val="nil"/>
              <w:bottom w:val="single" w:sz="4" w:space="0" w:color="auto"/>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2.0</w:t>
            </w:r>
          </w:p>
        </w:tc>
        <w:tc>
          <w:tcPr>
            <w:tcW w:w="679"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1.6</w:t>
            </w:r>
          </w:p>
        </w:tc>
        <w:tc>
          <w:tcPr>
            <w:tcW w:w="631"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0.1</w:t>
            </w:r>
          </w:p>
        </w:tc>
        <w:tc>
          <w:tcPr>
            <w:tcW w:w="617"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1.5</w:t>
            </w:r>
          </w:p>
        </w:tc>
      </w:tr>
      <w:tr w:rsidR="00E159BD" w:rsidRPr="00B118E9" w:rsidTr="00BD6B4B">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E159BD" w:rsidRPr="00B118E9" w:rsidRDefault="00E159BD" w:rsidP="00BD6B4B">
            <w:pPr>
              <w:tabs>
                <w:tab w:val="left" w:pos="1800"/>
              </w:tabs>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歐</w:t>
            </w:r>
            <w:r w:rsidRPr="00B118E9">
              <w:rPr>
                <w:rFonts w:eastAsia="標楷體"/>
                <w:bCs/>
                <w:sz w:val="28"/>
                <w:szCs w:val="32"/>
              </w:rPr>
              <w:t xml:space="preserve"> </w:t>
            </w:r>
            <w:r w:rsidRPr="00B118E9">
              <w:rPr>
                <w:rFonts w:eastAsia="標楷體"/>
                <w:bCs/>
                <w:sz w:val="28"/>
                <w:szCs w:val="32"/>
                <w:lang w:val="zh-TW"/>
              </w:rPr>
              <w:t>元</w:t>
            </w:r>
            <w:r w:rsidRPr="00B118E9">
              <w:rPr>
                <w:rFonts w:eastAsia="標楷體"/>
                <w:bCs/>
                <w:sz w:val="28"/>
                <w:szCs w:val="32"/>
              </w:rPr>
              <w:t xml:space="preserve"> </w:t>
            </w:r>
            <w:r w:rsidRPr="00B118E9">
              <w:rPr>
                <w:rFonts w:eastAsia="標楷體"/>
                <w:bCs/>
                <w:sz w:val="28"/>
                <w:szCs w:val="32"/>
                <w:lang w:val="zh-TW"/>
              </w:rPr>
              <w:t>區</w:t>
            </w: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0.9</w:t>
            </w:r>
          </w:p>
        </w:tc>
        <w:tc>
          <w:tcPr>
            <w:tcW w:w="644"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1.5</w:t>
            </w:r>
          </w:p>
        </w:tc>
        <w:tc>
          <w:tcPr>
            <w:tcW w:w="619" w:type="pct"/>
            <w:tcBorders>
              <w:top w:val="single" w:sz="4" w:space="0" w:color="auto"/>
              <w:left w:val="nil"/>
              <w:bottom w:val="nil"/>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1.9</w:t>
            </w:r>
          </w:p>
        </w:tc>
        <w:tc>
          <w:tcPr>
            <w:tcW w:w="679"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0.9</w:t>
            </w:r>
          </w:p>
        </w:tc>
        <w:tc>
          <w:tcPr>
            <w:tcW w:w="631"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1.5</w:t>
            </w:r>
          </w:p>
        </w:tc>
        <w:tc>
          <w:tcPr>
            <w:tcW w:w="617"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1.6</w:t>
            </w:r>
          </w:p>
        </w:tc>
      </w:tr>
      <w:tr w:rsidR="00E159BD" w:rsidRPr="00B118E9" w:rsidTr="00BD6B4B">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E159BD" w:rsidRPr="00B118E9" w:rsidRDefault="00E159BD"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0.5</w:t>
            </w:r>
          </w:p>
        </w:tc>
        <w:tc>
          <w:tcPr>
            <w:tcW w:w="644"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0.2</w:t>
            </w:r>
          </w:p>
        </w:tc>
        <w:tc>
          <w:tcPr>
            <w:tcW w:w="619" w:type="pct"/>
            <w:tcBorders>
              <w:top w:val="nil"/>
              <w:left w:val="nil"/>
              <w:bottom w:val="single" w:sz="4" w:space="0" w:color="auto"/>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1.3</w:t>
            </w:r>
          </w:p>
        </w:tc>
        <w:tc>
          <w:tcPr>
            <w:tcW w:w="679"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0.4</w:t>
            </w:r>
          </w:p>
        </w:tc>
        <w:tc>
          <w:tcPr>
            <w:tcW w:w="631"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0.1</w:t>
            </w:r>
          </w:p>
        </w:tc>
        <w:tc>
          <w:tcPr>
            <w:tcW w:w="617"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1.0</w:t>
            </w:r>
          </w:p>
        </w:tc>
      </w:tr>
      <w:tr w:rsidR="00E159BD" w:rsidRPr="00B118E9" w:rsidTr="00BD6B4B">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日</w:t>
            </w:r>
            <w:r w:rsidRPr="00B118E9">
              <w:rPr>
                <w:rFonts w:eastAsia="標楷體"/>
                <w:bCs/>
                <w:sz w:val="28"/>
                <w:szCs w:val="32"/>
              </w:rPr>
              <w:t xml:space="preserve">    </w:t>
            </w:r>
            <w:r w:rsidRPr="00B118E9">
              <w:rPr>
                <w:rFonts w:eastAsia="標楷體"/>
                <w:bCs/>
                <w:sz w:val="28"/>
                <w:szCs w:val="32"/>
                <w:lang w:val="zh-TW"/>
              </w:rPr>
              <w:t>本</w:t>
            </w: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-0.1</w:t>
            </w:r>
          </w:p>
        </w:tc>
        <w:tc>
          <w:tcPr>
            <w:tcW w:w="644"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0.8</w:t>
            </w:r>
          </w:p>
        </w:tc>
        <w:tc>
          <w:tcPr>
            <w:tcW w:w="619" w:type="pct"/>
            <w:tcBorders>
              <w:top w:val="single" w:sz="4" w:space="0" w:color="auto"/>
              <w:left w:val="nil"/>
              <w:bottom w:val="nil"/>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1.5</w:t>
            </w:r>
          </w:p>
        </w:tc>
        <w:tc>
          <w:tcPr>
            <w:tcW w:w="679"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-0.1</w:t>
            </w:r>
          </w:p>
        </w:tc>
        <w:tc>
          <w:tcPr>
            <w:tcW w:w="631"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1.0</w:t>
            </w:r>
          </w:p>
        </w:tc>
        <w:tc>
          <w:tcPr>
            <w:tcW w:w="617"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1.2</w:t>
            </w:r>
          </w:p>
        </w:tc>
      </w:tr>
      <w:tr w:rsidR="00E159BD" w:rsidRPr="00B118E9" w:rsidTr="00BD6B4B">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E159BD" w:rsidRPr="00B118E9" w:rsidRDefault="00E159BD"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2.7</w:t>
            </w:r>
          </w:p>
        </w:tc>
        <w:tc>
          <w:tcPr>
            <w:tcW w:w="644"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0.8</w:t>
            </w:r>
          </w:p>
        </w:tc>
        <w:tc>
          <w:tcPr>
            <w:tcW w:w="619" w:type="pct"/>
            <w:tcBorders>
              <w:top w:val="nil"/>
              <w:left w:val="nil"/>
              <w:bottom w:val="single" w:sz="4" w:space="0" w:color="auto"/>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1.3</w:t>
            </w:r>
          </w:p>
        </w:tc>
        <w:tc>
          <w:tcPr>
            <w:tcW w:w="679"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2.7</w:t>
            </w:r>
          </w:p>
        </w:tc>
        <w:tc>
          <w:tcPr>
            <w:tcW w:w="631"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1.0</w:t>
            </w:r>
          </w:p>
        </w:tc>
        <w:tc>
          <w:tcPr>
            <w:tcW w:w="617"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0.9</w:t>
            </w:r>
          </w:p>
        </w:tc>
      </w:tr>
      <w:tr w:rsidR="00E159BD" w:rsidRPr="00B118E9" w:rsidTr="00BD6B4B">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E159BD" w:rsidRPr="00B118E9" w:rsidRDefault="00E159BD" w:rsidP="00BD6B4B">
            <w:pPr>
              <w:rPr>
                <w:rFonts w:eastAsia="標楷體"/>
                <w:bCs/>
                <w:sz w:val="28"/>
                <w:szCs w:val="32"/>
              </w:rPr>
            </w:pPr>
            <w:r w:rsidRPr="00B118E9">
              <w:rPr>
                <w:rFonts w:eastAsia="標楷體"/>
                <w:bCs/>
                <w:sz w:val="28"/>
                <w:szCs w:val="32"/>
                <w:lang w:val="zh-TW"/>
              </w:rPr>
              <w:t>中華民國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3.7</w:t>
            </w:r>
          </w:p>
        </w:tc>
        <w:tc>
          <w:tcPr>
            <w:tcW w:w="644"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3.6</w:t>
            </w:r>
          </w:p>
        </w:tc>
        <w:tc>
          <w:tcPr>
            <w:tcW w:w="619" w:type="pct"/>
            <w:tcBorders>
              <w:top w:val="single" w:sz="4" w:space="0" w:color="auto"/>
              <w:left w:val="nil"/>
              <w:bottom w:val="nil"/>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3.7</w:t>
            </w:r>
          </w:p>
        </w:tc>
        <w:tc>
          <w:tcPr>
            <w:tcW w:w="679" w:type="pct"/>
            <w:tcBorders>
              <w:top w:val="single" w:sz="4" w:space="0" w:color="auto"/>
              <w:left w:val="single" w:sz="6" w:space="0" w:color="auto"/>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3.7</w:t>
            </w:r>
          </w:p>
        </w:tc>
        <w:tc>
          <w:tcPr>
            <w:tcW w:w="631"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3.8</w:t>
            </w:r>
          </w:p>
        </w:tc>
        <w:tc>
          <w:tcPr>
            <w:tcW w:w="617"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4.1</w:t>
            </w:r>
          </w:p>
        </w:tc>
      </w:tr>
      <w:tr w:rsidR="00E159BD" w:rsidRPr="00B118E9" w:rsidTr="00BD6B4B">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E159BD" w:rsidRPr="00B118E9" w:rsidRDefault="00E159BD"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1.2</w:t>
            </w:r>
          </w:p>
        </w:tc>
        <w:tc>
          <w:tcPr>
            <w:tcW w:w="644"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-0.2</w:t>
            </w:r>
          </w:p>
        </w:tc>
        <w:tc>
          <w:tcPr>
            <w:tcW w:w="619" w:type="pct"/>
            <w:tcBorders>
              <w:top w:val="nil"/>
              <w:left w:val="nil"/>
              <w:bottom w:val="single" w:sz="4" w:space="0" w:color="auto"/>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0.9</w:t>
            </w:r>
          </w:p>
        </w:tc>
        <w:tc>
          <w:tcPr>
            <w:tcW w:w="679" w:type="pct"/>
            <w:tcBorders>
              <w:top w:val="nil"/>
              <w:left w:val="single" w:sz="6" w:space="0" w:color="auto"/>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1.2</w:t>
            </w:r>
          </w:p>
        </w:tc>
        <w:tc>
          <w:tcPr>
            <w:tcW w:w="631"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0.7</w:t>
            </w:r>
          </w:p>
        </w:tc>
        <w:tc>
          <w:tcPr>
            <w:tcW w:w="617"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1.3</w:t>
            </w:r>
          </w:p>
        </w:tc>
      </w:tr>
      <w:tr w:rsidR="00E159BD" w:rsidRPr="00B118E9" w:rsidTr="00BD6B4B">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E159BD" w:rsidRPr="00B118E9" w:rsidRDefault="00E159BD" w:rsidP="00BD6B4B">
            <w:pPr>
              <w:rPr>
                <w:rFonts w:eastAsia="標楷體"/>
                <w:bCs/>
                <w:sz w:val="28"/>
                <w:szCs w:val="32"/>
              </w:rPr>
            </w:pPr>
            <w:r w:rsidRPr="00B118E9">
              <w:rPr>
                <w:rFonts w:eastAsia="標楷體"/>
                <w:bCs/>
                <w:sz w:val="28"/>
                <w:szCs w:val="32"/>
                <w:lang w:val="zh-TW"/>
              </w:rPr>
              <w:t>中國大陸</w:t>
            </w: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7.4</w:t>
            </w:r>
          </w:p>
        </w:tc>
        <w:tc>
          <w:tcPr>
            <w:tcW w:w="644"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6.5</w:t>
            </w:r>
          </w:p>
        </w:tc>
        <w:tc>
          <w:tcPr>
            <w:tcW w:w="619" w:type="pct"/>
            <w:tcBorders>
              <w:top w:val="single" w:sz="4" w:space="0" w:color="auto"/>
              <w:left w:val="nil"/>
              <w:bottom w:val="nil"/>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6.3</w:t>
            </w:r>
          </w:p>
        </w:tc>
        <w:tc>
          <w:tcPr>
            <w:tcW w:w="679"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7.4</w:t>
            </w:r>
          </w:p>
        </w:tc>
        <w:tc>
          <w:tcPr>
            <w:tcW w:w="631"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6.8</w:t>
            </w:r>
          </w:p>
        </w:tc>
        <w:tc>
          <w:tcPr>
            <w:tcW w:w="617"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6.3</w:t>
            </w:r>
          </w:p>
        </w:tc>
      </w:tr>
      <w:tr w:rsidR="00E159BD" w:rsidRPr="00B118E9" w:rsidTr="00BD6B4B">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E159BD" w:rsidRPr="00B118E9" w:rsidRDefault="00E159BD"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2.0</w:t>
            </w:r>
          </w:p>
        </w:tc>
        <w:tc>
          <w:tcPr>
            <w:tcW w:w="644"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1.4</w:t>
            </w:r>
          </w:p>
        </w:tc>
        <w:tc>
          <w:tcPr>
            <w:tcW w:w="619" w:type="pct"/>
            <w:tcBorders>
              <w:top w:val="nil"/>
              <w:left w:val="nil"/>
              <w:bottom w:val="single" w:sz="4" w:space="0" w:color="auto"/>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1.7</w:t>
            </w:r>
          </w:p>
        </w:tc>
        <w:tc>
          <w:tcPr>
            <w:tcW w:w="679"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2.0</w:t>
            </w:r>
          </w:p>
        </w:tc>
        <w:tc>
          <w:tcPr>
            <w:tcW w:w="631"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1.2</w:t>
            </w:r>
          </w:p>
        </w:tc>
        <w:tc>
          <w:tcPr>
            <w:tcW w:w="617"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1.5</w:t>
            </w:r>
          </w:p>
        </w:tc>
      </w:tr>
      <w:tr w:rsidR="00E159BD" w:rsidRPr="00B118E9" w:rsidTr="00BD6B4B">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新</w:t>
            </w:r>
            <w:r w:rsidRPr="00B118E9">
              <w:rPr>
                <w:rFonts w:eastAsia="標楷體"/>
                <w:bCs/>
                <w:sz w:val="28"/>
                <w:szCs w:val="32"/>
              </w:rPr>
              <w:t xml:space="preserve"> </w:t>
            </w:r>
            <w:r w:rsidRPr="00B118E9">
              <w:rPr>
                <w:rFonts w:eastAsia="標楷體"/>
                <w:bCs/>
                <w:sz w:val="28"/>
                <w:szCs w:val="32"/>
                <w:lang w:val="zh-TW"/>
              </w:rPr>
              <w:t>加</w:t>
            </w:r>
            <w:r w:rsidRPr="00B118E9">
              <w:rPr>
                <w:rFonts w:eastAsia="標楷體"/>
                <w:bCs/>
                <w:sz w:val="28"/>
                <w:szCs w:val="32"/>
              </w:rPr>
              <w:t xml:space="preserve"> </w:t>
            </w:r>
            <w:r w:rsidRPr="00B118E9">
              <w:rPr>
                <w:rFonts w:eastAsia="標楷體"/>
                <w:bCs/>
                <w:sz w:val="28"/>
                <w:szCs w:val="32"/>
                <w:lang w:val="zh-TW"/>
              </w:rPr>
              <w:t>坡</w:t>
            </w: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2.9</w:t>
            </w:r>
          </w:p>
        </w:tc>
        <w:tc>
          <w:tcPr>
            <w:tcW w:w="644"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3.3</w:t>
            </w:r>
          </w:p>
        </w:tc>
        <w:tc>
          <w:tcPr>
            <w:tcW w:w="619" w:type="pct"/>
            <w:tcBorders>
              <w:top w:val="single" w:sz="4" w:space="0" w:color="auto"/>
              <w:left w:val="nil"/>
              <w:bottom w:val="nil"/>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3.2</w:t>
            </w:r>
          </w:p>
        </w:tc>
        <w:tc>
          <w:tcPr>
            <w:tcW w:w="679"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2.9</w:t>
            </w:r>
          </w:p>
        </w:tc>
        <w:tc>
          <w:tcPr>
            <w:tcW w:w="631"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3.0</w:t>
            </w:r>
          </w:p>
        </w:tc>
        <w:tc>
          <w:tcPr>
            <w:tcW w:w="617"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3.0</w:t>
            </w:r>
          </w:p>
        </w:tc>
      </w:tr>
      <w:tr w:rsidR="00E159BD" w:rsidRPr="00B118E9" w:rsidTr="00BD6B4B">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E159BD" w:rsidRPr="00B118E9" w:rsidRDefault="00E159BD"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1.0</w:t>
            </w:r>
          </w:p>
        </w:tc>
        <w:tc>
          <w:tcPr>
            <w:tcW w:w="644"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0.6</w:t>
            </w:r>
          </w:p>
        </w:tc>
        <w:tc>
          <w:tcPr>
            <w:tcW w:w="619" w:type="pct"/>
            <w:tcBorders>
              <w:top w:val="nil"/>
              <w:left w:val="nil"/>
              <w:bottom w:val="single" w:sz="4" w:space="0" w:color="auto"/>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2.9</w:t>
            </w:r>
          </w:p>
        </w:tc>
        <w:tc>
          <w:tcPr>
            <w:tcW w:w="679"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1.0</w:t>
            </w:r>
          </w:p>
        </w:tc>
        <w:tc>
          <w:tcPr>
            <w:tcW w:w="631"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0.0</w:t>
            </w:r>
          </w:p>
        </w:tc>
        <w:tc>
          <w:tcPr>
            <w:tcW w:w="617"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1.7</w:t>
            </w:r>
          </w:p>
        </w:tc>
      </w:tr>
      <w:tr w:rsidR="00E159BD" w:rsidRPr="00B118E9" w:rsidTr="00BD6B4B">
        <w:trPr>
          <w:cantSplit/>
          <w:trHeight w:val="173"/>
        </w:trPr>
        <w:tc>
          <w:tcPr>
            <w:tcW w:w="773" w:type="pct"/>
            <w:vMerge w:val="restart"/>
            <w:tcBorders>
              <w:top w:val="single" w:sz="4" w:space="0" w:color="auto"/>
              <w:left w:val="nil"/>
              <w:bottom w:val="single" w:sz="4" w:space="0" w:color="auto"/>
              <w:right w:val="single" w:sz="4"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韓</w:t>
            </w:r>
            <w:r w:rsidRPr="00B118E9">
              <w:rPr>
                <w:rFonts w:eastAsia="標楷體"/>
                <w:bCs/>
                <w:sz w:val="28"/>
                <w:szCs w:val="32"/>
              </w:rPr>
              <w:t xml:space="preserve">    </w:t>
            </w:r>
            <w:r w:rsidRPr="00B118E9">
              <w:rPr>
                <w:rFonts w:eastAsia="標楷體"/>
                <w:bCs/>
                <w:sz w:val="28"/>
                <w:szCs w:val="32"/>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3.3</w:t>
            </w:r>
          </w:p>
        </w:tc>
        <w:tc>
          <w:tcPr>
            <w:tcW w:w="644"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2.6</w:t>
            </w:r>
          </w:p>
        </w:tc>
        <w:tc>
          <w:tcPr>
            <w:tcW w:w="619" w:type="pct"/>
            <w:tcBorders>
              <w:top w:val="single" w:sz="4" w:space="0" w:color="auto"/>
              <w:left w:val="nil"/>
              <w:bottom w:val="nil"/>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3.4</w:t>
            </w:r>
          </w:p>
        </w:tc>
        <w:tc>
          <w:tcPr>
            <w:tcW w:w="679"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3.3</w:t>
            </w:r>
          </w:p>
        </w:tc>
        <w:tc>
          <w:tcPr>
            <w:tcW w:w="631"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3.3</w:t>
            </w:r>
          </w:p>
        </w:tc>
        <w:tc>
          <w:tcPr>
            <w:tcW w:w="617"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3.5</w:t>
            </w:r>
          </w:p>
        </w:tc>
      </w:tr>
      <w:tr w:rsidR="00E159BD" w:rsidRPr="00B118E9" w:rsidTr="00BD6B4B">
        <w:trPr>
          <w:cantSplit/>
          <w:trHeight w:val="260"/>
        </w:trPr>
        <w:tc>
          <w:tcPr>
            <w:tcW w:w="0" w:type="auto"/>
            <w:vMerge/>
            <w:tcBorders>
              <w:top w:val="single" w:sz="4" w:space="0" w:color="auto"/>
              <w:left w:val="nil"/>
              <w:bottom w:val="single" w:sz="4" w:space="0" w:color="auto"/>
              <w:right w:val="single" w:sz="4" w:space="0" w:color="auto"/>
            </w:tcBorders>
            <w:vAlign w:val="center"/>
            <w:hideMark/>
          </w:tcPr>
          <w:p w:rsidR="00E159BD" w:rsidRPr="00B118E9" w:rsidRDefault="00E159BD"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4"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1.3</w:t>
            </w:r>
          </w:p>
        </w:tc>
        <w:tc>
          <w:tcPr>
            <w:tcW w:w="644"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0.2</w:t>
            </w:r>
          </w:p>
        </w:tc>
        <w:tc>
          <w:tcPr>
            <w:tcW w:w="619" w:type="pct"/>
            <w:tcBorders>
              <w:top w:val="nil"/>
              <w:left w:val="nil"/>
              <w:bottom w:val="single" w:sz="4" w:space="0" w:color="auto"/>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1.2</w:t>
            </w:r>
          </w:p>
        </w:tc>
        <w:tc>
          <w:tcPr>
            <w:tcW w:w="679"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1.3</w:t>
            </w:r>
          </w:p>
        </w:tc>
        <w:tc>
          <w:tcPr>
            <w:tcW w:w="631"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1.5</w:t>
            </w:r>
          </w:p>
        </w:tc>
        <w:tc>
          <w:tcPr>
            <w:tcW w:w="617" w:type="pct"/>
            <w:tcBorders>
              <w:top w:val="nil"/>
              <w:left w:val="nil"/>
              <w:bottom w:val="single" w:sz="4"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2.5</w:t>
            </w:r>
          </w:p>
        </w:tc>
      </w:tr>
      <w:tr w:rsidR="00E159BD" w:rsidRPr="00B118E9" w:rsidTr="00BD6B4B">
        <w:trPr>
          <w:cantSplit/>
          <w:trHeight w:val="260"/>
        </w:trPr>
        <w:tc>
          <w:tcPr>
            <w:tcW w:w="773" w:type="pct"/>
            <w:vMerge w:val="restart"/>
            <w:tcBorders>
              <w:top w:val="single" w:sz="4" w:space="0" w:color="auto"/>
              <w:left w:val="nil"/>
              <w:bottom w:val="single" w:sz="6" w:space="0" w:color="auto"/>
              <w:right w:val="single" w:sz="4"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香</w:t>
            </w:r>
            <w:r w:rsidRPr="00B118E9">
              <w:rPr>
                <w:rFonts w:eastAsia="標楷體"/>
                <w:bCs/>
                <w:sz w:val="28"/>
                <w:szCs w:val="32"/>
              </w:rPr>
              <w:t xml:space="preserve">    </w:t>
            </w:r>
            <w:r w:rsidRPr="00B118E9">
              <w:rPr>
                <w:rFonts w:eastAsia="標楷體"/>
                <w:bCs/>
                <w:sz w:val="28"/>
                <w:szCs w:val="32"/>
                <w:lang w:val="zh-TW"/>
              </w:rPr>
              <w:t>港</w:t>
            </w:r>
          </w:p>
        </w:tc>
        <w:tc>
          <w:tcPr>
            <w:tcW w:w="416" w:type="pct"/>
            <w:tcBorders>
              <w:top w:val="single" w:sz="4" w:space="0" w:color="auto"/>
              <w:left w:val="single" w:sz="4"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2.3</w:t>
            </w:r>
          </w:p>
        </w:tc>
        <w:tc>
          <w:tcPr>
            <w:tcW w:w="644"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2.8</w:t>
            </w:r>
          </w:p>
        </w:tc>
        <w:tc>
          <w:tcPr>
            <w:tcW w:w="619" w:type="pct"/>
            <w:tcBorders>
              <w:top w:val="single" w:sz="4" w:space="0" w:color="auto"/>
              <w:left w:val="nil"/>
              <w:bottom w:val="nil"/>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3.1</w:t>
            </w:r>
          </w:p>
        </w:tc>
        <w:tc>
          <w:tcPr>
            <w:tcW w:w="679"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2.3</w:t>
            </w:r>
          </w:p>
        </w:tc>
        <w:tc>
          <w:tcPr>
            <w:tcW w:w="631"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2.8</w:t>
            </w:r>
          </w:p>
        </w:tc>
        <w:tc>
          <w:tcPr>
            <w:tcW w:w="617" w:type="pct"/>
            <w:tcBorders>
              <w:top w:val="single" w:sz="4" w:space="0" w:color="auto"/>
              <w:left w:val="nil"/>
              <w:bottom w:val="nil"/>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3.1</w:t>
            </w:r>
          </w:p>
        </w:tc>
      </w:tr>
      <w:tr w:rsidR="00E159BD" w:rsidRPr="00B118E9" w:rsidTr="00BD6B4B">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E159BD" w:rsidRPr="00B118E9" w:rsidRDefault="00E159BD"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6"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4.4</w:t>
            </w:r>
          </w:p>
        </w:tc>
        <w:tc>
          <w:tcPr>
            <w:tcW w:w="644" w:type="pct"/>
            <w:tcBorders>
              <w:top w:val="nil"/>
              <w:left w:val="nil"/>
              <w:bottom w:val="single" w:sz="6"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3.5</w:t>
            </w:r>
          </w:p>
        </w:tc>
        <w:tc>
          <w:tcPr>
            <w:tcW w:w="619" w:type="pct"/>
            <w:tcBorders>
              <w:top w:val="nil"/>
              <w:left w:val="nil"/>
              <w:bottom w:val="single" w:sz="6" w:space="0" w:color="auto"/>
              <w:right w:val="single" w:sz="6" w:space="0" w:color="auto"/>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2.9</w:t>
            </w:r>
          </w:p>
        </w:tc>
        <w:tc>
          <w:tcPr>
            <w:tcW w:w="679" w:type="pct"/>
            <w:tcBorders>
              <w:top w:val="nil"/>
              <w:left w:val="nil"/>
              <w:bottom w:val="single" w:sz="6"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4.4</w:t>
            </w:r>
          </w:p>
        </w:tc>
        <w:tc>
          <w:tcPr>
            <w:tcW w:w="631" w:type="pct"/>
            <w:tcBorders>
              <w:top w:val="nil"/>
              <w:left w:val="nil"/>
              <w:bottom w:val="single" w:sz="6"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3.2</w:t>
            </w:r>
          </w:p>
        </w:tc>
        <w:tc>
          <w:tcPr>
            <w:tcW w:w="617" w:type="pct"/>
            <w:tcBorders>
              <w:top w:val="nil"/>
              <w:left w:val="nil"/>
              <w:bottom w:val="single" w:sz="6" w:space="0" w:color="auto"/>
              <w:right w:val="nil"/>
            </w:tcBorders>
            <w:vAlign w:val="center"/>
          </w:tcPr>
          <w:p w:rsidR="00E159BD" w:rsidRPr="00B118E9" w:rsidRDefault="00E159BD" w:rsidP="00BD6B4B">
            <w:pPr>
              <w:autoSpaceDE w:val="0"/>
              <w:autoSpaceDN w:val="0"/>
              <w:adjustRightInd w:val="0"/>
              <w:snapToGrid w:val="0"/>
              <w:spacing w:before="100" w:line="240" w:lineRule="exact"/>
              <w:jc w:val="center"/>
              <w:rPr>
                <w:rFonts w:eastAsia="標楷體"/>
                <w:bCs/>
              </w:rPr>
            </w:pPr>
            <w:r w:rsidRPr="00B118E9">
              <w:rPr>
                <w:rFonts w:eastAsia="標楷體"/>
                <w:bCs/>
              </w:rPr>
              <w:t>3.4</w:t>
            </w:r>
          </w:p>
        </w:tc>
      </w:tr>
    </w:tbl>
    <w:p w:rsidR="00E159BD" w:rsidRPr="00B118E9" w:rsidRDefault="00E159BD" w:rsidP="00E159BD">
      <w:pPr>
        <w:autoSpaceDE w:val="0"/>
        <w:autoSpaceDN w:val="0"/>
        <w:adjustRightInd w:val="0"/>
        <w:snapToGrid w:val="0"/>
        <w:spacing w:line="220" w:lineRule="exact"/>
        <w:ind w:leftChars="-93" w:left="-223" w:firstLineChars="94" w:firstLine="207"/>
        <w:jc w:val="both"/>
        <w:rPr>
          <w:rFonts w:eastAsia="標楷體"/>
          <w:bCs/>
          <w:sz w:val="22"/>
          <w:szCs w:val="22"/>
        </w:rPr>
      </w:pPr>
      <w:r w:rsidRPr="00B118E9">
        <w:rPr>
          <w:rFonts w:eastAsia="標楷體"/>
          <w:bCs/>
          <w:sz w:val="22"/>
          <w:lang w:val="zh-TW"/>
        </w:rPr>
        <w:t>註</w:t>
      </w:r>
      <w:r w:rsidRPr="00B118E9">
        <w:rPr>
          <w:rFonts w:eastAsia="標楷體"/>
          <w:bCs/>
          <w:sz w:val="22"/>
        </w:rPr>
        <w:t>：</w:t>
      </w:r>
      <w:r w:rsidRPr="00B118E9">
        <w:rPr>
          <w:rFonts w:eastAsia="標楷體"/>
          <w:bCs/>
          <w:sz w:val="22"/>
        </w:rPr>
        <w:t>(f)</w:t>
      </w:r>
      <w:r w:rsidRPr="00B118E9">
        <w:rPr>
          <w:rFonts w:eastAsia="標楷體"/>
          <w:bCs/>
          <w:sz w:val="22"/>
        </w:rPr>
        <w:t>為預測值。</w:t>
      </w:r>
    </w:p>
    <w:p w:rsidR="00E159BD" w:rsidRPr="00B118E9" w:rsidRDefault="00E159BD" w:rsidP="00E159BD">
      <w:pPr>
        <w:autoSpaceDE w:val="0"/>
        <w:autoSpaceDN w:val="0"/>
        <w:adjustRightInd w:val="0"/>
        <w:snapToGrid w:val="0"/>
        <w:spacing w:line="220" w:lineRule="exact"/>
        <w:ind w:leftChars="-105" w:left="-252" w:firstLine="224"/>
        <w:jc w:val="both"/>
        <w:rPr>
          <w:rFonts w:eastAsia="標楷體"/>
          <w:bCs/>
          <w:sz w:val="22"/>
          <w:szCs w:val="22"/>
        </w:rPr>
      </w:pPr>
      <w:r w:rsidRPr="00B118E9">
        <w:rPr>
          <w:rFonts w:eastAsia="標楷體"/>
          <w:bCs/>
          <w:sz w:val="22"/>
          <w:szCs w:val="22"/>
          <w:lang w:val="zh-TW"/>
        </w:rPr>
        <w:t>資料來源</w:t>
      </w:r>
      <w:r w:rsidRPr="00B118E9">
        <w:rPr>
          <w:rFonts w:eastAsia="標楷體"/>
          <w:bCs/>
          <w:sz w:val="22"/>
          <w:szCs w:val="22"/>
        </w:rPr>
        <w:t>：</w:t>
      </w:r>
      <w:r w:rsidRPr="00B118E9">
        <w:rPr>
          <w:rFonts w:eastAsia="標楷體"/>
          <w:bCs/>
          <w:sz w:val="22"/>
          <w:szCs w:val="22"/>
        </w:rPr>
        <w:t xml:space="preserve">1.Global Insight Inc., </w:t>
      </w:r>
      <w:r w:rsidRPr="00B118E9">
        <w:rPr>
          <w:rFonts w:eastAsia="標楷體"/>
          <w:bCs/>
          <w:i/>
          <w:iCs/>
          <w:sz w:val="22"/>
          <w:szCs w:val="22"/>
        </w:rPr>
        <w:t>World Overview</w:t>
      </w:r>
      <w:r w:rsidRPr="00B118E9">
        <w:rPr>
          <w:rFonts w:eastAsia="標楷體"/>
          <w:bCs/>
          <w:sz w:val="22"/>
          <w:szCs w:val="22"/>
        </w:rPr>
        <w:t>,</w:t>
      </w:r>
      <w:r w:rsidRPr="00B118E9">
        <w:rPr>
          <w:rFonts w:eastAsia="標楷體"/>
          <w:sz w:val="22"/>
          <w:szCs w:val="22"/>
        </w:rPr>
        <w:t xml:space="preserve"> May 2015</w:t>
      </w:r>
      <w:r w:rsidRPr="00B118E9">
        <w:rPr>
          <w:rFonts w:eastAsia="標楷體"/>
          <w:bCs/>
          <w:sz w:val="22"/>
          <w:szCs w:val="22"/>
        </w:rPr>
        <w:t>。</w:t>
      </w:r>
    </w:p>
    <w:p w:rsidR="00E159BD" w:rsidRDefault="00E159BD" w:rsidP="00E159BD">
      <w:pPr>
        <w:autoSpaceDE w:val="0"/>
        <w:autoSpaceDN w:val="0"/>
        <w:adjustRightInd w:val="0"/>
        <w:snapToGrid w:val="0"/>
        <w:spacing w:line="220" w:lineRule="exact"/>
        <w:ind w:leftChars="430" w:left="1032" w:firstLineChars="27" w:firstLine="59"/>
        <w:jc w:val="both"/>
        <w:rPr>
          <w:rFonts w:eastAsia="標楷體"/>
          <w:bCs/>
          <w:sz w:val="22"/>
          <w:szCs w:val="22"/>
        </w:rPr>
      </w:pPr>
      <w:r w:rsidRPr="00B118E9">
        <w:rPr>
          <w:rFonts w:eastAsia="標楷體"/>
          <w:bCs/>
          <w:sz w:val="22"/>
          <w:szCs w:val="22"/>
        </w:rPr>
        <w:t xml:space="preserve">2.IMF, </w:t>
      </w:r>
      <w:r w:rsidRPr="00B118E9">
        <w:rPr>
          <w:rFonts w:eastAsia="標楷體"/>
          <w:bCs/>
          <w:i/>
          <w:iCs/>
          <w:sz w:val="22"/>
          <w:szCs w:val="22"/>
        </w:rPr>
        <w:t xml:space="preserve">World Economic Outlook </w:t>
      </w:r>
      <w:r w:rsidRPr="00B118E9">
        <w:rPr>
          <w:rFonts w:eastAsia="標楷體"/>
          <w:bCs/>
          <w:sz w:val="22"/>
          <w:szCs w:val="22"/>
        </w:rPr>
        <w:t>,</w:t>
      </w:r>
      <w:r w:rsidRPr="00B118E9">
        <w:rPr>
          <w:rFonts w:eastAsia="標楷體"/>
        </w:rPr>
        <w:t xml:space="preserve"> </w:t>
      </w:r>
      <w:r w:rsidRPr="00B118E9">
        <w:rPr>
          <w:rFonts w:eastAsia="標楷體"/>
          <w:bCs/>
          <w:sz w:val="22"/>
          <w:szCs w:val="22"/>
        </w:rPr>
        <w:t>April 2015</w:t>
      </w:r>
      <w:r w:rsidRPr="00B118E9">
        <w:rPr>
          <w:rFonts w:eastAsia="標楷體"/>
          <w:bCs/>
          <w:sz w:val="22"/>
          <w:szCs w:val="22"/>
        </w:rPr>
        <w:t>。</w:t>
      </w:r>
    </w:p>
    <w:p w:rsidR="006F72BD" w:rsidRDefault="006F72BD" w:rsidP="00E159BD">
      <w:pPr>
        <w:autoSpaceDE w:val="0"/>
        <w:autoSpaceDN w:val="0"/>
        <w:adjustRightInd w:val="0"/>
        <w:snapToGrid w:val="0"/>
        <w:spacing w:line="220" w:lineRule="exact"/>
        <w:ind w:leftChars="430" w:left="1032" w:firstLineChars="27" w:firstLine="59"/>
        <w:jc w:val="both"/>
        <w:rPr>
          <w:rFonts w:eastAsia="標楷體"/>
          <w:bCs/>
          <w:sz w:val="22"/>
          <w:szCs w:val="22"/>
        </w:rPr>
      </w:pPr>
    </w:p>
    <w:p w:rsidR="006F72BD" w:rsidRPr="00B118E9" w:rsidRDefault="006F72BD" w:rsidP="00E159BD">
      <w:pPr>
        <w:autoSpaceDE w:val="0"/>
        <w:autoSpaceDN w:val="0"/>
        <w:adjustRightInd w:val="0"/>
        <w:snapToGrid w:val="0"/>
        <w:spacing w:line="220" w:lineRule="exact"/>
        <w:ind w:leftChars="430" w:left="1032" w:firstLineChars="27" w:firstLine="59"/>
        <w:jc w:val="both"/>
        <w:rPr>
          <w:rFonts w:eastAsia="標楷體"/>
          <w:bCs/>
          <w:sz w:val="22"/>
          <w:szCs w:val="22"/>
        </w:rPr>
      </w:pPr>
    </w:p>
    <w:p w:rsidR="00E159BD" w:rsidRPr="006F72BD" w:rsidRDefault="00E159BD" w:rsidP="006F72BD">
      <w:pPr>
        <w:keepNext/>
        <w:snapToGrid w:val="0"/>
        <w:outlineLvl w:val="1"/>
        <w:rPr>
          <w:rFonts w:eastAsia="標楷體"/>
          <w:b/>
          <w:sz w:val="28"/>
          <w:szCs w:val="32"/>
          <w:lang w:val="zh-TW"/>
        </w:rPr>
      </w:pPr>
      <w:r w:rsidRPr="00B118E9">
        <w:rPr>
          <w:rFonts w:eastAsia="標楷體"/>
          <w:bCs/>
          <w:sz w:val="22"/>
        </w:rPr>
        <w:tab/>
      </w:r>
      <w:r w:rsidR="006F72BD">
        <w:rPr>
          <w:rFonts w:eastAsia="標楷體" w:hint="eastAsia"/>
          <w:bCs/>
          <w:sz w:val="22"/>
        </w:rPr>
        <w:t xml:space="preserve">                </w:t>
      </w:r>
      <w:bookmarkStart w:id="41" w:name="_Toc420680026"/>
      <w:r w:rsidR="006F72BD" w:rsidRPr="00B118E9">
        <w:rPr>
          <w:rFonts w:eastAsia="標楷體"/>
          <w:b/>
          <w:sz w:val="32"/>
          <w:szCs w:val="32"/>
          <w:lang w:val="zh-TW"/>
        </w:rPr>
        <w:t>表</w:t>
      </w:r>
      <w:r w:rsidR="006F72BD">
        <w:rPr>
          <w:rFonts w:eastAsia="標楷體" w:hint="eastAsia"/>
          <w:b/>
          <w:sz w:val="32"/>
          <w:szCs w:val="32"/>
          <w:lang w:val="zh-TW"/>
        </w:rPr>
        <w:t>2</w:t>
      </w:r>
      <w:r w:rsidR="006F72BD" w:rsidRPr="00B118E9">
        <w:rPr>
          <w:rFonts w:eastAsia="標楷體"/>
          <w:b/>
          <w:sz w:val="32"/>
          <w:szCs w:val="32"/>
          <w:lang w:val="zh-TW"/>
        </w:rPr>
        <w:t xml:space="preserve">  </w:t>
      </w:r>
      <w:r w:rsidR="006F72BD" w:rsidRPr="00B118E9">
        <w:rPr>
          <w:rFonts w:eastAsia="標楷體"/>
          <w:b/>
          <w:sz w:val="32"/>
          <w:szCs w:val="32"/>
          <w:lang w:val="zh-TW"/>
        </w:rPr>
        <w:t>世界貿易量成長率</w:t>
      </w:r>
      <w:r w:rsidR="006F72BD">
        <w:rPr>
          <w:rFonts w:eastAsia="標楷體" w:hint="eastAsia"/>
          <w:b/>
          <w:sz w:val="28"/>
          <w:szCs w:val="32"/>
          <w:lang w:val="zh-TW"/>
        </w:rPr>
        <w:t xml:space="preserve">       </w:t>
      </w:r>
      <w:r w:rsidRPr="00B118E9">
        <w:rPr>
          <w:rFonts w:eastAsia="標楷體"/>
          <w:bCs/>
          <w:szCs w:val="32"/>
          <w:lang w:val="zh-TW"/>
        </w:rPr>
        <w:t>單位</w:t>
      </w:r>
      <w:r w:rsidRPr="00B118E9">
        <w:rPr>
          <w:rFonts w:eastAsia="標楷體"/>
          <w:bCs/>
          <w:szCs w:val="32"/>
        </w:rPr>
        <w:t>：</w:t>
      </w:r>
      <w:r w:rsidRPr="00B118E9">
        <w:rPr>
          <w:rFonts w:eastAsia="標楷體"/>
          <w:bCs/>
          <w:szCs w:val="32"/>
        </w:rPr>
        <w:t>%</w:t>
      </w:r>
      <w:bookmarkEnd w:id="41"/>
    </w:p>
    <w:tbl>
      <w:tblPr>
        <w:tblW w:w="4964"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419"/>
        <w:gridCol w:w="1966"/>
        <w:gridCol w:w="1962"/>
        <w:gridCol w:w="1961"/>
      </w:tblGrid>
      <w:tr w:rsidR="00E159BD" w:rsidRPr="00B118E9" w:rsidTr="00BD6B4B">
        <w:trPr>
          <w:trHeight w:val="301"/>
        </w:trPr>
        <w:tc>
          <w:tcPr>
            <w:tcW w:w="1456" w:type="pct"/>
            <w:tcBorders>
              <w:top w:val="single" w:sz="6" w:space="0" w:color="auto"/>
              <w:left w:val="nil"/>
              <w:bottom w:val="single" w:sz="6" w:space="0" w:color="auto"/>
              <w:right w:val="single" w:sz="4" w:space="0" w:color="auto"/>
            </w:tcBorders>
            <w:vAlign w:val="center"/>
          </w:tcPr>
          <w:p w:rsidR="00E159BD" w:rsidRPr="00B118E9" w:rsidRDefault="00E159BD" w:rsidP="00BD6B4B">
            <w:pPr>
              <w:autoSpaceDE w:val="0"/>
              <w:autoSpaceDN w:val="0"/>
              <w:adjustRightInd w:val="0"/>
              <w:snapToGrid w:val="0"/>
              <w:spacing w:line="240" w:lineRule="exact"/>
              <w:ind w:leftChars="-450" w:left="-1080" w:firstLineChars="900" w:firstLine="2160"/>
              <w:rPr>
                <w:rFonts w:eastAsia="標楷體"/>
                <w:bCs/>
              </w:rPr>
            </w:pPr>
          </w:p>
        </w:tc>
        <w:tc>
          <w:tcPr>
            <w:tcW w:w="1183" w:type="pct"/>
            <w:tcBorders>
              <w:top w:val="single" w:sz="6" w:space="0" w:color="auto"/>
              <w:left w:val="single" w:sz="6" w:space="0" w:color="auto"/>
              <w:bottom w:val="single" w:sz="6" w:space="0" w:color="auto"/>
              <w:right w:val="single" w:sz="6" w:space="0" w:color="auto"/>
            </w:tcBorders>
            <w:vAlign w:val="center"/>
          </w:tcPr>
          <w:p w:rsidR="00E159BD" w:rsidRPr="00B118E9" w:rsidRDefault="00E159BD" w:rsidP="00BD6B4B">
            <w:pPr>
              <w:autoSpaceDE w:val="0"/>
              <w:autoSpaceDN w:val="0"/>
              <w:adjustRightInd w:val="0"/>
              <w:snapToGrid w:val="0"/>
              <w:spacing w:line="240" w:lineRule="exact"/>
              <w:ind w:firstLineChars="250" w:firstLine="600"/>
              <w:rPr>
                <w:rFonts w:eastAsia="標楷體"/>
                <w:bCs/>
              </w:rPr>
            </w:pPr>
            <w:r w:rsidRPr="00B118E9">
              <w:rPr>
                <w:rFonts w:eastAsia="標楷體"/>
                <w:bCs/>
              </w:rPr>
              <w:t>2014</w:t>
            </w:r>
          </w:p>
        </w:tc>
        <w:tc>
          <w:tcPr>
            <w:tcW w:w="1181" w:type="pct"/>
            <w:tcBorders>
              <w:top w:val="single" w:sz="6" w:space="0" w:color="auto"/>
              <w:left w:val="single" w:sz="6" w:space="0" w:color="auto"/>
              <w:bottom w:val="single" w:sz="6" w:space="0" w:color="auto"/>
              <w:right w:val="single" w:sz="4" w:space="0" w:color="auto"/>
            </w:tcBorders>
            <w:vAlign w:val="center"/>
          </w:tcPr>
          <w:p w:rsidR="00E159BD" w:rsidRPr="00B118E9" w:rsidRDefault="00E159BD" w:rsidP="00BD6B4B">
            <w:pPr>
              <w:autoSpaceDE w:val="0"/>
              <w:autoSpaceDN w:val="0"/>
              <w:adjustRightInd w:val="0"/>
              <w:snapToGrid w:val="0"/>
              <w:spacing w:line="240" w:lineRule="exact"/>
              <w:ind w:firstLineChars="250" w:firstLine="600"/>
              <w:jc w:val="both"/>
              <w:rPr>
                <w:rFonts w:eastAsia="標楷體"/>
                <w:bCs/>
              </w:rPr>
            </w:pPr>
            <w:r w:rsidRPr="00B118E9">
              <w:rPr>
                <w:rFonts w:eastAsia="標楷體"/>
                <w:bCs/>
              </w:rPr>
              <w:t>2015(f)</w:t>
            </w:r>
          </w:p>
        </w:tc>
        <w:tc>
          <w:tcPr>
            <w:tcW w:w="1180" w:type="pct"/>
            <w:tcBorders>
              <w:top w:val="single" w:sz="6" w:space="0" w:color="auto"/>
              <w:left w:val="single" w:sz="4" w:space="0" w:color="auto"/>
              <w:bottom w:val="single" w:sz="6" w:space="0" w:color="auto"/>
              <w:right w:val="nil"/>
            </w:tcBorders>
            <w:vAlign w:val="center"/>
          </w:tcPr>
          <w:p w:rsidR="00E159BD" w:rsidRPr="00B118E9" w:rsidRDefault="00E159BD" w:rsidP="00BD6B4B">
            <w:pPr>
              <w:autoSpaceDE w:val="0"/>
              <w:autoSpaceDN w:val="0"/>
              <w:adjustRightInd w:val="0"/>
              <w:snapToGrid w:val="0"/>
              <w:spacing w:line="240" w:lineRule="exact"/>
              <w:ind w:firstLineChars="250" w:firstLine="600"/>
              <w:jc w:val="both"/>
              <w:rPr>
                <w:rFonts w:eastAsia="標楷體"/>
                <w:bCs/>
              </w:rPr>
            </w:pPr>
            <w:r w:rsidRPr="00B118E9">
              <w:rPr>
                <w:rFonts w:eastAsia="標楷體"/>
                <w:bCs/>
              </w:rPr>
              <w:t>2016(f)</w:t>
            </w:r>
          </w:p>
        </w:tc>
      </w:tr>
      <w:tr w:rsidR="00E159BD" w:rsidRPr="00B118E9" w:rsidTr="00BD6B4B">
        <w:trPr>
          <w:trHeight w:val="302"/>
        </w:trPr>
        <w:tc>
          <w:tcPr>
            <w:tcW w:w="1456" w:type="pct"/>
            <w:tcBorders>
              <w:top w:val="nil"/>
              <w:left w:val="nil"/>
              <w:bottom w:val="nil"/>
              <w:right w:val="single" w:sz="4" w:space="0" w:color="auto"/>
            </w:tcBorders>
            <w:vAlign w:val="center"/>
            <w:hideMark/>
          </w:tcPr>
          <w:p w:rsidR="00E159BD" w:rsidRPr="00B118E9" w:rsidRDefault="00E159BD" w:rsidP="00BD6B4B">
            <w:pPr>
              <w:autoSpaceDE w:val="0"/>
              <w:autoSpaceDN w:val="0"/>
              <w:adjustRightInd w:val="0"/>
              <w:snapToGrid w:val="0"/>
              <w:spacing w:line="240" w:lineRule="exact"/>
              <w:ind w:leftChars="-450" w:left="-1080" w:firstLineChars="900" w:firstLine="2160"/>
              <w:rPr>
                <w:rFonts w:eastAsia="標楷體"/>
                <w:bCs/>
              </w:rPr>
            </w:pPr>
            <w:r w:rsidRPr="00B118E9">
              <w:rPr>
                <w:rFonts w:eastAsia="標楷體"/>
                <w:bCs/>
              </w:rPr>
              <w:t>IMF</w:t>
            </w:r>
          </w:p>
        </w:tc>
        <w:tc>
          <w:tcPr>
            <w:tcW w:w="1183" w:type="pct"/>
            <w:tcBorders>
              <w:top w:val="nil"/>
              <w:left w:val="single" w:sz="6" w:space="0" w:color="auto"/>
              <w:bottom w:val="nil"/>
              <w:right w:val="nil"/>
            </w:tcBorders>
            <w:vAlign w:val="center"/>
          </w:tcPr>
          <w:p w:rsidR="00E159BD" w:rsidRPr="00B118E9" w:rsidRDefault="00E159BD" w:rsidP="00BD6B4B">
            <w:pPr>
              <w:autoSpaceDE w:val="0"/>
              <w:autoSpaceDN w:val="0"/>
              <w:adjustRightInd w:val="0"/>
              <w:snapToGrid w:val="0"/>
              <w:spacing w:line="240" w:lineRule="exact"/>
              <w:ind w:firstLineChars="300" w:firstLine="720"/>
              <w:rPr>
                <w:rFonts w:eastAsia="標楷體"/>
                <w:bCs/>
              </w:rPr>
            </w:pPr>
            <w:r w:rsidRPr="00B118E9">
              <w:rPr>
                <w:rFonts w:eastAsia="標楷體"/>
                <w:bCs/>
              </w:rPr>
              <w:t>3.4</w:t>
            </w:r>
          </w:p>
        </w:tc>
        <w:tc>
          <w:tcPr>
            <w:tcW w:w="1181" w:type="pct"/>
            <w:tcBorders>
              <w:top w:val="nil"/>
              <w:left w:val="single" w:sz="6" w:space="0" w:color="auto"/>
              <w:bottom w:val="nil"/>
              <w:right w:val="single" w:sz="4" w:space="0" w:color="auto"/>
            </w:tcBorders>
            <w:vAlign w:val="center"/>
          </w:tcPr>
          <w:p w:rsidR="00E159BD" w:rsidRPr="00B118E9" w:rsidRDefault="00E159BD" w:rsidP="00BD6B4B">
            <w:pPr>
              <w:autoSpaceDE w:val="0"/>
              <w:autoSpaceDN w:val="0"/>
              <w:adjustRightInd w:val="0"/>
              <w:snapToGrid w:val="0"/>
              <w:spacing w:line="240" w:lineRule="exact"/>
              <w:ind w:firstLineChars="300" w:firstLine="720"/>
              <w:jc w:val="both"/>
              <w:rPr>
                <w:rFonts w:eastAsia="標楷體"/>
                <w:bCs/>
              </w:rPr>
            </w:pPr>
            <w:r w:rsidRPr="00B118E9">
              <w:rPr>
                <w:rFonts w:eastAsia="標楷體"/>
                <w:bCs/>
              </w:rPr>
              <w:t>3.7</w:t>
            </w:r>
          </w:p>
        </w:tc>
        <w:tc>
          <w:tcPr>
            <w:tcW w:w="1180" w:type="pct"/>
            <w:tcBorders>
              <w:top w:val="nil"/>
              <w:left w:val="single" w:sz="4" w:space="0" w:color="auto"/>
              <w:bottom w:val="nil"/>
              <w:right w:val="nil"/>
            </w:tcBorders>
            <w:vAlign w:val="center"/>
          </w:tcPr>
          <w:p w:rsidR="00E159BD" w:rsidRPr="00B118E9" w:rsidRDefault="00E159BD" w:rsidP="00BD6B4B">
            <w:pPr>
              <w:autoSpaceDE w:val="0"/>
              <w:autoSpaceDN w:val="0"/>
              <w:adjustRightInd w:val="0"/>
              <w:snapToGrid w:val="0"/>
              <w:spacing w:line="240" w:lineRule="exact"/>
              <w:ind w:firstLineChars="300" w:firstLine="720"/>
              <w:jc w:val="both"/>
              <w:rPr>
                <w:rFonts w:eastAsia="標楷體"/>
                <w:bCs/>
              </w:rPr>
            </w:pPr>
            <w:r w:rsidRPr="00B118E9">
              <w:rPr>
                <w:rFonts w:eastAsia="標楷體"/>
                <w:bCs/>
              </w:rPr>
              <w:t>4.7</w:t>
            </w:r>
          </w:p>
        </w:tc>
      </w:tr>
      <w:tr w:rsidR="00E159BD" w:rsidRPr="00B118E9" w:rsidTr="00BD6B4B">
        <w:trPr>
          <w:trHeight w:val="302"/>
        </w:trPr>
        <w:tc>
          <w:tcPr>
            <w:tcW w:w="1456" w:type="pct"/>
            <w:tcBorders>
              <w:top w:val="nil"/>
              <w:left w:val="nil"/>
              <w:bottom w:val="nil"/>
              <w:right w:val="single" w:sz="4" w:space="0" w:color="auto"/>
            </w:tcBorders>
            <w:vAlign w:val="center"/>
            <w:hideMark/>
          </w:tcPr>
          <w:p w:rsidR="00E159BD" w:rsidRPr="00B118E9" w:rsidRDefault="00E159BD" w:rsidP="00BD6B4B">
            <w:pPr>
              <w:autoSpaceDE w:val="0"/>
              <w:autoSpaceDN w:val="0"/>
              <w:adjustRightInd w:val="0"/>
              <w:snapToGrid w:val="0"/>
              <w:spacing w:line="240" w:lineRule="exact"/>
              <w:ind w:leftChars="-450" w:left="-1080" w:firstLineChars="900" w:firstLine="2160"/>
              <w:rPr>
                <w:rFonts w:eastAsia="標楷體"/>
                <w:bCs/>
              </w:rPr>
            </w:pPr>
            <w:r w:rsidRPr="00B118E9">
              <w:rPr>
                <w:rFonts w:eastAsia="標楷體"/>
                <w:bCs/>
              </w:rPr>
              <w:t>UN</w:t>
            </w:r>
          </w:p>
        </w:tc>
        <w:tc>
          <w:tcPr>
            <w:tcW w:w="1183" w:type="pct"/>
            <w:tcBorders>
              <w:top w:val="nil"/>
              <w:left w:val="single" w:sz="4" w:space="0" w:color="auto"/>
              <w:bottom w:val="nil"/>
              <w:right w:val="single" w:sz="4" w:space="0" w:color="auto"/>
            </w:tcBorders>
            <w:vAlign w:val="center"/>
          </w:tcPr>
          <w:p w:rsidR="00E159BD" w:rsidRPr="00B118E9" w:rsidRDefault="00E159BD" w:rsidP="00BD6B4B">
            <w:pPr>
              <w:autoSpaceDE w:val="0"/>
              <w:autoSpaceDN w:val="0"/>
              <w:adjustRightInd w:val="0"/>
              <w:snapToGrid w:val="0"/>
              <w:spacing w:line="240" w:lineRule="exact"/>
              <w:ind w:firstLineChars="300" w:firstLine="720"/>
              <w:rPr>
                <w:rFonts w:eastAsia="標楷體"/>
                <w:bCs/>
              </w:rPr>
            </w:pPr>
            <w:r w:rsidRPr="00B118E9">
              <w:rPr>
                <w:rFonts w:eastAsia="標楷體"/>
                <w:bCs/>
              </w:rPr>
              <w:t>3.4</w:t>
            </w:r>
          </w:p>
        </w:tc>
        <w:tc>
          <w:tcPr>
            <w:tcW w:w="1181" w:type="pct"/>
            <w:tcBorders>
              <w:top w:val="nil"/>
              <w:left w:val="single" w:sz="4" w:space="0" w:color="auto"/>
              <w:bottom w:val="nil"/>
              <w:right w:val="single" w:sz="4" w:space="0" w:color="auto"/>
            </w:tcBorders>
            <w:vAlign w:val="center"/>
          </w:tcPr>
          <w:p w:rsidR="00E159BD" w:rsidRPr="00B118E9" w:rsidRDefault="00E159BD" w:rsidP="00BD6B4B">
            <w:pPr>
              <w:autoSpaceDE w:val="0"/>
              <w:autoSpaceDN w:val="0"/>
              <w:adjustRightInd w:val="0"/>
              <w:snapToGrid w:val="0"/>
              <w:spacing w:line="240" w:lineRule="exact"/>
              <w:ind w:firstLineChars="300" w:firstLine="720"/>
              <w:jc w:val="both"/>
              <w:rPr>
                <w:rFonts w:eastAsia="標楷體"/>
                <w:bCs/>
              </w:rPr>
            </w:pPr>
            <w:r w:rsidRPr="00B118E9">
              <w:rPr>
                <w:rFonts w:eastAsia="標楷體"/>
                <w:bCs/>
              </w:rPr>
              <w:t>4.5</w:t>
            </w:r>
          </w:p>
        </w:tc>
        <w:tc>
          <w:tcPr>
            <w:tcW w:w="1180" w:type="pct"/>
            <w:tcBorders>
              <w:top w:val="nil"/>
              <w:left w:val="single" w:sz="4" w:space="0" w:color="auto"/>
              <w:bottom w:val="nil"/>
              <w:right w:val="nil"/>
            </w:tcBorders>
            <w:vAlign w:val="center"/>
          </w:tcPr>
          <w:p w:rsidR="00E159BD" w:rsidRPr="00B118E9" w:rsidRDefault="00E159BD" w:rsidP="00BD6B4B">
            <w:pPr>
              <w:autoSpaceDE w:val="0"/>
              <w:autoSpaceDN w:val="0"/>
              <w:adjustRightInd w:val="0"/>
              <w:snapToGrid w:val="0"/>
              <w:spacing w:line="240" w:lineRule="exact"/>
              <w:ind w:firstLineChars="300" w:firstLine="720"/>
              <w:jc w:val="both"/>
              <w:rPr>
                <w:rFonts w:eastAsia="標楷體"/>
                <w:bCs/>
              </w:rPr>
            </w:pPr>
            <w:r w:rsidRPr="00B118E9">
              <w:rPr>
                <w:rFonts w:eastAsia="標楷體"/>
                <w:bCs/>
              </w:rPr>
              <w:t>4.9</w:t>
            </w:r>
          </w:p>
        </w:tc>
      </w:tr>
      <w:tr w:rsidR="00E159BD" w:rsidRPr="00B118E9" w:rsidTr="00BD6B4B">
        <w:trPr>
          <w:trHeight w:val="302"/>
        </w:trPr>
        <w:tc>
          <w:tcPr>
            <w:tcW w:w="1456" w:type="pct"/>
            <w:tcBorders>
              <w:top w:val="nil"/>
              <w:left w:val="nil"/>
              <w:bottom w:val="nil"/>
              <w:right w:val="single" w:sz="4" w:space="0" w:color="auto"/>
            </w:tcBorders>
            <w:vAlign w:val="center"/>
            <w:hideMark/>
          </w:tcPr>
          <w:p w:rsidR="00E159BD" w:rsidRPr="00B118E9" w:rsidRDefault="00E159BD" w:rsidP="00BD6B4B">
            <w:pPr>
              <w:autoSpaceDE w:val="0"/>
              <w:autoSpaceDN w:val="0"/>
              <w:adjustRightInd w:val="0"/>
              <w:snapToGrid w:val="0"/>
              <w:spacing w:line="240" w:lineRule="exact"/>
              <w:ind w:leftChars="-450" w:left="-1080" w:firstLineChars="900" w:firstLine="2160"/>
              <w:rPr>
                <w:rFonts w:eastAsia="標楷體"/>
                <w:bCs/>
              </w:rPr>
            </w:pPr>
            <w:r w:rsidRPr="00B118E9">
              <w:rPr>
                <w:rFonts w:eastAsia="標楷體"/>
                <w:bCs/>
              </w:rPr>
              <w:t>OECD</w:t>
            </w:r>
          </w:p>
        </w:tc>
        <w:tc>
          <w:tcPr>
            <w:tcW w:w="1183" w:type="pct"/>
            <w:tcBorders>
              <w:top w:val="nil"/>
              <w:left w:val="single" w:sz="4" w:space="0" w:color="auto"/>
              <w:bottom w:val="nil"/>
              <w:right w:val="single" w:sz="4" w:space="0" w:color="auto"/>
            </w:tcBorders>
            <w:vAlign w:val="center"/>
          </w:tcPr>
          <w:p w:rsidR="00E159BD" w:rsidRPr="00B118E9" w:rsidRDefault="00E159BD" w:rsidP="00BD6B4B">
            <w:pPr>
              <w:autoSpaceDE w:val="0"/>
              <w:autoSpaceDN w:val="0"/>
              <w:adjustRightInd w:val="0"/>
              <w:snapToGrid w:val="0"/>
              <w:spacing w:line="240" w:lineRule="exact"/>
              <w:ind w:firstLineChars="300" w:firstLine="720"/>
              <w:rPr>
                <w:rFonts w:eastAsia="標楷體"/>
                <w:bCs/>
              </w:rPr>
            </w:pPr>
            <w:r w:rsidRPr="00B118E9">
              <w:rPr>
                <w:rFonts w:eastAsia="標楷體"/>
                <w:bCs/>
              </w:rPr>
              <w:t>3.0</w:t>
            </w:r>
          </w:p>
        </w:tc>
        <w:tc>
          <w:tcPr>
            <w:tcW w:w="1181" w:type="pct"/>
            <w:tcBorders>
              <w:top w:val="nil"/>
              <w:left w:val="single" w:sz="4" w:space="0" w:color="auto"/>
              <w:bottom w:val="nil"/>
              <w:right w:val="single" w:sz="4" w:space="0" w:color="auto"/>
            </w:tcBorders>
            <w:vAlign w:val="center"/>
          </w:tcPr>
          <w:p w:rsidR="00E159BD" w:rsidRPr="00B118E9" w:rsidRDefault="00E159BD" w:rsidP="00BD6B4B">
            <w:pPr>
              <w:autoSpaceDE w:val="0"/>
              <w:autoSpaceDN w:val="0"/>
              <w:adjustRightInd w:val="0"/>
              <w:snapToGrid w:val="0"/>
              <w:spacing w:line="240" w:lineRule="exact"/>
              <w:ind w:firstLineChars="300" w:firstLine="720"/>
              <w:jc w:val="both"/>
              <w:rPr>
                <w:rFonts w:eastAsia="標楷體"/>
                <w:bCs/>
              </w:rPr>
            </w:pPr>
            <w:r w:rsidRPr="00B118E9">
              <w:rPr>
                <w:rFonts w:eastAsia="標楷體"/>
                <w:bCs/>
              </w:rPr>
              <w:t>4.5</w:t>
            </w:r>
          </w:p>
        </w:tc>
        <w:tc>
          <w:tcPr>
            <w:tcW w:w="1180" w:type="pct"/>
            <w:tcBorders>
              <w:top w:val="nil"/>
              <w:left w:val="single" w:sz="4" w:space="0" w:color="auto"/>
              <w:bottom w:val="nil"/>
              <w:right w:val="nil"/>
            </w:tcBorders>
            <w:vAlign w:val="center"/>
          </w:tcPr>
          <w:p w:rsidR="00E159BD" w:rsidRPr="00B118E9" w:rsidRDefault="00E159BD" w:rsidP="00BD6B4B">
            <w:pPr>
              <w:autoSpaceDE w:val="0"/>
              <w:autoSpaceDN w:val="0"/>
              <w:adjustRightInd w:val="0"/>
              <w:snapToGrid w:val="0"/>
              <w:spacing w:line="240" w:lineRule="exact"/>
              <w:ind w:firstLineChars="300" w:firstLine="720"/>
              <w:jc w:val="both"/>
              <w:rPr>
                <w:rFonts w:eastAsia="標楷體"/>
                <w:bCs/>
              </w:rPr>
            </w:pPr>
            <w:r w:rsidRPr="00B118E9">
              <w:rPr>
                <w:rFonts w:eastAsia="標楷體"/>
                <w:bCs/>
              </w:rPr>
              <w:t>5.5</w:t>
            </w:r>
          </w:p>
        </w:tc>
      </w:tr>
      <w:tr w:rsidR="00E159BD" w:rsidRPr="00B118E9" w:rsidTr="00BD6B4B">
        <w:trPr>
          <w:trHeight w:val="302"/>
        </w:trPr>
        <w:tc>
          <w:tcPr>
            <w:tcW w:w="1456" w:type="pct"/>
            <w:tcBorders>
              <w:top w:val="nil"/>
              <w:left w:val="nil"/>
              <w:bottom w:val="nil"/>
              <w:right w:val="single" w:sz="4" w:space="0" w:color="auto"/>
            </w:tcBorders>
            <w:vAlign w:val="center"/>
            <w:hideMark/>
          </w:tcPr>
          <w:p w:rsidR="00E159BD" w:rsidRPr="00B118E9" w:rsidRDefault="00E159BD" w:rsidP="00BD6B4B">
            <w:pPr>
              <w:autoSpaceDE w:val="0"/>
              <w:autoSpaceDN w:val="0"/>
              <w:adjustRightInd w:val="0"/>
              <w:snapToGrid w:val="0"/>
              <w:spacing w:line="240" w:lineRule="exact"/>
              <w:ind w:leftChars="-450" w:left="-1080" w:firstLineChars="900" w:firstLine="2160"/>
              <w:rPr>
                <w:rFonts w:eastAsia="標楷體"/>
              </w:rPr>
            </w:pPr>
            <w:r w:rsidRPr="00B118E9">
              <w:rPr>
                <w:rFonts w:eastAsia="標楷體"/>
              </w:rPr>
              <w:t>World Bank</w:t>
            </w:r>
          </w:p>
        </w:tc>
        <w:tc>
          <w:tcPr>
            <w:tcW w:w="1183" w:type="pct"/>
            <w:tcBorders>
              <w:top w:val="nil"/>
              <w:left w:val="single" w:sz="4" w:space="0" w:color="auto"/>
              <w:bottom w:val="nil"/>
              <w:right w:val="single" w:sz="4" w:space="0" w:color="auto"/>
            </w:tcBorders>
            <w:vAlign w:val="center"/>
          </w:tcPr>
          <w:p w:rsidR="00E159BD" w:rsidRPr="00B118E9" w:rsidRDefault="00E159BD" w:rsidP="00BD6B4B">
            <w:pPr>
              <w:autoSpaceDE w:val="0"/>
              <w:autoSpaceDN w:val="0"/>
              <w:adjustRightInd w:val="0"/>
              <w:snapToGrid w:val="0"/>
              <w:spacing w:line="240" w:lineRule="exact"/>
              <w:ind w:firstLineChars="300" w:firstLine="720"/>
              <w:rPr>
                <w:rFonts w:eastAsia="標楷體"/>
                <w:bCs/>
              </w:rPr>
            </w:pPr>
            <w:r w:rsidRPr="00B118E9">
              <w:rPr>
                <w:rFonts w:eastAsia="標楷體"/>
                <w:bCs/>
              </w:rPr>
              <w:t>3.4</w:t>
            </w:r>
          </w:p>
        </w:tc>
        <w:tc>
          <w:tcPr>
            <w:tcW w:w="1181" w:type="pct"/>
            <w:tcBorders>
              <w:top w:val="nil"/>
              <w:left w:val="single" w:sz="4" w:space="0" w:color="auto"/>
              <w:bottom w:val="nil"/>
              <w:right w:val="single" w:sz="4" w:space="0" w:color="auto"/>
            </w:tcBorders>
            <w:vAlign w:val="center"/>
          </w:tcPr>
          <w:p w:rsidR="00E159BD" w:rsidRPr="00B118E9" w:rsidRDefault="00E159BD" w:rsidP="00BD6B4B">
            <w:pPr>
              <w:autoSpaceDE w:val="0"/>
              <w:autoSpaceDN w:val="0"/>
              <w:adjustRightInd w:val="0"/>
              <w:snapToGrid w:val="0"/>
              <w:spacing w:line="240" w:lineRule="exact"/>
              <w:ind w:firstLineChars="300" w:firstLine="720"/>
              <w:jc w:val="both"/>
              <w:rPr>
                <w:rFonts w:eastAsia="標楷體"/>
                <w:bCs/>
              </w:rPr>
            </w:pPr>
            <w:r w:rsidRPr="00B118E9">
              <w:rPr>
                <w:rFonts w:eastAsia="標楷體"/>
                <w:bCs/>
              </w:rPr>
              <w:t>4.0</w:t>
            </w:r>
          </w:p>
        </w:tc>
        <w:tc>
          <w:tcPr>
            <w:tcW w:w="1180" w:type="pct"/>
            <w:tcBorders>
              <w:top w:val="nil"/>
              <w:left w:val="single" w:sz="4" w:space="0" w:color="auto"/>
              <w:bottom w:val="nil"/>
              <w:right w:val="nil"/>
            </w:tcBorders>
            <w:vAlign w:val="center"/>
          </w:tcPr>
          <w:p w:rsidR="00E159BD" w:rsidRPr="00B118E9" w:rsidRDefault="00E159BD" w:rsidP="00BD6B4B">
            <w:pPr>
              <w:autoSpaceDE w:val="0"/>
              <w:autoSpaceDN w:val="0"/>
              <w:adjustRightInd w:val="0"/>
              <w:snapToGrid w:val="0"/>
              <w:spacing w:line="240" w:lineRule="exact"/>
              <w:ind w:firstLineChars="300" w:firstLine="720"/>
              <w:jc w:val="both"/>
              <w:rPr>
                <w:rFonts w:eastAsia="標楷體"/>
                <w:bCs/>
              </w:rPr>
            </w:pPr>
            <w:r w:rsidRPr="00B118E9">
              <w:rPr>
                <w:rFonts w:eastAsia="標楷體"/>
                <w:bCs/>
              </w:rPr>
              <w:t>4.5</w:t>
            </w:r>
          </w:p>
        </w:tc>
      </w:tr>
      <w:tr w:rsidR="00E159BD" w:rsidRPr="00B118E9" w:rsidTr="00BD6B4B">
        <w:trPr>
          <w:trHeight w:val="302"/>
        </w:trPr>
        <w:tc>
          <w:tcPr>
            <w:tcW w:w="1456" w:type="pct"/>
            <w:tcBorders>
              <w:top w:val="nil"/>
              <w:left w:val="nil"/>
              <w:bottom w:val="single" w:sz="4" w:space="0" w:color="auto"/>
              <w:right w:val="single" w:sz="4" w:space="0" w:color="auto"/>
            </w:tcBorders>
            <w:vAlign w:val="center"/>
          </w:tcPr>
          <w:p w:rsidR="00E159BD" w:rsidRPr="00B118E9" w:rsidRDefault="00E159BD" w:rsidP="00BD6B4B">
            <w:pPr>
              <w:autoSpaceDE w:val="0"/>
              <w:autoSpaceDN w:val="0"/>
              <w:adjustRightInd w:val="0"/>
              <w:snapToGrid w:val="0"/>
              <w:spacing w:line="240" w:lineRule="exact"/>
              <w:ind w:leftChars="-450" w:left="-1080" w:firstLineChars="900" w:firstLine="2160"/>
              <w:rPr>
                <w:rFonts w:eastAsia="標楷體"/>
              </w:rPr>
            </w:pPr>
            <w:r w:rsidRPr="00B118E9">
              <w:rPr>
                <w:rFonts w:eastAsia="標楷體"/>
              </w:rPr>
              <w:t>WTO</w:t>
            </w:r>
          </w:p>
        </w:tc>
        <w:tc>
          <w:tcPr>
            <w:tcW w:w="1183" w:type="pct"/>
            <w:tcBorders>
              <w:top w:val="nil"/>
              <w:left w:val="single" w:sz="4" w:space="0" w:color="auto"/>
              <w:bottom w:val="single" w:sz="4" w:space="0" w:color="auto"/>
              <w:right w:val="single" w:sz="4" w:space="0" w:color="auto"/>
            </w:tcBorders>
            <w:vAlign w:val="center"/>
          </w:tcPr>
          <w:p w:rsidR="00E159BD" w:rsidRPr="00B118E9" w:rsidRDefault="00E159BD" w:rsidP="00BD6B4B">
            <w:pPr>
              <w:autoSpaceDE w:val="0"/>
              <w:autoSpaceDN w:val="0"/>
              <w:adjustRightInd w:val="0"/>
              <w:snapToGrid w:val="0"/>
              <w:spacing w:line="240" w:lineRule="exact"/>
              <w:ind w:firstLineChars="300" w:firstLine="720"/>
              <w:rPr>
                <w:rFonts w:eastAsia="標楷體"/>
                <w:bCs/>
              </w:rPr>
            </w:pPr>
            <w:r w:rsidRPr="00B118E9">
              <w:rPr>
                <w:rFonts w:eastAsia="標楷體"/>
                <w:bCs/>
              </w:rPr>
              <w:t>2.8</w:t>
            </w:r>
          </w:p>
        </w:tc>
        <w:tc>
          <w:tcPr>
            <w:tcW w:w="1181" w:type="pct"/>
            <w:tcBorders>
              <w:top w:val="nil"/>
              <w:left w:val="single" w:sz="4" w:space="0" w:color="auto"/>
              <w:bottom w:val="single" w:sz="4" w:space="0" w:color="auto"/>
              <w:right w:val="single" w:sz="4" w:space="0" w:color="auto"/>
            </w:tcBorders>
            <w:vAlign w:val="center"/>
          </w:tcPr>
          <w:p w:rsidR="00E159BD" w:rsidRPr="00B118E9" w:rsidRDefault="00E159BD" w:rsidP="00BD6B4B">
            <w:pPr>
              <w:autoSpaceDE w:val="0"/>
              <w:autoSpaceDN w:val="0"/>
              <w:adjustRightInd w:val="0"/>
              <w:snapToGrid w:val="0"/>
              <w:spacing w:line="240" w:lineRule="exact"/>
              <w:ind w:firstLineChars="300" w:firstLine="720"/>
              <w:jc w:val="both"/>
              <w:rPr>
                <w:rFonts w:eastAsia="標楷體"/>
                <w:bCs/>
              </w:rPr>
            </w:pPr>
            <w:r w:rsidRPr="00B118E9">
              <w:rPr>
                <w:rFonts w:eastAsia="標楷體"/>
                <w:bCs/>
              </w:rPr>
              <w:t>3.3</w:t>
            </w:r>
          </w:p>
        </w:tc>
        <w:tc>
          <w:tcPr>
            <w:tcW w:w="1180" w:type="pct"/>
            <w:tcBorders>
              <w:top w:val="nil"/>
              <w:left w:val="single" w:sz="4" w:space="0" w:color="auto"/>
              <w:bottom w:val="single" w:sz="4" w:space="0" w:color="auto"/>
              <w:right w:val="nil"/>
            </w:tcBorders>
            <w:vAlign w:val="center"/>
          </w:tcPr>
          <w:p w:rsidR="00E159BD" w:rsidRPr="00B118E9" w:rsidRDefault="00E159BD" w:rsidP="00BD6B4B">
            <w:pPr>
              <w:autoSpaceDE w:val="0"/>
              <w:autoSpaceDN w:val="0"/>
              <w:adjustRightInd w:val="0"/>
              <w:snapToGrid w:val="0"/>
              <w:spacing w:line="240" w:lineRule="exact"/>
              <w:ind w:firstLineChars="300" w:firstLine="720"/>
              <w:jc w:val="both"/>
              <w:rPr>
                <w:rFonts w:eastAsia="標楷體"/>
                <w:bCs/>
              </w:rPr>
            </w:pPr>
            <w:r w:rsidRPr="00B118E9">
              <w:rPr>
                <w:rFonts w:eastAsia="標楷體"/>
                <w:bCs/>
              </w:rPr>
              <w:t>4.0</w:t>
            </w:r>
          </w:p>
        </w:tc>
      </w:tr>
    </w:tbl>
    <w:p w:rsidR="00E159BD" w:rsidRPr="00B118E9" w:rsidRDefault="00E159BD" w:rsidP="00E159BD">
      <w:pPr>
        <w:autoSpaceDE w:val="0"/>
        <w:autoSpaceDN w:val="0"/>
        <w:adjustRightInd w:val="0"/>
        <w:snapToGrid w:val="0"/>
        <w:spacing w:line="220" w:lineRule="exact"/>
        <w:ind w:leftChars="-93" w:left="-223" w:firstLineChars="94" w:firstLine="207"/>
        <w:jc w:val="both"/>
        <w:rPr>
          <w:rFonts w:eastAsia="標楷體"/>
          <w:bCs/>
          <w:sz w:val="22"/>
        </w:rPr>
      </w:pPr>
      <w:r w:rsidRPr="00B118E9">
        <w:rPr>
          <w:rFonts w:eastAsia="標楷體"/>
          <w:bCs/>
          <w:sz w:val="22"/>
          <w:lang w:val="zh-TW"/>
        </w:rPr>
        <w:t>註</w:t>
      </w:r>
      <w:r w:rsidRPr="00B118E9">
        <w:rPr>
          <w:rFonts w:eastAsia="標楷體"/>
          <w:bCs/>
          <w:sz w:val="22"/>
        </w:rPr>
        <w:t>：</w:t>
      </w:r>
      <w:r w:rsidRPr="00B118E9">
        <w:rPr>
          <w:rFonts w:eastAsia="標楷體"/>
          <w:bCs/>
          <w:sz w:val="22"/>
        </w:rPr>
        <w:t>(f)</w:t>
      </w:r>
      <w:r w:rsidRPr="00B118E9">
        <w:rPr>
          <w:rFonts w:eastAsia="標楷體"/>
          <w:bCs/>
          <w:sz w:val="22"/>
          <w:lang w:val="zh-TW"/>
        </w:rPr>
        <w:t>為</w:t>
      </w:r>
      <w:r w:rsidRPr="00B118E9">
        <w:rPr>
          <w:rFonts w:eastAsia="標楷體"/>
          <w:bCs/>
          <w:sz w:val="22"/>
        </w:rPr>
        <w:t>預測</w:t>
      </w:r>
      <w:r w:rsidRPr="00B118E9">
        <w:rPr>
          <w:rFonts w:eastAsia="標楷體"/>
          <w:bCs/>
          <w:sz w:val="22"/>
          <w:lang w:val="zh-TW"/>
        </w:rPr>
        <w:t>值</w:t>
      </w:r>
    </w:p>
    <w:p w:rsidR="00E159BD" w:rsidRPr="00B118E9" w:rsidRDefault="00E159BD" w:rsidP="00E159BD">
      <w:pPr>
        <w:autoSpaceDE w:val="0"/>
        <w:autoSpaceDN w:val="0"/>
        <w:adjustRightInd w:val="0"/>
        <w:snapToGrid w:val="0"/>
        <w:spacing w:line="220" w:lineRule="exact"/>
        <w:ind w:leftChars="-93" w:left="-223" w:firstLineChars="94" w:firstLine="207"/>
        <w:jc w:val="both"/>
        <w:rPr>
          <w:rFonts w:eastAsia="標楷體"/>
          <w:bCs/>
          <w:sz w:val="22"/>
          <w:szCs w:val="22"/>
        </w:rPr>
      </w:pPr>
      <w:r w:rsidRPr="00B118E9">
        <w:rPr>
          <w:rFonts w:eastAsia="標楷體"/>
          <w:bCs/>
          <w:sz w:val="22"/>
          <w:lang w:val="zh-TW"/>
        </w:rPr>
        <w:t>資料來源</w:t>
      </w:r>
      <w:r w:rsidRPr="00B118E9">
        <w:rPr>
          <w:rFonts w:eastAsia="標楷體"/>
          <w:bCs/>
          <w:sz w:val="22"/>
        </w:rPr>
        <w:t>：</w:t>
      </w:r>
      <w:r w:rsidRPr="00B118E9">
        <w:rPr>
          <w:rFonts w:eastAsia="標楷體"/>
          <w:bCs/>
          <w:sz w:val="22"/>
        </w:rPr>
        <w:t xml:space="preserve">1.IMF, </w:t>
      </w:r>
      <w:r w:rsidRPr="00B118E9">
        <w:rPr>
          <w:rFonts w:eastAsia="標楷體"/>
          <w:bCs/>
          <w:i/>
          <w:iCs/>
          <w:sz w:val="22"/>
        </w:rPr>
        <w:t>World Economic Ou</w:t>
      </w:r>
      <w:r w:rsidRPr="00B118E9">
        <w:rPr>
          <w:rFonts w:eastAsia="標楷體"/>
          <w:bCs/>
          <w:i/>
          <w:iCs/>
          <w:sz w:val="22"/>
          <w:szCs w:val="22"/>
        </w:rPr>
        <w:t>tlook</w:t>
      </w:r>
      <w:r w:rsidRPr="00B118E9">
        <w:rPr>
          <w:rFonts w:eastAsia="標楷體"/>
          <w:sz w:val="22"/>
          <w:szCs w:val="22"/>
        </w:rPr>
        <w:t>, April 2015</w:t>
      </w:r>
      <w:r w:rsidRPr="00B118E9">
        <w:rPr>
          <w:rFonts w:eastAsia="標楷體"/>
          <w:sz w:val="22"/>
          <w:szCs w:val="22"/>
        </w:rPr>
        <w:t>。</w:t>
      </w:r>
    </w:p>
    <w:p w:rsidR="00E159BD" w:rsidRPr="00B118E9" w:rsidRDefault="00E159BD" w:rsidP="00E159BD">
      <w:pPr>
        <w:autoSpaceDE w:val="0"/>
        <w:autoSpaceDN w:val="0"/>
        <w:adjustRightInd w:val="0"/>
        <w:snapToGrid w:val="0"/>
        <w:spacing w:line="220" w:lineRule="exact"/>
        <w:ind w:leftChars="430" w:left="1032" w:firstLineChars="27" w:firstLine="59"/>
        <w:jc w:val="both"/>
        <w:rPr>
          <w:rFonts w:eastAsia="標楷體"/>
          <w:bCs/>
          <w:sz w:val="22"/>
          <w:szCs w:val="22"/>
        </w:rPr>
      </w:pPr>
      <w:r w:rsidRPr="00B118E9">
        <w:rPr>
          <w:rFonts w:eastAsia="標楷體"/>
          <w:bCs/>
          <w:sz w:val="22"/>
          <w:szCs w:val="22"/>
        </w:rPr>
        <w:t xml:space="preserve">2.UN, World </w:t>
      </w:r>
      <w:r w:rsidRPr="00B118E9">
        <w:rPr>
          <w:rFonts w:eastAsia="標楷體"/>
          <w:bCs/>
          <w:i/>
          <w:iCs/>
          <w:sz w:val="22"/>
          <w:szCs w:val="22"/>
        </w:rPr>
        <w:t>Economic Situation and Prospects</w:t>
      </w:r>
      <w:r w:rsidRPr="00B118E9">
        <w:rPr>
          <w:rFonts w:eastAsia="標楷體"/>
          <w:bCs/>
          <w:sz w:val="22"/>
          <w:szCs w:val="22"/>
        </w:rPr>
        <w:t>, December 2014</w:t>
      </w:r>
      <w:r w:rsidRPr="00B118E9">
        <w:rPr>
          <w:rFonts w:eastAsia="標楷體"/>
          <w:bCs/>
          <w:sz w:val="22"/>
          <w:szCs w:val="22"/>
        </w:rPr>
        <w:t>。</w:t>
      </w:r>
    </w:p>
    <w:p w:rsidR="00E159BD" w:rsidRPr="00B118E9" w:rsidRDefault="00E159BD" w:rsidP="00E159BD">
      <w:pPr>
        <w:autoSpaceDE w:val="0"/>
        <w:autoSpaceDN w:val="0"/>
        <w:adjustRightInd w:val="0"/>
        <w:snapToGrid w:val="0"/>
        <w:spacing w:line="220" w:lineRule="exact"/>
        <w:ind w:leftChars="430" w:left="1032" w:firstLineChars="27" w:firstLine="59"/>
        <w:jc w:val="both"/>
        <w:rPr>
          <w:rFonts w:eastAsia="標楷體"/>
          <w:bCs/>
          <w:sz w:val="22"/>
          <w:szCs w:val="22"/>
        </w:rPr>
      </w:pPr>
      <w:r w:rsidRPr="00B118E9">
        <w:rPr>
          <w:rFonts w:eastAsia="標楷體"/>
          <w:bCs/>
          <w:sz w:val="22"/>
          <w:szCs w:val="22"/>
        </w:rPr>
        <w:t xml:space="preserve">3.OECD, </w:t>
      </w:r>
      <w:r w:rsidRPr="00B118E9">
        <w:rPr>
          <w:rFonts w:eastAsia="標楷體"/>
          <w:bCs/>
          <w:i/>
          <w:iCs/>
          <w:sz w:val="22"/>
          <w:szCs w:val="22"/>
        </w:rPr>
        <w:t>Economic Outlook</w:t>
      </w:r>
      <w:r w:rsidRPr="00B118E9">
        <w:rPr>
          <w:rFonts w:eastAsia="標楷體"/>
          <w:bCs/>
          <w:sz w:val="22"/>
          <w:szCs w:val="22"/>
        </w:rPr>
        <w:t>, November 2014</w:t>
      </w:r>
      <w:r w:rsidRPr="00B118E9">
        <w:rPr>
          <w:rFonts w:eastAsia="標楷體"/>
          <w:bCs/>
          <w:sz w:val="22"/>
          <w:szCs w:val="22"/>
        </w:rPr>
        <w:t>。</w:t>
      </w:r>
    </w:p>
    <w:p w:rsidR="00E159BD" w:rsidRPr="00B118E9" w:rsidRDefault="00E159BD" w:rsidP="00E159BD">
      <w:pPr>
        <w:adjustRightInd w:val="0"/>
        <w:snapToGrid w:val="0"/>
        <w:spacing w:line="220" w:lineRule="exact"/>
        <w:ind w:leftChars="430" w:left="1032" w:right="40" w:firstLineChars="27" w:firstLine="59"/>
        <w:rPr>
          <w:rFonts w:eastAsia="標楷體"/>
          <w:sz w:val="22"/>
          <w:szCs w:val="22"/>
        </w:rPr>
      </w:pPr>
      <w:r w:rsidRPr="00B118E9">
        <w:rPr>
          <w:rFonts w:eastAsia="標楷體"/>
          <w:sz w:val="22"/>
          <w:szCs w:val="22"/>
        </w:rPr>
        <w:t xml:space="preserve">4.World Bank, </w:t>
      </w:r>
      <w:r w:rsidRPr="00B118E9">
        <w:rPr>
          <w:rFonts w:eastAsia="標楷體"/>
          <w:i/>
          <w:sz w:val="22"/>
          <w:szCs w:val="22"/>
        </w:rPr>
        <w:t>Global Economic Prospects</w:t>
      </w:r>
      <w:r w:rsidRPr="00B118E9">
        <w:rPr>
          <w:rFonts w:eastAsia="標楷體"/>
          <w:sz w:val="22"/>
          <w:szCs w:val="22"/>
        </w:rPr>
        <w:t>, January 2015</w:t>
      </w:r>
      <w:r w:rsidRPr="00B118E9">
        <w:rPr>
          <w:rFonts w:eastAsia="標楷體"/>
          <w:sz w:val="22"/>
          <w:szCs w:val="22"/>
        </w:rPr>
        <w:t>。</w:t>
      </w:r>
    </w:p>
    <w:p w:rsidR="00E159BD" w:rsidRPr="00B118E9" w:rsidRDefault="00E159BD" w:rsidP="00E159BD">
      <w:pPr>
        <w:adjustRightInd w:val="0"/>
        <w:snapToGrid w:val="0"/>
        <w:spacing w:line="220" w:lineRule="exact"/>
        <w:ind w:leftChars="430" w:left="1032" w:right="40" w:firstLineChars="27" w:firstLine="59"/>
        <w:rPr>
          <w:rFonts w:eastAsia="標楷體"/>
          <w:sz w:val="22"/>
          <w:szCs w:val="22"/>
        </w:rPr>
      </w:pPr>
      <w:r w:rsidRPr="00B118E9">
        <w:rPr>
          <w:rFonts w:eastAsia="標楷體"/>
          <w:sz w:val="22"/>
          <w:szCs w:val="22"/>
        </w:rPr>
        <w:t>5. WTO</w:t>
      </w:r>
      <w:r w:rsidRPr="00B118E9">
        <w:rPr>
          <w:rFonts w:eastAsia="標楷體"/>
          <w:i/>
          <w:sz w:val="22"/>
          <w:szCs w:val="22"/>
        </w:rPr>
        <w:t>, PRESS RELEASE</w:t>
      </w:r>
      <w:r w:rsidRPr="00B118E9">
        <w:rPr>
          <w:rFonts w:eastAsia="標楷體"/>
          <w:sz w:val="22"/>
          <w:szCs w:val="22"/>
        </w:rPr>
        <w:t>, April 2015</w:t>
      </w:r>
      <w:r w:rsidRPr="00B118E9">
        <w:rPr>
          <w:rFonts w:eastAsia="標楷體"/>
          <w:sz w:val="22"/>
          <w:szCs w:val="22"/>
        </w:rPr>
        <w:t>。</w:t>
      </w:r>
    </w:p>
    <w:p w:rsidR="00E159BD" w:rsidRPr="00B118E9" w:rsidRDefault="00E159BD" w:rsidP="00E159BD">
      <w:pPr>
        <w:adjustRightInd w:val="0"/>
        <w:snapToGrid w:val="0"/>
        <w:spacing w:line="220" w:lineRule="exact"/>
        <w:ind w:leftChars="430" w:left="1032" w:right="40" w:firstLineChars="27" w:firstLine="59"/>
        <w:rPr>
          <w:rFonts w:eastAsia="標楷體"/>
          <w:sz w:val="22"/>
          <w:szCs w:val="22"/>
        </w:rPr>
      </w:pPr>
    </w:p>
    <w:p w:rsidR="00197DAD" w:rsidRPr="00B118E9" w:rsidRDefault="00197DAD" w:rsidP="00197DAD">
      <w:pPr>
        <w:pStyle w:val="2"/>
        <w:spacing w:after="360"/>
        <w:jc w:val="center"/>
        <w:rPr>
          <w:b w:val="0"/>
          <w:bCs w:val="0"/>
          <w:sz w:val="32"/>
          <w:szCs w:val="32"/>
        </w:rPr>
      </w:pPr>
      <w:bookmarkStart w:id="42" w:name="_Toc399516779"/>
      <w:bookmarkStart w:id="43" w:name="_Toc420680027"/>
      <w:bookmarkStart w:id="44" w:name="_Toc368324015"/>
      <w:r w:rsidRPr="00B118E9">
        <w:rPr>
          <w:sz w:val="32"/>
        </w:rPr>
        <w:t>表</w:t>
      </w:r>
      <w:r w:rsidRPr="00B118E9">
        <w:rPr>
          <w:sz w:val="32"/>
        </w:rPr>
        <w:t xml:space="preserve">3  </w:t>
      </w:r>
      <w:r w:rsidRPr="00B118E9">
        <w:rPr>
          <w:sz w:val="32"/>
        </w:rPr>
        <w:t>國內主要經濟指標</w:t>
      </w:r>
      <w:bookmarkEnd w:id="42"/>
      <w:bookmarkEnd w:id="43"/>
    </w:p>
    <w:tbl>
      <w:tblPr>
        <w:tblStyle w:val="affff4"/>
        <w:tblW w:w="10931" w:type="dxa"/>
        <w:jc w:val="center"/>
        <w:tblLayout w:type="fixed"/>
        <w:tblLook w:val="04A0" w:firstRow="1" w:lastRow="0" w:firstColumn="1" w:lastColumn="0" w:noHBand="0" w:noVBand="1"/>
      </w:tblPr>
      <w:tblGrid>
        <w:gridCol w:w="316"/>
        <w:gridCol w:w="366"/>
        <w:gridCol w:w="1019"/>
        <w:gridCol w:w="639"/>
        <w:gridCol w:w="602"/>
        <w:gridCol w:w="603"/>
        <w:gridCol w:w="602"/>
        <w:gridCol w:w="603"/>
        <w:gridCol w:w="602"/>
        <w:gridCol w:w="603"/>
        <w:gridCol w:w="602"/>
        <w:gridCol w:w="815"/>
        <w:gridCol w:w="645"/>
        <w:gridCol w:w="645"/>
        <w:gridCol w:w="646"/>
        <w:gridCol w:w="626"/>
        <w:gridCol w:w="876"/>
        <w:gridCol w:w="86"/>
        <w:gridCol w:w="35"/>
      </w:tblGrid>
      <w:tr w:rsidR="00973706" w:rsidRPr="00B118E9" w:rsidTr="00BD6B4B">
        <w:trPr>
          <w:gridAfter w:val="1"/>
          <w:wAfter w:w="35" w:type="dxa"/>
          <w:jc w:val="center"/>
        </w:trPr>
        <w:tc>
          <w:tcPr>
            <w:tcW w:w="316" w:type="dxa"/>
            <w:vMerge w:val="restart"/>
            <w:tcBorders>
              <w:left w:val="nil"/>
            </w:tcBorders>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1385" w:type="dxa"/>
            <w:gridSpan w:val="2"/>
            <w:vMerge w:val="restart"/>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639" w:type="dxa"/>
            <w:vMerge w:val="restart"/>
            <w:tcBorders>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102</w:t>
            </w:r>
            <w:r w:rsidRPr="00B118E9">
              <w:rPr>
                <w:rFonts w:eastAsia="標楷體"/>
                <w:spacing w:val="-20"/>
                <w:sz w:val="22"/>
              </w:rPr>
              <w:t>年</w:t>
            </w:r>
          </w:p>
        </w:tc>
        <w:tc>
          <w:tcPr>
            <w:tcW w:w="5032" w:type="dxa"/>
            <w:gridSpan w:val="8"/>
            <w:tcBorders>
              <w:right w:val="nil"/>
            </w:tcBorders>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z w:val="22"/>
              </w:rPr>
              <w:t>103</w:t>
            </w:r>
            <w:r w:rsidRPr="00B118E9">
              <w:rPr>
                <w:rFonts w:eastAsia="標楷體"/>
                <w:spacing w:val="-20"/>
                <w:sz w:val="22"/>
              </w:rPr>
              <w:t>年</w:t>
            </w:r>
          </w:p>
        </w:tc>
        <w:tc>
          <w:tcPr>
            <w:tcW w:w="3524" w:type="dxa"/>
            <w:gridSpan w:val="6"/>
            <w:tcBorders>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z w:val="22"/>
              </w:rPr>
              <w:t>104</w:t>
            </w:r>
            <w:r w:rsidRPr="00B118E9">
              <w:rPr>
                <w:rFonts w:eastAsia="標楷體"/>
                <w:spacing w:val="-20"/>
                <w:sz w:val="22"/>
              </w:rPr>
              <w:t>年</w:t>
            </w:r>
          </w:p>
        </w:tc>
      </w:tr>
      <w:tr w:rsidR="00973706" w:rsidRPr="00B118E9" w:rsidTr="00BD6B4B">
        <w:trPr>
          <w:gridAfter w:val="2"/>
          <w:wAfter w:w="121" w:type="dxa"/>
          <w:jc w:val="center"/>
        </w:trPr>
        <w:tc>
          <w:tcPr>
            <w:tcW w:w="316" w:type="dxa"/>
            <w:vMerge/>
            <w:tcBorders>
              <w:left w:val="nil"/>
            </w:tcBorders>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1385" w:type="dxa"/>
            <w:gridSpan w:val="2"/>
            <w:vMerge/>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639" w:type="dxa"/>
            <w:vMerge/>
            <w:tcBorders>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602" w:type="dxa"/>
            <w:tcBorders>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w:t>
            </w:r>
            <w:r w:rsidRPr="00B118E9">
              <w:rPr>
                <w:rFonts w:eastAsia="標楷體"/>
                <w:spacing w:val="-20"/>
                <w:sz w:val="22"/>
              </w:rPr>
              <w:t>月</w:t>
            </w:r>
          </w:p>
        </w:tc>
        <w:tc>
          <w:tcPr>
            <w:tcW w:w="603" w:type="dxa"/>
            <w:tcBorders>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w:t>
            </w:r>
            <w:r w:rsidRPr="00B118E9">
              <w:rPr>
                <w:rFonts w:eastAsia="標楷體"/>
                <w:spacing w:val="-20"/>
                <w:sz w:val="22"/>
              </w:rPr>
              <w:t>月</w:t>
            </w:r>
          </w:p>
        </w:tc>
        <w:tc>
          <w:tcPr>
            <w:tcW w:w="602" w:type="dxa"/>
            <w:tcBorders>
              <w:bottom w:val="single" w:sz="4" w:space="0" w:color="auto"/>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w:t>
            </w:r>
            <w:r w:rsidRPr="00B118E9">
              <w:rPr>
                <w:rFonts w:eastAsia="標楷體"/>
                <w:spacing w:val="-20"/>
                <w:sz w:val="22"/>
              </w:rPr>
              <w:t>月</w:t>
            </w:r>
          </w:p>
        </w:tc>
        <w:tc>
          <w:tcPr>
            <w:tcW w:w="603" w:type="dxa"/>
            <w:tcBorders>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w:t>
            </w:r>
            <w:r w:rsidRPr="00B118E9">
              <w:rPr>
                <w:rFonts w:eastAsia="標楷體"/>
                <w:spacing w:val="-20"/>
                <w:sz w:val="22"/>
              </w:rPr>
              <w:t>月</w:t>
            </w:r>
          </w:p>
        </w:tc>
        <w:tc>
          <w:tcPr>
            <w:tcW w:w="602" w:type="dxa"/>
            <w:tcBorders>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w:t>
            </w:r>
            <w:r w:rsidRPr="00B118E9">
              <w:rPr>
                <w:rFonts w:eastAsia="標楷體"/>
                <w:spacing w:val="-20"/>
                <w:sz w:val="22"/>
              </w:rPr>
              <w:t>月</w:t>
            </w:r>
          </w:p>
        </w:tc>
        <w:tc>
          <w:tcPr>
            <w:tcW w:w="603" w:type="dxa"/>
            <w:tcBorders>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w:t>
            </w:r>
            <w:r w:rsidRPr="00B118E9">
              <w:rPr>
                <w:rFonts w:eastAsia="標楷體"/>
                <w:spacing w:val="-20"/>
                <w:sz w:val="22"/>
              </w:rPr>
              <w:t>月</w:t>
            </w:r>
          </w:p>
        </w:tc>
        <w:tc>
          <w:tcPr>
            <w:tcW w:w="602" w:type="dxa"/>
            <w:tcBorders>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w:t>
            </w:r>
            <w:r w:rsidRPr="00B118E9">
              <w:rPr>
                <w:rFonts w:eastAsia="標楷體"/>
                <w:spacing w:val="-20"/>
                <w:sz w:val="22"/>
              </w:rPr>
              <w:t>月</w:t>
            </w:r>
          </w:p>
        </w:tc>
        <w:tc>
          <w:tcPr>
            <w:tcW w:w="815" w:type="dxa"/>
            <w:tcBorders>
              <w:bottom w:val="single" w:sz="4" w:space="0" w:color="auto"/>
              <w:right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全年</w:t>
            </w:r>
          </w:p>
        </w:tc>
        <w:tc>
          <w:tcPr>
            <w:tcW w:w="645" w:type="dxa"/>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sidRPr="00B118E9">
              <w:rPr>
                <w:rFonts w:eastAsia="標楷體"/>
                <w:spacing w:val="-20"/>
                <w:sz w:val="22"/>
              </w:rPr>
              <w:t>月</w:t>
            </w:r>
          </w:p>
        </w:tc>
        <w:tc>
          <w:tcPr>
            <w:tcW w:w="645" w:type="dxa"/>
            <w:tcBorders>
              <w:left w:val="single" w:sz="4" w:space="0" w:color="auto"/>
              <w:bottom w:val="single" w:sz="4" w:space="0" w:color="auto"/>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w:t>
            </w:r>
            <w:r w:rsidRPr="00B118E9">
              <w:rPr>
                <w:rFonts w:eastAsia="標楷體"/>
                <w:spacing w:val="-20"/>
                <w:sz w:val="22"/>
              </w:rPr>
              <w:t>月</w:t>
            </w:r>
          </w:p>
        </w:tc>
        <w:tc>
          <w:tcPr>
            <w:tcW w:w="646" w:type="dxa"/>
            <w:tcBorders>
              <w:left w:val="single" w:sz="4" w:space="0" w:color="auto"/>
              <w:bottom w:val="single" w:sz="4" w:space="0" w:color="auto"/>
              <w:right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w:t>
            </w:r>
            <w:r w:rsidRPr="00B118E9">
              <w:rPr>
                <w:rFonts w:eastAsia="標楷體"/>
                <w:spacing w:val="-20"/>
                <w:sz w:val="22"/>
              </w:rPr>
              <w:t>月</w:t>
            </w:r>
          </w:p>
        </w:tc>
        <w:tc>
          <w:tcPr>
            <w:tcW w:w="626" w:type="dxa"/>
            <w:tcBorders>
              <w:left w:val="single" w:sz="4" w:space="0" w:color="auto"/>
              <w:bottom w:val="single" w:sz="4" w:space="0" w:color="auto"/>
              <w:right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w:t>
            </w:r>
            <w:r w:rsidRPr="00B118E9">
              <w:rPr>
                <w:rFonts w:eastAsia="標楷體"/>
                <w:spacing w:val="-20"/>
                <w:sz w:val="22"/>
              </w:rPr>
              <w:t>月</w:t>
            </w:r>
          </w:p>
        </w:tc>
        <w:tc>
          <w:tcPr>
            <w:tcW w:w="876" w:type="dxa"/>
            <w:tcBorders>
              <w:left w:val="single" w:sz="4" w:space="0" w:color="auto"/>
              <w:bottom w:val="single" w:sz="4" w:space="0" w:color="auto"/>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累計</w:t>
            </w:r>
            <w:r w:rsidRPr="00B118E9">
              <w:rPr>
                <w:rFonts w:eastAsia="標楷體"/>
                <w:spacing w:val="-20"/>
                <w:sz w:val="22"/>
              </w:rPr>
              <w:t>/</w:t>
            </w:r>
            <w:r w:rsidRPr="00B118E9">
              <w:rPr>
                <w:rFonts w:eastAsia="標楷體"/>
                <w:spacing w:val="-20"/>
                <w:sz w:val="22"/>
              </w:rPr>
              <w:t>預估</w:t>
            </w:r>
          </w:p>
        </w:tc>
      </w:tr>
      <w:tr w:rsidR="00973706" w:rsidRPr="00B118E9" w:rsidTr="00BD6B4B">
        <w:trPr>
          <w:trHeight w:val="633"/>
          <w:jc w:val="center"/>
        </w:trPr>
        <w:tc>
          <w:tcPr>
            <w:tcW w:w="316" w:type="dxa"/>
            <w:vMerge w:val="restart"/>
            <w:tcBorders>
              <w:lef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z w:val="22"/>
              </w:rPr>
            </w:pPr>
            <w:r w:rsidRPr="00B118E9">
              <w:rPr>
                <w:rFonts w:eastAsia="標楷體"/>
                <w:spacing w:val="-20"/>
                <w:sz w:val="22"/>
              </w:rPr>
              <w:t>經濟成長</w:t>
            </w:r>
          </w:p>
        </w:tc>
        <w:tc>
          <w:tcPr>
            <w:tcW w:w="1385" w:type="dxa"/>
            <w:gridSpan w:val="2"/>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經濟成長率</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9" w:type="dxa"/>
            <w:tcBorders>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2.23</w:t>
            </w:r>
          </w:p>
        </w:tc>
        <w:tc>
          <w:tcPr>
            <w:tcW w:w="602" w:type="dxa"/>
            <w:tcBorders>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2</w:t>
            </w:r>
            <w:r w:rsidRPr="00B118E9">
              <w:rPr>
                <w:rFonts w:eastAsia="標楷體"/>
                <w:spacing w:val="-20"/>
                <w:sz w:val="22"/>
              </w:rPr>
              <w:t>季</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3.87</w:t>
            </w:r>
          </w:p>
        </w:tc>
        <w:tc>
          <w:tcPr>
            <w:tcW w:w="603" w:type="dxa"/>
            <w:tcBorders>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602" w:type="dxa"/>
            <w:tcBorders>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603" w:type="dxa"/>
            <w:tcBorders>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4.32</w:t>
            </w:r>
          </w:p>
        </w:tc>
        <w:tc>
          <w:tcPr>
            <w:tcW w:w="602" w:type="dxa"/>
            <w:tcBorders>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603" w:type="dxa"/>
            <w:tcBorders>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602" w:type="dxa"/>
            <w:tcBorders>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3.47</w:t>
            </w:r>
          </w:p>
        </w:tc>
        <w:tc>
          <w:tcPr>
            <w:tcW w:w="815" w:type="dxa"/>
            <w:tcBorders>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3.77</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p>
        </w:tc>
        <w:tc>
          <w:tcPr>
            <w:tcW w:w="645" w:type="dxa"/>
            <w:tcBorders>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p>
        </w:tc>
        <w:tc>
          <w:tcPr>
            <w:tcW w:w="646" w:type="dxa"/>
            <w:tcBorders>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3.37</w:t>
            </w:r>
          </w:p>
        </w:tc>
        <w:tc>
          <w:tcPr>
            <w:tcW w:w="626" w:type="dxa"/>
            <w:tcBorders>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997" w:type="dxa"/>
            <w:gridSpan w:val="3"/>
            <w:tcBorders>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3.28</w:t>
            </w:r>
          </w:p>
        </w:tc>
      </w:tr>
      <w:tr w:rsidR="00973706" w:rsidRPr="00B118E9" w:rsidTr="00BD6B4B">
        <w:trPr>
          <w:trHeight w:val="571"/>
          <w:jc w:val="center"/>
        </w:trPr>
        <w:tc>
          <w:tcPr>
            <w:tcW w:w="316" w:type="dxa"/>
            <w:vMerge/>
            <w:tcBorders>
              <w:left w:val="nil"/>
            </w:tcBorders>
          </w:tcPr>
          <w:p w:rsidR="00973706" w:rsidRPr="00B118E9" w:rsidRDefault="00973706" w:rsidP="00BD6B4B">
            <w:pPr>
              <w:adjustRightInd w:val="0"/>
              <w:snapToGrid w:val="0"/>
              <w:contextualSpacing/>
              <w:textAlignment w:val="center"/>
              <w:rPr>
                <w:rFonts w:eastAsia="標楷體"/>
                <w:spacing w:val="-40"/>
                <w:sz w:val="22"/>
              </w:rPr>
            </w:pPr>
          </w:p>
        </w:tc>
        <w:tc>
          <w:tcPr>
            <w:tcW w:w="1385" w:type="dxa"/>
            <w:gridSpan w:val="2"/>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民間投資成長率</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6.67</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2</w:t>
            </w:r>
            <w:r w:rsidRPr="00B118E9">
              <w:rPr>
                <w:rFonts w:eastAsia="標楷體"/>
                <w:spacing w:val="-20"/>
                <w:sz w:val="22"/>
              </w:rPr>
              <w:t>季</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4.32</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6.27</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1.70</w:t>
            </w:r>
          </w:p>
        </w:tc>
        <w:tc>
          <w:tcPr>
            <w:tcW w:w="81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3.46</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2.46</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4.02</w:t>
            </w:r>
          </w:p>
        </w:tc>
      </w:tr>
      <w:tr w:rsidR="00973706" w:rsidRPr="00B118E9" w:rsidTr="00BD6B4B">
        <w:trPr>
          <w:trHeight w:val="551"/>
          <w:jc w:val="center"/>
        </w:trPr>
        <w:tc>
          <w:tcPr>
            <w:tcW w:w="316" w:type="dxa"/>
            <w:vMerge/>
            <w:tcBorders>
              <w:left w:val="nil"/>
            </w:tcBorders>
          </w:tcPr>
          <w:p w:rsidR="00973706" w:rsidRPr="00B118E9" w:rsidRDefault="00973706" w:rsidP="00BD6B4B">
            <w:pPr>
              <w:adjustRightInd w:val="0"/>
              <w:snapToGrid w:val="0"/>
              <w:contextualSpacing/>
              <w:textAlignment w:val="center"/>
              <w:rPr>
                <w:rFonts w:eastAsia="標楷體"/>
                <w:spacing w:val="-40"/>
                <w:sz w:val="22"/>
              </w:rPr>
            </w:pPr>
          </w:p>
        </w:tc>
        <w:tc>
          <w:tcPr>
            <w:tcW w:w="1385" w:type="dxa"/>
            <w:gridSpan w:val="2"/>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民間消費成長率</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2.35</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2</w:t>
            </w:r>
            <w:r w:rsidRPr="00B118E9">
              <w:rPr>
                <w:rFonts w:eastAsia="標楷體"/>
                <w:spacing w:val="-20"/>
                <w:sz w:val="22"/>
              </w:rPr>
              <w:t>季</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3.30</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3.76</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2.38</w:t>
            </w:r>
          </w:p>
        </w:tc>
        <w:tc>
          <w:tcPr>
            <w:tcW w:w="81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2.95</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2.52</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2.76</w:t>
            </w:r>
          </w:p>
        </w:tc>
      </w:tr>
      <w:tr w:rsidR="00973706" w:rsidRPr="00B118E9" w:rsidTr="00BD6B4B">
        <w:trPr>
          <w:trHeight w:val="531"/>
          <w:jc w:val="center"/>
        </w:trPr>
        <w:tc>
          <w:tcPr>
            <w:tcW w:w="316" w:type="dxa"/>
            <w:vMerge w:val="restart"/>
            <w:tcBorders>
              <w:lef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產業</w:t>
            </w:r>
          </w:p>
        </w:tc>
        <w:tc>
          <w:tcPr>
            <w:tcW w:w="1385" w:type="dxa"/>
            <w:gridSpan w:val="2"/>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工業生產指數</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0.65</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8.57</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6.33</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6.88</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9.94</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9.20</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6.79</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7.76</w:t>
            </w:r>
          </w:p>
        </w:tc>
        <w:tc>
          <w:tcPr>
            <w:tcW w:w="815"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6.37</w:t>
            </w:r>
          </w:p>
        </w:tc>
        <w:tc>
          <w:tcPr>
            <w:tcW w:w="645"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7.58</w:t>
            </w:r>
          </w:p>
        </w:tc>
        <w:tc>
          <w:tcPr>
            <w:tcW w:w="645"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2.72</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6.65</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1.06</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4.54</w:t>
            </w:r>
          </w:p>
        </w:tc>
      </w:tr>
      <w:tr w:rsidR="00973706" w:rsidRPr="00B118E9" w:rsidTr="00BD6B4B">
        <w:trPr>
          <w:trHeight w:val="556"/>
          <w:jc w:val="center"/>
        </w:trPr>
        <w:tc>
          <w:tcPr>
            <w:tcW w:w="316" w:type="dxa"/>
            <w:vMerge/>
            <w:tcBorders>
              <w:left w:val="nil"/>
            </w:tcBorders>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1385" w:type="dxa"/>
            <w:gridSpan w:val="2"/>
            <w:tcBorders>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製造業生產指數</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0.56</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8.82</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6.95</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7.02</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10.59</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9.22</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6.85</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7.76</w:t>
            </w:r>
          </w:p>
        </w:tc>
        <w:tc>
          <w:tcPr>
            <w:tcW w:w="815"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6.63</w:t>
            </w:r>
          </w:p>
        </w:tc>
        <w:tc>
          <w:tcPr>
            <w:tcW w:w="645"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9.08</w:t>
            </w:r>
          </w:p>
        </w:tc>
        <w:tc>
          <w:tcPr>
            <w:tcW w:w="645"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2.89</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7.17</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1.15</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5.11</w:t>
            </w:r>
          </w:p>
        </w:tc>
      </w:tr>
      <w:tr w:rsidR="00973706" w:rsidRPr="00B118E9" w:rsidTr="00BD6B4B">
        <w:trPr>
          <w:trHeight w:val="566"/>
          <w:jc w:val="center"/>
        </w:trPr>
        <w:tc>
          <w:tcPr>
            <w:tcW w:w="316" w:type="dxa"/>
            <w:vMerge/>
            <w:tcBorders>
              <w:left w:val="nil"/>
            </w:tcBorders>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1385" w:type="dxa"/>
            <w:gridSpan w:val="2"/>
            <w:tcBorders>
              <w:bottom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商業營業額</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億元</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141,622</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12,337</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12,443</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12,064</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12,447</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12,481</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12,052</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12,736</w:t>
            </w:r>
          </w:p>
        </w:tc>
        <w:tc>
          <w:tcPr>
            <w:tcW w:w="815"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145,376</w:t>
            </w:r>
          </w:p>
        </w:tc>
        <w:tc>
          <w:tcPr>
            <w:tcW w:w="645"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12,311</w:t>
            </w:r>
          </w:p>
        </w:tc>
        <w:tc>
          <w:tcPr>
            <w:tcW w:w="645"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10,548</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11,798</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11,690</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46,346</w:t>
            </w:r>
          </w:p>
        </w:tc>
      </w:tr>
      <w:tr w:rsidR="00973706" w:rsidRPr="00B118E9" w:rsidTr="00BD6B4B">
        <w:trPr>
          <w:trHeight w:val="417"/>
          <w:jc w:val="center"/>
        </w:trPr>
        <w:tc>
          <w:tcPr>
            <w:tcW w:w="316" w:type="dxa"/>
            <w:vMerge/>
            <w:tcBorders>
              <w:left w:val="nil"/>
            </w:tcBorders>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366" w:type="dxa"/>
            <w:tcBorders>
              <w:top w:val="nil"/>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1019" w:type="dxa"/>
            <w:tcBorders>
              <w:top w:val="single" w:sz="4" w:space="0" w:color="auto"/>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4.1</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2.9</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 xml:space="preserve">2.2 </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2.5</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1.5</w:t>
            </w:r>
          </w:p>
        </w:tc>
        <w:tc>
          <w:tcPr>
            <w:tcW w:w="603"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0.8</w:t>
            </w:r>
          </w:p>
        </w:tc>
        <w:tc>
          <w:tcPr>
            <w:tcW w:w="602"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w:t>
            </w:r>
          </w:p>
        </w:tc>
        <w:tc>
          <w:tcPr>
            <w:tcW w:w="81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2.7</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-0.6</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0.9</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-2.0</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p>
        </w:tc>
      </w:tr>
      <w:tr w:rsidR="00973706" w:rsidRPr="00B118E9" w:rsidTr="00BD6B4B">
        <w:trPr>
          <w:trHeight w:val="693"/>
          <w:jc w:val="center"/>
        </w:trPr>
        <w:tc>
          <w:tcPr>
            <w:tcW w:w="316" w:type="dxa"/>
            <w:vMerge/>
            <w:tcBorders>
              <w:left w:val="nil"/>
            </w:tcBorders>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1385" w:type="dxa"/>
            <w:gridSpan w:val="2"/>
            <w:tcBorders>
              <w:bottom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綜合商品零售業</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營業額</w:t>
            </w:r>
            <w:r w:rsidRPr="00B118E9">
              <w:rPr>
                <w:rFonts w:eastAsia="標楷體"/>
                <w:spacing w:val="-20"/>
                <w:sz w:val="22"/>
              </w:rPr>
              <w:t>(</w:t>
            </w:r>
            <w:r w:rsidRPr="00B118E9">
              <w:rPr>
                <w:rFonts w:eastAsia="標楷體"/>
                <w:spacing w:val="-20"/>
                <w:sz w:val="22"/>
              </w:rPr>
              <w:t>億元</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10,524</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879</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932</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952</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903</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1,014</w:t>
            </w:r>
          </w:p>
        </w:tc>
        <w:tc>
          <w:tcPr>
            <w:tcW w:w="603"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992</w:t>
            </w:r>
          </w:p>
        </w:tc>
        <w:tc>
          <w:tcPr>
            <w:tcW w:w="602"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984</w:t>
            </w:r>
          </w:p>
        </w:tc>
        <w:tc>
          <w:tcPr>
            <w:tcW w:w="81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11,065</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891</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1,006</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858</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909</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3,664</w:t>
            </w:r>
          </w:p>
        </w:tc>
      </w:tr>
      <w:tr w:rsidR="00973706" w:rsidRPr="00B118E9" w:rsidTr="00BD6B4B">
        <w:trPr>
          <w:trHeight w:val="419"/>
          <w:jc w:val="center"/>
        </w:trPr>
        <w:tc>
          <w:tcPr>
            <w:tcW w:w="316" w:type="dxa"/>
            <w:vMerge/>
            <w:tcBorders>
              <w:left w:val="nil"/>
            </w:tcBorders>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366" w:type="dxa"/>
            <w:tcBorders>
              <w:top w:val="nil"/>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1019" w:type="dxa"/>
            <w:tcBorders>
              <w:top w:val="single" w:sz="4" w:space="0" w:color="auto"/>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2.9</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8.1</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3.6</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3.1</w:t>
            </w:r>
          </w:p>
        </w:tc>
        <w:tc>
          <w:tcPr>
            <w:tcW w:w="603"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6.1</w:t>
            </w:r>
          </w:p>
        </w:tc>
        <w:tc>
          <w:tcPr>
            <w:tcW w:w="602"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8.5</w:t>
            </w:r>
          </w:p>
        </w:tc>
        <w:tc>
          <w:tcPr>
            <w:tcW w:w="81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5.1</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-9.2</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23.4</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3.0</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w:t>
            </w:r>
          </w:p>
        </w:tc>
      </w:tr>
      <w:tr w:rsidR="00973706" w:rsidRPr="00B118E9" w:rsidTr="00BD6B4B">
        <w:trPr>
          <w:trHeight w:val="425"/>
          <w:jc w:val="center"/>
        </w:trPr>
        <w:tc>
          <w:tcPr>
            <w:tcW w:w="316" w:type="dxa"/>
            <w:vMerge w:val="restart"/>
            <w:tcBorders>
              <w:lef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對外貿易</w:t>
            </w:r>
          </w:p>
        </w:tc>
        <w:tc>
          <w:tcPr>
            <w:tcW w:w="1385" w:type="dxa"/>
            <w:gridSpan w:val="2"/>
            <w:tcBorders>
              <w:bottom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出口</w:t>
            </w: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3,054.4</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268.0</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267.4</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280.7</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264.1</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268.8</w:t>
            </w:r>
          </w:p>
        </w:tc>
        <w:tc>
          <w:tcPr>
            <w:tcW w:w="603"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266.4</w:t>
            </w:r>
          </w:p>
        </w:tc>
        <w:tc>
          <w:tcPr>
            <w:tcW w:w="602"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256.1</w:t>
            </w:r>
          </w:p>
        </w:tc>
        <w:tc>
          <w:tcPr>
            <w:tcW w:w="815" w:type="dxa"/>
            <w:tcBorders>
              <w:top w:val="nil"/>
              <w:left w:val="nil"/>
              <w:bottom w:val="nil"/>
              <w:right w:val="nil"/>
            </w:tcBorders>
            <w:vAlign w:val="center"/>
          </w:tcPr>
          <w:p w:rsidR="00973706" w:rsidRPr="00B118E9" w:rsidRDefault="00973706" w:rsidP="00BD6B4B">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3,137.0</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251.1</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198.6</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252.7</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234.9</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937.3</w:t>
            </w:r>
          </w:p>
        </w:tc>
      </w:tr>
      <w:tr w:rsidR="00973706" w:rsidRPr="00B118E9" w:rsidTr="00BD6B4B">
        <w:trPr>
          <w:trHeight w:val="402"/>
          <w:jc w:val="center"/>
        </w:trPr>
        <w:tc>
          <w:tcPr>
            <w:tcW w:w="316" w:type="dxa"/>
            <w:vMerge/>
            <w:tcBorders>
              <w:left w:val="nil"/>
            </w:tcBorders>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366" w:type="dxa"/>
            <w:tcBorders>
              <w:top w:val="nil"/>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1019" w:type="dxa"/>
            <w:tcBorders>
              <w:top w:val="single" w:sz="4" w:space="0" w:color="auto"/>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5.7</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9.5</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4.6</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p>
        </w:tc>
        <w:tc>
          <w:tcPr>
            <w:tcW w:w="603"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3.5</w:t>
            </w:r>
          </w:p>
        </w:tc>
        <w:tc>
          <w:tcPr>
            <w:tcW w:w="602"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w:t>
            </w:r>
          </w:p>
        </w:tc>
        <w:tc>
          <w:tcPr>
            <w:tcW w:w="81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2.7</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3.4</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-6.7</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-8.9</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-11.7</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-6.2</w:t>
            </w:r>
          </w:p>
        </w:tc>
      </w:tr>
      <w:tr w:rsidR="00973706" w:rsidRPr="00B118E9" w:rsidTr="00BD6B4B">
        <w:trPr>
          <w:trHeight w:val="423"/>
          <w:jc w:val="center"/>
        </w:trPr>
        <w:tc>
          <w:tcPr>
            <w:tcW w:w="316" w:type="dxa"/>
            <w:vMerge/>
            <w:tcBorders>
              <w:left w:val="nil"/>
            </w:tcBorders>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1385" w:type="dxa"/>
            <w:gridSpan w:val="2"/>
            <w:tcBorders>
              <w:bottom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進口</w:t>
            </w: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2,699.0</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249.0</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241.3</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239.7</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228.7</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222.6</w:t>
            </w:r>
          </w:p>
        </w:tc>
        <w:tc>
          <w:tcPr>
            <w:tcW w:w="603"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224.6</w:t>
            </w:r>
          </w:p>
        </w:tc>
        <w:tc>
          <w:tcPr>
            <w:tcW w:w="602"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212.0</w:t>
            </w:r>
          </w:p>
        </w:tc>
        <w:tc>
          <w:tcPr>
            <w:tcW w:w="815" w:type="dxa"/>
            <w:tcBorders>
              <w:top w:val="nil"/>
              <w:left w:val="nil"/>
              <w:bottom w:val="nil"/>
              <w:right w:val="nil"/>
            </w:tcBorders>
            <w:vAlign w:val="center"/>
          </w:tcPr>
          <w:p w:rsidR="00973706" w:rsidRPr="00B118E9" w:rsidRDefault="00973706" w:rsidP="00BD6B4B">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2,740.3</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203.3</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153.0</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212.1</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187.3</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755.6</w:t>
            </w:r>
          </w:p>
        </w:tc>
      </w:tr>
      <w:tr w:rsidR="00973706" w:rsidRPr="00B118E9" w:rsidTr="00BD6B4B">
        <w:trPr>
          <w:trHeight w:val="415"/>
          <w:jc w:val="center"/>
        </w:trPr>
        <w:tc>
          <w:tcPr>
            <w:tcW w:w="316" w:type="dxa"/>
            <w:vMerge/>
            <w:tcBorders>
              <w:left w:val="nil"/>
            </w:tcBorders>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366" w:type="dxa"/>
            <w:tcBorders>
              <w:top w:val="nil"/>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1019" w:type="dxa"/>
            <w:tcBorders>
              <w:top w:val="single" w:sz="4" w:space="0" w:color="auto"/>
              <w:bottom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-0.2</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7.4</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9.3</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13.9</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-0.1</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-1.5</w:t>
            </w:r>
          </w:p>
        </w:tc>
        <w:tc>
          <w:tcPr>
            <w:tcW w:w="603"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5.0</w:t>
            </w:r>
          </w:p>
        </w:tc>
        <w:tc>
          <w:tcPr>
            <w:tcW w:w="602"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-12.3</w:t>
            </w:r>
          </w:p>
        </w:tc>
        <w:tc>
          <w:tcPr>
            <w:tcW w:w="81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1.5</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-4.7</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-22.4</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-17.7</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-22.1</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-16.8</w:t>
            </w:r>
          </w:p>
        </w:tc>
      </w:tr>
      <w:tr w:rsidR="00973706" w:rsidRPr="00B118E9" w:rsidTr="00BD6B4B">
        <w:trPr>
          <w:trHeight w:val="550"/>
          <w:jc w:val="center"/>
        </w:trPr>
        <w:tc>
          <w:tcPr>
            <w:tcW w:w="316" w:type="dxa"/>
            <w:vMerge/>
            <w:tcBorders>
              <w:left w:val="nil"/>
            </w:tcBorders>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1385" w:type="dxa"/>
            <w:gridSpan w:val="2"/>
            <w:tcBorders>
              <w:bottom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外銷訂單</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4,429.3</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388.2</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381.8</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382.1</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433.1</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449.1</w:t>
            </w:r>
          </w:p>
        </w:tc>
        <w:tc>
          <w:tcPr>
            <w:tcW w:w="603"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435.1</w:t>
            </w:r>
          </w:p>
        </w:tc>
        <w:tc>
          <w:tcPr>
            <w:tcW w:w="602"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442.3</w:t>
            </w:r>
          </w:p>
        </w:tc>
        <w:tc>
          <w:tcPr>
            <w:tcW w:w="81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4,728.1</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390.4</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298.9</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384.3</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373.2</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1,446.7</w:t>
            </w:r>
          </w:p>
        </w:tc>
      </w:tr>
      <w:tr w:rsidR="00973706" w:rsidRPr="00B118E9" w:rsidTr="00BD6B4B">
        <w:trPr>
          <w:trHeight w:val="417"/>
          <w:jc w:val="center"/>
        </w:trPr>
        <w:tc>
          <w:tcPr>
            <w:tcW w:w="316" w:type="dxa"/>
            <w:vMerge/>
            <w:tcBorders>
              <w:left w:val="nil"/>
            </w:tcBorders>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366" w:type="dxa"/>
            <w:tcBorders>
              <w:top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1019" w:type="dxa"/>
            <w:tcBorders>
              <w:top w:val="single" w:sz="4" w:space="0" w:color="auto"/>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0.4</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10.6</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5.7</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5.2</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12.7</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13.4</w:t>
            </w:r>
          </w:p>
        </w:tc>
        <w:tc>
          <w:tcPr>
            <w:tcW w:w="603"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6.0</w:t>
            </w:r>
          </w:p>
        </w:tc>
        <w:tc>
          <w:tcPr>
            <w:tcW w:w="602"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w:t>
            </w:r>
          </w:p>
        </w:tc>
        <w:tc>
          <w:tcPr>
            <w:tcW w:w="81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6.7</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8.1</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-2.7</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-4.0</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0.7</w:t>
            </w:r>
          </w:p>
        </w:tc>
      </w:tr>
      <w:tr w:rsidR="00973706" w:rsidRPr="00B118E9" w:rsidTr="00BD6B4B">
        <w:trPr>
          <w:trHeight w:val="618"/>
          <w:jc w:val="center"/>
        </w:trPr>
        <w:tc>
          <w:tcPr>
            <w:tcW w:w="316" w:type="dxa"/>
            <w:vMerge w:val="restart"/>
            <w:tcBorders>
              <w:lef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物價</w:t>
            </w:r>
          </w:p>
        </w:tc>
        <w:tc>
          <w:tcPr>
            <w:tcW w:w="1385" w:type="dxa"/>
            <w:gridSpan w:val="2"/>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消費者物價指數</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0.79</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1.64</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1.76</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2.07</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0.71</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w:t>
            </w:r>
          </w:p>
        </w:tc>
        <w:tc>
          <w:tcPr>
            <w:tcW w:w="603"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0.85</w:t>
            </w:r>
          </w:p>
        </w:tc>
        <w:tc>
          <w:tcPr>
            <w:tcW w:w="602"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0.60</w:t>
            </w:r>
          </w:p>
        </w:tc>
        <w:tc>
          <w:tcPr>
            <w:tcW w:w="81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1.20</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-0.94</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-0.20</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-0.61</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-0.80</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-0.64</w:t>
            </w:r>
          </w:p>
        </w:tc>
      </w:tr>
      <w:tr w:rsidR="00973706" w:rsidRPr="00B118E9" w:rsidTr="00BD6B4B">
        <w:trPr>
          <w:trHeight w:val="541"/>
          <w:jc w:val="center"/>
        </w:trPr>
        <w:tc>
          <w:tcPr>
            <w:tcW w:w="316" w:type="dxa"/>
            <w:vMerge/>
            <w:tcBorders>
              <w:lef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p>
        </w:tc>
        <w:tc>
          <w:tcPr>
            <w:tcW w:w="1385" w:type="dxa"/>
            <w:gridSpan w:val="2"/>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躉售物價指數</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-2.43</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0.80</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0.85</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0.03</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-0.85</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-1.38</w:t>
            </w:r>
          </w:p>
        </w:tc>
        <w:tc>
          <w:tcPr>
            <w:tcW w:w="603"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-2.90</w:t>
            </w:r>
          </w:p>
        </w:tc>
        <w:tc>
          <w:tcPr>
            <w:tcW w:w="602"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-4.75</w:t>
            </w:r>
          </w:p>
        </w:tc>
        <w:tc>
          <w:tcPr>
            <w:tcW w:w="81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-0.57</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-7.87</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-8.79</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-8.75</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-9.15</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-8.64</w:t>
            </w:r>
          </w:p>
        </w:tc>
      </w:tr>
      <w:tr w:rsidR="00973706" w:rsidRPr="00B118E9" w:rsidTr="00BD6B4B">
        <w:trPr>
          <w:trHeight w:val="712"/>
          <w:jc w:val="center"/>
        </w:trPr>
        <w:tc>
          <w:tcPr>
            <w:tcW w:w="316" w:type="dxa"/>
            <w:tcBorders>
              <w:lef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金融</w:t>
            </w:r>
          </w:p>
        </w:tc>
        <w:tc>
          <w:tcPr>
            <w:tcW w:w="1385" w:type="dxa"/>
            <w:gridSpan w:val="2"/>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貨幣供給額</w:t>
            </w:r>
            <w:r w:rsidRPr="00B118E9">
              <w:rPr>
                <w:rFonts w:eastAsia="標楷體"/>
                <w:spacing w:val="-20"/>
                <w:sz w:val="22"/>
              </w:rPr>
              <w:t>M2</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4.78</w:t>
            </w:r>
          </w:p>
        </w:tc>
        <w:tc>
          <w:tcPr>
            <w:tcW w:w="602" w:type="dxa"/>
            <w:tcBorders>
              <w:top w:val="nil"/>
              <w:left w:val="nil"/>
              <w:bottom w:val="nil"/>
              <w:right w:val="nil"/>
            </w:tcBorders>
            <w:shd w:val="clear" w:color="auto" w:fill="auto"/>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5.74</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5.63</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5.64</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5.31</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4.98</w:t>
            </w:r>
          </w:p>
        </w:tc>
        <w:tc>
          <w:tcPr>
            <w:tcW w:w="603"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5.22</w:t>
            </w:r>
          </w:p>
        </w:tc>
        <w:tc>
          <w:tcPr>
            <w:tcW w:w="602"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5.85</w:t>
            </w:r>
          </w:p>
        </w:tc>
        <w:tc>
          <w:tcPr>
            <w:tcW w:w="81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5.66</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5.86</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6.51</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6.57</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6.53</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6.37</w:t>
            </w:r>
          </w:p>
        </w:tc>
      </w:tr>
      <w:tr w:rsidR="00973706" w:rsidRPr="00B118E9" w:rsidTr="00BD6B4B">
        <w:trPr>
          <w:trHeight w:val="531"/>
          <w:jc w:val="center"/>
        </w:trPr>
        <w:tc>
          <w:tcPr>
            <w:tcW w:w="316" w:type="dxa"/>
            <w:vMerge w:val="restart"/>
            <w:tcBorders>
              <w:lef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就業</w:t>
            </w:r>
          </w:p>
        </w:tc>
        <w:tc>
          <w:tcPr>
            <w:tcW w:w="1385" w:type="dxa"/>
            <w:gridSpan w:val="2"/>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就業人數</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萬人</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1,096.7</w:t>
            </w:r>
          </w:p>
        </w:tc>
        <w:tc>
          <w:tcPr>
            <w:tcW w:w="602" w:type="dxa"/>
            <w:tcBorders>
              <w:top w:val="nil"/>
              <w:left w:val="nil"/>
              <w:bottom w:val="nil"/>
              <w:right w:val="nil"/>
            </w:tcBorders>
            <w:shd w:val="clear" w:color="auto" w:fill="auto"/>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1,106.2</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1,109.1</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1,111.0</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1,109.9</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1,112.0</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66" w:left="-158" w:rightChars="-50" w:right="-120"/>
              <w:contextualSpacing/>
              <w:jc w:val="center"/>
              <w:textAlignment w:val="center"/>
              <w:rPr>
                <w:rFonts w:eastAsia="標楷體"/>
                <w:spacing w:val="-20"/>
                <w:sz w:val="22"/>
              </w:rPr>
            </w:pPr>
            <w:r w:rsidRPr="00B118E9">
              <w:rPr>
                <w:rFonts w:eastAsia="標楷體"/>
                <w:spacing w:val="-20"/>
                <w:sz w:val="22"/>
              </w:rPr>
              <w:t>1,113.7</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45" w:left="-108" w:rightChars="-50" w:right="-120"/>
              <w:contextualSpacing/>
              <w:textAlignment w:val="center"/>
              <w:rPr>
                <w:rFonts w:eastAsia="標楷體"/>
                <w:spacing w:val="-20"/>
                <w:sz w:val="22"/>
              </w:rPr>
            </w:pPr>
            <w:r w:rsidRPr="00B118E9">
              <w:rPr>
                <w:rFonts w:eastAsia="標楷體"/>
                <w:spacing w:val="-20"/>
                <w:sz w:val="22"/>
              </w:rPr>
              <w:t>1,115.1</w:t>
            </w:r>
          </w:p>
        </w:tc>
        <w:tc>
          <w:tcPr>
            <w:tcW w:w="815" w:type="dxa"/>
            <w:tcBorders>
              <w:top w:val="nil"/>
              <w:left w:val="nil"/>
              <w:bottom w:val="nil"/>
              <w:right w:val="nil"/>
            </w:tcBorders>
            <w:vAlign w:val="center"/>
          </w:tcPr>
          <w:p w:rsidR="00973706" w:rsidRPr="00B118E9" w:rsidRDefault="00973706" w:rsidP="00BD6B4B">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1,107.9</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1,115.9</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1,116.0</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1,116.2</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1,117.0</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1,116.3</w:t>
            </w:r>
          </w:p>
        </w:tc>
      </w:tr>
      <w:tr w:rsidR="00973706" w:rsidRPr="00B118E9" w:rsidTr="00BD6B4B">
        <w:trPr>
          <w:trHeight w:val="542"/>
          <w:jc w:val="center"/>
        </w:trPr>
        <w:tc>
          <w:tcPr>
            <w:tcW w:w="316" w:type="dxa"/>
            <w:vMerge/>
            <w:tcBorders>
              <w:left w:val="nil"/>
            </w:tcBorders>
          </w:tcPr>
          <w:p w:rsidR="00973706" w:rsidRPr="00B118E9" w:rsidRDefault="00973706" w:rsidP="00BD6B4B">
            <w:pPr>
              <w:adjustRightInd w:val="0"/>
              <w:snapToGrid w:val="0"/>
              <w:contextualSpacing/>
              <w:textAlignment w:val="center"/>
              <w:rPr>
                <w:rFonts w:eastAsia="標楷體"/>
                <w:spacing w:val="-40"/>
                <w:sz w:val="22"/>
              </w:rPr>
            </w:pPr>
          </w:p>
        </w:tc>
        <w:tc>
          <w:tcPr>
            <w:tcW w:w="1385" w:type="dxa"/>
            <w:gridSpan w:val="2"/>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失業人數</w:t>
            </w:r>
          </w:p>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萬人</w:t>
            </w:r>
            <w:r w:rsidRPr="00B118E9">
              <w:rPr>
                <w:rFonts w:eastAsia="標楷體"/>
                <w:spacing w:val="-20"/>
                <w:sz w:val="22"/>
              </w:rPr>
              <w:t>)</w:t>
            </w:r>
          </w:p>
        </w:tc>
        <w:tc>
          <w:tcPr>
            <w:tcW w:w="639"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47.8</w:t>
            </w:r>
          </w:p>
        </w:tc>
        <w:tc>
          <w:tcPr>
            <w:tcW w:w="602" w:type="dxa"/>
            <w:tcBorders>
              <w:top w:val="nil"/>
              <w:left w:val="nil"/>
              <w:bottom w:val="nil"/>
              <w:right w:val="nil"/>
            </w:tcBorders>
            <w:shd w:val="clear" w:color="auto" w:fill="auto"/>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45.1</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46.4</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47.3</w:t>
            </w:r>
          </w:p>
        </w:tc>
        <w:tc>
          <w:tcPr>
            <w:tcW w:w="603"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45.8</w:t>
            </w:r>
          </w:p>
        </w:tc>
        <w:tc>
          <w:tcPr>
            <w:tcW w:w="602"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45.7</w:t>
            </w:r>
          </w:p>
        </w:tc>
        <w:tc>
          <w:tcPr>
            <w:tcW w:w="603"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45.1</w:t>
            </w:r>
          </w:p>
        </w:tc>
        <w:tc>
          <w:tcPr>
            <w:tcW w:w="602"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43.9</w:t>
            </w:r>
          </w:p>
        </w:tc>
        <w:tc>
          <w:tcPr>
            <w:tcW w:w="81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45.7</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43.0</w:t>
            </w:r>
          </w:p>
        </w:tc>
        <w:tc>
          <w:tcPr>
            <w:tcW w:w="645" w:type="dxa"/>
            <w:tcBorders>
              <w:top w:val="nil"/>
              <w:left w:val="nil"/>
              <w:bottom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42.8</w:t>
            </w:r>
          </w:p>
        </w:tc>
        <w:tc>
          <w:tcPr>
            <w:tcW w:w="64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43.1</w:t>
            </w:r>
          </w:p>
        </w:tc>
        <w:tc>
          <w:tcPr>
            <w:tcW w:w="626" w:type="dxa"/>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42.1</w:t>
            </w:r>
          </w:p>
        </w:tc>
        <w:tc>
          <w:tcPr>
            <w:tcW w:w="997" w:type="dxa"/>
            <w:gridSpan w:val="3"/>
            <w:tcBorders>
              <w:top w:val="nil"/>
              <w:left w:val="nil"/>
              <w:bottom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42.7</w:t>
            </w:r>
          </w:p>
        </w:tc>
      </w:tr>
      <w:tr w:rsidR="00973706" w:rsidRPr="00B118E9" w:rsidTr="00BD6B4B">
        <w:trPr>
          <w:trHeight w:val="417"/>
          <w:jc w:val="center"/>
        </w:trPr>
        <w:tc>
          <w:tcPr>
            <w:tcW w:w="316" w:type="dxa"/>
            <w:vMerge/>
            <w:tcBorders>
              <w:left w:val="nil"/>
            </w:tcBorders>
          </w:tcPr>
          <w:p w:rsidR="00973706" w:rsidRPr="00B118E9" w:rsidRDefault="00973706" w:rsidP="00BD6B4B">
            <w:pPr>
              <w:adjustRightInd w:val="0"/>
              <w:snapToGrid w:val="0"/>
              <w:contextualSpacing/>
              <w:textAlignment w:val="center"/>
              <w:rPr>
                <w:rFonts w:eastAsia="標楷體"/>
                <w:spacing w:val="-40"/>
                <w:sz w:val="22"/>
              </w:rPr>
            </w:pPr>
          </w:p>
        </w:tc>
        <w:tc>
          <w:tcPr>
            <w:tcW w:w="1385" w:type="dxa"/>
            <w:gridSpan w:val="2"/>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失業率</w:t>
            </w:r>
            <w:r w:rsidRPr="00B118E9">
              <w:rPr>
                <w:rFonts w:eastAsia="標楷體"/>
                <w:spacing w:val="-20"/>
                <w:sz w:val="22"/>
              </w:rPr>
              <w:t>(%)</w:t>
            </w:r>
          </w:p>
        </w:tc>
        <w:tc>
          <w:tcPr>
            <w:tcW w:w="639" w:type="dxa"/>
            <w:tcBorders>
              <w:top w:val="nil"/>
              <w:left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4.18</w:t>
            </w:r>
          </w:p>
        </w:tc>
        <w:tc>
          <w:tcPr>
            <w:tcW w:w="602" w:type="dxa"/>
            <w:tcBorders>
              <w:top w:val="nil"/>
              <w:left w:val="nil"/>
              <w:right w:val="nil"/>
            </w:tcBorders>
            <w:shd w:val="clear" w:color="auto" w:fill="auto"/>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3.92</w:t>
            </w:r>
          </w:p>
        </w:tc>
        <w:tc>
          <w:tcPr>
            <w:tcW w:w="603" w:type="dxa"/>
            <w:tcBorders>
              <w:top w:val="nil"/>
              <w:left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4.02</w:t>
            </w:r>
          </w:p>
        </w:tc>
        <w:tc>
          <w:tcPr>
            <w:tcW w:w="602" w:type="dxa"/>
            <w:tcBorders>
              <w:top w:val="nil"/>
              <w:left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4.08</w:t>
            </w:r>
          </w:p>
        </w:tc>
        <w:tc>
          <w:tcPr>
            <w:tcW w:w="603" w:type="dxa"/>
            <w:tcBorders>
              <w:top w:val="nil"/>
              <w:left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3.96</w:t>
            </w:r>
          </w:p>
        </w:tc>
        <w:tc>
          <w:tcPr>
            <w:tcW w:w="602" w:type="dxa"/>
            <w:tcBorders>
              <w:top w:val="nil"/>
              <w:left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3.95</w:t>
            </w:r>
          </w:p>
        </w:tc>
        <w:tc>
          <w:tcPr>
            <w:tcW w:w="603" w:type="dxa"/>
            <w:tcBorders>
              <w:top w:val="nil"/>
              <w:left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3.89</w:t>
            </w:r>
          </w:p>
        </w:tc>
        <w:tc>
          <w:tcPr>
            <w:tcW w:w="602" w:type="dxa"/>
            <w:tcBorders>
              <w:top w:val="nil"/>
              <w:left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3.79</w:t>
            </w:r>
          </w:p>
        </w:tc>
        <w:tc>
          <w:tcPr>
            <w:tcW w:w="815" w:type="dxa"/>
            <w:tcBorders>
              <w:top w:val="nil"/>
              <w:left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3.96</w:t>
            </w:r>
          </w:p>
        </w:tc>
        <w:tc>
          <w:tcPr>
            <w:tcW w:w="645" w:type="dxa"/>
            <w:tcBorders>
              <w:top w:val="nil"/>
              <w:left w:val="nil"/>
              <w:bottom w:val="single" w:sz="4" w:space="0" w:color="auto"/>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3.71</w:t>
            </w:r>
          </w:p>
        </w:tc>
        <w:tc>
          <w:tcPr>
            <w:tcW w:w="645" w:type="dxa"/>
            <w:tcBorders>
              <w:top w:val="nil"/>
              <w:left w:val="nil"/>
              <w:right w:val="nil"/>
            </w:tcBorders>
            <w:vAlign w:val="center"/>
          </w:tcPr>
          <w:p w:rsidR="00973706" w:rsidRPr="00B118E9" w:rsidRDefault="00973706" w:rsidP="00BD6B4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3.69</w:t>
            </w:r>
          </w:p>
        </w:tc>
        <w:tc>
          <w:tcPr>
            <w:tcW w:w="646" w:type="dxa"/>
            <w:tcBorders>
              <w:top w:val="nil"/>
              <w:left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3.72</w:t>
            </w:r>
          </w:p>
        </w:tc>
        <w:tc>
          <w:tcPr>
            <w:tcW w:w="626" w:type="dxa"/>
            <w:tcBorders>
              <w:top w:val="nil"/>
              <w:left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3.63</w:t>
            </w:r>
          </w:p>
        </w:tc>
        <w:tc>
          <w:tcPr>
            <w:tcW w:w="997" w:type="dxa"/>
            <w:gridSpan w:val="3"/>
            <w:tcBorders>
              <w:top w:val="nil"/>
              <w:left w:val="nil"/>
              <w:right w:val="nil"/>
            </w:tcBorders>
            <w:vAlign w:val="center"/>
          </w:tcPr>
          <w:p w:rsidR="00973706" w:rsidRPr="00B118E9" w:rsidRDefault="00973706" w:rsidP="00BD6B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3.69</w:t>
            </w:r>
          </w:p>
        </w:tc>
      </w:tr>
    </w:tbl>
    <w:p w:rsidR="00197DAD" w:rsidRPr="00B118E9" w:rsidRDefault="00197DAD" w:rsidP="00197DAD">
      <w:pPr>
        <w:widowControl/>
        <w:ind w:leftChars="-413" w:left="1" w:rightChars="-316" w:right="-758" w:hangingChars="451" w:hanging="992"/>
        <w:rPr>
          <w:rFonts w:eastAsia="標楷體"/>
          <w:sz w:val="22"/>
        </w:rPr>
      </w:pPr>
      <w:r w:rsidRPr="00B118E9">
        <w:rPr>
          <w:rFonts w:eastAsia="標楷體"/>
          <w:sz w:val="22"/>
          <w:szCs w:val="22"/>
        </w:rPr>
        <w:t>資料來源：行政院主計總處、中央銀行、經濟部。</w:t>
      </w:r>
    </w:p>
    <w:p w:rsidR="003F3F99" w:rsidRPr="00B118E9" w:rsidRDefault="003F3F99" w:rsidP="003F3F99">
      <w:pPr>
        <w:ind w:leftChars="-295" w:left="-708"/>
        <w:rPr>
          <w:rFonts w:eastAsia="標楷體"/>
          <w:color w:val="FF0000"/>
          <w:sz w:val="22"/>
          <w:szCs w:val="22"/>
        </w:rPr>
      </w:pPr>
    </w:p>
    <w:p w:rsidR="007E4083" w:rsidRPr="00B118E9" w:rsidRDefault="003E39BB" w:rsidP="00197DAD">
      <w:pPr>
        <w:pStyle w:val="2"/>
        <w:spacing w:after="360"/>
        <w:jc w:val="center"/>
        <w:rPr>
          <w:b w:val="0"/>
          <w:sz w:val="28"/>
        </w:rPr>
      </w:pPr>
      <w:bookmarkStart w:id="45" w:name="_Toc279048474"/>
      <w:bookmarkStart w:id="46" w:name="_Toc337122129"/>
      <w:bookmarkStart w:id="47" w:name="_Toc349916581"/>
      <w:bookmarkEnd w:id="44"/>
      <w:r w:rsidRPr="00B118E9">
        <w:rPr>
          <w:color w:val="FF0000"/>
          <w:sz w:val="40"/>
        </w:rPr>
        <w:br w:type="page"/>
      </w:r>
      <w:bookmarkStart w:id="48" w:name="_Toc402171702"/>
      <w:bookmarkStart w:id="49" w:name="_Toc420680028"/>
      <w:r w:rsidR="007E4083" w:rsidRPr="00B118E9">
        <w:rPr>
          <w:sz w:val="32"/>
        </w:rPr>
        <w:t>表</w:t>
      </w:r>
      <w:r w:rsidR="007E4083" w:rsidRPr="00B118E9">
        <w:rPr>
          <w:sz w:val="32"/>
        </w:rPr>
        <w:t xml:space="preserve">4  </w:t>
      </w:r>
      <w:r w:rsidR="007E4083" w:rsidRPr="00B118E9">
        <w:rPr>
          <w:sz w:val="32"/>
        </w:rPr>
        <w:t>中國大陸主要經濟指標</w:t>
      </w:r>
      <w:bookmarkEnd w:id="48"/>
      <w:bookmarkEnd w:id="49"/>
    </w:p>
    <w:tbl>
      <w:tblPr>
        <w:tblW w:w="10348" w:type="dxa"/>
        <w:tblInd w:w="-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5"/>
        <w:gridCol w:w="661"/>
        <w:gridCol w:w="1390"/>
        <w:gridCol w:w="1218"/>
        <w:gridCol w:w="1218"/>
        <w:gridCol w:w="1218"/>
        <w:gridCol w:w="1218"/>
        <w:gridCol w:w="1401"/>
        <w:gridCol w:w="1559"/>
      </w:tblGrid>
      <w:tr w:rsidR="00973706" w:rsidRPr="00B118E9" w:rsidTr="00BD6B4B">
        <w:trPr>
          <w:cantSplit/>
          <w:trHeight w:val="652"/>
        </w:trPr>
        <w:tc>
          <w:tcPr>
            <w:tcW w:w="2516" w:type="dxa"/>
            <w:gridSpan w:val="3"/>
            <w:tcBorders>
              <w:left w:val="nil"/>
              <w:bottom w:val="single" w:sz="4" w:space="0" w:color="auto"/>
            </w:tcBorders>
            <w:vAlign w:val="center"/>
          </w:tcPr>
          <w:p w:rsidR="00973706" w:rsidRPr="00B118E9" w:rsidRDefault="00973706" w:rsidP="00BD6B4B">
            <w:pPr>
              <w:widowControl/>
              <w:snapToGrid w:val="0"/>
              <w:spacing w:before="120" w:line="300" w:lineRule="auto"/>
              <w:jc w:val="center"/>
              <w:rPr>
                <w:rFonts w:eastAsia="標楷體"/>
                <w:kern w:val="0"/>
              </w:rPr>
            </w:pPr>
          </w:p>
        </w:tc>
        <w:tc>
          <w:tcPr>
            <w:tcW w:w="1218" w:type="dxa"/>
            <w:tcBorders>
              <w:bottom w:val="single" w:sz="4" w:space="0" w:color="auto"/>
            </w:tcBorders>
            <w:vAlign w:val="center"/>
          </w:tcPr>
          <w:p w:rsidR="00973706" w:rsidRPr="00B118E9" w:rsidRDefault="00973706" w:rsidP="00BD6B4B">
            <w:pPr>
              <w:snapToGrid w:val="0"/>
              <w:spacing w:before="120" w:line="240" w:lineRule="exact"/>
              <w:jc w:val="center"/>
              <w:rPr>
                <w:rFonts w:eastAsia="標楷體"/>
              </w:rPr>
            </w:pPr>
            <w:r w:rsidRPr="00B118E9">
              <w:rPr>
                <w:rFonts w:eastAsia="標楷體"/>
              </w:rPr>
              <w:t>2010</w:t>
            </w:r>
            <w:r w:rsidRPr="00B118E9">
              <w:rPr>
                <w:rFonts w:eastAsia="標楷體"/>
              </w:rPr>
              <w:t>年</w:t>
            </w:r>
          </w:p>
        </w:tc>
        <w:tc>
          <w:tcPr>
            <w:tcW w:w="1218" w:type="dxa"/>
            <w:tcBorders>
              <w:bottom w:val="single" w:sz="4" w:space="0" w:color="auto"/>
            </w:tcBorders>
            <w:vAlign w:val="center"/>
          </w:tcPr>
          <w:p w:rsidR="00973706" w:rsidRPr="00B118E9" w:rsidRDefault="00973706" w:rsidP="00BD6B4B">
            <w:pPr>
              <w:snapToGrid w:val="0"/>
              <w:spacing w:before="120" w:line="240" w:lineRule="exact"/>
              <w:jc w:val="center"/>
              <w:rPr>
                <w:rFonts w:eastAsia="標楷體"/>
              </w:rPr>
            </w:pPr>
            <w:r w:rsidRPr="00B118E9">
              <w:rPr>
                <w:rFonts w:eastAsia="標楷體"/>
              </w:rPr>
              <w:t>2011</w:t>
            </w:r>
            <w:r w:rsidRPr="00B118E9">
              <w:rPr>
                <w:rFonts w:eastAsia="標楷體"/>
              </w:rPr>
              <w:t>年</w:t>
            </w:r>
          </w:p>
        </w:tc>
        <w:tc>
          <w:tcPr>
            <w:tcW w:w="1218" w:type="dxa"/>
            <w:tcBorders>
              <w:bottom w:val="single" w:sz="4" w:space="0" w:color="auto"/>
              <w:right w:val="nil"/>
            </w:tcBorders>
            <w:vAlign w:val="center"/>
          </w:tcPr>
          <w:p w:rsidR="00973706" w:rsidRPr="00B118E9" w:rsidRDefault="00973706" w:rsidP="00BD6B4B">
            <w:pPr>
              <w:snapToGrid w:val="0"/>
              <w:spacing w:before="120" w:line="240" w:lineRule="exact"/>
              <w:jc w:val="center"/>
              <w:rPr>
                <w:rFonts w:eastAsia="標楷體"/>
              </w:rPr>
            </w:pPr>
            <w:r w:rsidRPr="00B118E9">
              <w:rPr>
                <w:rFonts w:eastAsia="標楷體"/>
              </w:rPr>
              <w:t>2012</w:t>
            </w:r>
            <w:r w:rsidRPr="00B118E9">
              <w:rPr>
                <w:rFonts w:eastAsia="標楷體"/>
              </w:rPr>
              <w:t>年</w:t>
            </w:r>
          </w:p>
        </w:tc>
        <w:tc>
          <w:tcPr>
            <w:tcW w:w="1218" w:type="dxa"/>
            <w:tcBorders>
              <w:bottom w:val="single" w:sz="4" w:space="0" w:color="auto"/>
              <w:right w:val="nil"/>
            </w:tcBorders>
            <w:vAlign w:val="center"/>
          </w:tcPr>
          <w:p w:rsidR="00973706" w:rsidRPr="00B118E9" w:rsidRDefault="00973706" w:rsidP="00BD6B4B">
            <w:pPr>
              <w:snapToGrid w:val="0"/>
              <w:spacing w:before="120" w:line="240" w:lineRule="exact"/>
              <w:jc w:val="center"/>
              <w:rPr>
                <w:rFonts w:eastAsia="標楷體"/>
              </w:rPr>
            </w:pPr>
            <w:r w:rsidRPr="00B118E9">
              <w:rPr>
                <w:rFonts w:eastAsia="標楷體"/>
              </w:rPr>
              <w:t>2013</w:t>
            </w:r>
            <w:r w:rsidRPr="00B118E9">
              <w:rPr>
                <w:rFonts w:eastAsia="標楷體"/>
              </w:rPr>
              <w:t>年</w:t>
            </w:r>
          </w:p>
        </w:tc>
        <w:tc>
          <w:tcPr>
            <w:tcW w:w="1401" w:type="dxa"/>
            <w:tcBorders>
              <w:bottom w:val="single" w:sz="4" w:space="0" w:color="auto"/>
              <w:right w:val="nil"/>
            </w:tcBorders>
            <w:vAlign w:val="center"/>
          </w:tcPr>
          <w:p w:rsidR="00973706" w:rsidRPr="00B118E9" w:rsidRDefault="00973706" w:rsidP="00BD6B4B">
            <w:pPr>
              <w:snapToGrid w:val="0"/>
              <w:spacing w:before="120" w:line="240" w:lineRule="exact"/>
              <w:jc w:val="center"/>
              <w:rPr>
                <w:rFonts w:eastAsia="標楷體"/>
              </w:rPr>
            </w:pPr>
            <w:r w:rsidRPr="00B118E9">
              <w:rPr>
                <w:rFonts w:eastAsia="標楷體"/>
              </w:rPr>
              <w:t>2014</w:t>
            </w:r>
            <w:r w:rsidRPr="00B118E9">
              <w:rPr>
                <w:rFonts w:eastAsia="標楷體"/>
              </w:rPr>
              <w:t>年</w:t>
            </w:r>
          </w:p>
        </w:tc>
        <w:tc>
          <w:tcPr>
            <w:tcW w:w="1559" w:type="dxa"/>
            <w:tcBorders>
              <w:bottom w:val="single" w:sz="4" w:space="0" w:color="auto"/>
              <w:right w:val="nil"/>
            </w:tcBorders>
            <w:vAlign w:val="center"/>
          </w:tcPr>
          <w:p w:rsidR="00973706" w:rsidRPr="00B118E9" w:rsidRDefault="00973706" w:rsidP="00BD6B4B">
            <w:pPr>
              <w:snapToGrid w:val="0"/>
              <w:spacing w:before="120" w:line="240" w:lineRule="exact"/>
              <w:jc w:val="center"/>
              <w:rPr>
                <w:rFonts w:eastAsia="標楷體"/>
              </w:rPr>
            </w:pPr>
            <w:r w:rsidRPr="00B118E9">
              <w:rPr>
                <w:rFonts w:eastAsia="標楷體"/>
              </w:rPr>
              <w:t>2015</w:t>
            </w:r>
            <w:r w:rsidRPr="00B118E9">
              <w:rPr>
                <w:rFonts w:eastAsia="標楷體"/>
              </w:rPr>
              <w:t>年</w:t>
            </w:r>
            <w:r w:rsidRPr="00B118E9">
              <w:rPr>
                <w:rFonts w:eastAsia="標楷體"/>
              </w:rPr>
              <w:t>1-4</w:t>
            </w:r>
            <w:r w:rsidRPr="00B118E9">
              <w:rPr>
                <w:rFonts w:eastAsia="標楷體"/>
              </w:rPr>
              <w:t>月</w:t>
            </w:r>
          </w:p>
        </w:tc>
      </w:tr>
      <w:tr w:rsidR="00973706" w:rsidRPr="00B118E9" w:rsidTr="00BD6B4B">
        <w:trPr>
          <w:cantSplit/>
          <w:trHeight w:hRule="exact" w:val="773"/>
        </w:trPr>
        <w:tc>
          <w:tcPr>
            <w:tcW w:w="1126" w:type="dxa"/>
            <w:gridSpan w:val="2"/>
            <w:vMerge w:val="restart"/>
            <w:tcBorders>
              <w:top w:val="single" w:sz="4" w:space="0" w:color="auto"/>
              <w:left w:val="nil"/>
              <w:bottom w:val="double" w:sz="4" w:space="0" w:color="auto"/>
            </w:tcBorders>
            <w:vAlign w:val="center"/>
          </w:tcPr>
          <w:p w:rsidR="00973706" w:rsidRPr="00B118E9" w:rsidRDefault="00973706" w:rsidP="00BD6B4B">
            <w:pPr>
              <w:rPr>
                <w:rFonts w:eastAsia="標楷體"/>
                <w:bCs/>
                <w:kern w:val="0"/>
                <w:szCs w:val="40"/>
              </w:rPr>
            </w:pPr>
            <w:r w:rsidRPr="00B118E9">
              <w:rPr>
                <w:rFonts w:eastAsia="標楷體"/>
                <w:bCs/>
                <w:kern w:val="0"/>
                <w:szCs w:val="40"/>
              </w:rPr>
              <w:t>國內生</w:t>
            </w:r>
            <w:r w:rsidRPr="00B118E9">
              <w:rPr>
                <w:rFonts w:eastAsia="標楷體"/>
                <w:bCs/>
                <w:kern w:val="0"/>
                <w:szCs w:val="40"/>
              </w:rPr>
              <w:br/>
            </w:r>
            <w:r w:rsidRPr="00B118E9">
              <w:rPr>
                <w:rFonts w:eastAsia="標楷體"/>
                <w:bCs/>
                <w:kern w:val="0"/>
                <w:szCs w:val="40"/>
              </w:rPr>
              <w:t>產總值</w:t>
            </w:r>
          </w:p>
          <w:p w:rsidR="00973706" w:rsidRPr="00B118E9" w:rsidRDefault="00973706" w:rsidP="00BD6B4B">
            <w:pPr>
              <w:rPr>
                <w:rFonts w:eastAsia="標楷體"/>
              </w:rPr>
            </w:pPr>
            <w:r w:rsidRPr="00B118E9">
              <w:rPr>
                <w:rFonts w:eastAsia="標楷體"/>
              </w:rPr>
              <w:t>(GDP)</w:t>
            </w:r>
          </w:p>
        </w:tc>
        <w:tc>
          <w:tcPr>
            <w:tcW w:w="1390" w:type="dxa"/>
            <w:tcBorders>
              <w:top w:val="single" w:sz="4" w:space="0" w:color="auto"/>
              <w:bottom w:val="single" w:sz="4" w:space="0" w:color="auto"/>
            </w:tcBorders>
          </w:tcPr>
          <w:p w:rsidR="00973706" w:rsidRPr="00B118E9" w:rsidRDefault="00973706" w:rsidP="00BD6B4B">
            <w:pPr>
              <w:jc w:val="center"/>
              <w:rPr>
                <w:rFonts w:eastAsia="標楷體"/>
              </w:rPr>
            </w:pPr>
            <w:r w:rsidRPr="00B118E9">
              <w:rPr>
                <w:rFonts w:eastAsia="標楷體"/>
              </w:rPr>
              <w:t>金額</w:t>
            </w:r>
          </w:p>
          <w:p w:rsidR="00973706" w:rsidRPr="00B118E9" w:rsidRDefault="00973706" w:rsidP="00BD6B4B">
            <w:pPr>
              <w:jc w:val="center"/>
              <w:rPr>
                <w:rFonts w:eastAsia="標楷體"/>
              </w:rPr>
            </w:pPr>
            <w:r w:rsidRPr="00B118E9">
              <w:rPr>
                <w:rFonts w:eastAsia="標楷體"/>
              </w:rPr>
              <w:t>(</w:t>
            </w:r>
            <w:r w:rsidRPr="00B118E9">
              <w:rPr>
                <w:rFonts w:eastAsia="標楷體"/>
              </w:rPr>
              <w:t>億人民幣</w:t>
            </w:r>
            <w:r w:rsidRPr="00B118E9">
              <w:rPr>
                <w:rFonts w:eastAsia="標楷體"/>
              </w:rPr>
              <w:t>)</w:t>
            </w:r>
          </w:p>
        </w:tc>
        <w:tc>
          <w:tcPr>
            <w:tcW w:w="1218" w:type="dxa"/>
            <w:tcBorders>
              <w:top w:val="single" w:sz="4" w:space="0" w:color="auto"/>
              <w:left w:val="nil"/>
              <w:bottom w:val="nil"/>
              <w:right w:val="nil"/>
            </w:tcBorders>
            <w:vAlign w:val="center"/>
          </w:tcPr>
          <w:p w:rsidR="00973706" w:rsidRPr="00B118E9" w:rsidRDefault="00973706" w:rsidP="00BD6B4B">
            <w:pPr>
              <w:snapToGrid w:val="0"/>
              <w:spacing w:line="280" w:lineRule="exact"/>
              <w:ind w:rightChars="50" w:right="120"/>
              <w:jc w:val="right"/>
              <w:rPr>
                <w:rFonts w:eastAsia="標楷體"/>
              </w:rPr>
            </w:pPr>
            <w:r w:rsidRPr="00B118E9">
              <w:rPr>
                <w:rFonts w:eastAsia="標楷體"/>
              </w:rPr>
              <w:t>397,983</w:t>
            </w:r>
          </w:p>
        </w:tc>
        <w:tc>
          <w:tcPr>
            <w:tcW w:w="1218" w:type="dxa"/>
            <w:tcBorders>
              <w:top w:val="single" w:sz="4" w:space="0" w:color="auto"/>
              <w:left w:val="nil"/>
              <w:bottom w:val="nil"/>
              <w:right w:val="nil"/>
            </w:tcBorders>
            <w:vAlign w:val="center"/>
          </w:tcPr>
          <w:p w:rsidR="00973706" w:rsidRPr="00B118E9" w:rsidRDefault="00973706" w:rsidP="00BD6B4B">
            <w:pPr>
              <w:snapToGrid w:val="0"/>
              <w:spacing w:line="280" w:lineRule="exact"/>
              <w:ind w:rightChars="50" w:right="120"/>
              <w:jc w:val="right"/>
              <w:rPr>
                <w:rFonts w:eastAsia="標楷體"/>
              </w:rPr>
            </w:pPr>
            <w:r w:rsidRPr="00B118E9">
              <w:rPr>
                <w:rFonts w:eastAsia="標楷體"/>
              </w:rPr>
              <w:t>471,564</w:t>
            </w:r>
          </w:p>
        </w:tc>
        <w:tc>
          <w:tcPr>
            <w:tcW w:w="1218" w:type="dxa"/>
            <w:tcBorders>
              <w:top w:val="single" w:sz="4" w:space="0" w:color="auto"/>
              <w:left w:val="nil"/>
              <w:bottom w:val="nil"/>
              <w:right w:val="nil"/>
            </w:tcBorders>
            <w:vAlign w:val="center"/>
          </w:tcPr>
          <w:p w:rsidR="00973706" w:rsidRPr="00B118E9" w:rsidRDefault="00973706" w:rsidP="00BD6B4B">
            <w:pPr>
              <w:snapToGrid w:val="0"/>
              <w:spacing w:line="280" w:lineRule="exact"/>
              <w:ind w:rightChars="50" w:right="120"/>
              <w:jc w:val="right"/>
              <w:rPr>
                <w:rFonts w:eastAsia="標楷體"/>
              </w:rPr>
            </w:pPr>
            <w:r w:rsidRPr="00B118E9">
              <w:rPr>
                <w:rFonts w:eastAsia="標楷體"/>
              </w:rPr>
              <w:t>519,470</w:t>
            </w:r>
          </w:p>
        </w:tc>
        <w:tc>
          <w:tcPr>
            <w:tcW w:w="1218" w:type="dxa"/>
            <w:tcBorders>
              <w:top w:val="single" w:sz="4" w:space="0" w:color="auto"/>
              <w:left w:val="nil"/>
              <w:bottom w:val="nil"/>
              <w:right w:val="nil"/>
            </w:tcBorders>
            <w:vAlign w:val="center"/>
          </w:tcPr>
          <w:p w:rsidR="00973706" w:rsidRPr="00B118E9" w:rsidRDefault="00973706" w:rsidP="00BD6B4B">
            <w:pPr>
              <w:snapToGrid w:val="0"/>
              <w:spacing w:line="280" w:lineRule="exact"/>
              <w:ind w:rightChars="50" w:right="120"/>
              <w:jc w:val="right"/>
              <w:rPr>
                <w:rFonts w:eastAsia="標楷體"/>
              </w:rPr>
            </w:pPr>
            <w:r w:rsidRPr="00B118E9">
              <w:rPr>
                <w:rFonts w:eastAsia="標楷體"/>
              </w:rPr>
              <w:t>588,019</w:t>
            </w:r>
          </w:p>
        </w:tc>
        <w:tc>
          <w:tcPr>
            <w:tcW w:w="1401" w:type="dxa"/>
            <w:tcBorders>
              <w:top w:val="single" w:sz="4" w:space="0" w:color="auto"/>
              <w:left w:val="nil"/>
              <w:bottom w:val="nil"/>
              <w:right w:val="nil"/>
            </w:tcBorders>
            <w:vAlign w:val="center"/>
          </w:tcPr>
          <w:p w:rsidR="00973706" w:rsidRPr="00B118E9" w:rsidRDefault="00973706" w:rsidP="00BD6B4B">
            <w:pPr>
              <w:snapToGrid w:val="0"/>
              <w:spacing w:line="280" w:lineRule="exact"/>
              <w:ind w:rightChars="50" w:right="120"/>
              <w:jc w:val="right"/>
              <w:rPr>
                <w:rFonts w:eastAsia="標楷體"/>
              </w:rPr>
            </w:pPr>
            <w:r w:rsidRPr="00B118E9">
              <w:rPr>
                <w:rFonts w:eastAsia="標楷體"/>
              </w:rPr>
              <w:t>636,463</w:t>
            </w:r>
          </w:p>
        </w:tc>
        <w:tc>
          <w:tcPr>
            <w:tcW w:w="1559" w:type="dxa"/>
            <w:tcBorders>
              <w:top w:val="single" w:sz="4" w:space="0" w:color="auto"/>
              <w:left w:val="nil"/>
              <w:bottom w:val="nil"/>
              <w:right w:val="nil"/>
            </w:tcBorders>
            <w:vAlign w:val="center"/>
          </w:tcPr>
          <w:p w:rsidR="00973706" w:rsidRPr="00B118E9" w:rsidRDefault="00973706" w:rsidP="00BD6B4B">
            <w:pPr>
              <w:snapToGrid w:val="0"/>
              <w:spacing w:line="280" w:lineRule="exact"/>
              <w:ind w:rightChars="50" w:right="120"/>
              <w:jc w:val="center"/>
              <w:rPr>
                <w:rFonts w:eastAsia="標楷體"/>
              </w:rPr>
            </w:pPr>
            <w:r w:rsidRPr="00B118E9">
              <w:rPr>
                <w:rFonts w:eastAsia="標楷體"/>
              </w:rPr>
              <w:t>140,667</w:t>
            </w:r>
          </w:p>
          <w:p w:rsidR="00973706" w:rsidRPr="00B118E9" w:rsidRDefault="00973706" w:rsidP="00BD6B4B">
            <w:pPr>
              <w:snapToGrid w:val="0"/>
              <w:spacing w:line="280" w:lineRule="exact"/>
              <w:ind w:rightChars="50" w:right="120"/>
              <w:jc w:val="center"/>
              <w:rPr>
                <w:rFonts w:eastAsia="標楷體"/>
              </w:rPr>
            </w:pPr>
            <w:r w:rsidRPr="00B118E9">
              <w:rPr>
                <w:rFonts w:eastAsia="標楷體"/>
              </w:rPr>
              <w:t>(1-3</w:t>
            </w:r>
            <w:r w:rsidRPr="00B118E9">
              <w:rPr>
                <w:rFonts w:eastAsia="標楷體"/>
              </w:rPr>
              <w:t>月</w:t>
            </w:r>
            <w:r w:rsidRPr="00B118E9">
              <w:rPr>
                <w:rFonts w:eastAsia="標楷體"/>
              </w:rPr>
              <w:t>)</w:t>
            </w:r>
          </w:p>
        </w:tc>
      </w:tr>
      <w:tr w:rsidR="00973706" w:rsidRPr="00B118E9" w:rsidTr="00BD6B4B">
        <w:trPr>
          <w:cantSplit/>
          <w:trHeight w:hRule="exact" w:val="680"/>
        </w:trPr>
        <w:tc>
          <w:tcPr>
            <w:tcW w:w="1126" w:type="dxa"/>
            <w:gridSpan w:val="2"/>
            <w:vMerge/>
            <w:tcBorders>
              <w:top w:val="double" w:sz="4" w:space="0" w:color="auto"/>
              <w:left w:val="nil"/>
              <w:bottom w:val="single" w:sz="4" w:space="0" w:color="auto"/>
            </w:tcBorders>
            <w:vAlign w:val="center"/>
          </w:tcPr>
          <w:p w:rsidR="00973706" w:rsidRPr="00B118E9" w:rsidRDefault="00973706" w:rsidP="00BD6B4B">
            <w:pPr>
              <w:snapToGrid w:val="0"/>
              <w:spacing w:line="300" w:lineRule="auto"/>
              <w:jc w:val="center"/>
              <w:rPr>
                <w:rFonts w:eastAsia="標楷體"/>
              </w:rPr>
            </w:pPr>
          </w:p>
        </w:tc>
        <w:tc>
          <w:tcPr>
            <w:tcW w:w="1390" w:type="dxa"/>
            <w:tcBorders>
              <w:top w:val="single" w:sz="4" w:space="0" w:color="auto"/>
              <w:bottom w:val="single" w:sz="4" w:space="0" w:color="auto"/>
            </w:tcBorders>
          </w:tcPr>
          <w:p w:rsidR="00973706" w:rsidRPr="00B118E9" w:rsidRDefault="00973706" w:rsidP="00BD6B4B">
            <w:pPr>
              <w:snapToGrid w:val="0"/>
              <w:spacing w:line="240" w:lineRule="atLeast"/>
              <w:jc w:val="center"/>
              <w:rPr>
                <w:rFonts w:eastAsia="標楷體"/>
              </w:rPr>
            </w:pPr>
            <w:r w:rsidRPr="00B118E9">
              <w:rPr>
                <w:rFonts w:eastAsia="標楷體"/>
              </w:rPr>
              <w:t>成長率</w:t>
            </w:r>
          </w:p>
          <w:p w:rsidR="00973706" w:rsidRPr="00B118E9" w:rsidRDefault="00973706" w:rsidP="00BD6B4B">
            <w:pPr>
              <w:snapToGrid w:val="0"/>
              <w:spacing w:line="240" w:lineRule="atLeast"/>
              <w:jc w:val="center"/>
              <w:rPr>
                <w:rFonts w:eastAsia="標楷體"/>
              </w:rPr>
            </w:pPr>
            <w:r w:rsidRPr="00B118E9">
              <w:rPr>
                <w:rFonts w:eastAsia="標楷體"/>
              </w:rPr>
              <w:t>(%)</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10.4</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9.2</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7.7</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7.7</w:t>
            </w:r>
          </w:p>
        </w:tc>
        <w:tc>
          <w:tcPr>
            <w:tcW w:w="1401" w:type="dxa"/>
            <w:tcBorders>
              <w:top w:val="nil"/>
              <w:left w:val="nil"/>
              <w:bottom w:val="nil"/>
              <w:right w:val="nil"/>
            </w:tcBorders>
            <w:vAlign w:val="center"/>
          </w:tcPr>
          <w:p w:rsidR="00973706" w:rsidRPr="00B118E9" w:rsidRDefault="00973706" w:rsidP="00BD6B4B">
            <w:pPr>
              <w:snapToGrid w:val="0"/>
              <w:spacing w:line="280" w:lineRule="exact"/>
              <w:ind w:rightChars="50" w:right="120"/>
              <w:jc w:val="right"/>
              <w:rPr>
                <w:rFonts w:eastAsia="標楷體"/>
              </w:rPr>
            </w:pPr>
            <w:r w:rsidRPr="00B118E9">
              <w:rPr>
                <w:rFonts w:eastAsia="標楷體"/>
              </w:rPr>
              <w:t>7.4</w:t>
            </w:r>
          </w:p>
        </w:tc>
        <w:tc>
          <w:tcPr>
            <w:tcW w:w="1559" w:type="dxa"/>
            <w:tcBorders>
              <w:top w:val="nil"/>
              <w:left w:val="nil"/>
              <w:bottom w:val="nil"/>
              <w:right w:val="nil"/>
            </w:tcBorders>
            <w:vAlign w:val="center"/>
          </w:tcPr>
          <w:p w:rsidR="00973706" w:rsidRPr="00B118E9" w:rsidRDefault="00973706" w:rsidP="00BD6B4B">
            <w:pPr>
              <w:snapToGrid w:val="0"/>
              <w:spacing w:line="280" w:lineRule="exact"/>
              <w:ind w:rightChars="50" w:right="120"/>
              <w:jc w:val="center"/>
              <w:rPr>
                <w:rFonts w:eastAsia="標楷體"/>
              </w:rPr>
            </w:pPr>
            <w:r w:rsidRPr="00B118E9">
              <w:rPr>
                <w:rFonts w:eastAsia="標楷體"/>
              </w:rPr>
              <w:t>7.0</w:t>
            </w:r>
          </w:p>
          <w:p w:rsidR="00973706" w:rsidRPr="00B118E9" w:rsidRDefault="00973706" w:rsidP="00BD6B4B">
            <w:pPr>
              <w:snapToGrid w:val="0"/>
              <w:spacing w:line="280" w:lineRule="exact"/>
              <w:ind w:rightChars="50" w:right="120"/>
              <w:jc w:val="center"/>
              <w:rPr>
                <w:rFonts w:eastAsia="標楷體"/>
              </w:rPr>
            </w:pPr>
            <w:r w:rsidRPr="00B118E9">
              <w:rPr>
                <w:rFonts w:eastAsia="標楷體"/>
              </w:rPr>
              <w:t>(1-3</w:t>
            </w:r>
            <w:r w:rsidRPr="00B118E9">
              <w:rPr>
                <w:rFonts w:eastAsia="標楷體"/>
              </w:rPr>
              <w:t>月</w:t>
            </w:r>
            <w:r w:rsidRPr="00B118E9">
              <w:rPr>
                <w:rFonts w:eastAsia="標楷體"/>
              </w:rPr>
              <w:t>)</w:t>
            </w:r>
          </w:p>
        </w:tc>
      </w:tr>
      <w:tr w:rsidR="00973706" w:rsidRPr="00B118E9" w:rsidTr="00BD6B4B">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r w:rsidRPr="00B118E9">
              <w:rPr>
                <w:rFonts w:eastAsia="標楷體"/>
              </w:rPr>
              <w:t>固定資產投資</w:t>
            </w:r>
          </w:p>
        </w:tc>
        <w:tc>
          <w:tcPr>
            <w:tcW w:w="1390" w:type="dxa"/>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240" w:lineRule="atLeast"/>
              <w:jc w:val="center"/>
              <w:rPr>
                <w:rFonts w:eastAsia="標楷體"/>
              </w:rPr>
            </w:pPr>
            <w:r w:rsidRPr="00B118E9">
              <w:rPr>
                <w:rFonts w:eastAsia="標楷體"/>
              </w:rPr>
              <w:t>金額</w:t>
            </w:r>
          </w:p>
          <w:p w:rsidR="00973706" w:rsidRPr="00B118E9" w:rsidRDefault="00973706" w:rsidP="00BD6B4B">
            <w:pPr>
              <w:snapToGrid w:val="0"/>
              <w:spacing w:line="240" w:lineRule="atLeast"/>
              <w:jc w:val="center"/>
              <w:rPr>
                <w:rFonts w:eastAsia="標楷體"/>
              </w:rPr>
            </w:pPr>
            <w:r w:rsidRPr="00B118E9">
              <w:rPr>
                <w:rFonts w:eastAsia="標楷體"/>
              </w:rPr>
              <w:t>(</w:t>
            </w:r>
            <w:r w:rsidRPr="00B118E9">
              <w:rPr>
                <w:rFonts w:eastAsia="標楷體"/>
              </w:rPr>
              <w:t>億人民幣</w:t>
            </w:r>
            <w:r w:rsidRPr="00B118E9">
              <w:rPr>
                <w:rFonts w:eastAsia="標楷體"/>
              </w:rPr>
              <w:t>)</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278,140</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301,933</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364,835</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436,528</w:t>
            </w:r>
          </w:p>
        </w:tc>
        <w:tc>
          <w:tcPr>
            <w:tcW w:w="1401"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502,005</w:t>
            </w:r>
          </w:p>
        </w:tc>
        <w:tc>
          <w:tcPr>
            <w:tcW w:w="1559"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center"/>
              <w:rPr>
                <w:rFonts w:eastAsia="標楷體"/>
              </w:rPr>
            </w:pPr>
            <w:r w:rsidRPr="00B118E9">
              <w:rPr>
                <w:rFonts w:eastAsia="標楷體"/>
              </w:rPr>
              <w:t>119,979</w:t>
            </w:r>
          </w:p>
        </w:tc>
      </w:tr>
      <w:tr w:rsidR="00973706" w:rsidRPr="00B118E9" w:rsidTr="00BD6B4B">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240" w:lineRule="atLeast"/>
              <w:jc w:val="center"/>
              <w:rPr>
                <w:rFonts w:eastAsia="標楷體"/>
              </w:rPr>
            </w:pPr>
            <w:r w:rsidRPr="00B118E9">
              <w:rPr>
                <w:rFonts w:eastAsia="標楷體"/>
              </w:rPr>
              <w:t>年增率</w:t>
            </w:r>
          </w:p>
          <w:p w:rsidR="00973706" w:rsidRPr="00B118E9" w:rsidRDefault="00973706" w:rsidP="00BD6B4B">
            <w:pPr>
              <w:snapToGrid w:val="0"/>
              <w:spacing w:line="240" w:lineRule="atLeast"/>
              <w:jc w:val="center"/>
              <w:rPr>
                <w:rFonts w:eastAsia="標楷體"/>
              </w:rPr>
            </w:pPr>
            <w:r w:rsidRPr="00B118E9">
              <w:rPr>
                <w:rFonts w:eastAsia="標楷體"/>
              </w:rPr>
              <w:t>(%)</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23.8</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23.8</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20.6</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19.6</w:t>
            </w:r>
          </w:p>
        </w:tc>
        <w:tc>
          <w:tcPr>
            <w:tcW w:w="1401"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15.7</w:t>
            </w:r>
          </w:p>
        </w:tc>
        <w:tc>
          <w:tcPr>
            <w:tcW w:w="1559"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center"/>
              <w:rPr>
                <w:rFonts w:eastAsia="標楷體"/>
              </w:rPr>
            </w:pPr>
            <w:r w:rsidRPr="00B118E9">
              <w:rPr>
                <w:rFonts w:eastAsia="標楷體"/>
              </w:rPr>
              <w:t>12.0</w:t>
            </w:r>
          </w:p>
        </w:tc>
      </w:tr>
      <w:tr w:rsidR="00973706" w:rsidRPr="00B118E9" w:rsidTr="00BD6B4B">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r w:rsidRPr="00B118E9">
              <w:rPr>
                <w:rFonts w:eastAsia="標楷體"/>
              </w:rPr>
              <w:t>消費品</w:t>
            </w:r>
            <w:r w:rsidRPr="00B118E9">
              <w:rPr>
                <w:rFonts w:eastAsia="標楷體"/>
              </w:rPr>
              <w:br/>
            </w:r>
            <w:r w:rsidRPr="00B118E9">
              <w:rPr>
                <w:rFonts w:eastAsia="標楷體"/>
              </w:rPr>
              <w:t>零售總額</w:t>
            </w:r>
          </w:p>
        </w:tc>
        <w:tc>
          <w:tcPr>
            <w:tcW w:w="1390" w:type="dxa"/>
            <w:tcBorders>
              <w:top w:val="single" w:sz="4" w:space="0" w:color="auto"/>
              <w:left w:val="single" w:sz="4" w:space="0" w:color="auto"/>
              <w:bottom w:val="single" w:sz="4" w:space="0" w:color="auto"/>
              <w:right w:val="single" w:sz="4" w:space="0" w:color="auto"/>
            </w:tcBorders>
          </w:tcPr>
          <w:p w:rsidR="00973706" w:rsidRPr="00B118E9" w:rsidRDefault="00973706" w:rsidP="00BD6B4B">
            <w:pPr>
              <w:snapToGrid w:val="0"/>
              <w:spacing w:line="240" w:lineRule="atLeast"/>
              <w:jc w:val="center"/>
              <w:rPr>
                <w:rFonts w:eastAsia="標楷體"/>
              </w:rPr>
            </w:pPr>
            <w:r w:rsidRPr="00B118E9">
              <w:rPr>
                <w:rFonts w:eastAsia="標楷體"/>
              </w:rPr>
              <w:t>金額</w:t>
            </w:r>
          </w:p>
          <w:p w:rsidR="00973706" w:rsidRPr="00B118E9" w:rsidRDefault="00973706" w:rsidP="00BD6B4B">
            <w:pPr>
              <w:snapToGrid w:val="0"/>
              <w:spacing w:line="240" w:lineRule="atLeast"/>
              <w:jc w:val="center"/>
              <w:rPr>
                <w:rFonts w:eastAsia="標楷體"/>
              </w:rPr>
            </w:pPr>
            <w:r w:rsidRPr="00B118E9">
              <w:rPr>
                <w:rFonts w:eastAsia="標楷體"/>
              </w:rPr>
              <w:t>(</w:t>
            </w:r>
            <w:r w:rsidRPr="00B118E9">
              <w:rPr>
                <w:rFonts w:eastAsia="標楷體"/>
              </w:rPr>
              <w:t>億人民幣</w:t>
            </w:r>
            <w:r w:rsidRPr="00B118E9">
              <w:rPr>
                <w:rFonts w:eastAsia="標楷體"/>
              </w:rPr>
              <w:t>)</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154,554</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181,226</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207,167</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234,380</w:t>
            </w:r>
          </w:p>
        </w:tc>
        <w:tc>
          <w:tcPr>
            <w:tcW w:w="1401"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262,394</w:t>
            </w:r>
          </w:p>
        </w:tc>
        <w:tc>
          <w:tcPr>
            <w:tcW w:w="1559"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center"/>
              <w:rPr>
                <w:rFonts w:eastAsia="標楷體"/>
              </w:rPr>
            </w:pPr>
            <w:r w:rsidRPr="00B118E9">
              <w:rPr>
                <w:rFonts w:eastAsia="標楷體"/>
              </w:rPr>
              <w:t>93,102</w:t>
            </w:r>
          </w:p>
        </w:tc>
      </w:tr>
      <w:tr w:rsidR="00973706" w:rsidRPr="00B118E9" w:rsidTr="00BD6B4B">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973706" w:rsidRPr="00B118E9" w:rsidRDefault="00973706" w:rsidP="00BD6B4B">
            <w:pPr>
              <w:snapToGrid w:val="0"/>
              <w:spacing w:line="240" w:lineRule="atLeast"/>
              <w:jc w:val="center"/>
              <w:rPr>
                <w:rFonts w:eastAsia="標楷體"/>
              </w:rPr>
            </w:pPr>
            <w:r w:rsidRPr="00B118E9">
              <w:rPr>
                <w:rFonts w:eastAsia="標楷體"/>
              </w:rPr>
              <w:t>年增率</w:t>
            </w:r>
          </w:p>
          <w:p w:rsidR="00973706" w:rsidRPr="00B118E9" w:rsidRDefault="00973706" w:rsidP="00BD6B4B">
            <w:pPr>
              <w:snapToGrid w:val="0"/>
              <w:spacing w:line="240" w:lineRule="atLeast"/>
              <w:jc w:val="center"/>
              <w:rPr>
                <w:rFonts w:eastAsia="標楷體"/>
              </w:rPr>
            </w:pPr>
            <w:r w:rsidRPr="00B118E9">
              <w:rPr>
                <w:rFonts w:eastAsia="標楷體"/>
              </w:rPr>
              <w:t>(%)</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18.4</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17.1</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14.3</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13.1</w:t>
            </w:r>
          </w:p>
        </w:tc>
        <w:tc>
          <w:tcPr>
            <w:tcW w:w="1401"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12.0</w:t>
            </w:r>
          </w:p>
        </w:tc>
        <w:tc>
          <w:tcPr>
            <w:tcW w:w="1559"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center"/>
              <w:rPr>
                <w:rFonts w:eastAsia="標楷體"/>
              </w:rPr>
            </w:pPr>
            <w:r w:rsidRPr="00B118E9">
              <w:rPr>
                <w:rFonts w:eastAsia="標楷體"/>
              </w:rPr>
              <w:t>10.4</w:t>
            </w:r>
          </w:p>
          <w:p w:rsidR="00973706" w:rsidRPr="00B118E9" w:rsidRDefault="00973706" w:rsidP="00BD6B4B">
            <w:pPr>
              <w:snapToGrid w:val="0"/>
              <w:spacing w:line="440" w:lineRule="exact"/>
              <w:ind w:rightChars="50" w:right="120"/>
              <w:jc w:val="center"/>
              <w:rPr>
                <w:rFonts w:eastAsia="標楷體"/>
              </w:rPr>
            </w:pPr>
          </w:p>
        </w:tc>
      </w:tr>
      <w:tr w:rsidR="00973706" w:rsidRPr="00B118E9" w:rsidTr="00BD6B4B">
        <w:trPr>
          <w:cantSplit/>
          <w:trHeight w:val="639"/>
        </w:trPr>
        <w:tc>
          <w:tcPr>
            <w:tcW w:w="465" w:type="dxa"/>
            <w:vMerge w:val="restart"/>
            <w:tcBorders>
              <w:top w:val="single" w:sz="4" w:space="0" w:color="auto"/>
              <w:left w:val="nil"/>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r w:rsidRPr="00B118E9">
              <w:rPr>
                <w:rFonts w:eastAsia="標楷體"/>
              </w:rPr>
              <w:t>對外</w:t>
            </w:r>
          </w:p>
          <w:p w:rsidR="00973706" w:rsidRPr="00B118E9" w:rsidRDefault="00973706" w:rsidP="00BD6B4B">
            <w:pPr>
              <w:snapToGrid w:val="0"/>
              <w:spacing w:line="300" w:lineRule="auto"/>
              <w:jc w:val="center"/>
              <w:rPr>
                <w:rFonts w:eastAsia="標楷體"/>
              </w:rPr>
            </w:pPr>
            <w:r w:rsidRPr="00B118E9">
              <w:rPr>
                <w:rFonts w:eastAsia="標楷體"/>
              </w:rPr>
              <w:t>貿易</w:t>
            </w: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r w:rsidRPr="00B118E9">
              <w:rPr>
                <w:rFonts w:eastAsia="標楷體"/>
              </w:rPr>
              <w:t>出口</w:t>
            </w:r>
          </w:p>
        </w:tc>
        <w:tc>
          <w:tcPr>
            <w:tcW w:w="1390" w:type="dxa"/>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240" w:lineRule="atLeast"/>
              <w:jc w:val="center"/>
              <w:rPr>
                <w:rFonts w:eastAsia="標楷體"/>
              </w:rPr>
            </w:pPr>
            <w:r w:rsidRPr="00B118E9">
              <w:rPr>
                <w:rFonts w:eastAsia="標楷體"/>
              </w:rPr>
              <w:t>金額</w:t>
            </w:r>
          </w:p>
          <w:p w:rsidR="00973706" w:rsidRPr="00B118E9" w:rsidRDefault="00973706" w:rsidP="00BD6B4B">
            <w:pPr>
              <w:snapToGrid w:val="0"/>
              <w:spacing w:line="240" w:lineRule="atLeast"/>
              <w:jc w:val="center"/>
              <w:rPr>
                <w:rFonts w:eastAsia="標楷體"/>
              </w:rPr>
            </w:pPr>
            <w:r w:rsidRPr="00B118E9">
              <w:rPr>
                <w:rFonts w:eastAsia="標楷體"/>
              </w:rPr>
              <w:t>(</w:t>
            </w:r>
            <w:r w:rsidRPr="00B118E9">
              <w:rPr>
                <w:rFonts w:eastAsia="標楷體"/>
              </w:rPr>
              <w:t>億美元</w:t>
            </w:r>
            <w:r w:rsidRPr="00B118E9">
              <w:rPr>
                <w:rFonts w:eastAsia="標楷體"/>
              </w:rPr>
              <w:t>)</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15,779.3</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18,986.0</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20,489</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22,100.4</w:t>
            </w:r>
          </w:p>
        </w:tc>
        <w:tc>
          <w:tcPr>
            <w:tcW w:w="1401"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23,427.5</w:t>
            </w:r>
          </w:p>
        </w:tc>
        <w:tc>
          <w:tcPr>
            <w:tcW w:w="1559"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center"/>
              <w:rPr>
                <w:rFonts w:eastAsia="標楷體"/>
              </w:rPr>
            </w:pPr>
            <w:r w:rsidRPr="00B118E9">
              <w:rPr>
                <w:rFonts w:eastAsia="標楷體"/>
              </w:rPr>
              <w:t>6,901.6</w:t>
            </w:r>
          </w:p>
        </w:tc>
      </w:tr>
      <w:tr w:rsidR="00973706" w:rsidRPr="00B118E9" w:rsidTr="00BD6B4B">
        <w:trPr>
          <w:cantSplit/>
          <w:trHeight w:hRule="exact" w:val="620"/>
        </w:trPr>
        <w:tc>
          <w:tcPr>
            <w:tcW w:w="465" w:type="dxa"/>
            <w:vMerge/>
            <w:tcBorders>
              <w:top w:val="single" w:sz="4" w:space="0" w:color="auto"/>
              <w:left w:val="nil"/>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240" w:lineRule="atLeast"/>
              <w:jc w:val="center"/>
              <w:rPr>
                <w:rFonts w:eastAsia="標楷體"/>
              </w:rPr>
            </w:pPr>
            <w:r w:rsidRPr="00B118E9">
              <w:rPr>
                <w:rFonts w:eastAsia="標楷體"/>
              </w:rPr>
              <w:t>年增率</w:t>
            </w:r>
          </w:p>
          <w:p w:rsidR="00973706" w:rsidRPr="00B118E9" w:rsidRDefault="00973706" w:rsidP="00BD6B4B">
            <w:pPr>
              <w:snapToGrid w:val="0"/>
              <w:spacing w:line="240" w:lineRule="atLeast"/>
              <w:jc w:val="center"/>
              <w:rPr>
                <w:rFonts w:eastAsia="標楷體"/>
              </w:rPr>
            </w:pPr>
            <w:r w:rsidRPr="00B118E9">
              <w:rPr>
                <w:rFonts w:eastAsia="標楷體"/>
              </w:rPr>
              <w:t>(%)</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31.3</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20.3</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7.9</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7.9</w:t>
            </w:r>
          </w:p>
        </w:tc>
        <w:tc>
          <w:tcPr>
            <w:tcW w:w="1401"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6.1</w:t>
            </w:r>
          </w:p>
        </w:tc>
        <w:tc>
          <w:tcPr>
            <w:tcW w:w="1559"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center"/>
              <w:rPr>
                <w:rFonts w:eastAsia="標楷體"/>
              </w:rPr>
            </w:pPr>
            <w:r w:rsidRPr="00B118E9">
              <w:rPr>
                <w:rFonts w:eastAsia="標楷體"/>
              </w:rPr>
              <w:t>1.6</w:t>
            </w:r>
          </w:p>
        </w:tc>
      </w:tr>
      <w:tr w:rsidR="00973706" w:rsidRPr="00B118E9" w:rsidTr="00BD6B4B">
        <w:trPr>
          <w:cantSplit/>
          <w:trHeight w:hRule="exact" w:val="610"/>
        </w:trPr>
        <w:tc>
          <w:tcPr>
            <w:tcW w:w="465" w:type="dxa"/>
            <w:vMerge/>
            <w:tcBorders>
              <w:top w:val="single" w:sz="4" w:space="0" w:color="auto"/>
              <w:left w:val="nil"/>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r w:rsidRPr="00B118E9">
              <w:rPr>
                <w:rFonts w:eastAsia="標楷體"/>
              </w:rPr>
              <w:t>進口</w:t>
            </w:r>
          </w:p>
        </w:tc>
        <w:tc>
          <w:tcPr>
            <w:tcW w:w="1390" w:type="dxa"/>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240" w:lineRule="atLeast"/>
              <w:jc w:val="center"/>
              <w:rPr>
                <w:rFonts w:eastAsia="標楷體"/>
              </w:rPr>
            </w:pPr>
            <w:r w:rsidRPr="00B118E9">
              <w:rPr>
                <w:rFonts w:eastAsia="標楷體"/>
              </w:rPr>
              <w:t>金額</w:t>
            </w:r>
          </w:p>
          <w:p w:rsidR="00973706" w:rsidRPr="00B118E9" w:rsidRDefault="00973706" w:rsidP="00BD6B4B">
            <w:pPr>
              <w:snapToGrid w:val="0"/>
              <w:spacing w:line="240" w:lineRule="atLeast"/>
              <w:jc w:val="center"/>
              <w:rPr>
                <w:rFonts w:eastAsia="標楷體"/>
              </w:rPr>
            </w:pPr>
            <w:r w:rsidRPr="00B118E9">
              <w:rPr>
                <w:rFonts w:eastAsia="標楷體"/>
              </w:rPr>
              <w:t>(</w:t>
            </w:r>
            <w:r w:rsidRPr="00B118E9">
              <w:rPr>
                <w:rFonts w:eastAsia="標楷體"/>
              </w:rPr>
              <w:t>億美元</w:t>
            </w:r>
            <w:r w:rsidRPr="00B118E9">
              <w:rPr>
                <w:rFonts w:eastAsia="標楷體"/>
              </w:rPr>
              <w:t>)</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13,948.3</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17,434.6</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18,178</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19,502.9</w:t>
            </w:r>
          </w:p>
        </w:tc>
        <w:tc>
          <w:tcPr>
            <w:tcW w:w="1401"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19,602.9</w:t>
            </w:r>
          </w:p>
        </w:tc>
        <w:tc>
          <w:tcPr>
            <w:tcW w:w="1559"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center"/>
              <w:rPr>
                <w:rFonts w:eastAsia="標楷體"/>
              </w:rPr>
            </w:pPr>
            <w:r w:rsidRPr="00B118E9">
              <w:rPr>
                <w:rFonts w:eastAsia="標楷體"/>
              </w:rPr>
              <w:t>5,323.5</w:t>
            </w:r>
          </w:p>
        </w:tc>
      </w:tr>
      <w:tr w:rsidR="00973706" w:rsidRPr="00B118E9" w:rsidTr="00BD6B4B">
        <w:trPr>
          <w:cantSplit/>
          <w:trHeight w:hRule="exact" w:val="594"/>
        </w:trPr>
        <w:tc>
          <w:tcPr>
            <w:tcW w:w="465" w:type="dxa"/>
            <w:vMerge/>
            <w:tcBorders>
              <w:top w:val="single" w:sz="4" w:space="0" w:color="auto"/>
              <w:left w:val="nil"/>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973706" w:rsidRPr="00B118E9" w:rsidRDefault="00973706" w:rsidP="00BD6B4B">
            <w:pPr>
              <w:snapToGrid w:val="0"/>
              <w:spacing w:line="240" w:lineRule="atLeast"/>
              <w:jc w:val="center"/>
              <w:rPr>
                <w:rFonts w:eastAsia="標楷體"/>
              </w:rPr>
            </w:pPr>
            <w:r w:rsidRPr="00B118E9">
              <w:rPr>
                <w:rFonts w:eastAsia="標楷體"/>
              </w:rPr>
              <w:t>年增率</w:t>
            </w:r>
          </w:p>
          <w:p w:rsidR="00973706" w:rsidRPr="00B118E9" w:rsidRDefault="00973706" w:rsidP="00BD6B4B">
            <w:pPr>
              <w:snapToGrid w:val="0"/>
              <w:spacing w:line="240" w:lineRule="atLeast"/>
              <w:jc w:val="center"/>
              <w:rPr>
                <w:rFonts w:eastAsia="標楷體"/>
              </w:rPr>
            </w:pPr>
            <w:r w:rsidRPr="00B118E9">
              <w:rPr>
                <w:rFonts w:eastAsia="標楷體"/>
              </w:rPr>
              <w:t>(%)</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38.7</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24.9</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4.3</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7.3</w:t>
            </w:r>
          </w:p>
        </w:tc>
        <w:tc>
          <w:tcPr>
            <w:tcW w:w="1401"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0.4</w:t>
            </w:r>
          </w:p>
        </w:tc>
        <w:tc>
          <w:tcPr>
            <w:tcW w:w="1559"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center"/>
              <w:rPr>
                <w:rFonts w:eastAsia="標楷體"/>
              </w:rPr>
            </w:pPr>
            <w:r w:rsidRPr="00B118E9">
              <w:rPr>
                <w:rFonts w:eastAsia="標楷體"/>
              </w:rPr>
              <w:t>-17.3</w:t>
            </w:r>
          </w:p>
        </w:tc>
      </w:tr>
      <w:tr w:rsidR="00973706" w:rsidRPr="00B118E9" w:rsidTr="00BD6B4B">
        <w:trPr>
          <w:cantSplit/>
          <w:trHeight w:hRule="exact" w:val="620"/>
        </w:trPr>
        <w:tc>
          <w:tcPr>
            <w:tcW w:w="1126" w:type="dxa"/>
            <w:gridSpan w:val="2"/>
            <w:vMerge w:val="restart"/>
            <w:tcBorders>
              <w:top w:val="single" w:sz="4" w:space="0" w:color="auto"/>
              <w:left w:val="nil"/>
              <w:right w:val="single" w:sz="4" w:space="0" w:color="auto"/>
            </w:tcBorders>
            <w:vAlign w:val="center"/>
          </w:tcPr>
          <w:p w:rsidR="00973706" w:rsidRPr="00B118E9" w:rsidRDefault="00973706" w:rsidP="00BD6B4B">
            <w:pPr>
              <w:snapToGrid w:val="0"/>
              <w:spacing w:line="300" w:lineRule="auto"/>
              <w:jc w:val="center"/>
              <w:rPr>
                <w:rFonts w:eastAsia="標楷體"/>
              </w:rPr>
            </w:pPr>
            <w:r w:rsidRPr="00B118E9">
              <w:rPr>
                <w:rFonts w:eastAsia="標楷體"/>
              </w:rPr>
              <w:t>實際外商直接投資</w:t>
            </w:r>
          </w:p>
        </w:tc>
        <w:tc>
          <w:tcPr>
            <w:tcW w:w="1390" w:type="dxa"/>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240" w:lineRule="atLeast"/>
              <w:jc w:val="center"/>
              <w:rPr>
                <w:rFonts w:eastAsia="標楷體"/>
              </w:rPr>
            </w:pPr>
            <w:r w:rsidRPr="00B118E9">
              <w:rPr>
                <w:rFonts w:eastAsia="標楷體"/>
              </w:rPr>
              <w:t>金額</w:t>
            </w:r>
          </w:p>
          <w:p w:rsidR="00973706" w:rsidRPr="00B118E9" w:rsidRDefault="00973706" w:rsidP="00BD6B4B">
            <w:pPr>
              <w:snapToGrid w:val="0"/>
              <w:spacing w:line="240" w:lineRule="atLeast"/>
              <w:jc w:val="center"/>
              <w:rPr>
                <w:rFonts w:eastAsia="標楷體"/>
              </w:rPr>
            </w:pPr>
            <w:r w:rsidRPr="00B118E9">
              <w:rPr>
                <w:rFonts w:eastAsia="標楷體"/>
              </w:rPr>
              <w:t>(</w:t>
            </w:r>
            <w:r w:rsidRPr="00B118E9">
              <w:rPr>
                <w:rFonts w:eastAsia="標楷體"/>
              </w:rPr>
              <w:t>億美元</w:t>
            </w:r>
            <w:r w:rsidRPr="00B118E9">
              <w:rPr>
                <w:rFonts w:eastAsia="標楷體"/>
              </w:rPr>
              <w:t>)</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1,057.4</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1,160.1</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1,117</w:t>
            </w:r>
          </w:p>
        </w:tc>
        <w:tc>
          <w:tcPr>
            <w:tcW w:w="1218" w:type="dxa"/>
            <w:tcBorders>
              <w:top w:val="nil"/>
              <w:left w:val="nil"/>
              <w:bottom w:val="nil"/>
              <w:right w:val="nil"/>
            </w:tcBorders>
            <w:vAlign w:val="center"/>
          </w:tcPr>
          <w:p w:rsidR="00973706" w:rsidRPr="00B118E9" w:rsidRDefault="00973706" w:rsidP="00BD6B4B">
            <w:pPr>
              <w:snapToGrid w:val="0"/>
              <w:spacing w:line="320" w:lineRule="exact"/>
              <w:ind w:rightChars="50" w:right="120"/>
              <w:jc w:val="right"/>
              <w:rPr>
                <w:rFonts w:eastAsia="標楷體"/>
              </w:rPr>
            </w:pPr>
            <w:r w:rsidRPr="00B118E9">
              <w:rPr>
                <w:rFonts w:eastAsia="標楷體"/>
              </w:rPr>
              <w:t>1,175.9</w:t>
            </w:r>
          </w:p>
        </w:tc>
        <w:tc>
          <w:tcPr>
            <w:tcW w:w="1401" w:type="dxa"/>
            <w:tcBorders>
              <w:top w:val="nil"/>
              <w:left w:val="nil"/>
              <w:bottom w:val="nil"/>
              <w:right w:val="nil"/>
            </w:tcBorders>
            <w:vAlign w:val="center"/>
          </w:tcPr>
          <w:p w:rsidR="00973706" w:rsidRPr="00B118E9" w:rsidRDefault="00973706" w:rsidP="00BD6B4B">
            <w:pPr>
              <w:snapToGrid w:val="0"/>
              <w:spacing w:line="320" w:lineRule="exact"/>
              <w:ind w:rightChars="50" w:right="120"/>
              <w:jc w:val="right"/>
              <w:rPr>
                <w:rFonts w:eastAsia="標楷體"/>
              </w:rPr>
            </w:pPr>
            <w:r w:rsidRPr="00B118E9">
              <w:rPr>
                <w:rFonts w:eastAsia="標楷體"/>
              </w:rPr>
              <w:t>1,195.6</w:t>
            </w:r>
          </w:p>
        </w:tc>
        <w:tc>
          <w:tcPr>
            <w:tcW w:w="1559" w:type="dxa"/>
            <w:tcBorders>
              <w:top w:val="nil"/>
              <w:left w:val="nil"/>
              <w:bottom w:val="nil"/>
              <w:right w:val="nil"/>
            </w:tcBorders>
            <w:vAlign w:val="center"/>
          </w:tcPr>
          <w:p w:rsidR="00973706" w:rsidRPr="00B118E9" w:rsidRDefault="00973706" w:rsidP="00BD6B4B">
            <w:pPr>
              <w:snapToGrid w:val="0"/>
              <w:spacing w:line="320" w:lineRule="exact"/>
              <w:ind w:rightChars="50" w:right="120"/>
              <w:jc w:val="center"/>
              <w:rPr>
                <w:rFonts w:eastAsia="標楷體"/>
              </w:rPr>
            </w:pPr>
            <w:r w:rsidRPr="00B118E9">
              <w:rPr>
                <w:rFonts w:eastAsia="標楷體"/>
              </w:rPr>
              <w:t>348.8</w:t>
            </w:r>
          </w:p>
          <w:p w:rsidR="00973706" w:rsidRPr="00B118E9" w:rsidRDefault="00973706" w:rsidP="00BD6B4B">
            <w:pPr>
              <w:snapToGrid w:val="0"/>
              <w:spacing w:line="320" w:lineRule="exact"/>
              <w:ind w:rightChars="50" w:right="120"/>
              <w:jc w:val="center"/>
              <w:rPr>
                <w:rFonts w:eastAsia="標楷體"/>
              </w:rPr>
            </w:pPr>
            <w:r w:rsidRPr="00B118E9">
              <w:rPr>
                <w:rFonts w:eastAsia="標楷體"/>
              </w:rPr>
              <w:t>(1-3</w:t>
            </w:r>
            <w:r w:rsidRPr="00B118E9">
              <w:rPr>
                <w:rFonts w:eastAsia="標楷體"/>
              </w:rPr>
              <w:t>月</w:t>
            </w:r>
            <w:r w:rsidRPr="00B118E9">
              <w:rPr>
                <w:rFonts w:eastAsia="標楷體"/>
              </w:rPr>
              <w:t>)</w:t>
            </w:r>
          </w:p>
        </w:tc>
      </w:tr>
      <w:tr w:rsidR="00973706" w:rsidRPr="00B118E9" w:rsidTr="00BD6B4B">
        <w:trPr>
          <w:cantSplit/>
          <w:trHeight w:hRule="exact" w:val="779"/>
        </w:trPr>
        <w:tc>
          <w:tcPr>
            <w:tcW w:w="1126" w:type="dxa"/>
            <w:gridSpan w:val="2"/>
            <w:vMerge/>
            <w:tcBorders>
              <w:left w:val="nil"/>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240" w:lineRule="atLeast"/>
              <w:jc w:val="center"/>
              <w:rPr>
                <w:rFonts w:eastAsia="標楷體"/>
              </w:rPr>
            </w:pPr>
            <w:r w:rsidRPr="00B118E9">
              <w:rPr>
                <w:rFonts w:eastAsia="標楷體"/>
              </w:rPr>
              <w:t>年增率</w:t>
            </w:r>
          </w:p>
          <w:p w:rsidR="00973706" w:rsidRPr="00B118E9" w:rsidRDefault="00973706" w:rsidP="00BD6B4B">
            <w:pPr>
              <w:snapToGrid w:val="0"/>
              <w:spacing w:line="240" w:lineRule="atLeast"/>
              <w:jc w:val="center"/>
              <w:rPr>
                <w:rFonts w:eastAsia="標楷體"/>
              </w:rPr>
            </w:pPr>
            <w:r w:rsidRPr="00B118E9">
              <w:rPr>
                <w:rFonts w:eastAsia="標楷體"/>
              </w:rPr>
              <w:t>(%)</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17.4</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9.7</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-3.7</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5.25</w:t>
            </w:r>
          </w:p>
        </w:tc>
        <w:tc>
          <w:tcPr>
            <w:tcW w:w="1401"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1.7</w:t>
            </w:r>
          </w:p>
        </w:tc>
        <w:tc>
          <w:tcPr>
            <w:tcW w:w="1559"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center"/>
              <w:rPr>
                <w:rFonts w:eastAsia="標楷體"/>
              </w:rPr>
            </w:pPr>
            <w:r w:rsidRPr="00B118E9">
              <w:rPr>
                <w:rFonts w:eastAsia="標楷體"/>
              </w:rPr>
              <w:t>10.6</w:t>
            </w:r>
          </w:p>
          <w:p w:rsidR="00973706" w:rsidRPr="00B118E9" w:rsidRDefault="00973706" w:rsidP="00BD6B4B">
            <w:pPr>
              <w:snapToGrid w:val="0"/>
              <w:spacing w:line="320" w:lineRule="exact"/>
              <w:ind w:rightChars="50" w:right="120"/>
              <w:jc w:val="center"/>
              <w:rPr>
                <w:rFonts w:eastAsia="標楷體"/>
              </w:rPr>
            </w:pPr>
            <w:r w:rsidRPr="00B118E9">
              <w:rPr>
                <w:rFonts w:eastAsia="標楷體"/>
              </w:rPr>
              <w:t>(1-3</w:t>
            </w:r>
            <w:r w:rsidRPr="00B118E9">
              <w:rPr>
                <w:rFonts w:eastAsia="標楷體"/>
              </w:rPr>
              <w:t>月</w:t>
            </w:r>
            <w:r w:rsidRPr="00B118E9">
              <w:rPr>
                <w:rFonts w:eastAsia="標楷體"/>
              </w:rPr>
              <w:t>)</w:t>
            </w:r>
          </w:p>
        </w:tc>
      </w:tr>
      <w:tr w:rsidR="00973706" w:rsidRPr="00B118E9" w:rsidTr="00BD6B4B">
        <w:trPr>
          <w:cantSplit/>
          <w:trHeight w:val="670"/>
        </w:trPr>
        <w:tc>
          <w:tcPr>
            <w:tcW w:w="1126" w:type="dxa"/>
            <w:gridSpan w:val="2"/>
            <w:tcBorders>
              <w:top w:val="single" w:sz="4" w:space="0" w:color="auto"/>
              <w:left w:val="nil"/>
              <w:bottom w:val="single" w:sz="4" w:space="0" w:color="auto"/>
              <w:right w:val="single" w:sz="4" w:space="0" w:color="auto"/>
            </w:tcBorders>
            <w:vAlign w:val="center"/>
          </w:tcPr>
          <w:p w:rsidR="00973706" w:rsidRPr="00B118E9" w:rsidRDefault="00973706" w:rsidP="00BD6B4B">
            <w:pPr>
              <w:snapToGrid w:val="0"/>
              <w:spacing w:line="300" w:lineRule="auto"/>
              <w:ind w:left="2" w:hanging="2"/>
              <w:jc w:val="center"/>
              <w:rPr>
                <w:rFonts w:eastAsia="標楷體"/>
              </w:rPr>
            </w:pPr>
            <w:r w:rsidRPr="00B118E9">
              <w:rPr>
                <w:rFonts w:eastAsia="標楷體"/>
              </w:rPr>
              <w:t>居民消費價格指數</w:t>
            </w:r>
          </w:p>
        </w:tc>
        <w:tc>
          <w:tcPr>
            <w:tcW w:w="1390" w:type="dxa"/>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240" w:lineRule="atLeast"/>
              <w:jc w:val="center"/>
              <w:rPr>
                <w:rFonts w:eastAsia="標楷體"/>
              </w:rPr>
            </w:pPr>
            <w:r w:rsidRPr="00B118E9">
              <w:rPr>
                <w:rFonts w:eastAsia="標楷體"/>
              </w:rPr>
              <w:t>年增率</w:t>
            </w:r>
          </w:p>
          <w:p w:rsidR="00973706" w:rsidRPr="00B118E9" w:rsidRDefault="00973706" w:rsidP="00BD6B4B">
            <w:pPr>
              <w:snapToGrid w:val="0"/>
              <w:spacing w:line="240" w:lineRule="atLeast"/>
              <w:jc w:val="center"/>
              <w:rPr>
                <w:rFonts w:eastAsia="標楷體"/>
              </w:rPr>
            </w:pPr>
            <w:r w:rsidRPr="00B118E9">
              <w:rPr>
                <w:rFonts w:eastAsia="標楷體"/>
              </w:rPr>
              <w:t>(%)</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3.3</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5.4</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2.6</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2.6</w:t>
            </w:r>
          </w:p>
        </w:tc>
        <w:tc>
          <w:tcPr>
            <w:tcW w:w="1401"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2.0</w:t>
            </w:r>
          </w:p>
        </w:tc>
        <w:tc>
          <w:tcPr>
            <w:tcW w:w="1559"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center"/>
              <w:rPr>
                <w:rFonts w:eastAsia="標楷體"/>
              </w:rPr>
            </w:pPr>
            <w:r w:rsidRPr="00B118E9">
              <w:rPr>
                <w:rFonts w:eastAsia="標楷體"/>
              </w:rPr>
              <w:t>1.3</w:t>
            </w:r>
          </w:p>
        </w:tc>
      </w:tr>
      <w:tr w:rsidR="00973706" w:rsidRPr="00B118E9" w:rsidTr="00BD6B4B">
        <w:trPr>
          <w:cantSplit/>
          <w:trHeight w:val="822"/>
        </w:trPr>
        <w:tc>
          <w:tcPr>
            <w:tcW w:w="465" w:type="dxa"/>
            <w:vMerge w:val="restart"/>
            <w:tcBorders>
              <w:top w:val="single" w:sz="4" w:space="0" w:color="auto"/>
              <w:left w:val="nil"/>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r w:rsidRPr="00B118E9">
              <w:rPr>
                <w:rFonts w:eastAsia="標楷體"/>
              </w:rPr>
              <w:t>金融</w:t>
            </w:r>
          </w:p>
        </w:tc>
        <w:tc>
          <w:tcPr>
            <w:tcW w:w="661" w:type="dxa"/>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240" w:lineRule="exact"/>
              <w:jc w:val="center"/>
              <w:rPr>
                <w:rFonts w:eastAsia="標楷體"/>
              </w:rPr>
            </w:pPr>
            <w:r w:rsidRPr="00B118E9">
              <w:rPr>
                <w:rFonts w:eastAsia="標楷體"/>
              </w:rPr>
              <w:t>貨幣供給</w:t>
            </w:r>
          </w:p>
          <w:p w:rsidR="00973706" w:rsidRPr="00B118E9" w:rsidRDefault="00973706" w:rsidP="00BD6B4B">
            <w:pPr>
              <w:snapToGrid w:val="0"/>
              <w:spacing w:line="240" w:lineRule="exact"/>
              <w:ind w:hanging="133"/>
              <w:jc w:val="center"/>
              <w:rPr>
                <w:rFonts w:eastAsia="標楷體"/>
                <w:sz w:val="20"/>
              </w:rPr>
            </w:pPr>
            <w:r w:rsidRPr="00B118E9">
              <w:rPr>
                <w:rFonts w:eastAsia="標楷體"/>
                <w:sz w:val="18"/>
              </w:rPr>
              <w:t xml:space="preserve"> </w:t>
            </w:r>
            <w:r w:rsidRPr="00B118E9">
              <w:rPr>
                <w:rFonts w:eastAsia="標楷體"/>
                <w:sz w:val="20"/>
              </w:rPr>
              <w:t>(M2)</w:t>
            </w:r>
          </w:p>
        </w:tc>
        <w:tc>
          <w:tcPr>
            <w:tcW w:w="1390" w:type="dxa"/>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240" w:lineRule="atLeast"/>
              <w:jc w:val="center"/>
              <w:rPr>
                <w:rFonts w:eastAsia="標楷體"/>
              </w:rPr>
            </w:pPr>
            <w:r w:rsidRPr="00B118E9">
              <w:rPr>
                <w:rFonts w:eastAsia="標楷體"/>
              </w:rPr>
              <w:t>年增率</w:t>
            </w:r>
          </w:p>
          <w:p w:rsidR="00973706" w:rsidRPr="00B118E9" w:rsidRDefault="00973706" w:rsidP="00BD6B4B">
            <w:pPr>
              <w:snapToGrid w:val="0"/>
              <w:spacing w:line="240" w:lineRule="atLeast"/>
              <w:jc w:val="center"/>
              <w:rPr>
                <w:rFonts w:eastAsia="標楷體"/>
              </w:rPr>
            </w:pPr>
            <w:r w:rsidRPr="00B118E9">
              <w:rPr>
                <w:rFonts w:eastAsia="標楷體"/>
              </w:rPr>
              <w:t>(%)</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19.7</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13.6</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13.8</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13.6</w:t>
            </w:r>
          </w:p>
        </w:tc>
        <w:tc>
          <w:tcPr>
            <w:tcW w:w="1401"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12.2</w:t>
            </w:r>
          </w:p>
        </w:tc>
        <w:tc>
          <w:tcPr>
            <w:tcW w:w="1559" w:type="dxa"/>
            <w:tcBorders>
              <w:top w:val="nil"/>
              <w:left w:val="nil"/>
              <w:bottom w:val="nil"/>
              <w:right w:val="nil"/>
            </w:tcBorders>
            <w:vAlign w:val="center"/>
          </w:tcPr>
          <w:p w:rsidR="00973706" w:rsidRPr="00B118E9" w:rsidRDefault="00973706" w:rsidP="00BD6B4B">
            <w:pPr>
              <w:snapToGrid w:val="0"/>
              <w:spacing w:line="320" w:lineRule="exact"/>
              <w:ind w:rightChars="50" w:right="120"/>
              <w:jc w:val="center"/>
              <w:rPr>
                <w:rFonts w:eastAsia="標楷體"/>
              </w:rPr>
            </w:pPr>
            <w:r w:rsidRPr="00B118E9">
              <w:rPr>
                <w:rFonts w:eastAsia="標楷體"/>
              </w:rPr>
              <w:t>10.1</w:t>
            </w:r>
          </w:p>
          <w:p w:rsidR="00973706" w:rsidRPr="00B118E9" w:rsidRDefault="00973706" w:rsidP="00BD6B4B">
            <w:pPr>
              <w:snapToGrid w:val="0"/>
              <w:spacing w:line="320" w:lineRule="exact"/>
              <w:ind w:rightChars="50" w:right="120"/>
              <w:jc w:val="center"/>
              <w:rPr>
                <w:rFonts w:eastAsia="標楷體"/>
              </w:rPr>
            </w:pPr>
            <w:r w:rsidRPr="00B118E9">
              <w:rPr>
                <w:rFonts w:eastAsia="標楷體"/>
              </w:rPr>
              <w:t>(4</w:t>
            </w:r>
            <w:r w:rsidRPr="00B118E9">
              <w:rPr>
                <w:rFonts w:eastAsia="標楷體"/>
              </w:rPr>
              <w:t>月</w:t>
            </w:r>
            <w:r w:rsidRPr="00B118E9">
              <w:rPr>
                <w:rFonts w:eastAsia="標楷體"/>
              </w:rPr>
              <w:t>)</w:t>
            </w:r>
          </w:p>
        </w:tc>
      </w:tr>
      <w:tr w:rsidR="00973706" w:rsidRPr="00B118E9" w:rsidTr="00BD6B4B">
        <w:trPr>
          <w:cantSplit/>
          <w:trHeight w:val="766"/>
        </w:trPr>
        <w:tc>
          <w:tcPr>
            <w:tcW w:w="465" w:type="dxa"/>
            <w:vMerge/>
            <w:tcBorders>
              <w:top w:val="single" w:sz="4" w:space="0" w:color="auto"/>
              <w:left w:val="nil"/>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r w:rsidRPr="00B118E9">
              <w:rPr>
                <w:rFonts w:eastAsia="標楷體"/>
              </w:rPr>
              <w:t>匯率</w:t>
            </w:r>
          </w:p>
        </w:tc>
        <w:tc>
          <w:tcPr>
            <w:tcW w:w="1390" w:type="dxa"/>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240" w:lineRule="atLeast"/>
              <w:jc w:val="center"/>
              <w:rPr>
                <w:rFonts w:eastAsia="標楷體"/>
              </w:rPr>
            </w:pPr>
            <w:r w:rsidRPr="00B118E9">
              <w:rPr>
                <w:rFonts w:eastAsia="標楷體"/>
              </w:rPr>
              <w:t>美元兌</w:t>
            </w:r>
          </w:p>
          <w:p w:rsidR="00973706" w:rsidRPr="00B118E9" w:rsidRDefault="00973706" w:rsidP="00BD6B4B">
            <w:pPr>
              <w:snapToGrid w:val="0"/>
              <w:spacing w:line="240" w:lineRule="atLeast"/>
              <w:jc w:val="center"/>
              <w:rPr>
                <w:rFonts w:eastAsia="標楷體"/>
              </w:rPr>
            </w:pPr>
            <w:r w:rsidRPr="00B118E9">
              <w:rPr>
                <w:rFonts w:eastAsia="標楷體"/>
              </w:rPr>
              <w:t>人民幣</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b/>
                <w:bCs/>
                <w:sz w:val="18"/>
              </w:rPr>
            </w:pPr>
            <w:r w:rsidRPr="00B118E9">
              <w:rPr>
                <w:rFonts w:eastAsia="標楷體"/>
              </w:rPr>
              <w:t>1:6.7703</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sz w:val="18"/>
              </w:rPr>
            </w:pPr>
            <w:r w:rsidRPr="00B118E9">
              <w:rPr>
                <w:rFonts w:eastAsia="標楷體"/>
              </w:rPr>
              <w:t>1:6.3009</w:t>
            </w:r>
          </w:p>
        </w:tc>
        <w:tc>
          <w:tcPr>
            <w:tcW w:w="1218" w:type="dxa"/>
            <w:tcBorders>
              <w:top w:val="nil"/>
              <w:left w:val="nil"/>
              <w:bottom w:val="nil"/>
              <w:right w:val="nil"/>
            </w:tcBorders>
            <w:shd w:val="clear" w:color="auto" w:fill="auto"/>
            <w:vAlign w:val="center"/>
          </w:tcPr>
          <w:p w:rsidR="00973706" w:rsidRPr="00B118E9" w:rsidRDefault="00973706" w:rsidP="00BD6B4B">
            <w:pPr>
              <w:snapToGrid w:val="0"/>
              <w:spacing w:line="440" w:lineRule="exact"/>
              <w:ind w:rightChars="50" w:right="120"/>
              <w:jc w:val="right"/>
              <w:rPr>
                <w:rFonts w:eastAsia="標楷體"/>
                <w:sz w:val="18"/>
                <w:highlight w:val="yellow"/>
              </w:rPr>
            </w:pPr>
            <w:r w:rsidRPr="00B118E9">
              <w:rPr>
                <w:rFonts w:eastAsia="標楷體"/>
              </w:rPr>
              <w:t>1:6.2855</w:t>
            </w:r>
          </w:p>
        </w:tc>
        <w:tc>
          <w:tcPr>
            <w:tcW w:w="1218"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1:6.0969</w:t>
            </w:r>
          </w:p>
        </w:tc>
        <w:tc>
          <w:tcPr>
            <w:tcW w:w="1401"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1:6.1190</w:t>
            </w:r>
          </w:p>
        </w:tc>
        <w:tc>
          <w:tcPr>
            <w:tcW w:w="1559" w:type="dxa"/>
            <w:tcBorders>
              <w:top w:val="nil"/>
              <w:left w:val="nil"/>
              <w:bottom w:val="nil"/>
              <w:right w:val="nil"/>
            </w:tcBorders>
            <w:vAlign w:val="center"/>
          </w:tcPr>
          <w:p w:rsidR="00973706" w:rsidRPr="00B118E9" w:rsidRDefault="00973706" w:rsidP="00BD6B4B">
            <w:pPr>
              <w:snapToGrid w:val="0"/>
              <w:spacing w:line="440" w:lineRule="exact"/>
              <w:ind w:rightChars="50" w:right="120"/>
              <w:jc w:val="center"/>
              <w:rPr>
                <w:rFonts w:eastAsia="標楷體"/>
              </w:rPr>
            </w:pPr>
            <w:r w:rsidRPr="00B118E9">
              <w:rPr>
                <w:rFonts w:eastAsia="標楷體"/>
              </w:rPr>
              <w:t>1:6.1165</w:t>
            </w:r>
          </w:p>
          <w:p w:rsidR="00973706" w:rsidRPr="00B118E9" w:rsidRDefault="00973706" w:rsidP="00BD6B4B">
            <w:pPr>
              <w:snapToGrid w:val="0"/>
              <w:spacing w:line="200" w:lineRule="exact"/>
              <w:ind w:rightChars="14" w:right="34"/>
              <w:jc w:val="center"/>
              <w:rPr>
                <w:rFonts w:eastAsia="標楷體"/>
              </w:rPr>
            </w:pPr>
            <w:r w:rsidRPr="00B118E9">
              <w:rPr>
                <w:rFonts w:eastAsia="標楷體"/>
                <w:sz w:val="16"/>
              </w:rPr>
              <w:t>（</w:t>
            </w:r>
            <w:r w:rsidRPr="00B118E9">
              <w:rPr>
                <w:rFonts w:eastAsia="標楷體"/>
                <w:sz w:val="16"/>
              </w:rPr>
              <w:t>2015.5.25</w:t>
            </w:r>
            <w:r w:rsidRPr="00B118E9">
              <w:rPr>
                <w:rFonts w:eastAsia="標楷體"/>
                <w:sz w:val="16"/>
              </w:rPr>
              <w:t>）</w:t>
            </w:r>
          </w:p>
        </w:tc>
      </w:tr>
      <w:tr w:rsidR="00973706" w:rsidRPr="00B118E9" w:rsidTr="00BD6B4B">
        <w:trPr>
          <w:cantSplit/>
          <w:trHeight w:val="711"/>
        </w:trPr>
        <w:tc>
          <w:tcPr>
            <w:tcW w:w="465" w:type="dxa"/>
            <w:vMerge/>
            <w:tcBorders>
              <w:top w:val="single" w:sz="4" w:space="0" w:color="auto"/>
              <w:left w:val="nil"/>
              <w:bottom w:val="single" w:sz="4" w:space="0" w:color="auto"/>
              <w:right w:val="single" w:sz="4" w:space="0" w:color="auto"/>
            </w:tcBorders>
            <w:vAlign w:val="center"/>
          </w:tcPr>
          <w:p w:rsidR="00973706" w:rsidRPr="00B118E9" w:rsidRDefault="00973706" w:rsidP="00BD6B4B">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jc w:val="center"/>
              <w:rPr>
                <w:rFonts w:eastAsia="標楷體"/>
              </w:rPr>
            </w:pPr>
            <w:r w:rsidRPr="00B118E9">
              <w:rPr>
                <w:rFonts w:eastAsia="標楷體"/>
              </w:rPr>
              <w:t>外匯準備</w:t>
            </w:r>
          </w:p>
        </w:tc>
        <w:tc>
          <w:tcPr>
            <w:tcW w:w="1390" w:type="dxa"/>
            <w:tcBorders>
              <w:top w:val="single" w:sz="4" w:space="0" w:color="auto"/>
              <w:left w:val="single" w:sz="4" w:space="0" w:color="auto"/>
              <w:bottom w:val="single" w:sz="4" w:space="0" w:color="auto"/>
              <w:right w:val="single" w:sz="4" w:space="0" w:color="auto"/>
            </w:tcBorders>
            <w:vAlign w:val="center"/>
          </w:tcPr>
          <w:p w:rsidR="00973706" w:rsidRPr="00B118E9" w:rsidRDefault="00973706" w:rsidP="00BD6B4B">
            <w:pPr>
              <w:snapToGrid w:val="0"/>
              <w:spacing w:line="240" w:lineRule="atLeast"/>
              <w:jc w:val="center"/>
              <w:rPr>
                <w:rFonts w:eastAsia="標楷體"/>
              </w:rPr>
            </w:pPr>
            <w:r w:rsidRPr="00B118E9">
              <w:rPr>
                <w:rFonts w:eastAsia="標楷體"/>
              </w:rPr>
              <w:t>金額</w:t>
            </w:r>
          </w:p>
          <w:p w:rsidR="00973706" w:rsidRPr="00B118E9" w:rsidRDefault="00973706" w:rsidP="00BD6B4B">
            <w:pPr>
              <w:snapToGrid w:val="0"/>
              <w:spacing w:line="240" w:lineRule="atLeast"/>
              <w:jc w:val="center"/>
              <w:rPr>
                <w:rFonts w:eastAsia="標楷體"/>
              </w:rPr>
            </w:pPr>
            <w:r w:rsidRPr="00B118E9">
              <w:rPr>
                <w:rFonts w:eastAsia="標楷體"/>
              </w:rPr>
              <w:t>(</w:t>
            </w:r>
            <w:r w:rsidRPr="00B118E9">
              <w:rPr>
                <w:rFonts w:eastAsia="標楷體"/>
              </w:rPr>
              <w:t>億美元</w:t>
            </w:r>
            <w:r w:rsidRPr="00B118E9">
              <w:rPr>
                <w:rFonts w:eastAsia="標楷體"/>
              </w:rPr>
              <w:t>)</w:t>
            </w:r>
          </w:p>
        </w:tc>
        <w:tc>
          <w:tcPr>
            <w:tcW w:w="1218" w:type="dxa"/>
            <w:tcBorders>
              <w:top w:val="nil"/>
              <w:left w:val="nil"/>
              <w:bottom w:val="single" w:sz="4" w:space="0" w:color="auto"/>
              <w:right w:val="nil"/>
            </w:tcBorders>
            <w:vAlign w:val="center"/>
          </w:tcPr>
          <w:p w:rsidR="00973706" w:rsidRPr="00B118E9" w:rsidRDefault="00973706" w:rsidP="00BD6B4B">
            <w:pPr>
              <w:snapToGrid w:val="0"/>
              <w:spacing w:line="440" w:lineRule="exact"/>
              <w:ind w:rightChars="50" w:right="120"/>
              <w:jc w:val="right"/>
              <w:rPr>
                <w:rFonts w:eastAsia="標楷體"/>
                <w:u w:val="single"/>
              </w:rPr>
            </w:pPr>
            <w:r w:rsidRPr="00B118E9">
              <w:rPr>
                <w:rFonts w:eastAsia="標楷體"/>
              </w:rPr>
              <w:t>28,473</w:t>
            </w:r>
          </w:p>
        </w:tc>
        <w:tc>
          <w:tcPr>
            <w:tcW w:w="1218" w:type="dxa"/>
            <w:tcBorders>
              <w:top w:val="nil"/>
              <w:left w:val="nil"/>
              <w:bottom w:val="single" w:sz="4" w:space="0" w:color="auto"/>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31,811</w:t>
            </w:r>
          </w:p>
        </w:tc>
        <w:tc>
          <w:tcPr>
            <w:tcW w:w="1218" w:type="dxa"/>
            <w:tcBorders>
              <w:top w:val="nil"/>
              <w:left w:val="nil"/>
              <w:bottom w:val="single" w:sz="4" w:space="0" w:color="auto"/>
              <w:right w:val="nil"/>
            </w:tcBorders>
            <w:vAlign w:val="center"/>
          </w:tcPr>
          <w:p w:rsidR="00973706" w:rsidRPr="00B118E9" w:rsidRDefault="00973706" w:rsidP="00BD6B4B">
            <w:pPr>
              <w:snapToGrid w:val="0"/>
              <w:spacing w:line="440" w:lineRule="exact"/>
              <w:ind w:rightChars="50" w:right="120"/>
              <w:jc w:val="right"/>
              <w:rPr>
                <w:rFonts w:eastAsia="標楷體"/>
                <w:highlight w:val="yellow"/>
              </w:rPr>
            </w:pPr>
            <w:r w:rsidRPr="00B118E9">
              <w:rPr>
                <w:rFonts w:eastAsia="標楷體"/>
              </w:rPr>
              <w:t>33,116</w:t>
            </w:r>
          </w:p>
        </w:tc>
        <w:tc>
          <w:tcPr>
            <w:tcW w:w="1218" w:type="dxa"/>
            <w:tcBorders>
              <w:top w:val="nil"/>
              <w:left w:val="nil"/>
              <w:bottom w:val="single" w:sz="4" w:space="0" w:color="auto"/>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38,213</w:t>
            </w:r>
          </w:p>
        </w:tc>
        <w:tc>
          <w:tcPr>
            <w:tcW w:w="1401" w:type="dxa"/>
            <w:tcBorders>
              <w:top w:val="nil"/>
              <w:left w:val="nil"/>
              <w:bottom w:val="single" w:sz="4" w:space="0" w:color="auto"/>
              <w:right w:val="nil"/>
            </w:tcBorders>
            <w:vAlign w:val="center"/>
          </w:tcPr>
          <w:p w:rsidR="00973706" w:rsidRPr="00B118E9" w:rsidRDefault="00973706" w:rsidP="00BD6B4B">
            <w:pPr>
              <w:snapToGrid w:val="0"/>
              <w:spacing w:line="440" w:lineRule="exact"/>
              <w:ind w:rightChars="50" w:right="120"/>
              <w:jc w:val="right"/>
              <w:rPr>
                <w:rFonts w:eastAsia="標楷體"/>
              </w:rPr>
            </w:pPr>
            <w:r w:rsidRPr="00B118E9">
              <w:rPr>
                <w:rFonts w:eastAsia="標楷體"/>
              </w:rPr>
              <w:t>38,430</w:t>
            </w:r>
          </w:p>
        </w:tc>
        <w:tc>
          <w:tcPr>
            <w:tcW w:w="1559" w:type="dxa"/>
            <w:tcBorders>
              <w:top w:val="nil"/>
              <w:left w:val="nil"/>
              <w:bottom w:val="single" w:sz="4" w:space="0" w:color="auto"/>
              <w:right w:val="nil"/>
            </w:tcBorders>
            <w:vAlign w:val="center"/>
          </w:tcPr>
          <w:p w:rsidR="00973706" w:rsidRPr="00B118E9" w:rsidRDefault="00973706" w:rsidP="00BD6B4B">
            <w:pPr>
              <w:snapToGrid w:val="0"/>
              <w:spacing w:before="240" w:line="200" w:lineRule="exact"/>
              <w:jc w:val="center"/>
              <w:rPr>
                <w:rFonts w:eastAsia="標楷體"/>
              </w:rPr>
            </w:pPr>
            <w:r w:rsidRPr="00B118E9">
              <w:rPr>
                <w:rFonts w:eastAsia="標楷體"/>
              </w:rPr>
              <w:t>37,300</w:t>
            </w:r>
            <w:r w:rsidRPr="00B118E9">
              <w:rPr>
                <w:rFonts w:eastAsia="標楷體"/>
              </w:rPr>
              <w:br/>
            </w:r>
            <w:r w:rsidRPr="00B118E9">
              <w:rPr>
                <w:rFonts w:eastAsia="標楷體"/>
                <w:sz w:val="16"/>
              </w:rPr>
              <w:t>（</w:t>
            </w:r>
            <w:r w:rsidRPr="00B118E9">
              <w:rPr>
                <w:rFonts w:eastAsia="標楷體"/>
                <w:sz w:val="16"/>
              </w:rPr>
              <w:t>2015.03.31</w:t>
            </w:r>
            <w:r w:rsidRPr="00B118E9">
              <w:rPr>
                <w:rFonts w:eastAsia="標楷體"/>
                <w:sz w:val="16"/>
              </w:rPr>
              <w:t>）</w:t>
            </w:r>
          </w:p>
        </w:tc>
      </w:tr>
    </w:tbl>
    <w:p w:rsidR="003E39BB" w:rsidRPr="00B118E9" w:rsidRDefault="00973706" w:rsidP="00973706">
      <w:pPr>
        <w:widowControl/>
        <w:ind w:left="1133" w:rightChars="-316" w:right="-758" w:hangingChars="515" w:hanging="1133"/>
        <w:rPr>
          <w:rFonts w:eastAsia="標楷體"/>
          <w:b/>
          <w:bCs/>
          <w:sz w:val="40"/>
          <w:szCs w:val="36"/>
        </w:rPr>
      </w:pPr>
      <w:r w:rsidRPr="00B118E9">
        <w:rPr>
          <w:rFonts w:eastAsia="標楷體"/>
          <w:sz w:val="22"/>
          <w:szCs w:val="22"/>
        </w:rPr>
        <w:t>資料來源：中國大陸統計年鑑、中國大陸海關統計；中國大陸國家統計局、中國大陸人民銀行、中國大陸商務部。</w:t>
      </w:r>
      <w:r w:rsidR="003E39BB" w:rsidRPr="00B118E9">
        <w:rPr>
          <w:rFonts w:eastAsia="標楷體"/>
          <w:b/>
          <w:bCs/>
          <w:sz w:val="40"/>
          <w:szCs w:val="36"/>
        </w:rPr>
        <w:br w:type="page"/>
      </w:r>
    </w:p>
    <w:p w:rsidR="00DC4A37" w:rsidRPr="00B118E9" w:rsidRDefault="00DC4A37" w:rsidP="00DC4A37">
      <w:pPr>
        <w:pStyle w:val="2"/>
        <w:spacing w:after="360"/>
        <w:jc w:val="center"/>
        <w:rPr>
          <w:sz w:val="24"/>
        </w:rPr>
      </w:pPr>
      <w:bookmarkStart w:id="50" w:name="_Toc391906401"/>
      <w:bookmarkStart w:id="51" w:name="_Toc401923787"/>
      <w:bookmarkStart w:id="52" w:name="_Toc402171703"/>
      <w:bookmarkStart w:id="53" w:name="_Toc420680029"/>
      <w:r w:rsidRPr="00B118E9">
        <w:rPr>
          <w:sz w:val="32"/>
        </w:rPr>
        <w:t>表</w:t>
      </w:r>
      <w:r w:rsidRPr="00B118E9">
        <w:rPr>
          <w:sz w:val="32"/>
        </w:rPr>
        <w:t xml:space="preserve">5  </w:t>
      </w:r>
      <w:r w:rsidRPr="00B118E9">
        <w:rPr>
          <w:sz w:val="32"/>
        </w:rPr>
        <w:t>兩岸經貿統計</w:t>
      </w:r>
      <w:bookmarkEnd w:id="50"/>
      <w:bookmarkEnd w:id="51"/>
      <w:bookmarkEnd w:id="52"/>
      <w:bookmarkEnd w:id="53"/>
    </w:p>
    <w:tbl>
      <w:tblPr>
        <w:tblW w:w="10719" w:type="dxa"/>
        <w:tblInd w:w="-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16"/>
        <w:gridCol w:w="758"/>
        <w:gridCol w:w="884"/>
        <w:gridCol w:w="1081"/>
        <w:gridCol w:w="1081"/>
        <w:gridCol w:w="1081"/>
        <w:gridCol w:w="1081"/>
        <w:gridCol w:w="1034"/>
        <w:gridCol w:w="1034"/>
        <w:gridCol w:w="1034"/>
        <w:gridCol w:w="1035"/>
      </w:tblGrid>
      <w:tr w:rsidR="00973706" w:rsidRPr="00B118E9" w:rsidTr="00BD6B4B">
        <w:trPr>
          <w:cantSplit/>
          <w:trHeight w:val="629"/>
        </w:trPr>
        <w:tc>
          <w:tcPr>
            <w:tcW w:w="2258" w:type="dxa"/>
            <w:gridSpan w:val="3"/>
            <w:vMerge w:val="restart"/>
            <w:tcBorders>
              <w:left w:val="nil"/>
            </w:tcBorders>
            <w:shd w:val="clear" w:color="auto" w:fill="FFFFFF"/>
          </w:tcPr>
          <w:p w:rsidR="00973706" w:rsidRPr="00B118E9" w:rsidRDefault="00973706" w:rsidP="00BD6B4B">
            <w:pPr>
              <w:snapToGrid w:val="0"/>
              <w:spacing w:before="120" w:after="120" w:line="320" w:lineRule="exact"/>
              <w:jc w:val="center"/>
              <w:rPr>
                <w:rFonts w:eastAsia="標楷體"/>
                <w:sz w:val="28"/>
              </w:rPr>
            </w:pPr>
          </w:p>
        </w:tc>
        <w:tc>
          <w:tcPr>
            <w:tcW w:w="1081" w:type="dxa"/>
            <w:vMerge w:val="restart"/>
            <w:tcBorders>
              <w:right w:val="nil"/>
            </w:tcBorders>
            <w:shd w:val="clear" w:color="auto" w:fill="FFFFFF"/>
            <w:vAlign w:val="center"/>
          </w:tcPr>
          <w:p w:rsidR="00973706" w:rsidRPr="00B118E9" w:rsidRDefault="00973706" w:rsidP="00BD6B4B">
            <w:pPr>
              <w:snapToGrid w:val="0"/>
              <w:spacing w:before="120" w:after="120" w:line="280" w:lineRule="exact"/>
              <w:jc w:val="center"/>
              <w:rPr>
                <w:rFonts w:eastAsia="標楷體"/>
              </w:rPr>
            </w:pPr>
            <w:r w:rsidRPr="00B118E9">
              <w:rPr>
                <w:rFonts w:eastAsia="標楷體"/>
              </w:rPr>
              <w:t>2011</w:t>
            </w:r>
            <w:r w:rsidRPr="00B118E9">
              <w:rPr>
                <w:rFonts w:eastAsia="標楷體"/>
              </w:rPr>
              <w:t>年</w:t>
            </w:r>
          </w:p>
        </w:tc>
        <w:tc>
          <w:tcPr>
            <w:tcW w:w="1081" w:type="dxa"/>
            <w:vMerge w:val="restart"/>
            <w:tcBorders>
              <w:right w:val="nil"/>
            </w:tcBorders>
            <w:shd w:val="clear" w:color="auto" w:fill="FFFFFF"/>
            <w:vAlign w:val="center"/>
          </w:tcPr>
          <w:p w:rsidR="00973706" w:rsidRPr="00B118E9" w:rsidRDefault="00973706" w:rsidP="00BD6B4B">
            <w:pPr>
              <w:snapToGrid w:val="0"/>
              <w:spacing w:before="120" w:after="120" w:line="280" w:lineRule="exact"/>
              <w:jc w:val="center"/>
              <w:rPr>
                <w:rFonts w:eastAsia="標楷體"/>
              </w:rPr>
            </w:pPr>
            <w:r w:rsidRPr="00B118E9">
              <w:rPr>
                <w:rFonts w:eastAsia="標楷體"/>
              </w:rPr>
              <w:t>2012</w:t>
            </w:r>
            <w:r w:rsidRPr="00B118E9">
              <w:rPr>
                <w:rFonts w:eastAsia="標楷體"/>
              </w:rPr>
              <w:t>年</w:t>
            </w:r>
          </w:p>
        </w:tc>
        <w:tc>
          <w:tcPr>
            <w:tcW w:w="1081" w:type="dxa"/>
            <w:vMerge w:val="restart"/>
            <w:tcBorders>
              <w:right w:val="nil"/>
            </w:tcBorders>
            <w:shd w:val="clear" w:color="auto" w:fill="FFFFFF"/>
            <w:vAlign w:val="center"/>
          </w:tcPr>
          <w:p w:rsidR="00973706" w:rsidRPr="00B118E9" w:rsidRDefault="00973706" w:rsidP="00BD6B4B">
            <w:pPr>
              <w:snapToGrid w:val="0"/>
              <w:spacing w:before="120" w:after="120" w:line="280" w:lineRule="exact"/>
              <w:jc w:val="center"/>
              <w:rPr>
                <w:rFonts w:eastAsia="標楷體"/>
              </w:rPr>
            </w:pPr>
            <w:r w:rsidRPr="00B118E9">
              <w:rPr>
                <w:rFonts w:eastAsia="標楷體"/>
              </w:rPr>
              <w:t>2013</w:t>
            </w:r>
            <w:r w:rsidRPr="00B118E9">
              <w:rPr>
                <w:rFonts w:eastAsia="標楷體"/>
              </w:rPr>
              <w:t>年</w:t>
            </w:r>
          </w:p>
        </w:tc>
        <w:tc>
          <w:tcPr>
            <w:tcW w:w="1081" w:type="dxa"/>
            <w:vMerge w:val="restart"/>
            <w:tcBorders>
              <w:right w:val="nil"/>
            </w:tcBorders>
            <w:shd w:val="clear" w:color="auto" w:fill="FFFFFF"/>
            <w:vAlign w:val="center"/>
          </w:tcPr>
          <w:p w:rsidR="00973706" w:rsidRPr="00B118E9" w:rsidRDefault="00973706" w:rsidP="00BD6B4B">
            <w:pPr>
              <w:snapToGrid w:val="0"/>
              <w:spacing w:before="120" w:after="120" w:line="280" w:lineRule="exact"/>
              <w:jc w:val="center"/>
              <w:rPr>
                <w:rFonts w:eastAsia="標楷體"/>
              </w:rPr>
            </w:pPr>
            <w:r w:rsidRPr="00B118E9">
              <w:rPr>
                <w:rFonts w:eastAsia="標楷體"/>
              </w:rPr>
              <w:t>2014</w:t>
            </w:r>
            <w:r w:rsidRPr="00B118E9">
              <w:rPr>
                <w:rFonts w:eastAsia="標楷體"/>
              </w:rPr>
              <w:t>年</w:t>
            </w:r>
          </w:p>
        </w:tc>
        <w:tc>
          <w:tcPr>
            <w:tcW w:w="4137" w:type="dxa"/>
            <w:gridSpan w:val="4"/>
            <w:tcBorders>
              <w:right w:val="nil"/>
            </w:tcBorders>
            <w:shd w:val="clear" w:color="auto" w:fill="FFFFFF"/>
            <w:vAlign w:val="center"/>
          </w:tcPr>
          <w:p w:rsidR="00973706" w:rsidRPr="00B118E9" w:rsidRDefault="00973706" w:rsidP="00BD6B4B">
            <w:pPr>
              <w:snapToGrid w:val="0"/>
              <w:spacing w:before="120" w:after="120" w:line="280" w:lineRule="exact"/>
              <w:jc w:val="center"/>
              <w:rPr>
                <w:rFonts w:eastAsia="標楷體"/>
                <w:spacing w:val="-16"/>
                <w:sz w:val="26"/>
              </w:rPr>
            </w:pPr>
            <w:r w:rsidRPr="00B118E9">
              <w:rPr>
                <w:rFonts w:eastAsia="標楷體"/>
                <w:sz w:val="26"/>
              </w:rPr>
              <w:t>2015</w:t>
            </w:r>
            <w:r w:rsidRPr="00B118E9">
              <w:rPr>
                <w:rFonts w:eastAsia="標楷體"/>
                <w:spacing w:val="-16"/>
                <w:sz w:val="26"/>
              </w:rPr>
              <w:t>年</w:t>
            </w:r>
          </w:p>
        </w:tc>
      </w:tr>
      <w:tr w:rsidR="00973706" w:rsidRPr="00B118E9" w:rsidTr="00BD6B4B">
        <w:trPr>
          <w:cantSplit/>
          <w:trHeight w:val="493"/>
        </w:trPr>
        <w:tc>
          <w:tcPr>
            <w:tcW w:w="2258" w:type="dxa"/>
            <w:gridSpan w:val="3"/>
            <w:vMerge/>
            <w:tcBorders>
              <w:left w:val="nil"/>
              <w:bottom w:val="single" w:sz="4" w:space="0" w:color="auto"/>
            </w:tcBorders>
            <w:shd w:val="clear" w:color="auto" w:fill="FFFFFF"/>
          </w:tcPr>
          <w:p w:rsidR="00973706" w:rsidRPr="00B118E9" w:rsidRDefault="00973706" w:rsidP="00BD6B4B">
            <w:pPr>
              <w:snapToGrid w:val="0"/>
              <w:spacing w:before="120" w:after="120" w:line="320" w:lineRule="exact"/>
              <w:jc w:val="center"/>
              <w:rPr>
                <w:rFonts w:eastAsia="標楷體"/>
                <w:sz w:val="28"/>
              </w:rPr>
            </w:pPr>
          </w:p>
        </w:tc>
        <w:tc>
          <w:tcPr>
            <w:tcW w:w="1081" w:type="dxa"/>
            <w:vMerge/>
            <w:tcBorders>
              <w:bottom w:val="single" w:sz="4" w:space="0" w:color="auto"/>
            </w:tcBorders>
            <w:shd w:val="clear" w:color="auto" w:fill="FFFFFF"/>
          </w:tcPr>
          <w:p w:rsidR="00973706" w:rsidRPr="00B118E9" w:rsidRDefault="00973706" w:rsidP="00BD6B4B">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973706" w:rsidRPr="00B118E9" w:rsidRDefault="00973706" w:rsidP="00BD6B4B">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973706" w:rsidRPr="00B118E9" w:rsidRDefault="00973706" w:rsidP="00BD6B4B">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973706" w:rsidRPr="00B118E9" w:rsidRDefault="00973706" w:rsidP="00BD6B4B">
            <w:pPr>
              <w:snapToGrid w:val="0"/>
              <w:spacing w:before="120" w:after="120" w:line="280" w:lineRule="exact"/>
              <w:jc w:val="center"/>
              <w:rPr>
                <w:rFonts w:eastAsia="標楷體"/>
                <w:spacing w:val="-16"/>
                <w:sz w:val="26"/>
              </w:rPr>
            </w:pPr>
          </w:p>
        </w:tc>
        <w:tc>
          <w:tcPr>
            <w:tcW w:w="1034" w:type="dxa"/>
            <w:tcBorders>
              <w:bottom w:val="single" w:sz="4" w:space="0" w:color="auto"/>
            </w:tcBorders>
            <w:shd w:val="clear" w:color="auto" w:fill="FFFFFF"/>
          </w:tcPr>
          <w:p w:rsidR="00973706" w:rsidRPr="00B118E9" w:rsidRDefault="00973706" w:rsidP="00BD6B4B">
            <w:pPr>
              <w:snapToGrid w:val="0"/>
              <w:spacing w:before="120" w:after="120" w:line="280" w:lineRule="exact"/>
              <w:jc w:val="center"/>
              <w:rPr>
                <w:rFonts w:eastAsia="標楷體"/>
              </w:rPr>
            </w:pPr>
            <w:r w:rsidRPr="00B118E9">
              <w:rPr>
                <w:rFonts w:eastAsia="標楷體"/>
              </w:rPr>
              <w:t>2</w:t>
            </w:r>
            <w:r w:rsidRPr="00B118E9">
              <w:rPr>
                <w:rFonts w:eastAsia="標楷體"/>
              </w:rPr>
              <w:t>月</w:t>
            </w:r>
          </w:p>
        </w:tc>
        <w:tc>
          <w:tcPr>
            <w:tcW w:w="1034" w:type="dxa"/>
            <w:tcBorders>
              <w:bottom w:val="single" w:sz="4" w:space="0" w:color="auto"/>
            </w:tcBorders>
            <w:shd w:val="clear" w:color="auto" w:fill="FFFFFF"/>
          </w:tcPr>
          <w:p w:rsidR="00973706" w:rsidRPr="00B118E9" w:rsidRDefault="00973706" w:rsidP="00BD6B4B">
            <w:pPr>
              <w:snapToGrid w:val="0"/>
              <w:spacing w:before="120" w:after="120" w:line="280" w:lineRule="exact"/>
              <w:jc w:val="center"/>
              <w:rPr>
                <w:rFonts w:eastAsia="標楷體"/>
              </w:rPr>
            </w:pPr>
            <w:r w:rsidRPr="00B118E9">
              <w:rPr>
                <w:rFonts w:eastAsia="標楷體"/>
              </w:rPr>
              <w:t>3</w:t>
            </w:r>
            <w:r w:rsidRPr="00B118E9">
              <w:rPr>
                <w:rFonts w:eastAsia="標楷體"/>
              </w:rPr>
              <w:t>月</w:t>
            </w:r>
          </w:p>
        </w:tc>
        <w:tc>
          <w:tcPr>
            <w:tcW w:w="1034" w:type="dxa"/>
            <w:tcBorders>
              <w:bottom w:val="single" w:sz="4" w:space="0" w:color="auto"/>
            </w:tcBorders>
            <w:shd w:val="clear" w:color="auto" w:fill="FFFFFF"/>
          </w:tcPr>
          <w:p w:rsidR="00973706" w:rsidRPr="00B118E9" w:rsidRDefault="00973706" w:rsidP="00BD6B4B">
            <w:pPr>
              <w:snapToGrid w:val="0"/>
              <w:spacing w:before="120" w:after="120" w:line="280" w:lineRule="exact"/>
              <w:jc w:val="center"/>
              <w:rPr>
                <w:rFonts w:eastAsia="標楷體"/>
              </w:rPr>
            </w:pPr>
            <w:r w:rsidRPr="00B118E9">
              <w:rPr>
                <w:rFonts w:eastAsia="標楷體"/>
              </w:rPr>
              <w:t>4</w:t>
            </w:r>
            <w:r w:rsidRPr="00B118E9">
              <w:rPr>
                <w:rFonts w:eastAsia="標楷體"/>
              </w:rPr>
              <w:t>月</w:t>
            </w:r>
          </w:p>
        </w:tc>
        <w:tc>
          <w:tcPr>
            <w:tcW w:w="1035" w:type="dxa"/>
            <w:tcBorders>
              <w:bottom w:val="single" w:sz="4" w:space="0" w:color="auto"/>
              <w:right w:val="nil"/>
            </w:tcBorders>
            <w:shd w:val="clear" w:color="auto" w:fill="FFFFFF"/>
          </w:tcPr>
          <w:p w:rsidR="00973706" w:rsidRPr="00B118E9" w:rsidRDefault="00973706" w:rsidP="00BD6B4B">
            <w:pPr>
              <w:snapToGrid w:val="0"/>
              <w:spacing w:before="120" w:after="120" w:line="280" w:lineRule="exact"/>
              <w:jc w:val="center"/>
              <w:rPr>
                <w:rFonts w:eastAsia="標楷體"/>
              </w:rPr>
            </w:pPr>
            <w:r w:rsidRPr="00B118E9">
              <w:rPr>
                <w:rFonts w:eastAsia="標楷體"/>
              </w:rPr>
              <w:t>1~4</w:t>
            </w:r>
            <w:r w:rsidRPr="00B118E9">
              <w:rPr>
                <w:rFonts w:eastAsia="標楷體"/>
              </w:rPr>
              <w:t>月</w:t>
            </w:r>
          </w:p>
        </w:tc>
      </w:tr>
      <w:tr w:rsidR="00973706" w:rsidRPr="00B118E9" w:rsidTr="00BD6B4B">
        <w:trPr>
          <w:cantSplit/>
          <w:trHeight w:val="828"/>
        </w:trPr>
        <w:tc>
          <w:tcPr>
            <w:tcW w:w="616" w:type="dxa"/>
            <w:vMerge w:val="restart"/>
            <w:tcBorders>
              <w:left w:val="nil"/>
            </w:tcBorders>
          </w:tcPr>
          <w:p w:rsidR="00973706" w:rsidRPr="00B118E9" w:rsidRDefault="00973706" w:rsidP="00BD6B4B">
            <w:pPr>
              <w:snapToGrid w:val="0"/>
              <w:spacing w:before="240"/>
              <w:jc w:val="center"/>
              <w:rPr>
                <w:rFonts w:eastAsia="標楷體"/>
                <w:sz w:val="28"/>
              </w:rPr>
            </w:pPr>
          </w:p>
          <w:p w:rsidR="00973706" w:rsidRPr="00B118E9" w:rsidRDefault="00973706" w:rsidP="00BD6B4B">
            <w:pPr>
              <w:snapToGrid w:val="0"/>
              <w:spacing w:before="240"/>
              <w:jc w:val="center"/>
              <w:rPr>
                <w:rFonts w:eastAsia="標楷體"/>
                <w:sz w:val="28"/>
              </w:rPr>
            </w:pPr>
            <w:r w:rsidRPr="00B118E9">
              <w:rPr>
                <w:rFonts w:eastAsia="標楷體"/>
                <w:sz w:val="28"/>
              </w:rPr>
              <w:t>兩</w:t>
            </w:r>
          </w:p>
          <w:p w:rsidR="00973706" w:rsidRPr="00B118E9" w:rsidRDefault="00973706" w:rsidP="00BD6B4B">
            <w:pPr>
              <w:snapToGrid w:val="0"/>
              <w:spacing w:before="240"/>
              <w:jc w:val="center"/>
              <w:rPr>
                <w:rFonts w:eastAsia="標楷體"/>
                <w:sz w:val="28"/>
              </w:rPr>
            </w:pPr>
            <w:r w:rsidRPr="00B118E9">
              <w:rPr>
                <w:rFonts w:eastAsia="標楷體"/>
                <w:sz w:val="28"/>
              </w:rPr>
              <w:t>岸</w:t>
            </w:r>
          </w:p>
          <w:p w:rsidR="00973706" w:rsidRPr="00B118E9" w:rsidRDefault="00973706" w:rsidP="00BD6B4B">
            <w:pPr>
              <w:snapToGrid w:val="0"/>
              <w:spacing w:before="240"/>
              <w:jc w:val="center"/>
              <w:rPr>
                <w:rFonts w:eastAsia="標楷體"/>
                <w:sz w:val="28"/>
              </w:rPr>
            </w:pPr>
            <w:r w:rsidRPr="00B118E9">
              <w:rPr>
                <w:rFonts w:eastAsia="標楷體"/>
                <w:sz w:val="28"/>
              </w:rPr>
              <w:t>投</w:t>
            </w:r>
          </w:p>
          <w:p w:rsidR="00973706" w:rsidRPr="00B118E9" w:rsidRDefault="00973706" w:rsidP="00BD6B4B">
            <w:pPr>
              <w:snapToGrid w:val="0"/>
              <w:spacing w:before="240"/>
              <w:jc w:val="center"/>
              <w:rPr>
                <w:rFonts w:eastAsia="標楷體"/>
                <w:sz w:val="28"/>
              </w:rPr>
            </w:pPr>
            <w:r w:rsidRPr="00B118E9">
              <w:rPr>
                <w:rFonts w:eastAsia="標楷體"/>
                <w:sz w:val="28"/>
              </w:rPr>
              <w:t>資</w:t>
            </w:r>
          </w:p>
        </w:tc>
        <w:tc>
          <w:tcPr>
            <w:tcW w:w="758" w:type="dxa"/>
            <w:vMerge w:val="restart"/>
            <w:vAlign w:val="center"/>
          </w:tcPr>
          <w:p w:rsidR="00973706" w:rsidRPr="00B118E9" w:rsidRDefault="00973706" w:rsidP="00BD6B4B">
            <w:pPr>
              <w:snapToGrid w:val="0"/>
              <w:spacing w:before="120" w:after="120" w:line="320" w:lineRule="exact"/>
              <w:jc w:val="center"/>
              <w:rPr>
                <w:rFonts w:eastAsia="標楷體"/>
                <w:spacing w:val="-16"/>
                <w:sz w:val="26"/>
              </w:rPr>
            </w:pPr>
            <w:r w:rsidRPr="00B118E9">
              <w:rPr>
                <w:rFonts w:eastAsia="標楷體"/>
                <w:sz w:val="28"/>
              </w:rPr>
              <w:t>我對中國大陸投資</w:t>
            </w:r>
          </w:p>
        </w:tc>
        <w:tc>
          <w:tcPr>
            <w:tcW w:w="884" w:type="dxa"/>
          </w:tcPr>
          <w:p w:rsidR="00973706" w:rsidRPr="00B118E9" w:rsidRDefault="00973706" w:rsidP="00BD6B4B">
            <w:pPr>
              <w:snapToGrid w:val="0"/>
              <w:spacing w:before="120" w:after="120" w:line="320" w:lineRule="exact"/>
              <w:jc w:val="center"/>
              <w:rPr>
                <w:rFonts w:eastAsia="標楷體"/>
                <w:spacing w:val="-16"/>
                <w:sz w:val="26"/>
              </w:rPr>
            </w:pPr>
            <w:r w:rsidRPr="00B118E9">
              <w:rPr>
                <w:rFonts w:eastAsia="標楷體"/>
                <w:spacing w:val="-16"/>
                <w:sz w:val="26"/>
              </w:rPr>
              <w:t>件數</w:t>
            </w:r>
            <w:r w:rsidRPr="00B118E9">
              <w:rPr>
                <w:rFonts w:eastAsia="標楷體"/>
                <w:spacing w:val="-16"/>
                <w:sz w:val="26"/>
              </w:rPr>
              <w:br/>
            </w:r>
            <w:r w:rsidRPr="00B118E9">
              <w:rPr>
                <w:rFonts w:eastAsia="標楷體"/>
                <w:spacing w:val="-16"/>
              </w:rPr>
              <w:t>(</w:t>
            </w:r>
            <w:r w:rsidRPr="00B118E9">
              <w:rPr>
                <w:rFonts w:eastAsia="標楷體"/>
                <w:spacing w:val="-16"/>
              </w:rPr>
              <w:t>件</w:t>
            </w:r>
            <w:r w:rsidRPr="00B118E9">
              <w:rPr>
                <w:rFonts w:eastAsia="標楷體"/>
                <w:spacing w:val="-16"/>
              </w:rPr>
              <w:t>)</w:t>
            </w:r>
          </w:p>
        </w:tc>
        <w:tc>
          <w:tcPr>
            <w:tcW w:w="1081" w:type="dxa"/>
            <w:tcBorders>
              <w:top w:val="single" w:sz="4" w:space="0" w:color="auto"/>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887</w:t>
            </w:r>
          </w:p>
        </w:tc>
        <w:tc>
          <w:tcPr>
            <w:tcW w:w="1081" w:type="dxa"/>
            <w:tcBorders>
              <w:top w:val="single" w:sz="4" w:space="0" w:color="auto"/>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636</w:t>
            </w:r>
          </w:p>
        </w:tc>
        <w:tc>
          <w:tcPr>
            <w:tcW w:w="1081" w:type="dxa"/>
            <w:tcBorders>
              <w:top w:val="single" w:sz="4" w:space="0" w:color="auto"/>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554</w:t>
            </w:r>
          </w:p>
        </w:tc>
        <w:tc>
          <w:tcPr>
            <w:tcW w:w="1081" w:type="dxa"/>
            <w:tcBorders>
              <w:top w:val="single" w:sz="4" w:space="0" w:color="auto"/>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497</w:t>
            </w:r>
          </w:p>
        </w:tc>
        <w:tc>
          <w:tcPr>
            <w:tcW w:w="1034" w:type="dxa"/>
            <w:tcBorders>
              <w:top w:val="single" w:sz="4" w:space="0" w:color="auto"/>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22</w:t>
            </w:r>
          </w:p>
        </w:tc>
        <w:tc>
          <w:tcPr>
            <w:tcW w:w="1034" w:type="dxa"/>
            <w:tcBorders>
              <w:top w:val="single" w:sz="4" w:space="0" w:color="auto"/>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33</w:t>
            </w:r>
          </w:p>
        </w:tc>
        <w:tc>
          <w:tcPr>
            <w:tcW w:w="1034" w:type="dxa"/>
            <w:tcBorders>
              <w:top w:val="single" w:sz="4" w:space="0" w:color="auto"/>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42</w:t>
            </w:r>
          </w:p>
        </w:tc>
        <w:tc>
          <w:tcPr>
            <w:tcW w:w="1035" w:type="dxa"/>
            <w:tcBorders>
              <w:top w:val="single" w:sz="4" w:space="0" w:color="auto"/>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138</w:t>
            </w:r>
          </w:p>
        </w:tc>
      </w:tr>
      <w:tr w:rsidR="00973706" w:rsidRPr="00B118E9" w:rsidTr="00BD6B4B">
        <w:trPr>
          <w:cantSplit/>
          <w:trHeight w:val="786"/>
        </w:trPr>
        <w:tc>
          <w:tcPr>
            <w:tcW w:w="616" w:type="dxa"/>
            <w:vMerge/>
            <w:tcBorders>
              <w:left w:val="nil"/>
            </w:tcBorders>
          </w:tcPr>
          <w:p w:rsidR="00973706" w:rsidRPr="00B118E9" w:rsidRDefault="00973706" w:rsidP="00BD6B4B">
            <w:pPr>
              <w:snapToGrid w:val="0"/>
              <w:spacing w:before="120" w:after="120" w:line="320" w:lineRule="exact"/>
              <w:rPr>
                <w:rFonts w:eastAsia="標楷體"/>
                <w:b/>
                <w:sz w:val="28"/>
              </w:rPr>
            </w:pPr>
          </w:p>
        </w:tc>
        <w:tc>
          <w:tcPr>
            <w:tcW w:w="758" w:type="dxa"/>
            <w:vMerge/>
          </w:tcPr>
          <w:p w:rsidR="00973706" w:rsidRPr="00B118E9" w:rsidRDefault="00973706" w:rsidP="00BD6B4B">
            <w:pPr>
              <w:snapToGrid w:val="0"/>
              <w:spacing w:before="120" w:after="120" w:line="320" w:lineRule="exact"/>
              <w:jc w:val="center"/>
              <w:rPr>
                <w:rFonts w:eastAsia="標楷體"/>
                <w:spacing w:val="-16"/>
                <w:sz w:val="26"/>
              </w:rPr>
            </w:pPr>
          </w:p>
        </w:tc>
        <w:tc>
          <w:tcPr>
            <w:tcW w:w="884" w:type="dxa"/>
          </w:tcPr>
          <w:p w:rsidR="00973706" w:rsidRPr="00B118E9" w:rsidRDefault="00973706" w:rsidP="00BD6B4B">
            <w:pPr>
              <w:snapToGrid w:val="0"/>
              <w:spacing w:before="120" w:after="120" w:line="320" w:lineRule="exact"/>
              <w:jc w:val="center"/>
              <w:rPr>
                <w:rFonts w:eastAsia="標楷體"/>
                <w:spacing w:val="-16"/>
                <w:sz w:val="26"/>
              </w:rPr>
            </w:pPr>
            <w:r w:rsidRPr="00B118E9">
              <w:rPr>
                <w:rFonts w:eastAsia="標楷體"/>
                <w:sz w:val="28"/>
              </w:rPr>
              <w:t>金額</w:t>
            </w:r>
            <w:r w:rsidRPr="00B118E9">
              <w:rPr>
                <w:rFonts w:eastAsia="標楷體"/>
                <w:spacing w:val="-16"/>
                <w:sz w:val="26"/>
              </w:rPr>
              <w:br/>
            </w:r>
            <w:r w:rsidRPr="00B118E9">
              <w:rPr>
                <w:rFonts w:eastAsia="標楷體"/>
                <w:spacing w:val="-16"/>
              </w:rPr>
              <w:t>(</w:t>
            </w:r>
            <w:r w:rsidRPr="00B118E9">
              <w:rPr>
                <w:rFonts w:eastAsia="標楷體"/>
                <w:spacing w:val="-16"/>
              </w:rPr>
              <w:t>億美元</w:t>
            </w:r>
            <w:r w:rsidRPr="00B118E9">
              <w:rPr>
                <w:rFonts w:eastAsia="標楷體"/>
                <w:spacing w:val="-16"/>
              </w:rPr>
              <w:t>)</w:t>
            </w:r>
          </w:p>
        </w:tc>
        <w:tc>
          <w:tcPr>
            <w:tcW w:w="1081" w:type="dxa"/>
            <w:tcBorders>
              <w:top w:val="nil"/>
              <w:left w:val="nil"/>
              <w:bottom w:val="nil"/>
              <w:right w:val="nil"/>
            </w:tcBorders>
            <w:vAlign w:val="center"/>
          </w:tcPr>
          <w:p w:rsidR="00973706" w:rsidRPr="00B118E9" w:rsidRDefault="00973706" w:rsidP="00BD6B4B">
            <w:pPr>
              <w:snapToGrid w:val="0"/>
              <w:spacing w:before="60" w:line="400" w:lineRule="exact"/>
              <w:ind w:rightChars="-2" w:right="-5"/>
              <w:jc w:val="center"/>
              <w:rPr>
                <w:rFonts w:eastAsia="標楷體"/>
              </w:rPr>
            </w:pPr>
            <w:r w:rsidRPr="00B118E9">
              <w:rPr>
                <w:rFonts w:eastAsia="標楷體"/>
              </w:rPr>
              <w:t>143.8</w:t>
            </w:r>
          </w:p>
          <w:p w:rsidR="00973706" w:rsidRPr="00B118E9" w:rsidRDefault="00973706" w:rsidP="00BD6B4B">
            <w:pPr>
              <w:snapToGrid w:val="0"/>
              <w:spacing w:after="60" w:line="400" w:lineRule="exact"/>
              <w:jc w:val="center"/>
              <w:rPr>
                <w:rFonts w:eastAsia="標楷體"/>
              </w:rPr>
            </w:pPr>
            <w:r w:rsidRPr="00B118E9">
              <w:rPr>
                <w:rFonts w:eastAsia="標楷體"/>
                <w:sz w:val="16"/>
              </w:rPr>
              <w:t>（</w:t>
            </w:r>
            <w:r w:rsidRPr="00B118E9">
              <w:rPr>
                <w:rFonts w:eastAsia="標楷體"/>
                <w:sz w:val="16"/>
              </w:rPr>
              <w:t>7.0%</w:t>
            </w:r>
            <w:r w:rsidRPr="00B118E9">
              <w:rPr>
                <w:rFonts w:eastAsia="標楷體"/>
                <w:sz w:val="16"/>
              </w:rPr>
              <w:t>）</w:t>
            </w:r>
          </w:p>
        </w:tc>
        <w:tc>
          <w:tcPr>
            <w:tcW w:w="1081" w:type="dxa"/>
            <w:tcBorders>
              <w:top w:val="nil"/>
              <w:left w:val="nil"/>
              <w:bottom w:val="nil"/>
              <w:right w:val="nil"/>
            </w:tcBorders>
            <w:vAlign w:val="center"/>
          </w:tcPr>
          <w:p w:rsidR="00973706" w:rsidRPr="00B118E9" w:rsidRDefault="00973706" w:rsidP="00BD6B4B">
            <w:pPr>
              <w:snapToGrid w:val="0"/>
              <w:spacing w:before="60" w:line="400" w:lineRule="exact"/>
              <w:ind w:rightChars="-2" w:right="-5"/>
              <w:jc w:val="center"/>
              <w:rPr>
                <w:rFonts w:eastAsia="標楷體"/>
              </w:rPr>
            </w:pPr>
            <w:r w:rsidRPr="00B118E9">
              <w:rPr>
                <w:rFonts w:eastAsia="標楷體"/>
              </w:rPr>
              <w:t>127.9</w:t>
            </w:r>
          </w:p>
          <w:p w:rsidR="00973706" w:rsidRPr="00B118E9" w:rsidRDefault="00973706" w:rsidP="00BD6B4B">
            <w:pPr>
              <w:snapToGrid w:val="0"/>
              <w:spacing w:after="60" w:line="400" w:lineRule="exact"/>
              <w:jc w:val="center"/>
              <w:rPr>
                <w:rFonts w:eastAsia="標楷體"/>
              </w:rPr>
            </w:pPr>
            <w:r w:rsidRPr="00B118E9">
              <w:rPr>
                <w:rFonts w:eastAsia="標楷體"/>
                <w:sz w:val="16"/>
              </w:rPr>
              <w:t>（</w:t>
            </w:r>
            <w:r w:rsidRPr="00B118E9">
              <w:rPr>
                <w:rFonts w:eastAsia="標楷體"/>
                <w:sz w:val="16"/>
              </w:rPr>
              <w:t>-17.0%</w:t>
            </w:r>
            <w:r w:rsidRPr="00B118E9">
              <w:rPr>
                <w:rFonts w:eastAsia="標楷體"/>
                <w:sz w:val="16"/>
              </w:rPr>
              <w:t>）</w:t>
            </w:r>
          </w:p>
        </w:tc>
        <w:tc>
          <w:tcPr>
            <w:tcW w:w="1081" w:type="dxa"/>
            <w:tcBorders>
              <w:top w:val="nil"/>
              <w:left w:val="nil"/>
              <w:bottom w:val="nil"/>
              <w:right w:val="nil"/>
            </w:tcBorders>
            <w:vAlign w:val="center"/>
          </w:tcPr>
          <w:p w:rsidR="00973706" w:rsidRPr="00B118E9" w:rsidRDefault="00973706" w:rsidP="00BD6B4B">
            <w:pPr>
              <w:snapToGrid w:val="0"/>
              <w:spacing w:before="60" w:line="400" w:lineRule="exact"/>
              <w:ind w:rightChars="-2" w:right="-5"/>
              <w:jc w:val="center"/>
              <w:rPr>
                <w:rFonts w:eastAsia="標楷體"/>
              </w:rPr>
            </w:pPr>
            <w:r w:rsidRPr="00B118E9">
              <w:rPr>
                <w:rFonts w:eastAsia="標楷體"/>
              </w:rPr>
              <w:t>91.9</w:t>
            </w:r>
          </w:p>
          <w:p w:rsidR="00973706" w:rsidRPr="00B118E9" w:rsidRDefault="00973706" w:rsidP="00BD6B4B">
            <w:pPr>
              <w:snapToGrid w:val="0"/>
              <w:spacing w:after="60" w:line="400" w:lineRule="exact"/>
              <w:jc w:val="center"/>
              <w:rPr>
                <w:rFonts w:eastAsia="標楷體"/>
              </w:rPr>
            </w:pPr>
            <w:r w:rsidRPr="00B118E9">
              <w:rPr>
                <w:rFonts w:eastAsia="標楷體"/>
                <w:sz w:val="16"/>
              </w:rPr>
              <w:t>（</w:t>
            </w:r>
            <w:r w:rsidRPr="00B118E9">
              <w:rPr>
                <w:rFonts w:eastAsia="標楷體"/>
                <w:sz w:val="16"/>
              </w:rPr>
              <w:t>-21.0%</w:t>
            </w:r>
            <w:r w:rsidRPr="00B118E9">
              <w:rPr>
                <w:rFonts w:eastAsia="標楷體"/>
                <w:sz w:val="16"/>
              </w:rPr>
              <w:t>）</w:t>
            </w:r>
          </w:p>
        </w:tc>
        <w:tc>
          <w:tcPr>
            <w:tcW w:w="1081" w:type="dxa"/>
            <w:tcBorders>
              <w:top w:val="nil"/>
              <w:left w:val="nil"/>
              <w:bottom w:val="nil"/>
              <w:right w:val="nil"/>
            </w:tcBorders>
            <w:vAlign w:val="center"/>
          </w:tcPr>
          <w:p w:rsidR="00973706" w:rsidRPr="00B118E9" w:rsidRDefault="00973706" w:rsidP="00BD6B4B">
            <w:pPr>
              <w:snapToGrid w:val="0"/>
              <w:spacing w:before="60" w:line="400" w:lineRule="exact"/>
              <w:ind w:rightChars="-2" w:right="-5"/>
              <w:jc w:val="center"/>
              <w:rPr>
                <w:rFonts w:eastAsia="標楷體"/>
              </w:rPr>
            </w:pPr>
            <w:r w:rsidRPr="00B118E9">
              <w:rPr>
                <w:rFonts w:eastAsia="標楷體"/>
              </w:rPr>
              <w:t>102.8</w:t>
            </w:r>
          </w:p>
          <w:p w:rsidR="00973706" w:rsidRPr="00B118E9" w:rsidRDefault="00973706" w:rsidP="00BD6B4B">
            <w:pPr>
              <w:snapToGrid w:val="0"/>
              <w:spacing w:after="60" w:line="400" w:lineRule="exact"/>
              <w:jc w:val="center"/>
              <w:rPr>
                <w:rFonts w:eastAsia="標楷體"/>
              </w:rPr>
            </w:pPr>
            <w:r w:rsidRPr="00B118E9">
              <w:rPr>
                <w:rFonts w:eastAsia="標楷體"/>
                <w:sz w:val="16"/>
              </w:rPr>
              <w:t>（</w:t>
            </w:r>
            <w:r w:rsidRPr="00B118E9">
              <w:rPr>
                <w:rFonts w:eastAsia="標楷體"/>
                <w:sz w:val="16"/>
              </w:rPr>
              <w:t>11.8%</w:t>
            </w:r>
            <w:r w:rsidRPr="00B118E9">
              <w:rPr>
                <w:rFonts w:eastAsia="標楷體"/>
                <w:sz w:val="16"/>
              </w:rPr>
              <w:t>）</w:t>
            </w:r>
          </w:p>
        </w:tc>
        <w:tc>
          <w:tcPr>
            <w:tcW w:w="1034" w:type="dxa"/>
            <w:tcBorders>
              <w:top w:val="nil"/>
              <w:left w:val="nil"/>
              <w:bottom w:val="nil"/>
              <w:right w:val="nil"/>
            </w:tcBorders>
            <w:vAlign w:val="center"/>
          </w:tcPr>
          <w:p w:rsidR="00973706" w:rsidRPr="00B118E9" w:rsidRDefault="00973706" w:rsidP="00BD6B4B">
            <w:pPr>
              <w:snapToGrid w:val="0"/>
              <w:spacing w:before="60" w:line="400" w:lineRule="exact"/>
              <w:ind w:rightChars="-2" w:right="-5"/>
              <w:jc w:val="center"/>
              <w:rPr>
                <w:rFonts w:eastAsia="標楷體"/>
              </w:rPr>
            </w:pPr>
            <w:r w:rsidRPr="00B118E9">
              <w:rPr>
                <w:rFonts w:eastAsia="標楷體"/>
              </w:rPr>
              <w:t>9.0</w:t>
            </w:r>
          </w:p>
          <w:p w:rsidR="00973706" w:rsidRPr="00B118E9" w:rsidRDefault="00973706" w:rsidP="00BD6B4B">
            <w:pPr>
              <w:snapToGrid w:val="0"/>
              <w:spacing w:after="60" w:line="400" w:lineRule="exact"/>
              <w:jc w:val="center"/>
              <w:rPr>
                <w:rFonts w:eastAsia="標楷體"/>
              </w:rPr>
            </w:pPr>
            <w:r w:rsidRPr="00B118E9">
              <w:rPr>
                <w:rFonts w:eastAsia="標楷體"/>
                <w:sz w:val="16"/>
              </w:rPr>
              <w:t>（</w:t>
            </w:r>
            <w:r w:rsidRPr="00B118E9">
              <w:rPr>
                <w:rFonts w:eastAsia="標楷體"/>
                <w:sz w:val="16"/>
              </w:rPr>
              <w:t>42.1%</w:t>
            </w:r>
            <w:r w:rsidRPr="00B118E9">
              <w:rPr>
                <w:rFonts w:eastAsia="標楷體"/>
                <w:sz w:val="16"/>
              </w:rPr>
              <w:t>）</w:t>
            </w:r>
          </w:p>
        </w:tc>
        <w:tc>
          <w:tcPr>
            <w:tcW w:w="1034" w:type="dxa"/>
            <w:tcBorders>
              <w:top w:val="nil"/>
              <w:left w:val="nil"/>
              <w:bottom w:val="nil"/>
              <w:right w:val="nil"/>
            </w:tcBorders>
            <w:vAlign w:val="center"/>
          </w:tcPr>
          <w:p w:rsidR="00973706" w:rsidRPr="00B118E9" w:rsidRDefault="00973706" w:rsidP="00BD6B4B">
            <w:pPr>
              <w:snapToGrid w:val="0"/>
              <w:spacing w:before="60" w:line="400" w:lineRule="exact"/>
              <w:ind w:rightChars="-2" w:right="-5"/>
              <w:jc w:val="center"/>
              <w:rPr>
                <w:rFonts w:eastAsia="標楷體"/>
              </w:rPr>
            </w:pPr>
            <w:r w:rsidRPr="00B118E9">
              <w:rPr>
                <w:rFonts w:eastAsia="標楷體"/>
              </w:rPr>
              <w:t>8.0</w:t>
            </w:r>
          </w:p>
          <w:p w:rsidR="00973706" w:rsidRPr="00B118E9" w:rsidRDefault="00973706" w:rsidP="00BD6B4B">
            <w:pPr>
              <w:snapToGrid w:val="0"/>
              <w:spacing w:after="60" w:line="400" w:lineRule="exact"/>
              <w:jc w:val="center"/>
              <w:rPr>
                <w:rFonts w:eastAsia="標楷體"/>
              </w:rPr>
            </w:pPr>
            <w:r w:rsidRPr="00B118E9">
              <w:rPr>
                <w:rFonts w:eastAsia="標楷體"/>
                <w:sz w:val="16"/>
              </w:rPr>
              <w:t>（</w:t>
            </w:r>
            <w:r w:rsidRPr="00B118E9">
              <w:rPr>
                <w:rFonts w:eastAsia="標楷體"/>
                <w:sz w:val="16"/>
              </w:rPr>
              <w:t>35.1%</w:t>
            </w:r>
            <w:r w:rsidRPr="00B118E9">
              <w:rPr>
                <w:rFonts w:eastAsia="標楷體"/>
                <w:sz w:val="16"/>
              </w:rPr>
              <w:t>）</w:t>
            </w:r>
          </w:p>
        </w:tc>
        <w:tc>
          <w:tcPr>
            <w:tcW w:w="1034" w:type="dxa"/>
            <w:tcBorders>
              <w:top w:val="nil"/>
              <w:left w:val="nil"/>
              <w:bottom w:val="nil"/>
              <w:right w:val="nil"/>
            </w:tcBorders>
            <w:vAlign w:val="center"/>
          </w:tcPr>
          <w:p w:rsidR="00973706" w:rsidRPr="00B118E9" w:rsidRDefault="00973706" w:rsidP="00BD6B4B">
            <w:pPr>
              <w:snapToGrid w:val="0"/>
              <w:spacing w:before="60" w:line="400" w:lineRule="exact"/>
              <w:ind w:rightChars="-2" w:right="-5"/>
              <w:jc w:val="center"/>
              <w:rPr>
                <w:rFonts w:eastAsia="標楷體"/>
              </w:rPr>
            </w:pPr>
            <w:r w:rsidRPr="00B118E9">
              <w:rPr>
                <w:rFonts w:eastAsia="標楷體"/>
              </w:rPr>
              <w:t>8.9</w:t>
            </w:r>
          </w:p>
          <w:p w:rsidR="00973706" w:rsidRPr="00B118E9" w:rsidRDefault="00973706" w:rsidP="00BD6B4B">
            <w:pPr>
              <w:snapToGrid w:val="0"/>
              <w:spacing w:after="60" w:line="400" w:lineRule="exact"/>
              <w:jc w:val="center"/>
              <w:rPr>
                <w:rFonts w:eastAsia="標楷體"/>
              </w:rPr>
            </w:pPr>
            <w:r w:rsidRPr="00B118E9">
              <w:rPr>
                <w:rFonts w:eastAsia="標楷體"/>
                <w:sz w:val="16"/>
              </w:rPr>
              <w:t>（</w:t>
            </w:r>
            <w:r w:rsidRPr="00B118E9">
              <w:rPr>
                <w:rFonts w:eastAsia="標楷體"/>
                <w:sz w:val="16"/>
              </w:rPr>
              <w:t>38.6%</w:t>
            </w:r>
            <w:r w:rsidRPr="00B118E9">
              <w:rPr>
                <w:rFonts w:eastAsia="標楷體"/>
                <w:sz w:val="16"/>
              </w:rPr>
              <w:t>）</w:t>
            </w:r>
          </w:p>
        </w:tc>
        <w:tc>
          <w:tcPr>
            <w:tcW w:w="1035" w:type="dxa"/>
            <w:tcBorders>
              <w:top w:val="nil"/>
              <w:left w:val="nil"/>
              <w:bottom w:val="nil"/>
              <w:right w:val="nil"/>
            </w:tcBorders>
            <w:vAlign w:val="center"/>
          </w:tcPr>
          <w:p w:rsidR="00973706" w:rsidRPr="00B118E9" w:rsidRDefault="00973706" w:rsidP="00BD6B4B">
            <w:pPr>
              <w:snapToGrid w:val="0"/>
              <w:spacing w:before="60" w:line="400" w:lineRule="exact"/>
              <w:ind w:rightChars="-2" w:right="-5"/>
              <w:jc w:val="center"/>
              <w:rPr>
                <w:rFonts w:eastAsia="標楷體"/>
              </w:rPr>
            </w:pPr>
            <w:r w:rsidRPr="00B118E9">
              <w:rPr>
                <w:rFonts w:eastAsia="標楷體"/>
              </w:rPr>
              <w:t>33.5</w:t>
            </w:r>
          </w:p>
          <w:p w:rsidR="00973706" w:rsidRPr="00B118E9" w:rsidRDefault="00973706" w:rsidP="00BD6B4B">
            <w:pPr>
              <w:snapToGrid w:val="0"/>
              <w:spacing w:after="60" w:line="400" w:lineRule="exact"/>
              <w:jc w:val="center"/>
              <w:rPr>
                <w:rFonts w:eastAsia="標楷體"/>
              </w:rPr>
            </w:pPr>
            <w:r w:rsidRPr="00B118E9">
              <w:rPr>
                <w:rFonts w:eastAsia="標楷體"/>
                <w:sz w:val="16"/>
              </w:rPr>
              <w:t>（</w:t>
            </w:r>
            <w:r w:rsidRPr="00B118E9">
              <w:rPr>
                <w:rFonts w:eastAsia="標楷體"/>
                <w:sz w:val="16"/>
              </w:rPr>
              <w:t>-6.8%</w:t>
            </w:r>
            <w:r w:rsidRPr="00B118E9">
              <w:rPr>
                <w:rFonts w:eastAsia="標楷體"/>
                <w:sz w:val="16"/>
              </w:rPr>
              <w:t>）</w:t>
            </w:r>
          </w:p>
        </w:tc>
      </w:tr>
      <w:tr w:rsidR="00973706" w:rsidRPr="00B118E9" w:rsidTr="00BD6B4B">
        <w:trPr>
          <w:cantSplit/>
          <w:trHeight w:val="786"/>
        </w:trPr>
        <w:tc>
          <w:tcPr>
            <w:tcW w:w="616" w:type="dxa"/>
            <w:vMerge/>
            <w:tcBorders>
              <w:left w:val="nil"/>
            </w:tcBorders>
          </w:tcPr>
          <w:p w:rsidR="00973706" w:rsidRPr="00B118E9" w:rsidRDefault="00973706" w:rsidP="00BD6B4B">
            <w:pPr>
              <w:snapToGrid w:val="0"/>
              <w:spacing w:before="240"/>
              <w:jc w:val="center"/>
              <w:rPr>
                <w:rFonts w:eastAsia="標楷體"/>
                <w:sz w:val="28"/>
              </w:rPr>
            </w:pPr>
          </w:p>
        </w:tc>
        <w:tc>
          <w:tcPr>
            <w:tcW w:w="758" w:type="dxa"/>
            <w:vMerge w:val="restart"/>
            <w:vAlign w:val="center"/>
          </w:tcPr>
          <w:p w:rsidR="00973706" w:rsidRPr="00B118E9" w:rsidRDefault="00973706" w:rsidP="00BD6B4B">
            <w:pPr>
              <w:snapToGrid w:val="0"/>
              <w:spacing w:before="120" w:after="120" w:line="320" w:lineRule="exact"/>
              <w:jc w:val="center"/>
              <w:rPr>
                <w:rFonts w:eastAsia="標楷體"/>
                <w:spacing w:val="-16"/>
                <w:sz w:val="26"/>
              </w:rPr>
            </w:pPr>
            <w:r w:rsidRPr="00B118E9">
              <w:rPr>
                <w:rFonts w:eastAsia="標楷體"/>
                <w:sz w:val="28"/>
              </w:rPr>
              <w:t>陸資來臺投資</w:t>
            </w:r>
          </w:p>
        </w:tc>
        <w:tc>
          <w:tcPr>
            <w:tcW w:w="884" w:type="dxa"/>
          </w:tcPr>
          <w:p w:rsidR="00973706" w:rsidRPr="00B118E9" w:rsidRDefault="00973706" w:rsidP="00BD6B4B">
            <w:pPr>
              <w:snapToGrid w:val="0"/>
              <w:spacing w:before="120" w:after="120" w:line="320" w:lineRule="exact"/>
              <w:jc w:val="center"/>
              <w:rPr>
                <w:rFonts w:eastAsia="標楷體"/>
                <w:spacing w:val="-16"/>
                <w:sz w:val="26"/>
              </w:rPr>
            </w:pPr>
            <w:r w:rsidRPr="00B118E9">
              <w:rPr>
                <w:rFonts w:eastAsia="標楷體"/>
                <w:spacing w:val="-16"/>
                <w:sz w:val="26"/>
              </w:rPr>
              <w:t>件數</w:t>
            </w:r>
            <w:r w:rsidRPr="00B118E9">
              <w:rPr>
                <w:rFonts w:eastAsia="標楷體"/>
                <w:spacing w:val="-16"/>
                <w:sz w:val="26"/>
              </w:rPr>
              <w:br/>
            </w:r>
            <w:r w:rsidRPr="00B118E9">
              <w:rPr>
                <w:rFonts w:eastAsia="標楷體"/>
                <w:spacing w:val="-16"/>
              </w:rPr>
              <w:t>(</w:t>
            </w:r>
            <w:r w:rsidRPr="00B118E9">
              <w:rPr>
                <w:rFonts w:eastAsia="標楷體"/>
                <w:spacing w:val="-16"/>
              </w:rPr>
              <w:t>件</w:t>
            </w:r>
            <w:r w:rsidRPr="00B118E9">
              <w:rPr>
                <w:rFonts w:eastAsia="標楷體"/>
                <w:spacing w:val="-16"/>
              </w:rPr>
              <w:t>)</w:t>
            </w:r>
          </w:p>
        </w:tc>
        <w:tc>
          <w:tcPr>
            <w:tcW w:w="1081"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105</w:t>
            </w:r>
          </w:p>
        </w:tc>
        <w:tc>
          <w:tcPr>
            <w:tcW w:w="1081"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138</w:t>
            </w:r>
          </w:p>
        </w:tc>
        <w:tc>
          <w:tcPr>
            <w:tcW w:w="1081"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138</w:t>
            </w:r>
          </w:p>
        </w:tc>
        <w:tc>
          <w:tcPr>
            <w:tcW w:w="1081"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136</w:t>
            </w:r>
          </w:p>
        </w:tc>
        <w:tc>
          <w:tcPr>
            <w:tcW w:w="1034"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12</w:t>
            </w:r>
          </w:p>
        </w:tc>
        <w:tc>
          <w:tcPr>
            <w:tcW w:w="1034"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10</w:t>
            </w:r>
          </w:p>
        </w:tc>
        <w:tc>
          <w:tcPr>
            <w:tcW w:w="1034"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14</w:t>
            </w:r>
          </w:p>
        </w:tc>
        <w:tc>
          <w:tcPr>
            <w:tcW w:w="1035"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48</w:t>
            </w:r>
          </w:p>
        </w:tc>
      </w:tr>
      <w:tr w:rsidR="00973706" w:rsidRPr="00B118E9" w:rsidTr="00BD6B4B">
        <w:trPr>
          <w:cantSplit/>
          <w:trHeight w:val="786"/>
        </w:trPr>
        <w:tc>
          <w:tcPr>
            <w:tcW w:w="616" w:type="dxa"/>
            <w:vMerge/>
            <w:tcBorders>
              <w:left w:val="nil"/>
            </w:tcBorders>
          </w:tcPr>
          <w:p w:rsidR="00973706" w:rsidRPr="00B118E9" w:rsidRDefault="00973706" w:rsidP="00BD6B4B">
            <w:pPr>
              <w:snapToGrid w:val="0"/>
              <w:spacing w:before="120" w:after="120" w:line="320" w:lineRule="exact"/>
              <w:rPr>
                <w:rFonts w:eastAsia="標楷體"/>
                <w:b/>
                <w:sz w:val="28"/>
              </w:rPr>
            </w:pPr>
          </w:p>
        </w:tc>
        <w:tc>
          <w:tcPr>
            <w:tcW w:w="758" w:type="dxa"/>
            <w:vMerge/>
          </w:tcPr>
          <w:p w:rsidR="00973706" w:rsidRPr="00B118E9" w:rsidRDefault="00973706" w:rsidP="00BD6B4B">
            <w:pPr>
              <w:snapToGrid w:val="0"/>
              <w:spacing w:before="120" w:after="120" w:line="320" w:lineRule="exact"/>
              <w:jc w:val="center"/>
              <w:rPr>
                <w:rFonts w:eastAsia="標楷體"/>
                <w:spacing w:val="-16"/>
                <w:sz w:val="26"/>
              </w:rPr>
            </w:pPr>
          </w:p>
        </w:tc>
        <w:tc>
          <w:tcPr>
            <w:tcW w:w="884" w:type="dxa"/>
          </w:tcPr>
          <w:p w:rsidR="00973706" w:rsidRPr="00B118E9" w:rsidRDefault="00973706" w:rsidP="00BD6B4B">
            <w:pPr>
              <w:snapToGrid w:val="0"/>
              <w:spacing w:before="120" w:after="120" w:line="320" w:lineRule="exact"/>
              <w:jc w:val="center"/>
              <w:rPr>
                <w:rFonts w:eastAsia="標楷體"/>
                <w:spacing w:val="-16"/>
                <w:sz w:val="26"/>
              </w:rPr>
            </w:pPr>
            <w:r w:rsidRPr="00B118E9">
              <w:rPr>
                <w:rFonts w:eastAsia="標楷體"/>
                <w:sz w:val="28"/>
              </w:rPr>
              <w:t>金額</w:t>
            </w:r>
            <w:r w:rsidRPr="00B118E9">
              <w:rPr>
                <w:rFonts w:eastAsia="標楷體"/>
                <w:spacing w:val="-16"/>
                <w:sz w:val="26"/>
              </w:rPr>
              <w:br/>
            </w:r>
            <w:r w:rsidRPr="00B118E9">
              <w:rPr>
                <w:rFonts w:eastAsia="標楷體"/>
                <w:spacing w:val="-16"/>
              </w:rPr>
              <w:t>(</w:t>
            </w:r>
            <w:r w:rsidRPr="00B118E9">
              <w:rPr>
                <w:rFonts w:eastAsia="標楷體"/>
                <w:spacing w:val="-16"/>
              </w:rPr>
              <w:t>萬美元</w:t>
            </w:r>
            <w:r w:rsidRPr="00B118E9">
              <w:rPr>
                <w:rFonts w:eastAsia="標楷體"/>
                <w:spacing w:val="-16"/>
              </w:rPr>
              <w:t>)</w:t>
            </w:r>
          </w:p>
        </w:tc>
        <w:tc>
          <w:tcPr>
            <w:tcW w:w="1081"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5,162.5</w:t>
            </w:r>
          </w:p>
        </w:tc>
        <w:tc>
          <w:tcPr>
            <w:tcW w:w="1081"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33,158.3</w:t>
            </w:r>
          </w:p>
        </w:tc>
        <w:tc>
          <w:tcPr>
            <w:tcW w:w="1081"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34,947.9</w:t>
            </w:r>
          </w:p>
        </w:tc>
        <w:tc>
          <w:tcPr>
            <w:tcW w:w="1081"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33,463.1</w:t>
            </w:r>
          </w:p>
        </w:tc>
        <w:tc>
          <w:tcPr>
            <w:tcW w:w="1034"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502.6</w:t>
            </w:r>
          </w:p>
        </w:tc>
        <w:tc>
          <w:tcPr>
            <w:tcW w:w="1034"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1,031.0</w:t>
            </w:r>
          </w:p>
        </w:tc>
        <w:tc>
          <w:tcPr>
            <w:tcW w:w="1034"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627.3</w:t>
            </w:r>
          </w:p>
        </w:tc>
        <w:tc>
          <w:tcPr>
            <w:tcW w:w="1035" w:type="dxa"/>
            <w:tcBorders>
              <w:top w:val="nil"/>
              <w:left w:val="nil"/>
              <w:bottom w:val="nil"/>
              <w:right w:val="nil"/>
            </w:tcBorders>
            <w:vAlign w:val="center"/>
          </w:tcPr>
          <w:p w:rsidR="00973706" w:rsidRPr="00B118E9" w:rsidRDefault="00973706" w:rsidP="00BD6B4B">
            <w:pPr>
              <w:snapToGrid w:val="0"/>
              <w:spacing w:before="60" w:after="60" w:line="400" w:lineRule="exact"/>
              <w:ind w:rightChars="-2" w:right="-5"/>
              <w:jc w:val="center"/>
              <w:rPr>
                <w:rFonts w:eastAsia="標楷體"/>
              </w:rPr>
            </w:pPr>
            <w:r w:rsidRPr="00B118E9">
              <w:rPr>
                <w:rFonts w:eastAsia="標楷體"/>
              </w:rPr>
              <w:t>2,625.5</w:t>
            </w:r>
          </w:p>
        </w:tc>
      </w:tr>
      <w:tr w:rsidR="00973706" w:rsidRPr="00B118E9" w:rsidTr="00BD6B4B">
        <w:trPr>
          <w:cantSplit/>
          <w:trHeight w:hRule="exact" w:val="760"/>
        </w:trPr>
        <w:tc>
          <w:tcPr>
            <w:tcW w:w="616" w:type="dxa"/>
            <w:vMerge w:val="restart"/>
            <w:tcBorders>
              <w:left w:val="nil"/>
            </w:tcBorders>
          </w:tcPr>
          <w:p w:rsidR="00973706" w:rsidRPr="00B118E9" w:rsidRDefault="00973706" w:rsidP="00BD6B4B">
            <w:pPr>
              <w:snapToGrid w:val="0"/>
              <w:spacing w:before="840"/>
              <w:jc w:val="center"/>
              <w:rPr>
                <w:rFonts w:eastAsia="標楷體"/>
                <w:sz w:val="28"/>
              </w:rPr>
            </w:pPr>
          </w:p>
          <w:p w:rsidR="00973706" w:rsidRPr="00B118E9" w:rsidRDefault="00973706" w:rsidP="00BD6B4B">
            <w:pPr>
              <w:snapToGrid w:val="0"/>
              <w:spacing w:before="360"/>
              <w:jc w:val="center"/>
              <w:rPr>
                <w:rFonts w:eastAsia="標楷體"/>
                <w:sz w:val="28"/>
              </w:rPr>
            </w:pPr>
            <w:r w:rsidRPr="00B118E9">
              <w:rPr>
                <w:rFonts w:eastAsia="標楷體"/>
                <w:sz w:val="28"/>
              </w:rPr>
              <w:t>兩</w:t>
            </w:r>
            <w:r w:rsidRPr="00B118E9">
              <w:rPr>
                <w:rFonts w:eastAsia="標楷體"/>
                <w:sz w:val="28"/>
              </w:rPr>
              <w:br/>
            </w:r>
            <w:r w:rsidRPr="00B118E9">
              <w:rPr>
                <w:rFonts w:eastAsia="標楷體"/>
                <w:sz w:val="28"/>
              </w:rPr>
              <w:br/>
            </w:r>
            <w:r w:rsidRPr="00B118E9">
              <w:rPr>
                <w:rFonts w:eastAsia="標楷體"/>
                <w:sz w:val="28"/>
              </w:rPr>
              <w:t>岸</w:t>
            </w:r>
            <w:r w:rsidRPr="00B118E9">
              <w:rPr>
                <w:rFonts w:eastAsia="標楷體"/>
                <w:sz w:val="28"/>
              </w:rPr>
              <w:br/>
            </w:r>
            <w:r w:rsidRPr="00B118E9">
              <w:rPr>
                <w:rFonts w:eastAsia="標楷體"/>
                <w:sz w:val="28"/>
              </w:rPr>
              <w:br/>
            </w:r>
            <w:r w:rsidRPr="00B118E9">
              <w:rPr>
                <w:rFonts w:eastAsia="標楷體"/>
                <w:sz w:val="28"/>
              </w:rPr>
              <w:t>貿</w:t>
            </w:r>
            <w:r w:rsidRPr="00B118E9">
              <w:rPr>
                <w:rFonts w:eastAsia="標楷體"/>
                <w:sz w:val="28"/>
              </w:rPr>
              <w:br/>
            </w:r>
            <w:r w:rsidRPr="00B118E9">
              <w:rPr>
                <w:rFonts w:eastAsia="標楷體"/>
                <w:sz w:val="28"/>
              </w:rPr>
              <w:br/>
            </w:r>
            <w:r w:rsidRPr="00B118E9">
              <w:rPr>
                <w:rFonts w:eastAsia="標楷體"/>
                <w:sz w:val="28"/>
              </w:rPr>
              <w:t>易</w:t>
            </w:r>
          </w:p>
        </w:tc>
        <w:tc>
          <w:tcPr>
            <w:tcW w:w="758" w:type="dxa"/>
            <w:vMerge w:val="restart"/>
          </w:tcPr>
          <w:p w:rsidR="00973706" w:rsidRPr="00B118E9" w:rsidRDefault="00973706" w:rsidP="00BD6B4B">
            <w:pPr>
              <w:snapToGrid w:val="0"/>
              <w:spacing w:line="280" w:lineRule="exact"/>
              <w:jc w:val="center"/>
              <w:rPr>
                <w:rFonts w:eastAsia="標楷體"/>
              </w:rPr>
            </w:pPr>
          </w:p>
          <w:p w:rsidR="00973706" w:rsidRPr="00B118E9" w:rsidRDefault="00973706" w:rsidP="00BD6B4B">
            <w:pPr>
              <w:snapToGrid w:val="0"/>
              <w:spacing w:line="280" w:lineRule="exact"/>
              <w:jc w:val="center"/>
              <w:rPr>
                <w:rFonts w:eastAsia="標楷體"/>
              </w:rPr>
            </w:pPr>
            <w:r w:rsidRPr="00B118E9">
              <w:rPr>
                <w:rFonts w:eastAsia="標楷體"/>
              </w:rPr>
              <w:t>我對中國大陸</w:t>
            </w:r>
            <w:r w:rsidRPr="00B118E9">
              <w:rPr>
                <w:rFonts w:eastAsia="標楷體"/>
              </w:rPr>
              <w:t>(</w:t>
            </w:r>
            <w:r w:rsidRPr="00B118E9">
              <w:rPr>
                <w:rFonts w:eastAsia="標楷體"/>
              </w:rPr>
              <w:t>含香港</w:t>
            </w:r>
            <w:r w:rsidRPr="00B118E9">
              <w:rPr>
                <w:rFonts w:eastAsia="標楷體"/>
              </w:rPr>
              <w:t>)</w:t>
            </w:r>
            <w:r w:rsidRPr="00B118E9">
              <w:rPr>
                <w:rFonts w:eastAsia="標楷體"/>
              </w:rPr>
              <w:t>出口</w:t>
            </w:r>
          </w:p>
        </w:tc>
        <w:tc>
          <w:tcPr>
            <w:tcW w:w="884" w:type="dxa"/>
          </w:tcPr>
          <w:p w:rsidR="00973706" w:rsidRPr="00B118E9" w:rsidRDefault="00973706" w:rsidP="00BD6B4B">
            <w:pPr>
              <w:snapToGrid w:val="0"/>
              <w:spacing w:before="120" w:after="120" w:line="280" w:lineRule="exact"/>
              <w:jc w:val="center"/>
              <w:rPr>
                <w:rFonts w:eastAsia="標楷體"/>
                <w:spacing w:val="-16"/>
                <w:sz w:val="26"/>
              </w:rPr>
            </w:pPr>
            <w:r w:rsidRPr="00B118E9">
              <w:rPr>
                <w:rFonts w:eastAsia="標楷體"/>
                <w:spacing w:val="-16"/>
                <w:sz w:val="26"/>
              </w:rPr>
              <w:t>金額</w:t>
            </w:r>
            <w:r w:rsidRPr="00B118E9">
              <w:rPr>
                <w:rFonts w:eastAsia="標楷體"/>
                <w:spacing w:val="-16"/>
                <w:sz w:val="26"/>
              </w:rPr>
              <w:br/>
            </w:r>
            <w:r w:rsidRPr="00B118E9">
              <w:rPr>
                <w:rFonts w:eastAsia="標楷體"/>
                <w:spacing w:val="-16"/>
              </w:rPr>
              <w:t>(</w:t>
            </w:r>
            <w:r w:rsidRPr="00B118E9">
              <w:rPr>
                <w:rFonts w:eastAsia="標楷體"/>
                <w:spacing w:val="-16"/>
              </w:rPr>
              <w:t>億美元</w:t>
            </w:r>
            <w:r w:rsidRPr="00B118E9">
              <w:rPr>
                <w:rFonts w:eastAsia="標楷體"/>
                <w:spacing w:val="-16"/>
              </w:rPr>
              <w:t>)</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jc w:val="center"/>
              <w:rPr>
                <w:rFonts w:eastAsia="標楷體"/>
              </w:rPr>
            </w:pPr>
            <w:r w:rsidRPr="00B118E9">
              <w:rPr>
                <w:rFonts w:eastAsia="標楷體"/>
              </w:rPr>
              <w:t>1,240.5</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jc w:val="center"/>
              <w:rPr>
                <w:rFonts w:eastAsia="標楷體"/>
              </w:rPr>
            </w:pPr>
            <w:r w:rsidRPr="00B118E9">
              <w:rPr>
                <w:rFonts w:eastAsia="標楷體"/>
              </w:rPr>
              <w:t>1,186.7</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jc w:val="center"/>
              <w:rPr>
                <w:rFonts w:eastAsia="標楷體"/>
              </w:rPr>
            </w:pPr>
            <w:r w:rsidRPr="00B118E9">
              <w:rPr>
                <w:rFonts w:eastAsia="標楷體"/>
              </w:rPr>
              <w:t>1,212.3</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jc w:val="center"/>
              <w:rPr>
                <w:rFonts w:eastAsia="標楷體"/>
              </w:rPr>
            </w:pPr>
            <w:r w:rsidRPr="00B118E9">
              <w:rPr>
                <w:rFonts w:eastAsia="標楷體"/>
              </w:rPr>
              <w:t>1,246.9</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jc w:val="center"/>
              <w:rPr>
                <w:rFonts w:eastAsia="標楷體"/>
              </w:rPr>
            </w:pPr>
            <w:r w:rsidRPr="00B118E9">
              <w:rPr>
                <w:rFonts w:eastAsia="標楷體"/>
              </w:rPr>
              <w:t>70.1</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jc w:val="center"/>
              <w:rPr>
                <w:rFonts w:eastAsia="標楷體"/>
              </w:rPr>
            </w:pPr>
            <w:r w:rsidRPr="00B118E9">
              <w:rPr>
                <w:rFonts w:eastAsia="標楷體"/>
              </w:rPr>
              <w:t>100.7</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jc w:val="center"/>
              <w:rPr>
                <w:rFonts w:eastAsia="標楷體"/>
              </w:rPr>
            </w:pPr>
            <w:r w:rsidRPr="00B118E9">
              <w:rPr>
                <w:rFonts w:eastAsia="標楷體"/>
              </w:rPr>
              <w:t>91.1</w:t>
            </w:r>
          </w:p>
        </w:tc>
        <w:tc>
          <w:tcPr>
            <w:tcW w:w="1035" w:type="dxa"/>
            <w:tcBorders>
              <w:top w:val="nil"/>
              <w:left w:val="nil"/>
              <w:bottom w:val="nil"/>
              <w:right w:val="nil"/>
            </w:tcBorders>
            <w:vAlign w:val="center"/>
          </w:tcPr>
          <w:p w:rsidR="00973706" w:rsidRPr="00B118E9" w:rsidRDefault="00973706" w:rsidP="00973706">
            <w:pPr>
              <w:spacing w:beforeLines="20" w:before="72" w:afterLines="20" w:after="72" w:line="400" w:lineRule="exact"/>
              <w:jc w:val="center"/>
              <w:rPr>
                <w:rFonts w:eastAsia="標楷體"/>
              </w:rPr>
            </w:pPr>
            <w:r w:rsidRPr="00B118E9">
              <w:rPr>
                <w:rFonts w:eastAsia="標楷體"/>
              </w:rPr>
              <w:t>365.3</w:t>
            </w:r>
          </w:p>
        </w:tc>
      </w:tr>
      <w:tr w:rsidR="00973706" w:rsidRPr="00B118E9" w:rsidTr="00BD6B4B">
        <w:trPr>
          <w:cantSplit/>
          <w:trHeight w:hRule="exact" w:val="760"/>
        </w:trPr>
        <w:tc>
          <w:tcPr>
            <w:tcW w:w="616" w:type="dxa"/>
            <w:vMerge/>
            <w:tcBorders>
              <w:left w:val="nil"/>
            </w:tcBorders>
          </w:tcPr>
          <w:p w:rsidR="00973706" w:rsidRPr="00B118E9" w:rsidRDefault="00973706" w:rsidP="00BD6B4B">
            <w:pPr>
              <w:snapToGrid w:val="0"/>
              <w:spacing w:before="120" w:after="120" w:line="320" w:lineRule="exact"/>
              <w:rPr>
                <w:rFonts w:eastAsia="標楷體"/>
                <w:sz w:val="28"/>
              </w:rPr>
            </w:pPr>
          </w:p>
        </w:tc>
        <w:tc>
          <w:tcPr>
            <w:tcW w:w="758" w:type="dxa"/>
            <w:vMerge/>
          </w:tcPr>
          <w:p w:rsidR="00973706" w:rsidRPr="00B118E9" w:rsidRDefault="00973706" w:rsidP="00BD6B4B">
            <w:pPr>
              <w:snapToGrid w:val="0"/>
              <w:spacing w:before="120" w:after="120" w:line="320" w:lineRule="exact"/>
              <w:jc w:val="center"/>
              <w:rPr>
                <w:rFonts w:eastAsia="標楷體"/>
              </w:rPr>
            </w:pPr>
          </w:p>
        </w:tc>
        <w:tc>
          <w:tcPr>
            <w:tcW w:w="884" w:type="dxa"/>
          </w:tcPr>
          <w:p w:rsidR="00973706" w:rsidRPr="00B118E9" w:rsidRDefault="00973706" w:rsidP="00BD6B4B">
            <w:pPr>
              <w:snapToGrid w:val="0"/>
              <w:spacing w:before="120" w:after="120" w:line="280" w:lineRule="exact"/>
              <w:jc w:val="center"/>
              <w:rPr>
                <w:rFonts w:eastAsia="標楷體"/>
                <w:spacing w:val="-16"/>
                <w:sz w:val="26"/>
              </w:rPr>
            </w:pPr>
            <w:r w:rsidRPr="00B118E9">
              <w:rPr>
                <w:rFonts w:eastAsia="標楷體"/>
                <w:spacing w:val="-16"/>
                <w:sz w:val="26"/>
              </w:rPr>
              <w:t>年增率</w:t>
            </w:r>
            <w:r w:rsidRPr="00B118E9">
              <w:rPr>
                <w:rFonts w:eastAsia="標楷體"/>
                <w:spacing w:val="-16"/>
                <w:sz w:val="26"/>
              </w:rPr>
              <w:br/>
            </w:r>
            <w:r w:rsidRPr="00B118E9">
              <w:rPr>
                <w:rFonts w:eastAsia="標楷體"/>
                <w:spacing w:val="-16"/>
              </w:rPr>
              <w:t>(%)</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8.1</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-4.3</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2.2</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2.9</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-17.3</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-8.0</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-12.2</w:t>
            </w:r>
          </w:p>
        </w:tc>
        <w:tc>
          <w:tcPr>
            <w:tcW w:w="1035"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-6.5</w:t>
            </w:r>
          </w:p>
        </w:tc>
      </w:tr>
      <w:tr w:rsidR="00973706" w:rsidRPr="00B118E9" w:rsidTr="00BD6B4B">
        <w:trPr>
          <w:cantSplit/>
          <w:trHeight w:hRule="exact" w:val="760"/>
        </w:trPr>
        <w:tc>
          <w:tcPr>
            <w:tcW w:w="616" w:type="dxa"/>
            <w:vMerge/>
            <w:tcBorders>
              <w:left w:val="nil"/>
            </w:tcBorders>
          </w:tcPr>
          <w:p w:rsidR="00973706" w:rsidRPr="00B118E9" w:rsidRDefault="00973706" w:rsidP="00BD6B4B">
            <w:pPr>
              <w:snapToGrid w:val="0"/>
              <w:spacing w:before="120" w:after="120" w:line="320" w:lineRule="exact"/>
              <w:rPr>
                <w:rFonts w:eastAsia="標楷體"/>
                <w:sz w:val="28"/>
              </w:rPr>
            </w:pPr>
          </w:p>
        </w:tc>
        <w:tc>
          <w:tcPr>
            <w:tcW w:w="758" w:type="dxa"/>
            <w:vMerge/>
          </w:tcPr>
          <w:p w:rsidR="00973706" w:rsidRPr="00B118E9" w:rsidRDefault="00973706" w:rsidP="00BD6B4B">
            <w:pPr>
              <w:snapToGrid w:val="0"/>
              <w:spacing w:before="120" w:after="120" w:line="320" w:lineRule="exact"/>
              <w:jc w:val="center"/>
              <w:rPr>
                <w:rFonts w:eastAsia="標楷體"/>
              </w:rPr>
            </w:pPr>
          </w:p>
        </w:tc>
        <w:tc>
          <w:tcPr>
            <w:tcW w:w="884" w:type="dxa"/>
          </w:tcPr>
          <w:p w:rsidR="00973706" w:rsidRPr="00B118E9" w:rsidRDefault="00973706" w:rsidP="00BD6B4B">
            <w:pPr>
              <w:snapToGrid w:val="0"/>
              <w:spacing w:before="120" w:after="120" w:line="280" w:lineRule="exact"/>
              <w:jc w:val="center"/>
              <w:rPr>
                <w:rFonts w:eastAsia="標楷體"/>
                <w:spacing w:val="-16"/>
                <w:sz w:val="26"/>
              </w:rPr>
            </w:pPr>
            <w:r w:rsidRPr="00B118E9">
              <w:rPr>
                <w:rFonts w:eastAsia="標楷體"/>
                <w:spacing w:val="-16"/>
                <w:sz w:val="26"/>
              </w:rPr>
              <w:t>比重</w:t>
            </w:r>
            <w:r w:rsidRPr="00B118E9">
              <w:rPr>
                <w:rFonts w:eastAsia="標楷體"/>
                <w:spacing w:val="-16"/>
                <w:sz w:val="26"/>
              </w:rPr>
              <w:br/>
            </w:r>
            <w:r w:rsidRPr="00B118E9">
              <w:rPr>
                <w:rFonts w:eastAsia="標楷體"/>
                <w:spacing w:val="-16"/>
              </w:rPr>
              <w:t>(%)</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40.2</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39.4</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39.7</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39.7</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35.3</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39.8</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38.8</w:t>
            </w:r>
          </w:p>
        </w:tc>
        <w:tc>
          <w:tcPr>
            <w:tcW w:w="1035"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39.0</w:t>
            </w:r>
          </w:p>
        </w:tc>
      </w:tr>
      <w:tr w:rsidR="00973706" w:rsidRPr="00B118E9" w:rsidTr="00BD6B4B">
        <w:trPr>
          <w:cantSplit/>
          <w:trHeight w:hRule="exact" w:val="760"/>
        </w:trPr>
        <w:tc>
          <w:tcPr>
            <w:tcW w:w="616" w:type="dxa"/>
            <w:vMerge/>
            <w:tcBorders>
              <w:left w:val="nil"/>
            </w:tcBorders>
          </w:tcPr>
          <w:p w:rsidR="00973706" w:rsidRPr="00B118E9" w:rsidRDefault="00973706" w:rsidP="00BD6B4B">
            <w:pPr>
              <w:snapToGrid w:val="0"/>
              <w:spacing w:before="120" w:after="120" w:line="320" w:lineRule="exact"/>
              <w:rPr>
                <w:rFonts w:eastAsia="標楷體"/>
                <w:sz w:val="28"/>
              </w:rPr>
            </w:pPr>
          </w:p>
        </w:tc>
        <w:tc>
          <w:tcPr>
            <w:tcW w:w="758" w:type="dxa"/>
            <w:vMerge w:val="restart"/>
          </w:tcPr>
          <w:p w:rsidR="00973706" w:rsidRPr="00B118E9" w:rsidRDefault="00973706" w:rsidP="00BD6B4B">
            <w:pPr>
              <w:snapToGrid w:val="0"/>
              <w:spacing w:line="280" w:lineRule="exact"/>
              <w:jc w:val="center"/>
              <w:rPr>
                <w:rFonts w:eastAsia="標楷體"/>
              </w:rPr>
            </w:pPr>
          </w:p>
          <w:p w:rsidR="00973706" w:rsidRPr="00B118E9" w:rsidRDefault="00973706" w:rsidP="00BD6B4B">
            <w:pPr>
              <w:snapToGrid w:val="0"/>
              <w:spacing w:line="280" w:lineRule="exact"/>
              <w:jc w:val="center"/>
              <w:rPr>
                <w:rFonts w:eastAsia="標楷體"/>
              </w:rPr>
            </w:pPr>
            <w:r w:rsidRPr="00B118E9">
              <w:rPr>
                <w:rFonts w:eastAsia="標楷體"/>
              </w:rPr>
              <w:t>我自中國大陸</w:t>
            </w:r>
            <w:r w:rsidRPr="00B118E9">
              <w:rPr>
                <w:rFonts w:eastAsia="標楷體"/>
              </w:rPr>
              <w:t>(</w:t>
            </w:r>
            <w:r w:rsidRPr="00B118E9">
              <w:rPr>
                <w:rFonts w:eastAsia="標楷體"/>
              </w:rPr>
              <w:t>含香港</w:t>
            </w:r>
            <w:r w:rsidRPr="00B118E9">
              <w:rPr>
                <w:rFonts w:eastAsia="標楷體"/>
              </w:rPr>
              <w:t>)</w:t>
            </w:r>
            <w:r w:rsidRPr="00B118E9">
              <w:rPr>
                <w:rFonts w:eastAsia="標楷體"/>
              </w:rPr>
              <w:t>進口</w:t>
            </w:r>
          </w:p>
        </w:tc>
        <w:tc>
          <w:tcPr>
            <w:tcW w:w="884" w:type="dxa"/>
          </w:tcPr>
          <w:p w:rsidR="00973706" w:rsidRPr="00B118E9" w:rsidRDefault="00973706" w:rsidP="00BD6B4B">
            <w:pPr>
              <w:snapToGrid w:val="0"/>
              <w:spacing w:before="120" w:after="120" w:line="280" w:lineRule="exact"/>
              <w:jc w:val="center"/>
              <w:rPr>
                <w:rFonts w:eastAsia="標楷體"/>
                <w:spacing w:val="-16"/>
                <w:sz w:val="26"/>
              </w:rPr>
            </w:pPr>
            <w:r w:rsidRPr="00B118E9">
              <w:rPr>
                <w:rFonts w:eastAsia="標楷體"/>
                <w:spacing w:val="-16"/>
                <w:sz w:val="26"/>
              </w:rPr>
              <w:t>金額</w:t>
            </w:r>
            <w:r w:rsidRPr="00B118E9">
              <w:rPr>
                <w:rFonts w:eastAsia="標楷體"/>
                <w:spacing w:val="-16"/>
                <w:sz w:val="26"/>
              </w:rPr>
              <w:br/>
            </w:r>
            <w:r w:rsidRPr="00B118E9">
              <w:rPr>
                <w:rFonts w:eastAsia="標楷體"/>
                <w:spacing w:val="-16"/>
              </w:rPr>
              <w:t>(</w:t>
            </w:r>
            <w:r w:rsidRPr="00B118E9">
              <w:rPr>
                <w:rFonts w:eastAsia="標楷體"/>
                <w:spacing w:val="-16"/>
              </w:rPr>
              <w:t>億美元</w:t>
            </w:r>
            <w:r w:rsidRPr="00B118E9">
              <w:rPr>
                <w:rFonts w:eastAsia="標楷體"/>
                <w:spacing w:val="-16"/>
              </w:rPr>
              <w:t>)</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452.8</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435.7</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442.5</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497.3</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30.3</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37.6</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37.7</w:t>
            </w:r>
          </w:p>
        </w:tc>
        <w:tc>
          <w:tcPr>
            <w:tcW w:w="1035"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148.4</w:t>
            </w:r>
          </w:p>
        </w:tc>
      </w:tr>
      <w:tr w:rsidR="00973706" w:rsidRPr="00B118E9" w:rsidTr="00BD6B4B">
        <w:trPr>
          <w:cantSplit/>
          <w:trHeight w:hRule="exact" w:val="760"/>
        </w:trPr>
        <w:tc>
          <w:tcPr>
            <w:tcW w:w="616" w:type="dxa"/>
            <w:vMerge/>
            <w:tcBorders>
              <w:left w:val="nil"/>
            </w:tcBorders>
          </w:tcPr>
          <w:p w:rsidR="00973706" w:rsidRPr="00B118E9" w:rsidRDefault="00973706" w:rsidP="00BD6B4B">
            <w:pPr>
              <w:snapToGrid w:val="0"/>
              <w:spacing w:before="120" w:after="120" w:line="320" w:lineRule="exact"/>
              <w:rPr>
                <w:rFonts w:eastAsia="標楷體"/>
                <w:sz w:val="28"/>
              </w:rPr>
            </w:pPr>
          </w:p>
        </w:tc>
        <w:tc>
          <w:tcPr>
            <w:tcW w:w="758" w:type="dxa"/>
            <w:vMerge/>
          </w:tcPr>
          <w:p w:rsidR="00973706" w:rsidRPr="00B118E9" w:rsidRDefault="00973706" w:rsidP="00BD6B4B">
            <w:pPr>
              <w:snapToGrid w:val="0"/>
              <w:spacing w:before="120" w:after="120" w:line="320" w:lineRule="exact"/>
              <w:rPr>
                <w:rFonts w:eastAsia="標楷體"/>
                <w:sz w:val="28"/>
              </w:rPr>
            </w:pPr>
          </w:p>
        </w:tc>
        <w:tc>
          <w:tcPr>
            <w:tcW w:w="884" w:type="dxa"/>
          </w:tcPr>
          <w:p w:rsidR="00973706" w:rsidRPr="00B118E9" w:rsidRDefault="00973706" w:rsidP="00BD6B4B">
            <w:pPr>
              <w:snapToGrid w:val="0"/>
              <w:spacing w:before="120" w:after="120" w:line="280" w:lineRule="exact"/>
              <w:jc w:val="center"/>
              <w:rPr>
                <w:rFonts w:eastAsia="標楷體"/>
                <w:spacing w:val="-16"/>
                <w:sz w:val="26"/>
              </w:rPr>
            </w:pPr>
            <w:r w:rsidRPr="00B118E9">
              <w:rPr>
                <w:rFonts w:eastAsia="標楷體"/>
                <w:spacing w:val="-16"/>
                <w:sz w:val="26"/>
              </w:rPr>
              <w:t>年增率</w:t>
            </w:r>
            <w:r w:rsidRPr="00B118E9">
              <w:rPr>
                <w:rFonts w:eastAsia="標楷體"/>
                <w:spacing w:val="-16"/>
                <w:sz w:val="26"/>
              </w:rPr>
              <w:br/>
            </w:r>
            <w:r w:rsidRPr="00B118E9">
              <w:rPr>
                <w:rFonts w:eastAsia="標楷體"/>
                <w:spacing w:val="-16"/>
              </w:rPr>
              <w:t>(%)</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20.5</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-3.8</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1.6</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12.4</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13.5</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-13.6</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-10.3</w:t>
            </w:r>
          </w:p>
        </w:tc>
        <w:tc>
          <w:tcPr>
            <w:tcW w:w="1035"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-1.8</w:t>
            </w:r>
          </w:p>
        </w:tc>
      </w:tr>
      <w:tr w:rsidR="00973706" w:rsidRPr="00B118E9" w:rsidTr="00BD6B4B">
        <w:trPr>
          <w:cantSplit/>
          <w:trHeight w:hRule="exact" w:val="760"/>
        </w:trPr>
        <w:tc>
          <w:tcPr>
            <w:tcW w:w="616" w:type="dxa"/>
            <w:vMerge/>
            <w:tcBorders>
              <w:left w:val="nil"/>
            </w:tcBorders>
          </w:tcPr>
          <w:p w:rsidR="00973706" w:rsidRPr="00B118E9" w:rsidRDefault="00973706" w:rsidP="00BD6B4B">
            <w:pPr>
              <w:snapToGrid w:val="0"/>
              <w:spacing w:before="120" w:after="120" w:line="320" w:lineRule="exact"/>
              <w:rPr>
                <w:rFonts w:eastAsia="標楷體"/>
                <w:sz w:val="28"/>
              </w:rPr>
            </w:pPr>
          </w:p>
        </w:tc>
        <w:tc>
          <w:tcPr>
            <w:tcW w:w="758" w:type="dxa"/>
            <w:vMerge/>
          </w:tcPr>
          <w:p w:rsidR="00973706" w:rsidRPr="00B118E9" w:rsidRDefault="00973706" w:rsidP="00BD6B4B">
            <w:pPr>
              <w:snapToGrid w:val="0"/>
              <w:spacing w:before="120" w:after="120" w:line="320" w:lineRule="exact"/>
              <w:rPr>
                <w:rFonts w:eastAsia="標楷體"/>
                <w:sz w:val="28"/>
              </w:rPr>
            </w:pPr>
          </w:p>
        </w:tc>
        <w:tc>
          <w:tcPr>
            <w:tcW w:w="884" w:type="dxa"/>
          </w:tcPr>
          <w:p w:rsidR="00973706" w:rsidRPr="00B118E9" w:rsidRDefault="00973706" w:rsidP="00BD6B4B">
            <w:pPr>
              <w:snapToGrid w:val="0"/>
              <w:spacing w:before="120" w:after="120" w:line="280" w:lineRule="exact"/>
              <w:jc w:val="center"/>
              <w:rPr>
                <w:rFonts w:eastAsia="標楷體"/>
                <w:spacing w:val="-16"/>
                <w:sz w:val="26"/>
              </w:rPr>
            </w:pPr>
            <w:r w:rsidRPr="00B118E9">
              <w:rPr>
                <w:rFonts w:eastAsia="標楷體"/>
                <w:spacing w:val="-16"/>
                <w:sz w:val="26"/>
              </w:rPr>
              <w:t>比重</w:t>
            </w:r>
            <w:r w:rsidRPr="00B118E9">
              <w:rPr>
                <w:rFonts w:eastAsia="標楷體"/>
                <w:spacing w:val="-16"/>
                <w:sz w:val="26"/>
              </w:rPr>
              <w:br/>
            </w:r>
            <w:r w:rsidRPr="00B118E9">
              <w:rPr>
                <w:rFonts w:eastAsia="標楷體"/>
                <w:spacing w:val="-16"/>
              </w:rPr>
              <w:t>(%)</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16.1</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16.1</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16.4</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18.1</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19.8</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17.7</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20.1</w:t>
            </w:r>
          </w:p>
        </w:tc>
        <w:tc>
          <w:tcPr>
            <w:tcW w:w="1035"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19.6</w:t>
            </w:r>
          </w:p>
        </w:tc>
      </w:tr>
      <w:tr w:rsidR="00973706" w:rsidRPr="00B118E9" w:rsidTr="00BD6B4B">
        <w:trPr>
          <w:cantSplit/>
          <w:trHeight w:hRule="exact" w:val="760"/>
        </w:trPr>
        <w:tc>
          <w:tcPr>
            <w:tcW w:w="616" w:type="dxa"/>
            <w:vMerge/>
            <w:tcBorders>
              <w:left w:val="nil"/>
            </w:tcBorders>
          </w:tcPr>
          <w:p w:rsidR="00973706" w:rsidRPr="00B118E9" w:rsidRDefault="00973706" w:rsidP="00BD6B4B">
            <w:pPr>
              <w:snapToGrid w:val="0"/>
              <w:spacing w:before="120" w:after="120" w:line="320" w:lineRule="exact"/>
              <w:rPr>
                <w:rFonts w:eastAsia="標楷體"/>
                <w:sz w:val="28"/>
              </w:rPr>
            </w:pPr>
          </w:p>
        </w:tc>
        <w:tc>
          <w:tcPr>
            <w:tcW w:w="758" w:type="dxa"/>
            <w:vMerge w:val="restart"/>
            <w:vAlign w:val="center"/>
          </w:tcPr>
          <w:p w:rsidR="00973706" w:rsidRPr="00B118E9" w:rsidRDefault="00973706" w:rsidP="00BD6B4B">
            <w:pPr>
              <w:snapToGrid w:val="0"/>
              <w:spacing w:before="120" w:after="120" w:line="320" w:lineRule="exact"/>
              <w:jc w:val="center"/>
              <w:rPr>
                <w:rFonts w:eastAsia="標楷體"/>
              </w:rPr>
            </w:pPr>
            <w:r w:rsidRPr="00B118E9">
              <w:rPr>
                <w:rFonts w:eastAsia="標楷體"/>
              </w:rPr>
              <w:t>出</w:t>
            </w:r>
            <w:r w:rsidRPr="00B118E9">
              <w:rPr>
                <w:rFonts w:eastAsia="標楷體"/>
              </w:rPr>
              <w:t>(</w:t>
            </w:r>
            <w:r w:rsidRPr="00B118E9">
              <w:rPr>
                <w:rFonts w:eastAsia="標楷體"/>
              </w:rPr>
              <w:t>入</w:t>
            </w:r>
            <w:r w:rsidRPr="00B118E9">
              <w:rPr>
                <w:rFonts w:eastAsia="標楷體"/>
              </w:rPr>
              <w:t>)</w:t>
            </w:r>
            <w:r w:rsidRPr="00B118E9">
              <w:rPr>
                <w:rFonts w:eastAsia="標楷體"/>
              </w:rPr>
              <w:br/>
            </w:r>
            <w:r w:rsidRPr="00B118E9">
              <w:rPr>
                <w:rFonts w:eastAsia="標楷體"/>
              </w:rPr>
              <w:t>超</w:t>
            </w:r>
          </w:p>
        </w:tc>
        <w:tc>
          <w:tcPr>
            <w:tcW w:w="884" w:type="dxa"/>
          </w:tcPr>
          <w:p w:rsidR="00973706" w:rsidRPr="00B118E9" w:rsidRDefault="00973706" w:rsidP="00BD6B4B">
            <w:pPr>
              <w:snapToGrid w:val="0"/>
              <w:spacing w:before="120" w:after="120" w:line="280" w:lineRule="exact"/>
              <w:jc w:val="center"/>
              <w:rPr>
                <w:rFonts w:eastAsia="標楷體"/>
                <w:spacing w:val="-16"/>
                <w:sz w:val="26"/>
              </w:rPr>
            </w:pPr>
            <w:r w:rsidRPr="00B118E9">
              <w:rPr>
                <w:rFonts w:eastAsia="標楷體"/>
                <w:spacing w:val="-16"/>
                <w:sz w:val="26"/>
              </w:rPr>
              <w:t>總額</w:t>
            </w:r>
            <w:r w:rsidRPr="00B118E9">
              <w:rPr>
                <w:rFonts w:eastAsia="標楷體"/>
                <w:spacing w:val="-16"/>
                <w:sz w:val="26"/>
              </w:rPr>
              <w:br/>
            </w:r>
            <w:r w:rsidRPr="00B118E9">
              <w:rPr>
                <w:rFonts w:eastAsia="標楷體"/>
                <w:spacing w:val="-16"/>
              </w:rPr>
              <w:t>(</w:t>
            </w:r>
            <w:r w:rsidRPr="00B118E9">
              <w:rPr>
                <w:rFonts w:eastAsia="標楷體"/>
                <w:spacing w:val="-16"/>
              </w:rPr>
              <w:t>億美元</w:t>
            </w:r>
            <w:r w:rsidRPr="00B118E9">
              <w:rPr>
                <w:rFonts w:eastAsia="標楷體"/>
                <w:spacing w:val="-16"/>
              </w:rPr>
              <w:t>)</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787.0</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751.0</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769.8</w:t>
            </w:r>
          </w:p>
        </w:tc>
        <w:tc>
          <w:tcPr>
            <w:tcW w:w="1081"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749.6</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39.8</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63.1</w:t>
            </w:r>
          </w:p>
        </w:tc>
        <w:tc>
          <w:tcPr>
            <w:tcW w:w="1034"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53.4</w:t>
            </w:r>
          </w:p>
        </w:tc>
        <w:tc>
          <w:tcPr>
            <w:tcW w:w="1035" w:type="dxa"/>
            <w:tcBorders>
              <w:top w:val="nil"/>
              <w:left w:val="nil"/>
              <w:bottom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216.8</w:t>
            </w:r>
          </w:p>
        </w:tc>
      </w:tr>
      <w:tr w:rsidR="00973706" w:rsidRPr="00B118E9" w:rsidTr="00BD6B4B">
        <w:trPr>
          <w:cantSplit/>
          <w:trHeight w:hRule="exact" w:val="760"/>
        </w:trPr>
        <w:tc>
          <w:tcPr>
            <w:tcW w:w="616" w:type="dxa"/>
            <w:vMerge/>
            <w:tcBorders>
              <w:left w:val="nil"/>
            </w:tcBorders>
          </w:tcPr>
          <w:p w:rsidR="00973706" w:rsidRPr="00B118E9" w:rsidRDefault="00973706" w:rsidP="00BD6B4B">
            <w:pPr>
              <w:snapToGrid w:val="0"/>
              <w:spacing w:before="120" w:after="120" w:line="320" w:lineRule="exact"/>
              <w:rPr>
                <w:rFonts w:eastAsia="標楷體"/>
                <w:sz w:val="28"/>
              </w:rPr>
            </w:pPr>
          </w:p>
        </w:tc>
        <w:tc>
          <w:tcPr>
            <w:tcW w:w="758" w:type="dxa"/>
            <w:vMerge/>
          </w:tcPr>
          <w:p w:rsidR="00973706" w:rsidRPr="00B118E9" w:rsidRDefault="00973706" w:rsidP="00BD6B4B">
            <w:pPr>
              <w:snapToGrid w:val="0"/>
              <w:spacing w:before="120" w:after="120" w:line="320" w:lineRule="exact"/>
              <w:rPr>
                <w:rFonts w:eastAsia="標楷體"/>
                <w:sz w:val="28"/>
              </w:rPr>
            </w:pPr>
          </w:p>
        </w:tc>
        <w:tc>
          <w:tcPr>
            <w:tcW w:w="884" w:type="dxa"/>
          </w:tcPr>
          <w:p w:rsidR="00973706" w:rsidRPr="00B118E9" w:rsidRDefault="00973706" w:rsidP="00BD6B4B">
            <w:pPr>
              <w:snapToGrid w:val="0"/>
              <w:spacing w:before="120" w:after="120" w:line="280" w:lineRule="exact"/>
              <w:jc w:val="center"/>
              <w:rPr>
                <w:rFonts w:eastAsia="標楷體"/>
                <w:spacing w:val="-16"/>
                <w:sz w:val="26"/>
              </w:rPr>
            </w:pPr>
            <w:r w:rsidRPr="00B118E9">
              <w:rPr>
                <w:rFonts w:eastAsia="標楷體"/>
                <w:spacing w:val="-16"/>
                <w:sz w:val="26"/>
              </w:rPr>
              <w:t>年增率</w:t>
            </w:r>
            <w:r w:rsidRPr="00B118E9">
              <w:rPr>
                <w:rFonts w:eastAsia="標楷體"/>
                <w:spacing w:val="-16"/>
                <w:sz w:val="26"/>
              </w:rPr>
              <w:br/>
            </w:r>
            <w:r w:rsidRPr="00B118E9">
              <w:rPr>
                <w:rFonts w:eastAsia="標楷體"/>
                <w:spacing w:val="-16"/>
              </w:rPr>
              <w:t>(%)</w:t>
            </w:r>
          </w:p>
        </w:tc>
        <w:tc>
          <w:tcPr>
            <w:tcW w:w="1081" w:type="dxa"/>
            <w:tcBorders>
              <w:top w:val="nil"/>
              <w:left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2.1</w:t>
            </w:r>
          </w:p>
        </w:tc>
        <w:tc>
          <w:tcPr>
            <w:tcW w:w="1081" w:type="dxa"/>
            <w:tcBorders>
              <w:top w:val="nil"/>
              <w:left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-4.7</w:t>
            </w:r>
          </w:p>
        </w:tc>
        <w:tc>
          <w:tcPr>
            <w:tcW w:w="1081" w:type="dxa"/>
            <w:tcBorders>
              <w:top w:val="nil"/>
              <w:left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2.5</w:t>
            </w:r>
          </w:p>
        </w:tc>
        <w:tc>
          <w:tcPr>
            <w:tcW w:w="1081" w:type="dxa"/>
            <w:tcBorders>
              <w:top w:val="nil"/>
              <w:left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-2.6</w:t>
            </w:r>
          </w:p>
        </w:tc>
        <w:tc>
          <w:tcPr>
            <w:tcW w:w="1034" w:type="dxa"/>
            <w:tcBorders>
              <w:top w:val="nil"/>
              <w:left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-31.5</w:t>
            </w:r>
          </w:p>
        </w:tc>
        <w:tc>
          <w:tcPr>
            <w:tcW w:w="1034" w:type="dxa"/>
            <w:tcBorders>
              <w:top w:val="nil"/>
              <w:left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-4.4</w:t>
            </w:r>
          </w:p>
        </w:tc>
        <w:tc>
          <w:tcPr>
            <w:tcW w:w="1034" w:type="dxa"/>
            <w:tcBorders>
              <w:top w:val="nil"/>
              <w:left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-13.5</w:t>
            </w:r>
          </w:p>
        </w:tc>
        <w:tc>
          <w:tcPr>
            <w:tcW w:w="1035" w:type="dxa"/>
            <w:tcBorders>
              <w:top w:val="nil"/>
              <w:left w:val="nil"/>
              <w:right w:val="nil"/>
            </w:tcBorders>
            <w:vAlign w:val="center"/>
          </w:tcPr>
          <w:p w:rsidR="00973706" w:rsidRPr="00B118E9" w:rsidRDefault="00973706" w:rsidP="00973706">
            <w:pPr>
              <w:spacing w:beforeLines="20" w:before="72" w:afterLines="20" w:after="72" w:line="400" w:lineRule="exact"/>
              <w:ind w:rightChars="100" w:right="240"/>
              <w:jc w:val="right"/>
              <w:rPr>
                <w:rFonts w:eastAsia="標楷體"/>
              </w:rPr>
            </w:pPr>
            <w:r w:rsidRPr="00B118E9">
              <w:rPr>
                <w:rFonts w:eastAsia="標楷體"/>
              </w:rPr>
              <w:t>-9.4</w:t>
            </w:r>
          </w:p>
        </w:tc>
      </w:tr>
    </w:tbl>
    <w:p w:rsidR="00DC4A37" w:rsidRPr="00B118E9" w:rsidRDefault="00DC4A37" w:rsidP="00DC4A37">
      <w:pPr>
        <w:widowControl/>
        <w:autoSpaceDE w:val="0"/>
        <w:autoSpaceDN w:val="0"/>
        <w:adjustRightInd w:val="0"/>
        <w:snapToGrid w:val="0"/>
        <w:spacing w:line="300" w:lineRule="auto"/>
        <w:rPr>
          <w:rFonts w:eastAsia="標楷體"/>
          <w:sz w:val="22"/>
          <w:szCs w:val="22"/>
        </w:rPr>
      </w:pPr>
      <w:r w:rsidRPr="00B118E9">
        <w:rPr>
          <w:rFonts w:eastAsia="標楷體"/>
          <w:sz w:val="22"/>
          <w:szCs w:val="22"/>
        </w:rPr>
        <w:t>註：</w:t>
      </w:r>
      <w:r w:rsidRPr="00B118E9">
        <w:rPr>
          <w:rFonts w:eastAsia="標楷體"/>
          <w:sz w:val="22"/>
          <w:szCs w:val="22"/>
        </w:rPr>
        <w:t>1.</w:t>
      </w:r>
      <w:r w:rsidRPr="00B118E9">
        <w:rPr>
          <w:rFonts w:eastAsia="標楷體"/>
          <w:sz w:val="22"/>
          <w:szCs w:val="22"/>
        </w:rPr>
        <w:t>我對中國大陸投資件數及金額均含核准補辦案件。</w:t>
      </w:r>
    </w:p>
    <w:p w:rsidR="00DC4A37" w:rsidRPr="00B118E9" w:rsidRDefault="00DC4A37" w:rsidP="00DC4A37">
      <w:pPr>
        <w:widowControl/>
        <w:autoSpaceDE w:val="0"/>
        <w:autoSpaceDN w:val="0"/>
        <w:adjustRightInd w:val="0"/>
        <w:snapToGrid w:val="0"/>
        <w:spacing w:line="300" w:lineRule="auto"/>
        <w:rPr>
          <w:rFonts w:eastAsia="標楷體"/>
          <w:sz w:val="22"/>
          <w:szCs w:val="22"/>
        </w:rPr>
      </w:pPr>
      <w:r w:rsidRPr="00B118E9">
        <w:rPr>
          <w:rFonts w:eastAsia="標楷體"/>
          <w:sz w:val="22"/>
          <w:szCs w:val="22"/>
        </w:rPr>
        <w:t xml:space="preserve">    2.</w:t>
      </w:r>
      <w:r w:rsidRPr="00B118E9">
        <w:rPr>
          <w:rFonts w:eastAsia="標楷體"/>
          <w:sz w:val="22"/>
          <w:szCs w:val="22"/>
        </w:rPr>
        <w:t>我對中國大陸投資金額（）內數字為年增率。</w:t>
      </w:r>
    </w:p>
    <w:p w:rsidR="00DC4A37" w:rsidRPr="00B118E9" w:rsidRDefault="00DC4A37" w:rsidP="00DC4A37">
      <w:pPr>
        <w:widowControl/>
        <w:autoSpaceDE w:val="0"/>
        <w:autoSpaceDN w:val="0"/>
        <w:adjustRightInd w:val="0"/>
        <w:snapToGrid w:val="0"/>
        <w:spacing w:line="300" w:lineRule="auto"/>
        <w:rPr>
          <w:rFonts w:eastAsia="標楷體"/>
          <w:sz w:val="22"/>
          <w:szCs w:val="22"/>
        </w:rPr>
      </w:pPr>
      <w:r w:rsidRPr="00B118E9">
        <w:rPr>
          <w:rFonts w:eastAsia="標楷體"/>
          <w:sz w:val="22"/>
          <w:szCs w:val="22"/>
        </w:rPr>
        <w:t xml:space="preserve">　　</w:t>
      </w:r>
      <w:r w:rsidRPr="00B118E9">
        <w:rPr>
          <w:rFonts w:eastAsia="標楷體"/>
          <w:sz w:val="22"/>
          <w:szCs w:val="22"/>
        </w:rPr>
        <w:t>3. 2009</w:t>
      </w:r>
      <w:r w:rsidRPr="00B118E9">
        <w:rPr>
          <w:rFonts w:eastAsia="標楷體"/>
          <w:sz w:val="22"/>
          <w:szCs w:val="22"/>
        </w:rPr>
        <w:t>年</w:t>
      </w:r>
      <w:r w:rsidRPr="00B118E9">
        <w:rPr>
          <w:rFonts w:eastAsia="標楷體"/>
          <w:sz w:val="22"/>
          <w:szCs w:val="22"/>
        </w:rPr>
        <w:t>6</w:t>
      </w:r>
      <w:r w:rsidRPr="00B118E9">
        <w:rPr>
          <w:rFonts w:eastAsia="標楷體"/>
          <w:sz w:val="22"/>
          <w:szCs w:val="22"/>
        </w:rPr>
        <w:t>月</w:t>
      </w:r>
      <w:r w:rsidRPr="00B118E9">
        <w:rPr>
          <w:rFonts w:eastAsia="標楷體"/>
          <w:sz w:val="22"/>
          <w:szCs w:val="22"/>
        </w:rPr>
        <w:t>30</w:t>
      </w:r>
      <w:r w:rsidRPr="00B118E9">
        <w:rPr>
          <w:rFonts w:eastAsia="標楷體"/>
          <w:sz w:val="22"/>
          <w:szCs w:val="22"/>
        </w:rPr>
        <w:t>日起開放陸資來台投資。</w:t>
      </w:r>
    </w:p>
    <w:p w:rsidR="003E39BB" w:rsidRPr="00B118E9" w:rsidRDefault="00DC4A37" w:rsidP="00DC4A37">
      <w:pPr>
        <w:widowControl/>
        <w:rPr>
          <w:rFonts w:eastAsia="標楷體"/>
          <w:b/>
          <w:bCs/>
          <w:sz w:val="40"/>
          <w:szCs w:val="36"/>
        </w:rPr>
      </w:pPr>
      <w:r w:rsidRPr="00B118E9">
        <w:rPr>
          <w:rFonts w:eastAsia="標楷體"/>
          <w:sz w:val="22"/>
          <w:szCs w:val="22"/>
        </w:rPr>
        <w:t>資料來源：經濟部投審會「投資統計月報」、財政部進出口海關統計。</w:t>
      </w:r>
    </w:p>
    <w:p w:rsidR="000B03F6" w:rsidRPr="00B118E9" w:rsidRDefault="000B03F6" w:rsidP="00171436">
      <w:pPr>
        <w:keepNext/>
        <w:adjustRightInd w:val="0"/>
        <w:snapToGrid w:val="0"/>
        <w:spacing w:line="300" w:lineRule="auto"/>
        <w:outlineLvl w:val="1"/>
        <w:rPr>
          <w:rFonts w:eastAsia="標楷體"/>
        </w:rPr>
      </w:pPr>
      <w:bookmarkStart w:id="54" w:name="_Toc279048470"/>
      <w:bookmarkStart w:id="55" w:name="_Toc337122124"/>
      <w:bookmarkStart w:id="56" w:name="_Toc349916576"/>
      <w:bookmarkStart w:id="57" w:name="_Toc401923788"/>
      <w:bookmarkStart w:id="58" w:name="_Toc402171704"/>
      <w:bookmarkStart w:id="59" w:name="_Toc420680030"/>
      <w:r w:rsidRPr="00B118E9">
        <w:rPr>
          <w:rFonts w:eastAsia="標楷體"/>
          <w:b/>
          <w:bCs/>
          <w:sz w:val="40"/>
          <w:szCs w:val="36"/>
        </w:rPr>
        <w:t>參、經濟情勢分析</w:t>
      </w:r>
      <w:bookmarkEnd w:id="54"/>
      <w:bookmarkEnd w:id="55"/>
      <w:bookmarkEnd w:id="56"/>
      <w:bookmarkEnd w:id="57"/>
      <w:bookmarkEnd w:id="58"/>
      <w:bookmarkEnd w:id="59"/>
    </w:p>
    <w:p w:rsidR="000B03F6" w:rsidRPr="00B118E9" w:rsidRDefault="000B03F6" w:rsidP="009D1948">
      <w:pPr>
        <w:keepNext/>
        <w:adjustRightInd w:val="0"/>
        <w:snapToGrid w:val="0"/>
        <w:spacing w:line="300" w:lineRule="auto"/>
        <w:outlineLvl w:val="1"/>
        <w:rPr>
          <w:rFonts w:eastAsia="標楷體"/>
        </w:rPr>
      </w:pPr>
      <w:bookmarkStart w:id="60" w:name="_Toc230064830"/>
      <w:bookmarkStart w:id="61" w:name="_Toc279048471"/>
      <w:bookmarkStart w:id="62" w:name="_Toc337122125"/>
      <w:bookmarkStart w:id="63" w:name="_Toc349916577"/>
      <w:bookmarkStart w:id="64" w:name="_Toc401923789"/>
      <w:bookmarkStart w:id="65" w:name="_Toc402171705"/>
      <w:bookmarkStart w:id="66" w:name="_Toc420680031"/>
      <w:r w:rsidRPr="00B118E9">
        <w:rPr>
          <w:rFonts w:eastAsia="標楷體"/>
          <w:b/>
          <w:bCs/>
          <w:sz w:val="40"/>
          <w:szCs w:val="36"/>
        </w:rPr>
        <w:t>一、國際經濟</w:t>
      </w:r>
      <w:bookmarkEnd w:id="60"/>
      <w:bookmarkEnd w:id="61"/>
      <w:bookmarkEnd w:id="62"/>
      <w:bookmarkEnd w:id="63"/>
      <w:bookmarkEnd w:id="64"/>
      <w:bookmarkEnd w:id="65"/>
      <w:bookmarkEnd w:id="66"/>
    </w:p>
    <w:p w:rsidR="000B03F6" w:rsidRPr="00B118E9" w:rsidRDefault="000B03F6" w:rsidP="000B03F6">
      <w:pPr>
        <w:pStyle w:val="t-3"/>
        <w:spacing w:line="520" w:lineRule="exact"/>
        <w:ind w:right="-60"/>
      </w:pPr>
      <w:bookmarkStart w:id="67" w:name="_Toc337122126"/>
      <w:bookmarkStart w:id="68" w:name="_Toc349916578"/>
      <w:bookmarkStart w:id="69" w:name="_Toc401923790"/>
      <w:bookmarkStart w:id="70" w:name="_Toc402171706"/>
      <w:bookmarkStart w:id="71" w:name="_Toc420680032"/>
      <w:r w:rsidRPr="00B118E9">
        <w:t>（一）美國</w:t>
      </w:r>
      <w:bookmarkEnd w:id="67"/>
      <w:bookmarkEnd w:id="68"/>
      <w:bookmarkEnd w:id="69"/>
      <w:bookmarkEnd w:id="70"/>
      <w:bookmarkEnd w:id="71"/>
    </w:p>
    <w:p w:rsidR="00271CFC" w:rsidRPr="00B118E9" w:rsidRDefault="00271CFC" w:rsidP="00271CFC">
      <w:pPr>
        <w:snapToGrid w:val="0"/>
        <w:spacing w:beforeLines="50" w:before="180" w:line="300" w:lineRule="auto"/>
        <w:ind w:leftChars="150" w:left="360" w:firstLineChars="200" w:firstLine="536"/>
        <w:jc w:val="both"/>
        <w:rPr>
          <w:rFonts w:eastAsia="標楷體"/>
          <w:spacing w:val="-6"/>
          <w:kern w:val="0"/>
          <w:sz w:val="28"/>
          <w:szCs w:val="28"/>
        </w:rPr>
      </w:pPr>
      <w:r w:rsidRPr="00B118E9">
        <w:rPr>
          <w:rFonts w:eastAsia="標楷體"/>
          <w:spacing w:val="-6"/>
          <w:kern w:val="0"/>
          <w:sz w:val="28"/>
          <w:szCs w:val="28"/>
        </w:rPr>
        <w:t>美國商務部於今</w:t>
      </w:r>
      <w:r w:rsidRPr="00B118E9">
        <w:rPr>
          <w:rFonts w:eastAsia="標楷體"/>
          <w:spacing w:val="-6"/>
          <w:kern w:val="0"/>
          <w:sz w:val="28"/>
          <w:szCs w:val="28"/>
        </w:rPr>
        <w:t>(2015)</w:t>
      </w:r>
      <w:r w:rsidRPr="00B118E9">
        <w:rPr>
          <w:rFonts w:eastAsia="標楷體"/>
          <w:spacing w:val="-6"/>
          <w:kern w:val="0"/>
          <w:sz w:val="28"/>
          <w:szCs w:val="28"/>
        </w:rPr>
        <w:t>年</w:t>
      </w:r>
      <w:r w:rsidRPr="00B118E9">
        <w:rPr>
          <w:rFonts w:eastAsia="標楷體"/>
          <w:spacing w:val="-6"/>
          <w:kern w:val="0"/>
          <w:sz w:val="28"/>
          <w:szCs w:val="28"/>
        </w:rPr>
        <w:t>4</w:t>
      </w:r>
      <w:r w:rsidRPr="00B118E9">
        <w:rPr>
          <w:rFonts w:eastAsia="標楷體"/>
          <w:spacing w:val="-6"/>
          <w:kern w:val="0"/>
          <w:sz w:val="28"/>
          <w:szCs w:val="28"/>
        </w:rPr>
        <w:t>月</w:t>
      </w:r>
      <w:r w:rsidRPr="00B118E9">
        <w:rPr>
          <w:rFonts w:eastAsia="標楷體"/>
          <w:spacing w:val="-6"/>
          <w:kern w:val="0"/>
          <w:sz w:val="28"/>
          <w:szCs w:val="28"/>
        </w:rPr>
        <w:t>29</w:t>
      </w:r>
      <w:r w:rsidRPr="00B118E9">
        <w:rPr>
          <w:rFonts w:eastAsia="標楷體"/>
          <w:spacing w:val="-6"/>
          <w:kern w:val="0"/>
          <w:sz w:val="28"/>
          <w:szCs w:val="28"/>
        </w:rPr>
        <w:t>日公布第</w:t>
      </w:r>
      <w:r w:rsidRPr="00B118E9">
        <w:rPr>
          <w:rFonts w:eastAsia="標楷體"/>
          <w:spacing w:val="-6"/>
          <w:kern w:val="0"/>
          <w:sz w:val="28"/>
          <w:szCs w:val="28"/>
        </w:rPr>
        <w:t>1</w:t>
      </w:r>
      <w:r w:rsidRPr="00B118E9">
        <w:rPr>
          <w:rFonts w:eastAsia="標楷體"/>
          <w:spacing w:val="-6"/>
          <w:kern w:val="0"/>
          <w:sz w:val="28"/>
          <w:szCs w:val="28"/>
        </w:rPr>
        <w:t>季國內生產總值</w:t>
      </w:r>
      <w:r w:rsidRPr="00B118E9">
        <w:rPr>
          <w:rFonts w:eastAsia="標楷體"/>
          <w:spacing w:val="-6"/>
          <w:kern w:val="0"/>
          <w:sz w:val="28"/>
          <w:szCs w:val="28"/>
        </w:rPr>
        <w:t>(GDP)</w:t>
      </w:r>
      <w:r w:rsidRPr="00B118E9">
        <w:rPr>
          <w:rFonts w:eastAsia="標楷體"/>
          <w:spacing w:val="-6"/>
          <w:kern w:val="0"/>
          <w:sz w:val="28"/>
          <w:szCs w:val="28"/>
        </w:rPr>
        <w:t>初估值成長</w:t>
      </w:r>
      <w:r w:rsidRPr="00B118E9">
        <w:rPr>
          <w:rFonts w:eastAsia="標楷體"/>
          <w:spacing w:val="-6"/>
          <w:kern w:val="0"/>
          <w:sz w:val="28"/>
          <w:szCs w:val="28"/>
        </w:rPr>
        <w:t>0.2%(</w:t>
      </w:r>
      <w:r w:rsidRPr="00B118E9">
        <w:rPr>
          <w:rFonts w:eastAsia="標楷體"/>
          <w:spacing w:val="-6"/>
          <w:kern w:val="0"/>
          <w:sz w:val="28"/>
          <w:szCs w:val="28"/>
        </w:rPr>
        <w:t>季增年率</w:t>
      </w:r>
      <w:r w:rsidRPr="00B118E9">
        <w:rPr>
          <w:rFonts w:eastAsia="標楷體"/>
          <w:spacing w:val="-6"/>
          <w:kern w:val="0"/>
          <w:sz w:val="28"/>
          <w:szCs w:val="28"/>
        </w:rPr>
        <w:t>)</w:t>
      </w:r>
      <w:r w:rsidRPr="00B118E9">
        <w:rPr>
          <w:rFonts w:eastAsia="標楷體"/>
          <w:spacing w:val="-6"/>
          <w:kern w:val="0"/>
          <w:sz w:val="28"/>
          <w:szCs w:val="28"/>
        </w:rPr>
        <w:t>，較去年第</w:t>
      </w:r>
      <w:r w:rsidRPr="00B118E9">
        <w:rPr>
          <w:rFonts w:eastAsia="標楷體"/>
          <w:spacing w:val="-6"/>
          <w:kern w:val="0"/>
          <w:sz w:val="28"/>
          <w:szCs w:val="28"/>
        </w:rPr>
        <w:t>4</w:t>
      </w:r>
      <w:r w:rsidRPr="00B118E9">
        <w:rPr>
          <w:rFonts w:eastAsia="標楷體"/>
          <w:spacing w:val="-6"/>
          <w:kern w:val="0"/>
          <w:sz w:val="28"/>
          <w:szCs w:val="28"/>
        </w:rPr>
        <w:t>季</w:t>
      </w:r>
      <w:r w:rsidRPr="00B118E9">
        <w:rPr>
          <w:rFonts w:eastAsia="標楷體"/>
          <w:spacing w:val="-6"/>
          <w:kern w:val="0"/>
          <w:sz w:val="28"/>
          <w:szCs w:val="28"/>
        </w:rPr>
        <w:t>2.2%</w:t>
      </w:r>
      <w:r w:rsidRPr="00B118E9">
        <w:rPr>
          <w:rFonts w:eastAsia="標楷體"/>
          <w:spacing w:val="-6"/>
          <w:kern w:val="0"/>
          <w:sz w:val="28"/>
          <w:szCs w:val="28"/>
        </w:rPr>
        <w:t>減緩，其中個人消費支出受酷寒氣侯影響成長</w:t>
      </w:r>
      <w:r w:rsidRPr="00B118E9">
        <w:rPr>
          <w:rFonts w:eastAsia="標楷體"/>
          <w:spacing w:val="-6"/>
          <w:kern w:val="0"/>
          <w:sz w:val="28"/>
          <w:szCs w:val="28"/>
        </w:rPr>
        <w:t>1.9%</w:t>
      </w:r>
      <w:r w:rsidRPr="00B118E9">
        <w:rPr>
          <w:rFonts w:eastAsia="標楷體"/>
          <w:spacing w:val="-6"/>
          <w:kern w:val="0"/>
          <w:sz w:val="28"/>
          <w:szCs w:val="28"/>
        </w:rPr>
        <w:t>，遠低於去年第</w:t>
      </w:r>
      <w:r w:rsidRPr="00B118E9">
        <w:rPr>
          <w:rFonts w:eastAsia="標楷體"/>
          <w:spacing w:val="-6"/>
          <w:kern w:val="0"/>
          <w:sz w:val="28"/>
          <w:szCs w:val="28"/>
        </w:rPr>
        <w:t>4</w:t>
      </w:r>
      <w:r w:rsidRPr="00B118E9">
        <w:rPr>
          <w:rFonts w:eastAsia="標楷體"/>
          <w:spacing w:val="-6"/>
          <w:kern w:val="0"/>
          <w:sz w:val="28"/>
          <w:szCs w:val="28"/>
        </w:rPr>
        <w:t>季的</w:t>
      </w:r>
      <w:r w:rsidRPr="00B118E9">
        <w:rPr>
          <w:rFonts w:eastAsia="標楷體"/>
          <w:spacing w:val="-6"/>
          <w:kern w:val="0"/>
          <w:sz w:val="28"/>
          <w:szCs w:val="28"/>
        </w:rPr>
        <w:t>4.4%</w:t>
      </w:r>
      <w:r w:rsidRPr="00B118E9">
        <w:rPr>
          <w:rFonts w:eastAsia="標楷體"/>
          <w:spacing w:val="-6"/>
          <w:kern w:val="0"/>
          <w:sz w:val="28"/>
          <w:szCs w:val="28"/>
        </w:rPr>
        <w:t>；固定投資衰退</w:t>
      </w:r>
      <w:r w:rsidRPr="00B118E9">
        <w:rPr>
          <w:rFonts w:eastAsia="標楷體"/>
          <w:spacing w:val="-6"/>
          <w:kern w:val="0"/>
          <w:sz w:val="28"/>
          <w:szCs w:val="28"/>
        </w:rPr>
        <w:t>2.5%</w:t>
      </w:r>
      <w:r w:rsidRPr="00B118E9">
        <w:rPr>
          <w:rFonts w:eastAsia="標楷體"/>
          <w:spacing w:val="-6"/>
          <w:kern w:val="0"/>
          <w:sz w:val="28"/>
          <w:szCs w:val="28"/>
        </w:rPr>
        <w:t>；美元強勢削弱出口，商品及服務淨輸出衰退</w:t>
      </w:r>
      <w:r w:rsidRPr="00B118E9">
        <w:rPr>
          <w:rFonts w:eastAsia="標楷體"/>
          <w:spacing w:val="-6"/>
          <w:kern w:val="0"/>
          <w:sz w:val="28"/>
          <w:szCs w:val="28"/>
        </w:rPr>
        <w:t>7.2%</w:t>
      </w:r>
      <w:r w:rsidRPr="00B118E9">
        <w:rPr>
          <w:rFonts w:eastAsia="標楷體"/>
          <w:spacing w:val="-6"/>
          <w:kern w:val="0"/>
          <w:sz w:val="28"/>
          <w:szCs w:val="28"/>
        </w:rPr>
        <w:t>，對</w:t>
      </w:r>
      <w:r w:rsidRPr="00B118E9">
        <w:rPr>
          <w:rFonts w:eastAsia="標楷體"/>
          <w:spacing w:val="-6"/>
          <w:kern w:val="0"/>
          <w:sz w:val="28"/>
          <w:szCs w:val="28"/>
        </w:rPr>
        <w:t>GDP</w:t>
      </w:r>
      <w:r w:rsidRPr="00B118E9">
        <w:rPr>
          <w:rFonts w:eastAsia="標楷體"/>
          <w:spacing w:val="-6"/>
          <w:kern w:val="0"/>
          <w:sz w:val="28"/>
          <w:szCs w:val="28"/>
        </w:rPr>
        <w:t>貢獻度減少</w:t>
      </w:r>
      <w:r w:rsidRPr="00B118E9">
        <w:rPr>
          <w:rFonts w:eastAsia="標楷體"/>
          <w:spacing w:val="-6"/>
          <w:kern w:val="0"/>
          <w:sz w:val="28"/>
          <w:szCs w:val="28"/>
        </w:rPr>
        <w:t>1.25</w:t>
      </w:r>
      <w:r w:rsidRPr="00B118E9">
        <w:rPr>
          <w:rFonts w:eastAsia="標楷體"/>
          <w:spacing w:val="-6"/>
          <w:kern w:val="0"/>
          <w:sz w:val="28"/>
          <w:szCs w:val="28"/>
        </w:rPr>
        <w:t>個百分點，為拖累經濟成長的主因。環球透視</w:t>
      </w:r>
      <w:r w:rsidRPr="00B118E9">
        <w:rPr>
          <w:rFonts w:eastAsia="標楷體"/>
          <w:spacing w:val="-6"/>
          <w:kern w:val="0"/>
          <w:sz w:val="28"/>
          <w:szCs w:val="28"/>
        </w:rPr>
        <w:t>(GI)</w:t>
      </w:r>
      <w:r w:rsidRPr="00B118E9">
        <w:rPr>
          <w:rFonts w:eastAsia="標楷體"/>
          <w:spacing w:val="-6"/>
          <w:kern w:val="0"/>
          <w:sz w:val="28"/>
          <w:szCs w:val="28"/>
        </w:rPr>
        <w:t>最新預估美國今年</w:t>
      </w:r>
      <w:r w:rsidRPr="00B118E9">
        <w:rPr>
          <w:rFonts w:eastAsia="標楷體"/>
          <w:spacing w:val="-6"/>
          <w:kern w:val="0"/>
          <w:sz w:val="28"/>
          <w:szCs w:val="28"/>
        </w:rPr>
        <w:t>GDP</w:t>
      </w:r>
      <w:r w:rsidRPr="00B118E9">
        <w:rPr>
          <w:rFonts w:eastAsia="標楷體"/>
          <w:spacing w:val="-6"/>
          <w:kern w:val="0"/>
          <w:sz w:val="28"/>
          <w:szCs w:val="28"/>
        </w:rPr>
        <w:t>成長</w:t>
      </w:r>
      <w:r w:rsidRPr="00B118E9">
        <w:rPr>
          <w:rFonts w:eastAsia="標楷體"/>
          <w:spacing w:val="-6"/>
          <w:kern w:val="0"/>
          <w:sz w:val="28"/>
          <w:szCs w:val="28"/>
        </w:rPr>
        <w:t>2.3%</w:t>
      </w:r>
      <w:r w:rsidRPr="00B118E9">
        <w:rPr>
          <w:rFonts w:eastAsia="標楷體"/>
          <w:spacing w:val="-6"/>
          <w:kern w:val="0"/>
          <w:sz w:val="28"/>
          <w:szCs w:val="28"/>
        </w:rPr>
        <w:t>，較前次</w:t>
      </w:r>
      <w:r w:rsidRPr="00B118E9">
        <w:rPr>
          <w:rFonts w:eastAsia="標楷體"/>
          <w:spacing w:val="-6"/>
          <w:kern w:val="0"/>
          <w:sz w:val="28"/>
          <w:szCs w:val="28"/>
        </w:rPr>
        <w:t>(4</w:t>
      </w:r>
      <w:r w:rsidRPr="00B118E9">
        <w:rPr>
          <w:rFonts w:eastAsia="標楷體"/>
          <w:spacing w:val="-6"/>
          <w:kern w:val="0"/>
          <w:sz w:val="28"/>
          <w:szCs w:val="28"/>
        </w:rPr>
        <w:t>月</w:t>
      </w:r>
      <w:r w:rsidRPr="00B118E9">
        <w:rPr>
          <w:rFonts w:eastAsia="標楷體"/>
          <w:spacing w:val="-6"/>
          <w:kern w:val="0"/>
          <w:sz w:val="28"/>
          <w:szCs w:val="28"/>
        </w:rPr>
        <w:t xml:space="preserve">) </w:t>
      </w:r>
      <w:r w:rsidRPr="00B118E9">
        <w:rPr>
          <w:rFonts w:eastAsia="標楷體"/>
          <w:spacing w:val="-6"/>
          <w:kern w:val="0"/>
          <w:sz w:val="28"/>
          <w:szCs w:val="28"/>
        </w:rPr>
        <w:t>下修</w:t>
      </w:r>
      <w:r w:rsidRPr="00B118E9">
        <w:rPr>
          <w:rFonts w:eastAsia="標楷體"/>
          <w:spacing w:val="-6"/>
          <w:kern w:val="0"/>
          <w:sz w:val="28"/>
          <w:szCs w:val="28"/>
        </w:rPr>
        <w:t>0.5</w:t>
      </w:r>
      <w:r w:rsidRPr="00B118E9">
        <w:rPr>
          <w:rFonts w:eastAsia="標楷體"/>
          <w:spacing w:val="-6"/>
          <w:kern w:val="0"/>
          <w:sz w:val="28"/>
          <w:szCs w:val="28"/>
        </w:rPr>
        <w:t>個百分點。</w:t>
      </w:r>
    </w:p>
    <w:p w:rsidR="00271CFC" w:rsidRPr="00B118E9" w:rsidRDefault="00271CFC" w:rsidP="00271CFC">
      <w:pPr>
        <w:snapToGrid w:val="0"/>
        <w:spacing w:beforeLines="50" w:before="180" w:line="300" w:lineRule="auto"/>
        <w:ind w:leftChars="150" w:left="360" w:firstLineChars="200" w:firstLine="536"/>
        <w:jc w:val="both"/>
        <w:rPr>
          <w:rFonts w:eastAsia="標楷體"/>
          <w:spacing w:val="-6"/>
          <w:kern w:val="0"/>
          <w:sz w:val="28"/>
          <w:szCs w:val="28"/>
        </w:rPr>
      </w:pPr>
      <w:r w:rsidRPr="00B118E9">
        <w:rPr>
          <w:rFonts w:eastAsia="標楷體"/>
          <w:spacing w:val="-6"/>
          <w:kern w:val="0"/>
          <w:sz w:val="28"/>
          <w:szCs w:val="28"/>
        </w:rPr>
        <w:t>聯準會公布</w:t>
      </w:r>
      <w:r w:rsidRPr="00B118E9">
        <w:rPr>
          <w:rFonts w:eastAsia="標楷體"/>
          <w:spacing w:val="-6"/>
          <w:kern w:val="0"/>
          <w:sz w:val="28"/>
          <w:szCs w:val="28"/>
        </w:rPr>
        <w:t>2015</w:t>
      </w:r>
      <w:r w:rsidRPr="00B118E9">
        <w:rPr>
          <w:rFonts w:eastAsia="標楷體"/>
          <w:spacing w:val="-6"/>
          <w:kern w:val="0"/>
          <w:sz w:val="28"/>
          <w:szCs w:val="28"/>
        </w:rPr>
        <w:t>年</w:t>
      </w:r>
      <w:r w:rsidRPr="00B118E9">
        <w:rPr>
          <w:rFonts w:eastAsia="標楷體"/>
          <w:spacing w:val="-6"/>
          <w:kern w:val="0"/>
          <w:sz w:val="28"/>
          <w:szCs w:val="28"/>
        </w:rPr>
        <w:t>4</w:t>
      </w:r>
      <w:r w:rsidRPr="00B118E9">
        <w:rPr>
          <w:rFonts w:eastAsia="標楷體"/>
          <w:spacing w:val="-6"/>
          <w:kern w:val="0"/>
          <w:sz w:val="28"/>
          <w:szCs w:val="28"/>
        </w:rPr>
        <w:t>月</w:t>
      </w:r>
      <w:r w:rsidRPr="00B118E9">
        <w:rPr>
          <w:rFonts w:eastAsia="標楷體"/>
          <w:spacing w:val="-6"/>
          <w:kern w:val="0"/>
          <w:sz w:val="28"/>
          <w:szCs w:val="28"/>
        </w:rPr>
        <w:t>28</w:t>
      </w:r>
      <w:r w:rsidRPr="00B118E9">
        <w:rPr>
          <w:rFonts w:eastAsia="標楷體"/>
          <w:spacing w:val="-6"/>
          <w:kern w:val="0"/>
          <w:sz w:val="28"/>
          <w:szCs w:val="28"/>
        </w:rPr>
        <w:t>日至</w:t>
      </w:r>
      <w:r w:rsidRPr="00B118E9">
        <w:rPr>
          <w:rFonts w:eastAsia="標楷體"/>
          <w:spacing w:val="-6"/>
          <w:kern w:val="0"/>
          <w:sz w:val="28"/>
          <w:szCs w:val="28"/>
        </w:rPr>
        <w:t>29</w:t>
      </w:r>
      <w:r w:rsidRPr="00B118E9">
        <w:rPr>
          <w:rFonts w:eastAsia="標楷體"/>
          <w:spacing w:val="-6"/>
          <w:kern w:val="0"/>
          <w:sz w:val="28"/>
          <w:szCs w:val="28"/>
        </w:rPr>
        <w:t>日聯邦公開市場操作委員會</w:t>
      </w:r>
      <w:r w:rsidRPr="00B118E9">
        <w:rPr>
          <w:rFonts w:eastAsia="標楷體"/>
          <w:spacing w:val="-6"/>
          <w:kern w:val="0"/>
          <w:sz w:val="28"/>
          <w:szCs w:val="28"/>
        </w:rPr>
        <w:t xml:space="preserve">(FOMC) </w:t>
      </w:r>
      <w:r w:rsidRPr="00B118E9">
        <w:rPr>
          <w:rFonts w:eastAsia="標楷體"/>
          <w:spacing w:val="-6"/>
          <w:kern w:val="0"/>
          <w:sz w:val="28"/>
          <w:szCs w:val="28"/>
        </w:rPr>
        <w:t>會議記錄顯示，第</w:t>
      </w:r>
      <w:r w:rsidRPr="00B118E9">
        <w:rPr>
          <w:rFonts w:eastAsia="標楷體"/>
          <w:spacing w:val="-6"/>
          <w:kern w:val="0"/>
          <w:sz w:val="28"/>
          <w:szCs w:val="28"/>
        </w:rPr>
        <w:t>1</w:t>
      </w:r>
      <w:r w:rsidRPr="00B118E9">
        <w:rPr>
          <w:rFonts w:eastAsia="標楷體"/>
          <w:spacing w:val="-6"/>
          <w:kern w:val="0"/>
          <w:sz w:val="28"/>
          <w:szCs w:val="28"/>
        </w:rPr>
        <w:t>季經濟表現不佳為暫時性因素，但部分經濟數據疲弱，尚無法充分確認升息條件巳獲得滿足，重申維持</w:t>
      </w:r>
      <w:r w:rsidRPr="00B118E9">
        <w:rPr>
          <w:rFonts w:eastAsia="標楷體"/>
          <w:spacing w:val="-6"/>
          <w:kern w:val="0"/>
          <w:sz w:val="28"/>
          <w:szCs w:val="28"/>
        </w:rPr>
        <w:t>0%~0.25%</w:t>
      </w:r>
      <w:r w:rsidRPr="00B118E9">
        <w:rPr>
          <w:rFonts w:eastAsia="標楷體"/>
          <w:spacing w:val="-6"/>
          <w:kern w:val="0"/>
          <w:sz w:val="28"/>
          <w:szCs w:val="28"/>
        </w:rPr>
        <w:t>聯邦基準利率。另聯準會主席葉倫表示若美國經濟持續改善，將不排除在今年啟動升息。</w:t>
      </w:r>
    </w:p>
    <w:p w:rsidR="00271CFC" w:rsidRPr="00B118E9" w:rsidRDefault="00271CFC" w:rsidP="00271CFC">
      <w:pPr>
        <w:snapToGrid w:val="0"/>
        <w:spacing w:beforeLines="50" w:before="180" w:line="300" w:lineRule="auto"/>
        <w:ind w:leftChars="150" w:left="360" w:firstLineChars="200" w:firstLine="536"/>
        <w:jc w:val="both"/>
        <w:rPr>
          <w:rFonts w:eastAsia="標楷體"/>
          <w:spacing w:val="-6"/>
          <w:kern w:val="0"/>
          <w:sz w:val="28"/>
          <w:szCs w:val="28"/>
        </w:rPr>
      </w:pPr>
      <w:r w:rsidRPr="00B118E9">
        <w:rPr>
          <w:rFonts w:eastAsia="標楷體"/>
          <w:spacing w:val="-6"/>
          <w:kern w:val="0"/>
          <w:sz w:val="28"/>
          <w:szCs w:val="28"/>
        </w:rPr>
        <w:t>美國工商協進會</w:t>
      </w:r>
      <w:r w:rsidRPr="00B118E9">
        <w:rPr>
          <w:rFonts w:eastAsia="標楷體"/>
          <w:spacing w:val="-6"/>
          <w:kern w:val="0"/>
          <w:sz w:val="28"/>
          <w:szCs w:val="28"/>
        </w:rPr>
        <w:t>(Conference Board)2015</w:t>
      </w:r>
      <w:r w:rsidRPr="00B118E9">
        <w:rPr>
          <w:rFonts w:eastAsia="標楷體"/>
          <w:spacing w:val="-6"/>
          <w:kern w:val="0"/>
          <w:sz w:val="28"/>
          <w:szCs w:val="28"/>
        </w:rPr>
        <w:t>年</w:t>
      </w:r>
      <w:r w:rsidRPr="00B118E9">
        <w:rPr>
          <w:rFonts w:eastAsia="標楷體"/>
          <w:spacing w:val="-6"/>
          <w:kern w:val="0"/>
          <w:sz w:val="28"/>
          <w:szCs w:val="28"/>
        </w:rPr>
        <w:t>5</w:t>
      </w:r>
      <w:r w:rsidRPr="00B118E9">
        <w:rPr>
          <w:rFonts w:eastAsia="標楷體"/>
          <w:spacing w:val="-6"/>
          <w:kern w:val="0"/>
          <w:sz w:val="28"/>
          <w:szCs w:val="28"/>
        </w:rPr>
        <w:t>月</w:t>
      </w:r>
      <w:r w:rsidRPr="00B118E9">
        <w:rPr>
          <w:rFonts w:eastAsia="標楷體"/>
          <w:spacing w:val="-6"/>
          <w:kern w:val="0"/>
          <w:sz w:val="28"/>
          <w:szCs w:val="28"/>
        </w:rPr>
        <w:t>21</w:t>
      </w:r>
      <w:r w:rsidRPr="00B118E9">
        <w:rPr>
          <w:rFonts w:eastAsia="標楷體"/>
          <w:spacing w:val="-6"/>
          <w:kern w:val="0"/>
          <w:sz w:val="28"/>
          <w:szCs w:val="28"/>
        </w:rPr>
        <w:t>日公布</w:t>
      </w:r>
      <w:r w:rsidRPr="00B118E9">
        <w:rPr>
          <w:rFonts w:eastAsia="標楷體"/>
          <w:spacing w:val="-6"/>
          <w:kern w:val="0"/>
          <w:sz w:val="28"/>
          <w:szCs w:val="28"/>
        </w:rPr>
        <w:t>2015</w:t>
      </w:r>
      <w:r w:rsidRPr="00B118E9">
        <w:rPr>
          <w:rFonts w:eastAsia="標楷體"/>
          <w:spacing w:val="-6"/>
          <w:kern w:val="0"/>
          <w:sz w:val="28"/>
          <w:szCs w:val="28"/>
        </w:rPr>
        <w:t>年</w:t>
      </w:r>
      <w:r w:rsidRPr="00B118E9">
        <w:rPr>
          <w:rFonts w:eastAsia="標楷體"/>
          <w:spacing w:val="-6"/>
          <w:kern w:val="0"/>
          <w:sz w:val="28"/>
          <w:szCs w:val="28"/>
        </w:rPr>
        <w:t>4</w:t>
      </w:r>
      <w:r w:rsidRPr="00B118E9">
        <w:rPr>
          <w:rFonts w:eastAsia="標楷體"/>
          <w:spacing w:val="-6"/>
          <w:kern w:val="0"/>
          <w:sz w:val="28"/>
          <w:szCs w:val="28"/>
        </w:rPr>
        <w:t>月份領先指標上升</w:t>
      </w:r>
      <w:r w:rsidRPr="00B118E9">
        <w:rPr>
          <w:rFonts w:eastAsia="標楷體"/>
          <w:spacing w:val="-6"/>
          <w:kern w:val="0"/>
          <w:sz w:val="28"/>
          <w:szCs w:val="28"/>
        </w:rPr>
        <w:t>0.7%</w:t>
      </w:r>
      <w:r w:rsidRPr="00B118E9">
        <w:rPr>
          <w:rFonts w:eastAsia="標楷體"/>
          <w:spacing w:val="-6"/>
          <w:kern w:val="0"/>
          <w:sz w:val="28"/>
          <w:szCs w:val="28"/>
        </w:rPr>
        <w:t>。除製造業平均每週工時、製造業消費性產品及材料新訂單持平，以及</w:t>
      </w:r>
      <w:r w:rsidRPr="00B118E9">
        <w:rPr>
          <w:rFonts w:eastAsia="標楷體"/>
          <w:spacing w:val="-6"/>
          <w:kern w:val="0"/>
          <w:sz w:val="28"/>
          <w:szCs w:val="28"/>
        </w:rPr>
        <w:t>ISM</w:t>
      </w:r>
      <w:r w:rsidRPr="00B118E9">
        <w:rPr>
          <w:rFonts w:eastAsia="標楷體"/>
          <w:spacing w:val="-6"/>
          <w:kern w:val="0"/>
          <w:sz w:val="28"/>
          <w:szCs w:val="28"/>
        </w:rPr>
        <w:t>新接訂單呈現負成長外，餘領先信用指數、消費者預期、建築許可、利率差距、每週平均申請失業救濟金人數、股價指標及製造業非國防資本財新訂單，則皆呈現正成長。</w:t>
      </w:r>
      <w:r w:rsidRPr="00B118E9">
        <w:rPr>
          <w:rFonts w:eastAsia="標楷體"/>
          <w:spacing w:val="-6"/>
          <w:kern w:val="0"/>
          <w:sz w:val="28"/>
          <w:szCs w:val="28"/>
        </w:rPr>
        <w:t>2015</w:t>
      </w:r>
      <w:r w:rsidRPr="00B118E9">
        <w:rPr>
          <w:rFonts w:eastAsia="標楷體"/>
          <w:spacing w:val="-6"/>
          <w:kern w:val="0"/>
          <w:sz w:val="28"/>
          <w:szCs w:val="28"/>
        </w:rPr>
        <w:t>年</w:t>
      </w:r>
      <w:r w:rsidRPr="00B118E9">
        <w:rPr>
          <w:rFonts w:eastAsia="標楷體"/>
          <w:spacing w:val="-6"/>
          <w:kern w:val="0"/>
          <w:sz w:val="28"/>
          <w:szCs w:val="28"/>
        </w:rPr>
        <w:t>4</w:t>
      </w:r>
      <w:r w:rsidRPr="00B118E9">
        <w:rPr>
          <w:rFonts w:eastAsia="標楷體"/>
          <w:spacing w:val="-6"/>
          <w:kern w:val="0"/>
          <w:sz w:val="28"/>
          <w:szCs w:val="28"/>
        </w:rPr>
        <w:t>月</w:t>
      </w:r>
      <w:r w:rsidRPr="00B118E9">
        <w:rPr>
          <w:rFonts w:eastAsia="標楷體"/>
          <w:spacing w:val="-6"/>
          <w:kern w:val="0"/>
          <w:sz w:val="28"/>
          <w:szCs w:val="28"/>
        </w:rPr>
        <w:t>28</w:t>
      </w:r>
      <w:r w:rsidRPr="00B118E9">
        <w:rPr>
          <w:rFonts w:eastAsia="標楷體"/>
          <w:spacing w:val="-6"/>
          <w:kern w:val="0"/>
          <w:sz w:val="28"/>
          <w:szCs w:val="28"/>
        </w:rPr>
        <w:t>日公布</w:t>
      </w:r>
      <w:r w:rsidRPr="00B118E9">
        <w:rPr>
          <w:rFonts w:eastAsia="標楷體"/>
          <w:spacing w:val="-6"/>
          <w:kern w:val="0"/>
          <w:sz w:val="28"/>
          <w:szCs w:val="28"/>
        </w:rPr>
        <w:t>2015</w:t>
      </w:r>
      <w:r w:rsidRPr="00B118E9">
        <w:rPr>
          <w:rFonts w:eastAsia="標楷體"/>
          <w:spacing w:val="-6"/>
          <w:kern w:val="0"/>
          <w:sz w:val="28"/>
          <w:szCs w:val="28"/>
        </w:rPr>
        <w:t>年</w:t>
      </w:r>
      <w:r w:rsidRPr="00B118E9">
        <w:rPr>
          <w:rFonts w:eastAsia="標楷體"/>
          <w:spacing w:val="-6"/>
          <w:kern w:val="0"/>
          <w:sz w:val="28"/>
          <w:szCs w:val="28"/>
        </w:rPr>
        <w:t>4</w:t>
      </w:r>
      <w:r w:rsidRPr="00B118E9">
        <w:rPr>
          <w:rFonts w:eastAsia="標楷體"/>
          <w:spacing w:val="-6"/>
          <w:kern w:val="0"/>
          <w:sz w:val="28"/>
          <w:szCs w:val="28"/>
        </w:rPr>
        <w:t>月消費者信心指數自</w:t>
      </w:r>
      <w:r w:rsidRPr="00B118E9">
        <w:rPr>
          <w:rFonts w:eastAsia="標楷體"/>
          <w:spacing w:val="-6"/>
          <w:kern w:val="0"/>
          <w:sz w:val="28"/>
          <w:szCs w:val="28"/>
        </w:rPr>
        <w:t>2015</w:t>
      </w:r>
      <w:r w:rsidRPr="00B118E9">
        <w:rPr>
          <w:rFonts w:eastAsia="標楷體"/>
          <w:spacing w:val="-6"/>
          <w:kern w:val="0"/>
          <w:sz w:val="28"/>
          <w:szCs w:val="28"/>
        </w:rPr>
        <w:t>年</w:t>
      </w:r>
      <w:r w:rsidRPr="00B118E9">
        <w:rPr>
          <w:rFonts w:eastAsia="標楷體"/>
          <w:spacing w:val="-6"/>
          <w:kern w:val="0"/>
          <w:sz w:val="28"/>
          <w:szCs w:val="28"/>
        </w:rPr>
        <w:t>3</w:t>
      </w:r>
      <w:r w:rsidRPr="00B118E9">
        <w:rPr>
          <w:rFonts w:eastAsia="標楷體"/>
          <w:spacing w:val="-6"/>
          <w:kern w:val="0"/>
          <w:sz w:val="28"/>
          <w:szCs w:val="28"/>
        </w:rPr>
        <w:t>月修正後的</w:t>
      </w:r>
      <w:r w:rsidRPr="00B118E9">
        <w:rPr>
          <w:rFonts w:eastAsia="標楷體"/>
          <w:spacing w:val="-6"/>
          <w:kern w:val="0"/>
          <w:sz w:val="28"/>
          <w:szCs w:val="28"/>
        </w:rPr>
        <w:t>101.4</w:t>
      </w:r>
      <w:r w:rsidRPr="00B118E9">
        <w:rPr>
          <w:rFonts w:eastAsia="標楷體"/>
          <w:spacing w:val="-6"/>
          <w:kern w:val="0"/>
          <w:sz w:val="28"/>
          <w:szCs w:val="28"/>
        </w:rPr>
        <w:t>下滑至</w:t>
      </w:r>
      <w:r w:rsidRPr="00B118E9">
        <w:rPr>
          <w:rFonts w:eastAsia="標楷體"/>
          <w:spacing w:val="-6"/>
          <w:kern w:val="0"/>
          <w:sz w:val="28"/>
          <w:szCs w:val="28"/>
        </w:rPr>
        <w:t>95.2</w:t>
      </w:r>
      <w:r w:rsidRPr="00B118E9">
        <w:rPr>
          <w:rFonts w:eastAsia="標楷體"/>
          <w:spacing w:val="-6"/>
          <w:kern w:val="0"/>
          <w:sz w:val="28"/>
          <w:szCs w:val="28"/>
        </w:rPr>
        <w:t>。另據美國供應管理協會</w:t>
      </w:r>
      <w:r w:rsidRPr="00B118E9">
        <w:rPr>
          <w:rFonts w:eastAsia="標楷體"/>
          <w:spacing w:val="-6"/>
          <w:kern w:val="0"/>
          <w:sz w:val="28"/>
          <w:szCs w:val="28"/>
        </w:rPr>
        <w:t>(Institute for Supply Management)</w:t>
      </w:r>
      <w:r w:rsidRPr="00B118E9">
        <w:rPr>
          <w:rFonts w:eastAsia="標楷體"/>
          <w:spacing w:val="-6"/>
          <w:kern w:val="0"/>
          <w:sz w:val="28"/>
          <w:szCs w:val="28"/>
        </w:rPr>
        <w:t>報告顯示，全美</w:t>
      </w:r>
      <w:r w:rsidRPr="00B118E9">
        <w:rPr>
          <w:rFonts w:eastAsia="標楷體"/>
          <w:spacing w:val="-6"/>
          <w:kern w:val="0"/>
          <w:sz w:val="28"/>
          <w:szCs w:val="28"/>
        </w:rPr>
        <w:t>2015</w:t>
      </w:r>
      <w:r w:rsidRPr="00B118E9">
        <w:rPr>
          <w:rFonts w:eastAsia="標楷體"/>
          <w:spacing w:val="-6"/>
          <w:kern w:val="0"/>
          <w:sz w:val="28"/>
          <w:szCs w:val="28"/>
        </w:rPr>
        <w:t>年</w:t>
      </w:r>
      <w:r w:rsidRPr="00B118E9">
        <w:rPr>
          <w:rFonts w:eastAsia="標楷體"/>
          <w:spacing w:val="-6"/>
          <w:kern w:val="0"/>
          <w:sz w:val="28"/>
          <w:szCs w:val="28"/>
        </w:rPr>
        <w:t>4</w:t>
      </w:r>
      <w:r w:rsidRPr="00B118E9">
        <w:rPr>
          <w:rFonts w:eastAsia="標楷體"/>
          <w:spacing w:val="-6"/>
          <w:kern w:val="0"/>
          <w:sz w:val="28"/>
          <w:szCs w:val="28"/>
        </w:rPr>
        <w:t>月製造業採購經理人指數同</w:t>
      </w:r>
      <w:r w:rsidRPr="00B118E9">
        <w:rPr>
          <w:rFonts w:eastAsia="標楷體"/>
          <w:spacing w:val="-6"/>
          <w:kern w:val="0"/>
          <w:sz w:val="28"/>
          <w:szCs w:val="28"/>
        </w:rPr>
        <w:t>3</w:t>
      </w:r>
      <w:r w:rsidRPr="00B118E9">
        <w:rPr>
          <w:rFonts w:eastAsia="標楷體"/>
          <w:spacing w:val="-6"/>
          <w:kern w:val="0"/>
          <w:sz w:val="28"/>
          <w:szCs w:val="28"/>
        </w:rPr>
        <w:t>月的</w:t>
      </w:r>
      <w:r w:rsidRPr="00B118E9">
        <w:rPr>
          <w:rFonts w:eastAsia="標楷體"/>
          <w:spacing w:val="-6"/>
          <w:kern w:val="0"/>
          <w:sz w:val="28"/>
          <w:szCs w:val="28"/>
        </w:rPr>
        <w:t>51.5</w:t>
      </w:r>
      <w:r w:rsidRPr="00B118E9">
        <w:rPr>
          <w:rFonts w:eastAsia="標楷體"/>
          <w:spacing w:val="-6"/>
          <w:kern w:val="0"/>
          <w:sz w:val="28"/>
          <w:szCs w:val="28"/>
        </w:rPr>
        <w:t>，數值高於</w:t>
      </w:r>
      <w:r w:rsidRPr="00B118E9">
        <w:rPr>
          <w:rFonts w:eastAsia="標楷體"/>
          <w:spacing w:val="-6"/>
          <w:kern w:val="0"/>
          <w:sz w:val="28"/>
          <w:szCs w:val="28"/>
        </w:rPr>
        <w:t>50</w:t>
      </w:r>
      <w:r w:rsidRPr="00B118E9">
        <w:rPr>
          <w:rFonts w:eastAsia="標楷體"/>
          <w:spacing w:val="-6"/>
          <w:kern w:val="0"/>
          <w:sz w:val="28"/>
          <w:szCs w:val="28"/>
        </w:rPr>
        <w:t>榮枯線，顯示製造業活動持續擴張。</w:t>
      </w:r>
    </w:p>
    <w:p w:rsidR="00271CFC" w:rsidRPr="00B118E9" w:rsidRDefault="00271CFC" w:rsidP="00271CFC">
      <w:pPr>
        <w:snapToGrid w:val="0"/>
        <w:spacing w:beforeLines="50" w:before="180" w:line="300" w:lineRule="auto"/>
        <w:ind w:leftChars="150" w:left="360" w:firstLineChars="200" w:firstLine="536"/>
        <w:jc w:val="both"/>
        <w:rPr>
          <w:rFonts w:eastAsia="標楷體"/>
          <w:bCs/>
          <w:spacing w:val="-6"/>
          <w:kern w:val="0"/>
          <w:sz w:val="28"/>
          <w:szCs w:val="28"/>
        </w:rPr>
      </w:pPr>
      <w:r w:rsidRPr="00B118E9">
        <w:rPr>
          <w:rFonts w:eastAsia="標楷體"/>
          <w:spacing w:val="-6"/>
          <w:kern w:val="0"/>
          <w:sz w:val="28"/>
          <w:szCs w:val="28"/>
        </w:rPr>
        <w:t>2015</w:t>
      </w:r>
      <w:r w:rsidRPr="00B118E9">
        <w:rPr>
          <w:rFonts w:eastAsia="標楷體"/>
          <w:spacing w:val="-6"/>
          <w:kern w:val="0"/>
          <w:sz w:val="28"/>
          <w:szCs w:val="28"/>
        </w:rPr>
        <w:t>年</w:t>
      </w:r>
      <w:r w:rsidRPr="00B118E9">
        <w:rPr>
          <w:rFonts w:eastAsia="標楷體"/>
          <w:spacing w:val="-6"/>
          <w:kern w:val="0"/>
          <w:sz w:val="28"/>
          <w:szCs w:val="28"/>
        </w:rPr>
        <w:t>3</w:t>
      </w:r>
      <w:r w:rsidRPr="00B118E9">
        <w:rPr>
          <w:rFonts w:eastAsia="標楷體"/>
          <w:spacing w:val="-6"/>
          <w:kern w:val="0"/>
          <w:sz w:val="28"/>
          <w:szCs w:val="28"/>
        </w:rPr>
        <w:t>月商品出口為</w:t>
      </w:r>
      <w:r w:rsidRPr="00B118E9">
        <w:rPr>
          <w:rFonts w:eastAsia="標楷體"/>
          <w:spacing w:val="-6"/>
          <w:kern w:val="0"/>
          <w:sz w:val="28"/>
          <w:szCs w:val="28"/>
        </w:rPr>
        <w:t>1,270.7</w:t>
      </w:r>
      <w:r w:rsidRPr="00B118E9">
        <w:rPr>
          <w:rFonts w:eastAsia="標楷體"/>
          <w:spacing w:val="-6"/>
          <w:kern w:val="0"/>
          <w:sz w:val="28"/>
          <w:szCs w:val="28"/>
        </w:rPr>
        <w:t>億美元，較上年同期減少</w:t>
      </w:r>
      <w:r w:rsidRPr="00B118E9">
        <w:rPr>
          <w:rFonts w:eastAsia="標楷體"/>
          <w:spacing w:val="-6"/>
          <w:kern w:val="0"/>
          <w:sz w:val="28"/>
          <w:szCs w:val="28"/>
        </w:rPr>
        <w:t>6.5%</w:t>
      </w:r>
      <w:r w:rsidRPr="00B118E9">
        <w:rPr>
          <w:rFonts w:eastAsia="標楷體"/>
          <w:spacing w:val="-6"/>
          <w:kern w:val="0"/>
          <w:sz w:val="28"/>
          <w:szCs w:val="28"/>
        </w:rPr>
        <w:t>，進口為</w:t>
      </w:r>
      <w:r w:rsidRPr="00B118E9">
        <w:rPr>
          <w:rFonts w:eastAsia="標楷體"/>
          <w:spacing w:val="-6"/>
          <w:kern w:val="0"/>
          <w:sz w:val="28"/>
          <w:szCs w:val="28"/>
        </w:rPr>
        <w:t>1,976.3</w:t>
      </w:r>
      <w:r w:rsidRPr="00B118E9">
        <w:rPr>
          <w:rFonts w:eastAsia="標楷體"/>
          <w:spacing w:val="-6"/>
          <w:kern w:val="0"/>
          <w:sz w:val="28"/>
          <w:szCs w:val="28"/>
        </w:rPr>
        <w:t>億美元，減少</w:t>
      </w:r>
      <w:r w:rsidRPr="00B118E9">
        <w:rPr>
          <w:rFonts w:eastAsia="標楷體"/>
          <w:spacing w:val="-6"/>
          <w:kern w:val="0"/>
          <w:sz w:val="28"/>
          <w:szCs w:val="28"/>
        </w:rPr>
        <w:t>0.2 %</w:t>
      </w:r>
      <w:r w:rsidRPr="00B118E9">
        <w:rPr>
          <w:rFonts w:eastAsia="標楷體"/>
          <w:spacing w:val="-6"/>
          <w:kern w:val="0"/>
          <w:sz w:val="28"/>
          <w:szCs w:val="28"/>
        </w:rPr>
        <w:t>，貿易入超</w:t>
      </w:r>
      <w:r w:rsidRPr="00B118E9">
        <w:rPr>
          <w:rFonts w:eastAsia="標楷體"/>
          <w:spacing w:val="-6"/>
          <w:kern w:val="0"/>
          <w:sz w:val="28"/>
          <w:szCs w:val="28"/>
        </w:rPr>
        <w:t>705.6</w:t>
      </w:r>
      <w:r w:rsidRPr="00B118E9">
        <w:rPr>
          <w:rFonts w:eastAsia="標楷體"/>
          <w:spacing w:val="-6"/>
          <w:kern w:val="0"/>
          <w:sz w:val="28"/>
          <w:szCs w:val="28"/>
        </w:rPr>
        <w:t>億美元。</w:t>
      </w:r>
      <w:r w:rsidRPr="00B118E9">
        <w:rPr>
          <w:rFonts w:eastAsia="標楷體"/>
          <w:spacing w:val="-6"/>
          <w:kern w:val="0"/>
          <w:sz w:val="28"/>
          <w:szCs w:val="28"/>
        </w:rPr>
        <w:t>2015</w:t>
      </w:r>
      <w:r w:rsidRPr="00B118E9">
        <w:rPr>
          <w:rFonts w:eastAsia="標楷體"/>
          <w:spacing w:val="-6"/>
          <w:kern w:val="0"/>
          <w:sz w:val="28"/>
          <w:szCs w:val="28"/>
        </w:rPr>
        <w:t>年</w:t>
      </w:r>
      <w:r w:rsidRPr="00B118E9">
        <w:rPr>
          <w:rFonts w:eastAsia="標楷體"/>
          <w:spacing w:val="-6"/>
          <w:kern w:val="0"/>
          <w:sz w:val="28"/>
          <w:szCs w:val="28"/>
        </w:rPr>
        <w:t>4</w:t>
      </w:r>
      <w:r w:rsidRPr="00B118E9">
        <w:rPr>
          <w:rFonts w:eastAsia="標楷體"/>
          <w:spacing w:val="-6"/>
          <w:kern w:val="0"/>
          <w:sz w:val="28"/>
          <w:szCs w:val="28"/>
        </w:rPr>
        <w:t>月消費者物價年增率下跌</w:t>
      </w:r>
      <w:r w:rsidRPr="00B118E9">
        <w:rPr>
          <w:rFonts w:eastAsia="標楷體"/>
          <w:spacing w:val="-6"/>
          <w:kern w:val="0"/>
          <w:sz w:val="28"/>
          <w:szCs w:val="28"/>
        </w:rPr>
        <w:t>0.2%</w:t>
      </w:r>
      <w:r w:rsidRPr="00B118E9">
        <w:rPr>
          <w:rFonts w:eastAsia="標楷體"/>
          <w:spacing w:val="-6"/>
          <w:kern w:val="0"/>
          <w:sz w:val="28"/>
          <w:szCs w:val="28"/>
        </w:rPr>
        <w:t>；非農就業增加</w:t>
      </w:r>
      <w:r w:rsidRPr="00B118E9">
        <w:rPr>
          <w:rFonts w:eastAsia="標楷體"/>
          <w:spacing w:val="-6"/>
          <w:kern w:val="0"/>
          <w:sz w:val="28"/>
          <w:szCs w:val="28"/>
        </w:rPr>
        <w:t>22.3</w:t>
      </w:r>
      <w:r w:rsidRPr="00B118E9">
        <w:rPr>
          <w:rFonts w:eastAsia="標楷體"/>
          <w:spacing w:val="-6"/>
          <w:kern w:val="0"/>
          <w:sz w:val="28"/>
          <w:szCs w:val="28"/>
        </w:rPr>
        <w:t>萬人，失業率下降至</w:t>
      </w:r>
      <w:r w:rsidRPr="00B118E9">
        <w:rPr>
          <w:rFonts w:eastAsia="標楷體"/>
          <w:spacing w:val="-6"/>
          <w:kern w:val="0"/>
          <w:sz w:val="28"/>
          <w:szCs w:val="28"/>
        </w:rPr>
        <w:t>5.4%</w:t>
      </w:r>
      <w:r w:rsidRPr="00B118E9">
        <w:rPr>
          <w:rFonts w:eastAsia="標楷體"/>
          <w:spacing w:val="-6"/>
          <w:kern w:val="0"/>
          <w:sz w:val="28"/>
          <w:szCs w:val="28"/>
        </w:rPr>
        <w:t>。</w:t>
      </w:r>
      <w:r w:rsidRPr="00B118E9">
        <w:rPr>
          <w:rFonts w:eastAsia="標楷體"/>
          <w:bCs/>
          <w:spacing w:val="-6"/>
          <w:kern w:val="0"/>
          <w:sz w:val="28"/>
          <w:szCs w:val="28"/>
        </w:rPr>
        <w:br w:type="page"/>
      </w:r>
    </w:p>
    <w:p w:rsidR="00BB12B0" w:rsidRPr="00B118E9" w:rsidRDefault="00BB12B0" w:rsidP="00BB12B0">
      <w:pPr>
        <w:widowControl/>
        <w:tabs>
          <w:tab w:val="left" w:pos="6840"/>
        </w:tabs>
        <w:snapToGrid w:val="0"/>
        <w:spacing w:beforeLines="50" w:before="180" w:line="288" w:lineRule="auto"/>
        <w:jc w:val="center"/>
        <w:rPr>
          <w:rFonts w:eastAsia="標楷體"/>
          <w:b/>
          <w:kern w:val="0"/>
          <w:sz w:val="28"/>
          <w:szCs w:val="20"/>
        </w:rPr>
      </w:pPr>
      <w:r w:rsidRPr="00B118E9">
        <w:rPr>
          <w:rFonts w:eastAsia="標楷體"/>
          <w:b/>
          <w:kern w:val="0"/>
          <w:sz w:val="28"/>
          <w:szCs w:val="32"/>
          <w:lang w:val="zh-TW"/>
        </w:rPr>
        <w:t>表</w:t>
      </w:r>
      <w:r w:rsidRPr="00B118E9">
        <w:rPr>
          <w:rFonts w:eastAsia="標楷體"/>
          <w:b/>
          <w:kern w:val="0"/>
          <w:sz w:val="28"/>
          <w:szCs w:val="32"/>
          <w:lang w:val="zh-TW"/>
        </w:rPr>
        <w:t xml:space="preserve">1-1   </w:t>
      </w:r>
      <w:r w:rsidRPr="00B118E9">
        <w:rPr>
          <w:rFonts w:eastAsia="標楷體"/>
          <w:b/>
          <w:kern w:val="0"/>
          <w:sz w:val="28"/>
          <w:szCs w:val="32"/>
          <w:lang w:val="zh-TW"/>
        </w:rPr>
        <w:t>美國重要經濟指標</w:t>
      </w:r>
    </w:p>
    <w:p w:rsidR="00BB12B0" w:rsidRPr="00B118E9" w:rsidRDefault="00BB12B0" w:rsidP="00BB12B0">
      <w:pPr>
        <w:tabs>
          <w:tab w:val="left" w:pos="6840"/>
        </w:tabs>
        <w:snapToGrid w:val="0"/>
        <w:jc w:val="right"/>
        <w:rPr>
          <w:rFonts w:eastAsia="標楷體"/>
          <w:bCs/>
          <w:sz w:val="22"/>
          <w:szCs w:val="28"/>
        </w:rPr>
      </w:pPr>
      <w:r w:rsidRPr="00B118E9">
        <w:rPr>
          <w:rFonts w:eastAsia="標楷體"/>
          <w:bCs/>
          <w:sz w:val="28"/>
          <w:szCs w:val="32"/>
          <w:lang w:val="zh-TW"/>
        </w:rPr>
        <w:t xml:space="preserve">            </w:t>
      </w:r>
      <w:r w:rsidRPr="00B118E9">
        <w:rPr>
          <w:rFonts w:eastAsia="標楷體"/>
          <w:bCs/>
          <w:sz w:val="22"/>
          <w:szCs w:val="28"/>
          <w:lang w:val="zh-TW"/>
        </w:rPr>
        <w:t>單位：億美元；</w:t>
      </w:r>
      <w:r w:rsidRPr="00B118E9">
        <w:rPr>
          <w:rFonts w:eastAsia="標楷體"/>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BB12B0" w:rsidRPr="00B118E9" w:rsidTr="00BD6B4B">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lang w:val="zh-TW"/>
              </w:rPr>
              <w:t>年</w:t>
            </w:r>
            <w:r w:rsidRPr="00B118E9">
              <w:rPr>
                <w:rFonts w:eastAsia="標楷體"/>
                <w:bCs/>
                <w:sz w:val="22"/>
                <w:szCs w:val="22"/>
              </w:rPr>
              <w:t>(</w:t>
            </w:r>
            <w:r w:rsidRPr="00B118E9">
              <w:rPr>
                <w:rFonts w:eastAsia="標楷體"/>
                <w:bCs/>
                <w:sz w:val="22"/>
                <w:szCs w:val="22"/>
                <w:lang w:val="zh-TW"/>
              </w:rPr>
              <w:t>月</w:t>
            </w:r>
            <w:r w:rsidRPr="00B118E9">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lang w:val="zh-TW"/>
              </w:rPr>
              <w:t>實質</w:t>
            </w:r>
          </w:p>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lang w:val="zh-TW"/>
              </w:rPr>
              <w:t>工業</w:t>
            </w:r>
          </w:p>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0"/>
              </w:rPr>
            </w:pPr>
            <w:r w:rsidRPr="00B118E9">
              <w:rPr>
                <w:rFonts w:eastAsia="標楷體"/>
                <w:bCs/>
                <w:sz w:val="22"/>
                <w:szCs w:val="20"/>
              </w:rPr>
              <w:t>貿</w:t>
            </w:r>
            <w:r w:rsidRPr="00B118E9">
              <w:rPr>
                <w:rFonts w:eastAsia="標楷體"/>
                <w:bCs/>
                <w:sz w:val="22"/>
                <w:szCs w:val="20"/>
              </w:rPr>
              <w:t xml:space="preserve">    </w:t>
            </w:r>
            <w:r w:rsidRPr="00B118E9">
              <w:rPr>
                <w:rFonts w:eastAsia="標楷體"/>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lang w:val="zh-TW"/>
              </w:rPr>
            </w:pPr>
            <w:r w:rsidRPr="00B118E9">
              <w:rPr>
                <w:rFonts w:eastAsia="標楷體"/>
                <w:bCs/>
                <w:sz w:val="22"/>
                <w:szCs w:val="22"/>
                <w:lang w:val="zh-TW"/>
              </w:rPr>
              <w:t>消費者</w:t>
            </w:r>
          </w:p>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lang w:val="zh-TW"/>
              </w:rPr>
              <w:t>失業率</w:t>
            </w:r>
          </w:p>
        </w:tc>
      </w:tr>
      <w:tr w:rsidR="00BB12B0" w:rsidRPr="00B118E9" w:rsidTr="00BD6B4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BB12B0" w:rsidRPr="00B118E9" w:rsidRDefault="00BB12B0" w:rsidP="00BB12B0">
            <w:pPr>
              <w:tabs>
                <w:tab w:val="left" w:pos="6840"/>
              </w:tabs>
              <w:autoSpaceDE w:val="0"/>
              <w:autoSpaceDN w:val="0"/>
              <w:adjustRightInd w:val="0"/>
              <w:snapToGrid w:val="0"/>
              <w:spacing w:beforeLines="30" w:before="108" w:line="240" w:lineRule="atLeast"/>
              <w:jc w:val="center"/>
              <w:rPr>
                <w:rFonts w:eastAsia="標楷體"/>
                <w:bCs/>
                <w:sz w:val="22"/>
              </w:rPr>
            </w:pPr>
            <w:r w:rsidRPr="00B118E9">
              <w:rPr>
                <w:rFonts w:eastAsia="標楷體"/>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BB12B0" w:rsidRPr="00B118E9" w:rsidRDefault="00BB12B0" w:rsidP="00BD6B4B">
            <w:pPr>
              <w:widowControl/>
              <w:rPr>
                <w:rFonts w:eastAsia="標楷體"/>
                <w:bCs/>
                <w:sz w:val="22"/>
                <w:szCs w:val="22"/>
              </w:rPr>
            </w:pPr>
          </w:p>
        </w:tc>
      </w:tr>
      <w:tr w:rsidR="00BB12B0" w:rsidRPr="00B118E9" w:rsidTr="00BD6B4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BB12B0" w:rsidRPr="00B118E9" w:rsidRDefault="00BB12B0" w:rsidP="00BD6B4B">
            <w:pPr>
              <w:widowControl/>
              <w:rPr>
                <w:rFonts w:eastAsia="標楷體"/>
                <w:bCs/>
                <w:sz w:val="22"/>
                <w:szCs w:val="22"/>
              </w:rPr>
            </w:pPr>
          </w:p>
        </w:tc>
      </w:tr>
      <w:tr w:rsidR="00BB12B0" w:rsidRPr="00B118E9" w:rsidTr="00BD6B4B">
        <w:trPr>
          <w:cantSplit/>
        </w:trPr>
        <w:tc>
          <w:tcPr>
            <w:tcW w:w="1288" w:type="dxa"/>
            <w:tcBorders>
              <w:top w:val="nil"/>
              <w:left w:val="nil"/>
              <w:bottom w:val="nil"/>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2010</w:t>
            </w:r>
            <w:r w:rsidRPr="00B118E9">
              <w:rPr>
                <w:rFonts w:eastAsia="標楷體"/>
                <w:bCs/>
                <w:sz w:val="22"/>
              </w:rPr>
              <w:t>年</w:t>
            </w:r>
          </w:p>
        </w:tc>
        <w:tc>
          <w:tcPr>
            <w:tcW w:w="1008" w:type="dxa"/>
            <w:tcBorders>
              <w:top w:val="nil"/>
              <w:left w:val="single" w:sz="6" w:space="0" w:color="auto"/>
              <w:bottom w:val="nil"/>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2.5</w:t>
            </w:r>
          </w:p>
        </w:tc>
        <w:tc>
          <w:tcPr>
            <w:tcW w:w="844" w:type="dxa"/>
            <w:tcBorders>
              <w:top w:val="nil"/>
              <w:left w:val="single" w:sz="6" w:space="0" w:color="auto"/>
              <w:bottom w:val="nil"/>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5.7</w:t>
            </w:r>
          </w:p>
        </w:tc>
        <w:tc>
          <w:tcPr>
            <w:tcW w:w="840" w:type="dxa"/>
            <w:tcBorders>
              <w:top w:val="nil"/>
              <w:left w:val="single" w:sz="6" w:space="0" w:color="auto"/>
              <w:bottom w:val="nil"/>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12,902.7</w:t>
            </w:r>
          </w:p>
        </w:tc>
        <w:tc>
          <w:tcPr>
            <w:tcW w:w="784" w:type="dxa"/>
            <w:tcBorders>
              <w:top w:val="nil"/>
              <w:left w:val="single" w:sz="6" w:space="0" w:color="auto"/>
              <w:bottom w:val="nil"/>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20.5</w:t>
            </w:r>
          </w:p>
        </w:tc>
        <w:tc>
          <w:tcPr>
            <w:tcW w:w="853" w:type="dxa"/>
            <w:tcBorders>
              <w:top w:val="nil"/>
              <w:left w:val="single" w:sz="6" w:space="0" w:color="auto"/>
              <w:bottom w:val="nil"/>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19,389.5</w:t>
            </w:r>
          </w:p>
        </w:tc>
        <w:tc>
          <w:tcPr>
            <w:tcW w:w="784" w:type="dxa"/>
            <w:tcBorders>
              <w:top w:val="nil"/>
              <w:left w:val="single" w:sz="6" w:space="0" w:color="auto"/>
              <w:bottom w:val="nil"/>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22.7</w:t>
            </w:r>
          </w:p>
        </w:tc>
        <w:tc>
          <w:tcPr>
            <w:tcW w:w="910" w:type="dxa"/>
            <w:tcBorders>
              <w:top w:val="nil"/>
              <w:left w:val="single" w:sz="6" w:space="0" w:color="auto"/>
              <w:bottom w:val="nil"/>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-6,486.8</w:t>
            </w:r>
          </w:p>
        </w:tc>
        <w:tc>
          <w:tcPr>
            <w:tcW w:w="854" w:type="dxa"/>
            <w:tcBorders>
              <w:top w:val="nil"/>
              <w:left w:val="single" w:sz="6" w:space="0" w:color="auto"/>
              <w:bottom w:val="nil"/>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1.6</w:t>
            </w:r>
          </w:p>
        </w:tc>
        <w:tc>
          <w:tcPr>
            <w:tcW w:w="835" w:type="dxa"/>
            <w:tcBorders>
              <w:top w:val="nil"/>
              <w:left w:val="single" w:sz="6" w:space="0" w:color="auto"/>
              <w:bottom w:val="nil"/>
              <w:right w:val="nil"/>
            </w:tcBorders>
            <w:shd w:val="clear" w:color="auto" w:fill="auto"/>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9.6</w:t>
            </w:r>
          </w:p>
        </w:tc>
      </w:tr>
      <w:tr w:rsidR="00BB12B0" w:rsidRPr="00B118E9" w:rsidTr="00BD6B4B">
        <w:trPr>
          <w:cantSplit/>
        </w:trPr>
        <w:tc>
          <w:tcPr>
            <w:tcW w:w="1288" w:type="dxa"/>
            <w:tcBorders>
              <w:top w:val="nil"/>
              <w:left w:val="nil"/>
              <w:bottom w:val="nil"/>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2011</w:t>
            </w:r>
            <w:r w:rsidRPr="00B118E9">
              <w:rPr>
                <w:rFonts w:eastAsia="標楷體"/>
                <w:bCs/>
                <w:sz w:val="22"/>
              </w:rPr>
              <w:t>年</w:t>
            </w:r>
          </w:p>
        </w:tc>
        <w:tc>
          <w:tcPr>
            <w:tcW w:w="1008" w:type="dxa"/>
            <w:tcBorders>
              <w:top w:val="nil"/>
              <w:left w:val="single" w:sz="6" w:space="0" w:color="auto"/>
              <w:bottom w:val="nil"/>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1.6</w:t>
            </w:r>
          </w:p>
        </w:tc>
        <w:tc>
          <w:tcPr>
            <w:tcW w:w="844" w:type="dxa"/>
            <w:tcBorders>
              <w:top w:val="nil"/>
              <w:left w:val="single" w:sz="6" w:space="0" w:color="auto"/>
              <w:bottom w:val="nil"/>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3.3</w:t>
            </w:r>
          </w:p>
        </w:tc>
        <w:tc>
          <w:tcPr>
            <w:tcW w:w="840" w:type="dxa"/>
            <w:tcBorders>
              <w:top w:val="nil"/>
              <w:left w:val="single" w:sz="6" w:space="0" w:color="auto"/>
              <w:bottom w:val="nil"/>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14,992.4</w:t>
            </w:r>
          </w:p>
        </w:tc>
        <w:tc>
          <w:tcPr>
            <w:tcW w:w="784" w:type="dxa"/>
            <w:tcBorders>
              <w:top w:val="nil"/>
              <w:left w:val="single" w:sz="6" w:space="0" w:color="auto"/>
              <w:bottom w:val="nil"/>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16.1</w:t>
            </w:r>
          </w:p>
        </w:tc>
        <w:tc>
          <w:tcPr>
            <w:tcW w:w="853" w:type="dxa"/>
            <w:tcBorders>
              <w:top w:val="nil"/>
              <w:left w:val="single" w:sz="6" w:space="0" w:color="auto"/>
              <w:bottom w:val="nil"/>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22,398.9</w:t>
            </w:r>
          </w:p>
        </w:tc>
        <w:tc>
          <w:tcPr>
            <w:tcW w:w="784" w:type="dxa"/>
            <w:tcBorders>
              <w:top w:val="nil"/>
              <w:left w:val="single" w:sz="6" w:space="0" w:color="auto"/>
              <w:bottom w:val="nil"/>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15.5</w:t>
            </w:r>
          </w:p>
        </w:tc>
        <w:tc>
          <w:tcPr>
            <w:tcW w:w="910" w:type="dxa"/>
            <w:tcBorders>
              <w:top w:val="nil"/>
              <w:left w:val="single" w:sz="6" w:space="0" w:color="auto"/>
              <w:bottom w:val="nil"/>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-7,406.5</w:t>
            </w:r>
          </w:p>
        </w:tc>
        <w:tc>
          <w:tcPr>
            <w:tcW w:w="854" w:type="dxa"/>
            <w:tcBorders>
              <w:top w:val="nil"/>
              <w:left w:val="single" w:sz="6" w:space="0" w:color="auto"/>
              <w:bottom w:val="nil"/>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3.1</w:t>
            </w:r>
          </w:p>
        </w:tc>
        <w:tc>
          <w:tcPr>
            <w:tcW w:w="835" w:type="dxa"/>
            <w:tcBorders>
              <w:top w:val="nil"/>
              <w:left w:val="single" w:sz="6" w:space="0" w:color="auto"/>
              <w:bottom w:val="nil"/>
              <w:right w:val="nil"/>
            </w:tcBorders>
            <w:shd w:val="clear" w:color="auto" w:fill="auto"/>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9.0</w:t>
            </w:r>
          </w:p>
        </w:tc>
      </w:tr>
      <w:tr w:rsidR="00BB12B0" w:rsidRPr="00B118E9" w:rsidTr="00BD6B4B">
        <w:trPr>
          <w:cantSplit/>
        </w:trPr>
        <w:tc>
          <w:tcPr>
            <w:tcW w:w="1288" w:type="dxa"/>
            <w:tcBorders>
              <w:top w:val="nil"/>
              <w:left w:val="nil"/>
              <w:bottom w:val="nil"/>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2012</w:t>
            </w:r>
            <w:r w:rsidRPr="00B118E9">
              <w:rPr>
                <w:rFonts w:eastAsia="標楷體"/>
                <w:bCs/>
                <w:sz w:val="22"/>
              </w:rPr>
              <w:t>年</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2.3</w:t>
            </w:r>
          </w:p>
        </w:tc>
        <w:tc>
          <w:tcPr>
            <w:tcW w:w="844" w:type="dxa"/>
            <w:tcBorders>
              <w:top w:val="nil"/>
              <w:left w:val="single" w:sz="6" w:space="0" w:color="auto"/>
              <w:bottom w:val="nil"/>
              <w:right w:val="single" w:sz="6" w:space="0" w:color="auto"/>
            </w:tcBorders>
            <w:shd w:val="clear" w:color="auto" w:fill="auto"/>
            <w:vAlign w:val="center"/>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3.8</w:t>
            </w:r>
          </w:p>
        </w:tc>
        <w:tc>
          <w:tcPr>
            <w:tcW w:w="840" w:type="dxa"/>
            <w:tcBorders>
              <w:top w:val="nil"/>
              <w:left w:val="single" w:sz="6" w:space="0" w:color="auto"/>
              <w:bottom w:val="nil"/>
              <w:right w:val="single" w:sz="6" w:space="0" w:color="auto"/>
            </w:tcBorders>
            <w:shd w:val="clear" w:color="auto" w:fill="auto"/>
            <w:vAlign w:val="center"/>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15,616.9</w:t>
            </w:r>
          </w:p>
        </w:tc>
        <w:tc>
          <w:tcPr>
            <w:tcW w:w="784" w:type="dxa"/>
            <w:tcBorders>
              <w:top w:val="nil"/>
              <w:left w:val="single" w:sz="6" w:space="0" w:color="auto"/>
              <w:bottom w:val="nil"/>
              <w:right w:val="single" w:sz="6" w:space="0" w:color="auto"/>
            </w:tcBorders>
            <w:shd w:val="clear" w:color="auto" w:fill="auto"/>
            <w:vAlign w:val="center"/>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4.4</w:t>
            </w:r>
          </w:p>
        </w:tc>
        <w:tc>
          <w:tcPr>
            <w:tcW w:w="853" w:type="dxa"/>
            <w:tcBorders>
              <w:top w:val="nil"/>
              <w:left w:val="single" w:sz="6" w:space="0" w:color="auto"/>
              <w:bottom w:val="nil"/>
              <w:right w:val="single" w:sz="6" w:space="0" w:color="auto"/>
            </w:tcBorders>
            <w:shd w:val="clear" w:color="auto" w:fill="auto"/>
            <w:vAlign w:val="center"/>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23,037.9</w:t>
            </w:r>
          </w:p>
        </w:tc>
        <w:tc>
          <w:tcPr>
            <w:tcW w:w="784" w:type="dxa"/>
            <w:tcBorders>
              <w:top w:val="nil"/>
              <w:left w:val="single" w:sz="6" w:space="0" w:color="auto"/>
              <w:bottom w:val="nil"/>
              <w:right w:val="single" w:sz="6" w:space="0" w:color="auto"/>
            </w:tcBorders>
            <w:shd w:val="clear" w:color="auto" w:fill="auto"/>
            <w:vAlign w:val="center"/>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2.9</w:t>
            </w:r>
          </w:p>
        </w:tc>
        <w:tc>
          <w:tcPr>
            <w:tcW w:w="910" w:type="dxa"/>
            <w:tcBorders>
              <w:top w:val="nil"/>
              <w:left w:val="single" w:sz="6" w:space="0" w:color="auto"/>
              <w:bottom w:val="nil"/>
              <w:right w:val="single" w:sz="6" w:space="0" w:color="auto"/>
            </w:tcBorders>
            <w:shd w:val="clear" w:color="auto" w:fill="auto"/>
            <w:vAlign w:val="center"/>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-7,421.0</w:t>
            </w: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2.1</w:t>
            </w:r>
          </w:p>
        </w:tc>
        <w:tc>
          <w:tcPr>
            <w:tcW w:w="835" w:type="dxa"/>
            <w:tcBorders>
              <w:top w:val="nil"/>
              <w:left w:val="single" w:sz="6" w:space="0" w:color="auto"/>
              <w:bottom w:val="nil"/>
              <w:right w:val="nil"/>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8.1</w:t>
            </w:r>
          </w:p>
        </w:tc>
      </w:tr>
      <w:tr w:rsidR="00BB12B0" w:rsidRPr="00B118E9" w:rsidTr="00BD6B4B">
        <w:trPr>
          <w:cantSplit/>
        </w:trPr>
        <w:tc>
          <w:tcPr>
            <w:tcW w:w="1288" w:type="dxa"/>
            <w:tcBorders>
              <w:top w:val="nil"/>
              <w:left w:val="nil"/>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2013</w:t>
            </w:r>
            <w:r w:rsidRPr="00B118E9">
              <w:rPr>
                <w:rFonts w:eastAsia="標楷體"/>
                <w:bCs/>
                <w:sz w:val="22"/>
              </w:rPr>
              <w:t>年</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2.2</w:t>
            </w:r>
          </w:p>
        </w:tc>
        <w:tc>
          <w:tcPr>
            <w:tcW w:w="844" w:type="dxa"/>
            <w:tcBorders>
              <w:top w:val="nil"/>
              <w:left w:val="single" w:sz="6" w:space="0" w:color="auto"/>
              <w:bottom w:val="nil"/>
              <w:right w:val="single" w:sz="6" w:space="0" w:color="auto"/>
            </w:tcBorders>
            <w:shd w:val="clear" w:color="auto" w:fill="auto"/>
            <w:vAlign w:val="center"/>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2.9</w:t>
            </w:r>
          </w:p>
        </w:tc>
        <w:tc>
          <w:tcPr>
            <w:tcW w:w="840" w:type="dxa"/>
            <w:tcBorders>
              <w:top w:val="nil"/>
              <w:left w:val="single" w:sz="6" w:space="0" w:color="auto"/>
              <w:bottom w:val="nil"/>
              <w:right w:val="single" w:sz="6" w:space="0" w:color="auto"/>
            </w:tcBorders>
            <w:shd w:val="clear" w:color="auto" w:fill="auto"/>
            <w:vAlign w:val="center"/>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15,927.8</w:t>
            </w:r>
          </w:p>
        </w:tc>
        <w:tc>
          <w:tcPr>
            <w:tcW w:w="784" w:type="dxa"/>
            <w:tcBorders>
              <w:top w:val="nil"/>
              <w:left w:val="single" w:sz="6" w:space="0" w:color="auto"/>
              <w:bottom w:val="nil"/>
              <w:right w:val="single" w:sz="6" w:space="0" w:color="auto"/>
            </w:tcBorders>
            <w:shd w:val="clear" w:color="auto" w:fill="auto"/>
            <w:vAlign w:val="center"/>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1.8</w:t>
            </w:r>
          </w:p>
        </w:tc>
        <w:tc>
          <w:tcPr>
            <w:tcW w:w="853" w:type="dxa"/>
            <w:tcBorders>
              <w:top w:val="nil"/>
              <w:left w:val="single" w:sz="6" w:space="0" w:color="auto"/>
              <w:bottom w:val="nil"/>
              <w:right w:val="single" w:sz="6" w:space="0" w:color="auto"/>
            </w:tcBorders>
            <w:shd w:val="clear" w:color="auto" w:fill="auto"/>
            <w:vAlign w:val="center"/>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22,944.5</w:t>
            </w:r>
          </w:p>
        </w:tc>
        <w:tc>
          <w:tcPr>
            <w:tcW w:w="784" w:type="dxa"/>
            <w:tcBorders>
              <w:top w:val="nil"/>
              <w:left w:val="single" w:sz="6" w:space="0" w:color="auto"/>
              <w:bottom w:val="nil"/>
              <w:right w:val="single" w:sz="6" w:space="0" w:color="auto"/>
            </w:tcBorders>
            <w:shd w:val="clear" w:color="auto" w:fill="auto"/>
            <w:vAlign w:val="center"/>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-0.4</w:t>
            </w:r>
          </w:p>
        </w:tc>
        <w:tc>
          <w:tcPr>
            <w:tcW w:w="910" w:type="dxa"/>
            <w:tcBorders>
              <w:top w:val="nil"/>
              <w:left w:val="single" w:sz="6" w:space="0" w:color="auto"/>
              <w:bottom w:val="nil"/>
              <w:right w:val="single" w:sz="6" w:space="0" w:color="auto"/>
            </w:tcBorders>
            <w:shd w:val="clear" w:color="auto" w:fill="auto"/>
            <w:vAlign w:val="center"/>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-7,016.7</w:t>
            </w: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1.5</w:t>
            </w:r>
          </w:p>
        </w:tc>
        <w:tc>
          <w:tcPr>
            <w:tcW w:w="835" w:type="dxa"/>
            <w:tcBorders>
              <w:top w:val="nil"/>
              <w:left w:val="single" w:sz="6" w:space="0" w:color="auto"/>
              <w:bottom w:val="nil"/>
              <w:right w:val="nil"/>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7.4</w:t>
            </w:r>
          </w:p>
        </w:tc>
      </w:tr>
      <w:tr w:rsidR="00BB12B0" w:rsidRPr="00B118E9" w:rsidTr="00BD6B4B">
        <w:trPr>
          <w:cantSplit/>
        </w:trPr>
        <w:tc>
          <w:tcPr>
            <w:tcW w:w="1288" w:type="dxa"/>
            <w:tcBorders>
              <w:top w:val="nil"/>
              <w:left w:val="nil"/>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2014</w:t>
            </w:r>
            <w:r w:rsidRPr="00B118E9">
              <w:rPr>
                <w:rFonts w:eastAsia="標楷體"/>
                <w:bCs/>
                <w:sz w:val="22"/>
              </w:rPr>
              <w:t>年</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2.4</w:t>
            </w:r>
          </w:p>
        </w:tc>
        <w:tc>
          <w:tcPr>
            <w:tcW w:w="84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4.1</w:t>
            </w:r>
          </w:p>
        </w:tc>
        <w:tc>
          <w:tcPr>
            <w:tcW w:w="84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16,351.3</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2.7</w:t>
            </w:r>
          </w:p>
        </w:tc>
        <w:tc>
          <w:tcPr>
            <w:tcW w:w="853"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23,709.2</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3.3</w:t>
            </w:r>
          </w:p>
        </w:tc>
        <w:tc>
          <w:tcPr>
            <w:tcW w:w="91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-7,357.9</w:t>
            </w: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1.6</w:t>
            </w:r>
          </w:p>
        </w:tc>
        <w:tc>
          <w:tcPr>
            <w:tcW w:w="835" w:type="dxa"/>
            <w:tcBorders>
              <w:top w:val="nil"/>
              <w:left w:val="single" w:sz="6" w:space="0" w:color="auto"/>
              <w:bottom w:val="nil"/>
              <w:right w:val="nil"/>
            </w:tcBorders>
            <w:shd w:val="clear" w:color="auto" w:fill="auto"/>
            <w:vAlign w:val="center"/>
          </w:tcPr>
          <w:p w:rsidR="00BB12B0" w:rsidRPr="00B118E9" w:rsidRDefault="00BB12B0" w:rsidP="00BD6B4B">
            <w:pPr>
              <w:tabs>
                <w:tab w:val="left" w:pos="6840"/>
              </w:tabs>
              <w:autoSpaceDE w:val="0"/>
              <w:autoSpaceDN w:val="0"/>
              <w:adjustRightInd w:val="0"/>
              <w:snapToGrid w:val="0"/>
              <w:jc w:val="center"/>
              <w:rPr>
                <w:rFonts w:eastAsia="標楷體"/>
                <w:bCs/>
                <w:sz w:val="22"/>
                <w:szCs w:val="22"/>
              </w:rPr>
            </w:pPr>
            <w:r w:rsidRPr="00B118E9">
              <w:rPr>
                <w:rFonts w:eastAsia="標楷體"/>
                <w:bCs/>
                <w:sz w:val="22"/>
                <w:szCs w:val="22"/>
              </w:rPr>
              <w:t>6.2</w:t>
            </w:r>
          </w:p>
        </w:tc>
      </w:tr>
      <w:tr w:rsidR="00BB12B0" w:rsidRPr="00B118E9" w:rsidTr="00BD6B4B">
        <w:trPr>
          <w:cantSplit/>
        </w:trPr>
        <w:tc>
          <w:tcPr>
            <w:tcW w:w="1288" w:type="dxa"/>
            <w:tcBorders>
              <w:top w:val="nil"/>
              <w:left w:val="nil"/>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4</w:t>
            </w:r>
            <w:r w:rsidRPr="00B118E9">
              <w:rPr>
                <w:rFonts w:eastAsia="標楷體"/>
                <w:bCs/>
                <w:sz w:val="22"/>
              </w:rPr>
              <w:t>月</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3.5</w:t>
            </w:r>
          </w:p>
        </w:tc>
        <w:tc>
          <w:tcPr>
            <w:tcW w:w="84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1,354.0</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3.1</w:t>
            </w:r>
          </w:p>
        </w:tc>
        <w:tc>
          <w:tcPr>
            <w:tcW w:w="853"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2,006.4</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5.6</w:t>
            </w:r>
          </w:p>
        </w:tc>
        <w:tc>
          <w:tcPr>
            <w:tcW w:w="91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-652.4</w:t>
            </w: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2.0</w:t>
            </w:r>
          </w:p>
        </w:tc>
        <w:tc>
          <w:tcPr>
            <w:tcW w:w="835" w:type="dxa"/>
            <w:tcBorders>
              <w:top w:val="nil"/>
              <w:left w:val="single" w:sz="6" w:space="0" w:color="auto"/>
              <w:bottom w:val="nil"/>
              <w:right w:val="nil"/>
            </w:tcBorders>
            <w:shd w:val="clear" w:color="auto" w:fill="auto"/>
            <w:vAlign w:val="center"/>
          </w:tcPr>
          <w:p w:rsidR="00BB12B0" w:rsidRPr="00B118E9" w:rsidRDefault="00BB12B0" w:rsidP="00BD6B4B">
            <w:pPr>
              <w:tabs>
                <w:tab w:val="left" w:pos="6840"/>
              </w:tabs>
              <w:autoSpaceDE w:val="0"/>
              <w:autoSpaceDN w:val="0"/>
              <w:adjustRightInd w:val="0"/>
              <w:snapToGrid w:val="0"/>
              <w:jc w:val="center"/>
              <w:rPr>
                <w:rFonts w:eastAsia="標楷體"/>
                <w:bCs/>
                <w:sz w:val="22"/>
                <w:szCs w:val="22"/>
              </w:rPr>
            </w:pPr>
            <w:r w:rsidRPr="00B118E9">
              <w:rPr>
                <w:rFonts w:eastAsia="標楷體"/>
                <w:bCs/>
                <w:sz w:val="22"/>
                <w:szCs w:val="22"/>
              </w:rPr>
              <w:t>6.3</w:t>
            </w:r>
          </w:p>
        </w:tc>
      </w:tr>
      <w:tr w:rsidR="00BB12B0" w:rsidRPr="00B118E9" w:rsidTr="00BD6B4B">
        <w:trPr>
          <w:cantSplit/>
        </w:trPr>
        <w:tc>
          <w:tcPr>
            <w:tcW w:w="1288" w:type="dxa"/>
            <w:tcBorders>
              <w:top w:val="nil"/>
              <w:left w:val="nil"/>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5</w:t>
            </w:r>
            <w:r w:rsidRPr="00B118E9">
              <w:rPr>
                <w:rFonts w:eastAsia="標楷體"/>
                <w:bCs/>
                <w:sz w:val="22"/>
              </w:rPr>
              <w:t>月</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4.6(II)</w:t>
            </w:r>
          </w:p>
        </w:tc>
        <w:tc>
          <w:tcPr>
            <w:tcW w:w="84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4.3</w:t>
            </w:r>
          </w:p>
        </w:tc>
        <w:tc>
          <w:tcPr>
            <w:tcW w:w="84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1,372.4</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5.3</w:t>
            </w:r>
          </w:p>
        </w:tc>
        <w:tc>
          <w:tcPr>
            <w:tcW w:w="853"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1,999.9</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3.3</w:t>
            </w:r>
          </w:p>
        </w:tc>
        <w:tc>
          <w:tcPr>
            <w:tcW w:w="91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-627.5</w:t>
            </w: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2.1</w:t>
            </w:r>
          </w:p>
        </w:tc>
        <w:tc>
          <w:tcPr>
            <w:tcW w:w="835" w:type="dxa"/>
            <w:tcBorders>
              <w:top w:val="nil"/>
              <w:left w:val="single" w:sz="6" w:space="0" w:color="auto"/>
              <w:bottom w:val="nil"/>
              <w:right w:val="nil"/>
            </w:tcBorders>
            <w:shd w:val="clear" w:color="auto" w:fill="auto"/>
            <w:vAlign w:val="center"/>
          </w:tcPr>
          <w:p w:rsidR="00BB12B0" w:rsidRPr="00B118E9" w:rsidRDefault="00BB12B0" w:rsidP="00BD6B4B">
            <w:pPr>
              <w:tabs>
                <w:tab w:val="left" w:pos="6840"/>
              </w:tabs>
              <w:autoSpaceDE w:val="0"/>
              <w:autoSpaceDN w:val="0"/>
              <w:adjustRightInd w:val="0"/>
              <w:snapToGrid w:val="0"/>
              <w:jc w:val="center"/>
              <w:rPr>
                <w:rFonts w:eastAsia="標楷體"/>
                <w:bCs/>
                <w:sz w:val="22"/>
                <w:szCs w:val="22"/>
              </w:rPr>
            </w:pPr>
            <w:r w:rsidRPr="00B118E9">
              <w:rPr>
                <w:rFonts w:eastAsia="標楷體"/>
                <w:bCs/>
                <w:sz w:val="22"/>
                <w:szCs w:val="22"/>
              </w:rPr>
              <w:t>6.3</w:t>
            </w:r>
          </w:p>
        </w:tc>
      </w:tr>
      <w:tr w:rsidR="00BB12B0" w:rsidRPr="00B118E9" w:rsidTr="00BD6B4B">
        <w:trPr>
          <w:cantSplit/>
        </w:trPr>
        <w:tc>
          <w:tcPr>
            <w:tcW w:w="1288" w:type="dxa"/>
            <w:tcBorders>
              <w:top w:val="nil"/>
              <w:left w:val="nil"/>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6</w:t>
            </w:r>
            <w:r w:rsidRPr="00B118E9">
              <w:rPr>
                <w:rFonts w:eastAsia="標楷體"/>
                <w:bCs/>
                <w:sz w:val="22"/>
              </w:rPr>
              <w:t>月</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4.3</w:t>
            </w:r>
          </w:p>
        </w:tc>
        <w:tc>
          <w:tcPr>
            <w:tcW w:w="84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1,369.9</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2.7</w:t>
            </w:r>
          </w:p>
        </w:tc>
        <w:tc>
          <w:tcPr>
            <w:tcW w:w="853"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1,972.4</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4.7</w:t>
            </w:r>
          </w:p>
        </w:tc>
        <w:tc>
          <w:tcPr>
            <w:tcW w:w="91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-602.5</w:t>
            </w: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2.1</w:t>
            </w:r>
          </w:p>
        </w:tc>
        <w:tc>
          <w:tcPr>
            <w:tcW w:w="835" w:type="dxa"/>
            <w:tcBorders>
              <w:top w:val="nil"/>
              <w:left w:val="single" w:sz="6" w:space="0" w:color="auto"/>
              <w:bottom w:val="nil"/>
              <w:right w:val="nil"/>
            </w:tcBorders>
            <w:shd w:val="clear" w:color="auto" w:fill="auto"/>
            <w:vAlign w:val="center"/>
          </w:tcPr>
          <w:p w:rsidR="00BB12B0" w:rsidRPr="00B118E9" w:rsidRDefault="00BB12B0" w:rsidP="00BD6B4B">
            <w:pPr>
              <w:tabs>
                <w:tab w:val="left" w:pos="6840"/>
              </w:tabs>
              <w:autoSpaceDE w:val="0"/>
              <w:autoSpaceDN w:val="0"/>
              <w:adjustRightInd w:val="0"/>
              <w:snapToGrid w:val="0"/>
              <w:jc w:val="center"/>
              <w:rPr>
                <w:rFonts w:eastAsia="標楷體"/>
                <w:bCs/>
                <w:sz w:val="22"/>
                <w:szCs w:val="22"/>
              </w:rPr>
            </w:pPr>
            <w:r w:rsidRPr="00B118E9">
              <w:rPr>
                <w:rFonts w:eastAsia="標楷體"/>
                <w:bCs/>
                <w:sz w:val="22"/>
                <w:szCs w:val="22"/>
              </w:rPr>
              <w:t>6.1</w:t>
            </w:r>
          </w:p>
        </w:tc>
      </w:tr>
      <w:tr w:rsidR="00BB12B0" w:rsidRPr="00B118E9" w:rsidTr="00BD6B4B">
        <w:trPr>
          <w:cantSplit/>
        </w:trPr>
        <w:tc>
          <w:tcPr>
            <w:tcW w:w="1288" w:type="dxa"/>
            <w:tcBorders>
              <w:top w:val="nil"/>
              <w:left w:val="nil"/>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7</w:t>
            </w:r>
            <w:r w:rsidRPr="00B118E9">
              <w:rPr>
                <w:rFonts w:eastAsia="標楷體"/>
                <w:bCs/>
                <w:sz w:val="22"/>
              </w:rPr>
              <w:t>月</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5.0</w:t>
            </w:r>
          </w:p>
        </w:tc>
        <w:tc>
          <w:tcPr>
            <w:tcW w:w="84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1,393.4</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4.9</w:t>
            </w:r>
          </w:p>
        </w:tc>
        <w:tc>
          <w:tcPr>
            <w:tcW w:w="853"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1,986.0</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4.1</w:t>
            </w:r>
          </w:p>
        </w:tc>
        <w:tc>
          <w:tcPr>
            <w:tcW w:w="91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-592.6</w:t>
            </w: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2.0</w:t>
            </w:r>
          </w:p>
        </w:tc>
        <w:tc>
          <w:tcPr>
            <w:tcW w:w="835" w:type="dxa"/>
            <w:tcBorders>
              <w:top w:val="nil"/>
              <w:left w:val="single" w:sz="6" w:space="0" w:color="auto"/>
              <w:bottom w:val="nil"/>
              <w:right w:val="nil"/>
            </w:tcBorders>
            <w:shd w:val="clear" w:color="auto" w:fill="auto"/>
            <w:vAlign w:val="center"/>
          </w:tcPr>
          <w:p w:rsidR="00BB12B0" w:rsidRPr="00B118E9" w:rsidRDefault="00BB12B0" w:rsidP="00BD6B4B">
            <w:pPr>
              <w:tabs>
                <w:tab w:val="left" w:pos="6840"/>
              </w:tabs>
              <w:autoSpaceDE w:val="0"/>
              <w:autoSpaceDN w:val="0"/>
              <w:adjustRightInd w:val="0"/>
              <w:snapToGrid w:val="0"/>
              <w:jc w:val="center"/>
              <w:rPr>
                <w:rFonts w:eastAsia="標楷體"/>
                <w:bCs/>
                <w:sz w:val="22"/>
                <w:szCs w:val="22"/>
              </w:rPr>
            </w:pPr>
            <w:r w:rsidRPr="00B118E9">
              <w:rPr>
                <w:rFonts w:eastAsia="標楷體"/>
                <w:bCs/>
                <w:sz w:val="22"/>
                <w:szCs w:val="22"/>
              </w:rPr>
              <w:t>6.2</w:t>
            </w:r>
          </w:p>
        </w:tc>
      </w:tr>
      <w:tr w:rsidR="00BB12B0" w:rsidRPr="00B118E9" w:rsidTr="00BD6B4B">
        <w:trPr>
          <w:cantSplit/>
        </w:trPr>
        <w:tc>
          <w:tcPr>
            <w:tcW w:w="1288" w:type="dxa"/>
            <w:tcBorders>
              <w:top w:val="nil"/>
              <w:left w:val="nil"/>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8</w:t>
            </w:r>
            <w:r w:rsidRPr="00B118E9">
              <w:rPr>
                <w:rFonts w:eastAsia="標楷體"/>
                <w:bCs/>
                <w:sz w:val="22"/>
              </w:rPr>
              <w:t>月</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5.0(III)</w:t>
            </w:r>
          </w:p>
        </w:tc>
        <w:tc>
          <w:tcPr>
            <w:tcW w:w="84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4.1</w:t>
            </w:r>
          </w:p>
        </w:tc>
        <w:tc>
          <w:tcPr>
            <w:tcW w:w="84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1,393.0</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4.9</w:t>
            </w:r>
          </w:p>
        </w:tc>
        <w:tc>
          <w:tcPr>
            <w:tcW w:w="853"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1,987.8</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-594.9</w:t>
            </w: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1.7</w:t>
            </w:r>
          </w:p>
        </w:tc>
        <w:tc>
          <w:tcPr>
            <w:tcW w:w="835" w:type="dxa"/>
            <w:tcBorders>
              <w:top w:val="nil"/>
              <w:left w:val="single" w:sz="6" w:space="0" w:color="auto"/>
              <w:bottom w:val="nil"/>
              <w:right w:val="nil"/>
            </w:tcBorders>
            <w:shd w:val="clear" w:color="auto" w:fill="auto"/>
            <w:vAlign w:val="center"/>
          </w:tcPr>
          <w:p w:rsidR="00BB12B0" w:rsidRPr="00B118E9" w:rsidRDefault="00BB12B0" w:rsidP="00BD6B4B">
            <w:pPr>
              <w:tabs>
                <w:tab w:val="left" w:pos="6840"/>
              </w:tabs>
              <w:autoSpaceDE w:val="0"/>
              <w:autoSpaceDN w:val="0"/>
              <w:adjustRightInd w:val="0"/>
              <w:snapToGrid w:val="0"/>
              <w:jc w:val="center"/>
              <w:rPr>
                <w:rFonts w:eastAsia="標楷體"/>
                <w:bCs/>
                <w:sz w:val="22"/>
                <w:szCs w:val="22"/>
              </w:rPr>
            </w:pPr>
            <w:r w:rsidRPr="00B118E9">
              <w:rPr>
                <w:rFonts w:eastAsia="標楷體"/>
                <w:bCs/>
                <w:sz w:val="22"/>
                <w:szCs w:val="22"/>
              </w:rPr>
              <w:t>6.1</w:t>
            </w:r>
          </w:p>
        </w:tc>
      </w:tr>
      <w:tr w:rsidR="00BB12B0" w:rsidRPr="00B118E9" w:rsidTr="00BD6B4B">
        <w:trPr>
          <w:cantSplit/>
        </w:trPr>
        <w:tc>
          <w:tcPr>
            <w:tcW w:w="1288" w:type="dxa"/>
            <w:tcBorders>
              <w:top w:val="nil"/>
              <w:left w:val="nil"/>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9</w:t>
            </w:r>
            <w:r w:rsidRPr="00B118E9">
              <w:rPr>
                <w:rFonts w:eastAsia="標楷體"/>
                <w:bCs/>
                <w:sz w:val="22"/>
              </w:rPr>
              <w:t>月</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4.3</w:t>
            </w:r>
          </w:p>
        </w:tc>
        <w:tc>
          <w:tcPr>
            <w:tcW w:w="84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1,363.5</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3.0</w:t>
            </w:r>
          </w:p>
        </w:tc>
        <w:tc>
          <w:tcPr>
            <w:tcW w:w="853"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1,987.0</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2.5</w:t>
            </w:r>
          </w:p>
        </w:tc>
        <w:tc>
          <w:tcPr>
            <w:tcW w:w="91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-623.5</w:t>
            </w: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1.7</w:t>
            </w:r>
          </w:p>
        </w:tc>
        <w:tc>
          <w:tcPr>
            <w:tcW w:w="835" w:type="dxa"/>
            <w:tcBorders>
              <w:top w:val="nil"/>
              <w:left w:val="single" w:sz="6" w:space="0" w:color="auto"/>
              <w:bottom w:val="nil"/>
              <w:right w:val="nil"/>
            </w:tcBorders>
            <w:shd w:val="clear" w:color="auto" w:fill="auto"/>
            <w:vAlign w:val="center"/>
          </w:tcPr>
          <w:p w:rsidR="00BB12B0" w:rsidRPr="00B118E9" w:rsidRDefault="00BB12B0" w:rsidP="00BD6B4B">
            <w:pPr>
              <w:tabs>
                <w:tab w:val="left" w:pos="6840"/>
              </w:tabs>
              <w:autoSpaceDE w:val="0"/>
              <w:autoSpaceDN w:val="0"/>
              <w:adjustRightInd w:val="0"/>
              <w:snapToGrid w:val="0"/>
              <w:jc w:val="center"/>
              <w:rPr>
                <w:rFonts w:eastAsia="標楷體"/>
                <w:bCs/>
                <w:sz w:val="22"/>
                <w:szCs w:val="22"/>
              </w:rPr>
            </w:pPr>
            <w:r w:rsidRPr="00B118E9">
              <w:rPr>
                <w:rFonts w:eastAsia="標楷體"/>
                <w:bCs/>
                <w:sz w:val="22"/>
                <w:szCs w:val="22"/>
              </w:rPr>
              <w:t>5.9</w:t>
            </w:r>
          </w:p>
        </w:tc>
      </w:tr>
      <w:tr w:rsidR="00BB12B0" w:rsidRPr="00B118E9" w:rsidTr="00BD6B4B">
        <w:trPr>
          <w:cantSplit/>
        </w:trPr>
        <w:tc>
          <w:tcPr>
            <w:tcW w:w="1288" w:type="dxa"/>
            <w:tcBorders>
              <w:top w:val="nil"/>
              <w:left w:val="nil"/>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10</w:t>
            </w:r>
            <w:r w:rsidRPr="00B118E9">
              <w:rPr>
                <w:rFonts w:eastAsia="標楷體"/>
                <w:bCs/>
                <w:sz w:val="22"/>
              </w:rPr>
              <w:t>月</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4.0</w:t>
            </w:r>
          </w:p>
        </w:tc>
        <w:tc>
          <w:tcPr>
            <w:tcW w:w="84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1,389.5</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2.1</w:t>
            </w:r>
          </w:p>
        </w:tc>
        <w:tc>
          <w:tcPr>
            <w:tcW w:w="853"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2,001.2</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3.2</w:t>
            </w:r>
          </w:p>
        </w:tc>
        <w:tc>
          <w:tcPr>
            <w:tcW w:w="91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-611.7</w:t>
            </w: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1.7</w:t>
            </w:r>
          </w:p>
        </w:tc>
        <w:tc>
          <w:tcPr>
            <w:tcW w:w="835" w:type="dxa"/>
            <w:tcBorders>
              <w:top w:val="nil"/>
              <w:left w:val="single" w:sz="6" w:space="0" w:color="auto"/>
              <w:bottom w:val="nil"/>
              <w:right w:val="nil"/>
            </w:tcBorders>
            <w:shd w:val="clear" w:color="auto" w:fill="auto"/>
            <w:vAlign w:val="center"/>
          </w:tcPr>
          <w:p w:rsidR="00BB12B0" w:rsidRPr="00B118E9" w:rsidRDefault="00BB12B0" w:rsidP="00BD6B4B">
            <w:pPr>
              <w:tabs>
                <w:tab w:val="left" w:pos="6840"/>
              </w:tabs>
              <w:autoSpaceDE w:val="0"/>
              <w:autoSpaceDN w:val="0"/>
              <w:adjustRightInd w:val="0"/>
              <w:snapToGrid w:val="0"/>
              <w:jc w:val="center"/>
              <w:rPr>
                <w:rFonts w:eastAsia="標楷體"/>
                <w:bCs/>
                <w:sz w:val="22"/>
                <w:szCs w:val="22"/>
              </w:rPr>
            </w:pPr>
            <w:r w:rsidRPr="00B118E9">
              <w:rPr>
                <w:rFonts w:eastAsia="標楷體"/>
                <w:bCs/>
                <w:sz w:val="22"/>
                <w:szCs w:val="22"/>
              </w:rPr>
              <w:t>5.8</w:t>
            </w:r>
          </w:p>
        </w:tc>
      </w:tr>
      <w:tr w:rsidR="00BB12B0" w:rsidRPr="00B118E9" w:rsidTr="00BD6B4B">
        <w:trPr>
          <w:cantSplit/>
        </w:trPr>
        <w:tc>
          <w:tcPr>
            <w:tcW w:w="1288" w:type="dxa"/>
            <w:tcBorders>
              <w:top w:val="nil"/>
              <w:left w:val="nil"/>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11</w:t>
            </w:r>
            <w:r w:rsidRPr="00B118E9">
              <w:rPr>
                <w:rFonts w:eastAsia="標楷體"/>
                <w:bCs/>
                <w:sz w:val="22"/>
              </w:rPr>
              <w:t>月</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2.2(IV)</w:t>
            </w:r>
          </w:p>
        </w:tc>
        <w:tc>
          <w:tcPr>
            <w:tcW w:w="84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5.2</w:t>
            </w:r>
          </w:p>
        </w:tc>
        <w:tc>
          <w:tcPr>
            <w:tcW w:w="84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1,369.1</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0.1</w:t>
            </w:r>
          </w:p>
        </w:tc>
        <w:tc>
          <w:tcPr>
            <w:tcW w:w="853"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1,959.1</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2.3</w:t>
            </w:r>
          </w:p>
        </w:tc>
        <w:tc>
          <w:tcPr>
            <w:tcW w:w="91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-590.0</w:t>
            </w: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1.3</w:t>
            </w:r>
          </w:p>
        </w:tc>
        <w:tc>
          <w:tcPr>
            <w:tcW w:w="835" w:type="dxa"/>
            <w:tcBorders>
              <w:top w:val="nil"/>
              <w:left w:val="single" w:sz="6" w:space="0" w:color="auto"/>
              <w:bottom w:val="nil"/>
              <w:right w:val="nil"/>
            </w:tcBorders>
            <w:shd w:val="clear" w:color="auto" w:fill="auto"/>
            <w:vAlign w:val="center"/>
          </w:tcPr>
          <w:p w:rsidR="00BB12B0" w:rsidRPr="00B118E9" w:rsidRDefault="00BB12B0" w:rsidP="00BD6B4B">
            <w:pPr>
              <w:tabs>
                <w:tab w:val="left" w:pos="6840"/>
              </w:tabs>
              <w:autoSpaceDE w:val="0"/>
              <w:autoSpaceDN w:val="0"/>
              <w:adjustRightInd w:val="0"/>
              <w:snapToGrid w:val="0"/>
              <w:jc w:val="center"/>
              <w:rPr>
                <w:rFonts w:eastAsia="標楷體"/>
                <w:bCs/>
                <w:sz w:val="22"/>
                <w:szCs w:val="22"/>
              </w:rPr>
            </w:pPr>
            <w:r w:rsidRPr="00B118E9">
              <w:rPr>
                <w:rFonts w:eastAsia="標楷體"/>
                <w:bCs/>
                <w:sz w:val="22"/>
                <w:szCs w:val="22"/>
              </w:rPr>
              <w:t>5.8</w:t>
            </w:r>
          </w:p>
        </w:tc>
      </w:tr>
      <w:tr w:rsidR="00BB12B0" w:rsidRPr="00B118E9" w:rsidTr="00BD6B4B">
        <w:trPr>
          <w:cantSplit/>
        </w:trPr>
        <w:tc>
          <w:tcPr>
            <w:tcW w:w="1288" w:type="dxa"/>
            <w:tcBorders>
              <w:top w:val="nil"/>
              <w:left w:val="nil"/>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12</w:t>
            </w:r>
            <w:r w:rsidRPr="00B118E9">
              <w:rPr>
                <w:rFonts w:eastAsia="標楷體"/>
                <w:bCs/>
                <w:sz w:val="22"/>
              </w:rPr>
              <w:t>月</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4.9</w:t>
            </w:r>
          </w:p>
        </w:tc>
        <w:tc>
          <w:tcPr>
            <w:tcW w:w="84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1,342.2</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0.0</w:t>
            </w:r>
          </w:p>
        </w:tc>
        <w:tc>
          <w:tcPr>
            <w:tcW w:w="853"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1,992.3</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4.4</w:t>
            </w:r>
          </w:p>
        </w:tc>
        <w:tc>
          <w:tcPr>
            <w:tcW w:w="91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-650.2</w:t>
            </w: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0.8</w:t>
            </w:r>
          </w:p>
        </w:tc>
        <w:tc>
          <w:tcPr>
            <w:tcW w:w="835" w:type="dxa"/>
            <w:tcBorders>
              <w:top w:val="nil"/>
              <w:left w:val="single" w:sz="6" w:space="0" w:color="auto"/>
              <w:bottom w:val="nil"/>
              <w:right w:val="nil"/>
            </w:tcBorders>
            <w:shd w:val="clear" w:color="auto" w:fill="auto"/>
            <w:vAlign w:val="center"/>
          </w:tcPr>
          <w:p w:rsidR="00BB12B0" w:rsidRPr="00B118E9" w:rsidRDefault="00BB12B0" w:rsidP="00BD6B4B">
            <w:pPr>
              <w:tabs>
                <w:tab w:val="left" w:pos="6840"/>
              </w:tabs>
              <w:autoSpaceDE w:val="0"/>
              <w:autoSpaceDN w:val="0"/>
              <w:adjustRightInd w:val="0"/>
              <w:snapToGrid w:val="0"/>
              <w:jc w:val="center"/>
              <w:rPr>
                <w:rFonts w:eastAsia="標楷體"/>
                <w:bCs/>
                <w:sz w:val="22"/>
                <w:szCs w:val="22"/>
              </w:rPr>
            </w:pPr>
            <w:r w:rsidRPr="00B118E9">
              <w:rPr>
                <w:rFonts w:eastAsia="標楷體"/>
                <w:bCs/>
                <w:sz w:val="22"/>
                <w:szCs w:val="22"/>
              </w:rPr>
              <w:t>5.6</w:t>
            </w:r>
          </w:p>
        </w:tc>
      </w:tr>
      <w:tr w:rsidR="00BB12B0" w:rsidRPr="00B118E9" w:rsidTr="00BD6B4B">
        <w:trPr>
          <w:cantSplit/>
        </w:trPr>
        <w:tc>
          <w:tcPr>
            <w:tcW w:w="1288" w:type="dxa"/>
            <w:tcBorders>
              <w:top w:val="nil"/>
              <w:left w:val="nil"/>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2015</w:t>
            </w:r>
            <w:r w:rsidRPr="00B118E9">
              <w:rPr>
                <w:rFonts w:eastAsia="標楷體"/>
                <w:bCs/>
                <w:sz w:val="22"/>
              </w:rPr>
              <w:t>年</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p>
        </w:tc>
        <w:tc>
          <w:tcPr>
            <w:tcW w:w="853"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p>
        </w:tc>
        <w:tc>
          <w:tcPr>
            <w:tcW w:w="91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p>
        </w:tc>
        <w:tc>
          <w:tcPr>
            <w:tcW w:w="835" w:type="dxa"/>
            <w:tcBorders>
              <w:top w:val="nil"/>
              <w:left w:val="single" w:sz="6" w:space="0" w:color="auto"/>
              <w:bottom w:val="nil"/>
              <w:right w:val="nil"/>
            </w:tcBorders>
            <w:shd w:val="clear" w:color="auto" w:fill="auto"/>
            <w:vAlign w:val="center"/>
          </w:tcPr>
          <w:p w:rsidR="00BB12B0" w:rsidRPr="00B118E9" w:rsidRDefault="00BB12B0" w:rsidP="00BD6B4B">
            <w:pPr>
              <w:tabs>
                <w:tab w:val="left" w:pos="6840"/>
              </w:tabs>
              <w:autoSpaceDE w:val="0"/>
              <w:autoSpaceDN w:val="0"/>
              <w:adjustRightInd w:val="0"/>
              <w:snapToGrid w:val="0"/>
              <w:jc w:val="center"/>
              <w:rPr>
                <w:rFonts w:eastAsia="標楷體"/>
                <w:bCs/>
                <w:sz w:val="22"/>
                <w:szCs w:val="22"/>
              </w:rPr>
            </w:pPr>
          </w:p>
        </w:tc>
      </w:tr>
      <w:tr w:rsidR="00BB12B0" w:rsidRPr="00B118E9" w:rsidTr="00BD6B4B">
        <w:trPr>
          <w:cantSplit/>
        </w:trPr>
        <w:tc>
          <w:tcPr>
            <w:tcW w:w="1288" w:type="dxa"/>
            <w:tcBorders>
              <w:top w:val="nil"/>
              <w:left w:val="nil"/>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1</w:t>
            </w:r>
            <w:r w:rsidRPr="00B118E9">
              <w:rPr>
                <w:rFonts w:eastAsia="標楷體"/>
                <w:bCs/>
                <w:sz w:val="22"/>
              </w:rPr>
              <w:t>月</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4.8</w:t>
            </w:r>
          </w:p>
        </w:tc>
        <w:tc>
          <w:tcPr>
            <w:tcW w:w="84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1,285.4</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-4.0</w:t>
            </w:r>
          </w:p>
        </w:tc>
        <w:tc>
          <w:tcPr>
            <w:tcW w:w="853"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1,910.7</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-1.0</w:t>
            </w:r>
          </w:p>
        </w:tc>
        <w:tc>
          <w:tcPr>
            <w:tcW w:w="91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-625.3</w:t>
            </w: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-0.1</w:t>
            </w:r>
          </w:p>
        </w:tc>
        <w:tc>
          <w:tcPr>
            <w:tcW w:w="835" w:type="dxa"/>
            <w:tcBorders>
              <w:top w:val="nil"/>
              <w:left w:val="single" w:sz="6" w:space="0" w:color="auto"/>
              <w:bottom w:val="nil"/>
              <w:right w:val="nil"/>
            </w:tcBorders>
            <w:shd w:val="clear" w:color="auto" w:fill="auto"/>
            <w:vAlign w:val="center"/>
          </w:tcPr>
          <w:p w:rsidR="00BB12B0" w:rsidRPr="00B118E9" w:rsidRDefault="00BB12B0" w:rsidP="00BD6B4B">
            <w:pPr>
              <w:tabs>
                <w:tab w:val="left" w:pos="6840"/>
              </w:tabs>
              <w:autoSpaceDE w:val="0"/>
              <w:autoSpaceDN w:val="0"/>
              <w:adjustRightInd w:val="0"/>
              <w:snapToGrid w:val="0"/>
              <w:jc w:val="center"/>
              <w:rPr>
                <w:rFonts w:eastAsia="標楷體"/>
                <w:bCs/>
                <w:sz w:val="22"/>
                <w:szCs w:val="22"/>
              </w:rPr>
            </w:pPr>
            <w:r w:rsidRPr="00B118E9">
              <w:rPr>
                <w:rFonts w:eastAsia="標楷體"/>
                <w:bCs/>
                <w:sz w:val="22"/>
                <w:szCs w:val="22"/>
              </w:rPr>
              <w:t>5.7</w:t>
            </w:r>
          </w:p>
        </w:tc>
      </w:tr>
      <w:tr w:rsidR="00BB12B0" w:rsidRPr="00B118E9" w:rsidTr="00BD6B4B">
        <w:trPr>
          <w:cantSplit/>
        </w:trPr>
        <w:tc>
          <w:tcPr>
            <w:tcW w:w="1288" w:type="dxa"/>
            <w:tcBorders>
              <w:top w:val="nil"/>
              <w:left w:val="nil"/>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2</w:t>
            </w:r>
            <w:r w:rsidRPr="00B118E9">
              <w:rPr>
                <w:rFonts w:eastAsia="標楷體"/>
                <w:bCs/>
                <w:sz w:val="22"/>
              </w:rPr>
              <w:t>月</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0.2(I)</w:t>
            </w:r>
          </w:p>
        </w:tc>
        <w:tc>
          <w:tcPr>
            <w:tcW w:w="84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3.5</w:t>
            </w:r>
          </w:p>
        </w:tc>
        <w:tc>
          <w:tcPr>
            <w:tcW w:w="84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1,255.9</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-3.9</w:t>
            </w:r>
          </w:p>
        </w:tc>
        <w:tc>
          <w:tcPr>
            <w:tcW w:w="853"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1,812.7</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-4.9</w:t>
            </w:r>
          </w:p>
        </w:tc>
        <w:tc>
          <w:tcPr>
            <w:tcW w:w="91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-556.8</w:t>
            </w: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0.0</w:t>
            </w:r>
          </w:p>
        </w:tc>
        <w:tc>
          <w:tcPr>
            <w:tcW w:w="835" w:type="dxa"/>
            <w:tcBorders>
              <w:top w:val="nil"/>
              <w:left w:val="single" w:sz="6" w:space="0" w:color="auto"/>
              <w:bottom w:val="nil"/>
              <w:right w:val="nil"/>
            </w:tcBorders>
            <w:shd w:val="clear" w:color="auto" w:fill="auto"/>
            <w:vAlign w:val="center"/>
          </w:tcPr>
          <w:p w:rsidR="00BB12B0" w:rsidRPr="00B118E9" w:rsidRDefault="00BB12B0" w:rsidP="00BD6B4B">
            <w:pPr>
              <w:tabs>
                <w:tab w:val="left" w:pos="6840"/>
              </w:tabs>
              <w:autoSpaceDE w:val="0"/>
              <w:autoSpaceDN w:val="0"/>
              <w:adjustRightInd w:val="0"/>
              <w:snapToGrid w:val="0"/>
              <w:jc w:val="center"/>
              <w:rPr>
                <w:rFonts w:eastAsia="標楷體"/>
                <w:bCs/>
                <w:sz w:val="22"/>
                <w:szCs w:val="22"/>
              </w:rPr>
            </w:pPr>
            <w:r w:rsidRPr="00B118E9">
              <w:rPr>
                <w:rFonts w:eastAsia="標楷體"/>
                <w:bCs/>
                <w:sz w:val="22"/>
                <w:szCs w:val="22"/>
              </w:rPr>
              <w:t>5.5</w:t>
            </w:r>
          </w:p>
        </w:tc>
      </w:tr>
      <w:tr w:rsidR="00BB12B0" w:rsidRPr="00B118E9" w:rsidTr="00BD6B4B">
        <w:trPr>
          <w:cantSplit/>
        </w:trPr>
        <w:tc>
          <w:tcPr>
            <w:tcW w:w="1288" w:type="dxa"/>
            <w:tcBorders>
              <w:top w:val="nil"/>
              <w:left w:val="nil"/>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r w:rsidRPr="00B118E9">
              <w:rPr>
                <w:rFonts w:eastAsia="標楷體"/>
                <w:bCs/>
                <w:sz w:val="22"/>
              </w:rPr>
              <w:t>3</w:t>
            </w:r>
            <w:r w:rsidRPr="00B118E9">
              <w:rPr>
                <w:rFonts w:eastAsia="標楷體"/>
                <w:bCs/>
                <w:sz w:val="22"/>
              </w:rPr>
              <w:t>月</w:t>
            </w:r>
          </w:p>
        </w:tc>
        <w:tc>
          <w:tcPr>
            <w:tcW w:w="1008" w:type="dxa"/>
            <w:tcBorders>
              <w:top w:val="nil"/>
              <w:left w:val="single" w:sz="6" w:space="0" w:color="auto"/>
              <w:bottom w:val="nil"/>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2.0</w:t>
            </w:r>
          </w:p>
        </w:tc>
        <w:tc>
          <w:tcPr>
            <w:tcW w:w="84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1,270.7</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-6.5</w:t>
            </w:r>
          </w:p>
        </w:tc>
        <w:tc>
          <w:tcPr>
            <w:tcW w:w="853"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1,976.3</w:t>
            </w:r>
          </w:p>
        </w:tc>
        <w:tc>
          <w:tcPr>
            <w:tcW w:w="78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-0.2</w:t>
            </w:r>
          </w:p>
        </w:tc>
        <w:tc>
          <w:tcPr>
            <w:tcW w:w="910"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-705.6</w:t>
            </w:r>
          </w:p>
        </w:tc>
        <w:tc>
          <w:tcPr>
            <w:tcW w:w="854" w:type="dxa"/>
            <w:tcBorders>
              <w:top w:val="nil"/>
              <w:left w:val="single" w:sz="6" w:space="0" w:color="auto"/>
              <w:bottom w:val="nil"/>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-0.1</w:t>
            </w:r>
          </w:p>
        </w:tc>
        <w:tc>
          <w:tcPr>
            <w:tcW w:w="835" w:type="dxa"/>
            <w:tcBorders>
              <w:top w:val="nil"/>
              <w:left w:val="single" w:sz="6" w:space="0" w:color="auto"/>
              <w:bottom w:val="nil"/>
              <w:right w:val="nil"/>
            </w:tcBorders>
            <w:shd w:val="clear" w:color="auto" w:fill="auto"/>
            <w:vAlign w:val="center"/>
          </w:tcPr>
          <w:p w:rsidR="00BB12B0" w:rsidRPr="00B118E9" w:rsidRDefault="00BB12B0" w:rsidP="00BD6B4B">
            <w:pPr>
              <w:tabs>
                <w:tab w:val="left" w:pos="6840"/>
              </w:tabs>
              <w:autoSpaceDE w:val="0"/>
              <w:autoSpaceDN w:val="0"/>
              <w:adjustRightInd w:val="0"/>
              <w:snapToGrid w:val="0"/>
              <w:jc w:val="center"/>
              <w:rPr>
                <w:rFonts w:eastAsia="標楷體"/>
                <w:bCs/>
                <w:sz w:val="22"/>
                <w:szCs w:val="22"/>
              </w:rPr>
            </w:pPr>
            <w:r w:rsidRPr="00B118E9">
              <w:rPr>
                <w:rFonts w:eastAsia="標楷體"/>
                <w:bCs/>
                <w:sz w:val="22"/>
                <w:szCs w:val="22"/>
              </w:rPr>
              <w:t>5.5</w:t>
            </w:r>
          </w:p>
        </w:tc>
      </w:tr>
      <w:tr w:rsidR="00BB12B0" w:rsidRPr="00B118E9" w:rsidTr="00BD6B4B">
        <w:trPr>
          <w:cantSplit/>
        </w:trPr>
        <w:tc>
          <w:tcPr>
            <w:tcW w:w="1288" w:type="dxa"/>
            <w:tcBorders>
              <w:top w:val="nil"/>
              <w:left w:val="nil"/>
              <w:bottom w:val="single" w:sz="6" w:space="0" w:color="auto"/>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ind w:firstLineChars="200" w:firstLine="440"/>
              <w:rPr>
                <w:rFonts w:eastAsia="標楷體"/>
                <w:bCs/>
                <w:sz w:val="22"/>
              </w:rPr>
            </w:pPr>
            <w:r w:rsidRPr="00B118E9">
              <w:rPr>
                <w:rFonts w:eastAsia="標楷體"/>
                <w:bCs/>
                <w:sz w:val="22"/>
              </w:rPr>
              <w:t>4</w:t>
            </w:r>
            <w:r w:rsidRPr="00B118E9">
              <w:rPr>
                <w:rFonts w:eastAsia="標楷體"/>
                <w:bCs/>
                <w:sz w:val="22"/>
              </w:rPr>
              <w:t>月</w:t>
            </w:r>
          </w:p>
        </w:tc>
        <w:tc>
          <w:tcPr>
            <w:tcW w:w="1008" w:type="dxa"/>
            <w:tcBorders>
              <w:top w:val="nil"/>
              <w:left w:val="single" w:sz="6" w:space="0" w:color="auto"/>
              <w:bottom w:val="single" w:sz="6" w:space="0" w:color="auto"/>
              <w:right w:val="single" w:sz="6" w:space="0" w:color="auto"/>
            </w:tcBorders>
            <w:shd w:val="clear" w:color="auto" w:fill="auto"/>
          </w:tcPr>
          <w:p w:rsidR="00BB12B0" w:rsidRPr="00B118E9" w:rsidRDefault="00BB12B0" w:rsidP="00BD6B4B">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single" w:sz="6" w:space="0" w:color="auto"/>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1.9</w:t>
            </w:r>
          </w:p>
        </w:tc>
        <w:tc>
          <w:tcPr>
            <w:tcW w:w="840" w:type="dxa"/>
            <w:tcBorders>
              <w:top w:val="nil"/>
              <w:left w:val="single" w:sz="6" w:space="0" w:color="auto"/>
              <w:bottom w:val="single" w:sz="6" w:space="0" w:color="auto"/>
              <w:right w:val="single" w:sz="6" w:space="0" w:color="auto"/>
            </w:tcBorders>
            <w:shd w:val="clear" w:color="auto" w:fill="auto"/>
          </w:tcPr>
          <w:p w:rsidR="00BB12B0" w:rsidRPr="00B118E9" w:rsidRDefault="00BB12B0" w:rsidP="00BD6B4B">
            <w:pPr>
              <w:jc w:val="center"/>
              <w:rPr>
                <w:rFonts w:eastAsia="標楷體"/>
              </w:rPr>
            </w:pPr>
            <w:r w:rsidRPr="00B118E9">
              <w:rPr>
                <w:rFonts w:eastAsia="標楷體"/>
              </w:rPr>
              <w:t>-</w:t>
            </w:r>
          </w:p>
        </w:tc>
        <w:tc>
          <w:tcPr>
            <w:tcW w:w="784" w:type="dxa"/>
            <w:tcBorders>
              <w:top w:val="nil"/>
              <w:left w:val="single" w:sz="6" w:space="0" w:color="auto"/>
              <w:bottom w:val="single" w:sz="6" w:space="0" w:color="auto"/>
              <w:right w:val="single" w:sz="6" w:space="0" w:color="auto"/>
            </w:tcBorders>
            <w:shd w:val="clear" w:color="auto" w:fill="auto"/>
          </w:tcPr>
          <w:p w:rsidR="00BB12B0" w:rsidRPr="00B118E9" w:rsidRDefault="00BB12B0" w:rsidP="00BD6B4B">
            <w:pPr>
              <w:jc w:val="center"/>
              <w:rPr>
                <w:rFonts w:eastAsia="標楷體"/>
              </w:rPr>
            </w:pPr>
            <w:r w:rsidRPr="00B118E9">
              <w:rPr>
                <w:rFonts w:eastAsia="標楷體"/>
              </w:rPr>
              <w:t>-</w:t>
            </w:r>
          </w:p>
        </w:tc>
        <w:tc>
          <w:tcPr>
            <w:tcW w:w="853" w:type="dxa"/>
            <w:tcBorders>
              <w:top w:val="nil"/>
              <w:left w:val="single" w:sz="6" w:space="0" w:color="auto"/>
              <w:bottom w:val="single" w:sz="6" w:space="0" w:color="auto"/>
              <w:right w:val="single" w:sz="6" w:space="0" w:color="auto"/>
            </w:tcBorders>
            <w:shd w:val="clear" w:color="auto" w:fill="auto"/>
          </w:tcPr>
          <w:p w:rsidR="00BB12B0" w:rsidRPr="00B118E9" w:rsidRDefault="00BB12B0" w:rsidP="00BD6B4B">
            <w:pPr>
              <w:jc w:val="center"/>
              <w:rPr>
                <w:rFonts w:eastAsia="標楷體"/>
              </w:rPr>
            </w:pPr>
            <w:r w:rsidRPr="00B118E9">
              <w:rPr>
                <w:rFonts w:eastAsia="標楷體"/>
              </w:rPr>
              <w:t>-</w:t>
            </w:r>
          </w:p>
        </w:tc>
        <w:tc>
          <w:tcPr>
            <w:tcW w:w="784" w:type="dxa"/>
            <w:tcBorders>
              <w:top w:val="nil"/>
              <w:left w:val="single" w:sz="6" w:space="0" w:color="auto"/>
              <w:bottom w:val="single" w:sz="6" w:space="0" w:color="auto"/>
              <w:right w:val="single" w:sz="6" w:space="0" w:color="auto"/>
            </w:tcBorders>
            <w:shd w:val="clear" w:color="auto" w:fill="auto"/>
          </w:tcPr>
          <w:p w:rsidR="00BB12B0" w:rsidRPr="00B118E9" w:rsidRDefault="00BB12B0" w:rsidP="00BD6B4B">
            <w:pPr>
              <w:jc w:val="center"/>
              <w:rPr>
                <w:rFonts w:eastAsia="標楷體"/>
              </w:rPr>
            </w:pPr>
            <w:r w:rsidRPr="00B118E9">
              <w:rPr>
                <w:rFonts w:eastAsia="標楷體"/>
              </w:rPr>
              <w:t>-</w:t>
            </w:r>
          </w:p>
        </w:tc>
        <w:tc>
          <w:tcPr>
            <w:tcW w:w="910" w:type="dxa"/>
            <w:tcBorders>
              <w:top w:val="nil"/>
              <w:left w:val="single" w:sz="6" w:space="0" w:color="auto"/>
              <w:bottom w:val="single" w:sz="6" w:space="0" w:color="auto"/>
              <w:right w:val="single" w:sz="6" w:space="0" w:color="auto"/>
            </w:tcBorders>
            <w:shd w:val="clear" w:color="auto" w:fill="auto"/>
          </w:tcPr>
          <w:p w:rsidR="00BB12B0" w:rsidRPr="00B118E9" w:rsidRDefault="00BB12B0" w:rsidP="00BD6B4B">
            <w:pPr>
              <w:jc w:val="center"/>
              <w:rPr>
                <w:rFonts w:eastAsia="標楷體"/>
              </w:rPr>
            </w:pPr>
            <w:r w:rsidRPr="00B118E9">
              <w:rPr>
                <w:rFonts w:eastAsia="標楷體"/>
              </w:rPr>
              <w:t>-</w:t>
            </w:r>
          </w:p>
        </w:tc>
        <w:tc>
          <w:tcPr>
            <w:tcW w:w="854" w:type="dxa"/>
            <w:tcBorders>
              <w:top w:val="nil"/>
              <w:left w:val="single" w:sz="6" w:space="0" w:color="auto"/>
              <w:bottom w:val="single" w:sz="6" w:space="0" w:color="auto"/>
              <w:right w:val="single" w:sz="6" w:space="0" w:color="auto"/>
            </w:tcBorders>
            <w:shd w:val="clear" w:color="auto" w:fill="auto"/>
          </w:tcPr>
          <w:p w:rsidR="00BB12B0" w:rsidRPr="00B118E9" w:rsidRDefault="00BB12B0" w:rsidP="00BD6B4B">
            <w:pPr>
              <w:jc w:val="center"/>
              <w:rPr>
                <w:rFonts w:eastAsia="標楷體"/>
                <w:sz w:val="22"/>
                <w:szCs w:val="22"/>
              </w:rPr>
            </w:pPr>
            <w:r w:rsidRPr="00B118E9">
              <w:rPr>
                <w:rFonts w:eastAsia="標楷體"/>
                <w:sz w:val="22"/>
                <w:szCs w:val="22"/>
              </w:rPr>
              <w:t>-0.2</w:t>
            </w:r>
          </w:p>
        </w:tc>
        <w:tc>
          <w:tcPr>
            <w:tcW w:w="835" w:type="dxa"/>
            <w:tcBorders>
              <w:top w:val="nil"/>
              <w:left w:val="single" w:sz="6" w:space="0" w:color="auto"/>
              <w:bottom w:val="single" w:sz="6" w:space="0" w:color="auto"/>
              <w:right w:val="nil"/>
            </w:tcBorders>
            <w:shd w:val="clear" w:color="auto" w:fill="auto"/>
            <w:vAlign w:val="center"/>
          </w:tcPr>
          <w:p w:rsidR="00BB12B0" w:rsidRPr="00B118E9" w:rsidRDefault="00BB12B0" w:rsidP="00BD6B4B">
            <w:pPr>
              <w:tabs>
                <w:tab w:val="left" w:pos="6840"/>
              </w:tabs>
              <w:autoSpaceDE w:val="0"/>
              <w:autoSpaceDN w:val="0"/>
              <w:adjustRightInd w:val="0"/>
              <w:snapToGrid w:val="0"/>
              <w:jc w:val="center"/>
              <w:rPr>
                <w:rFonts w:eastAsia="標楷體"/>
                <w:bCs/>
                <w:sz w:val="22"/>
                <w:szCs w:val="22"/>
              </w:rPr>
            </w:pPr>
            <w:r w:rsidRPr="00B118E9">
              <w:rPr>
                <w:rFonts w:eastAsia="標楷體"/>
                <w:bCs/>
                <w:sz w:val="22"/>
                <w:szCs w:val="22"/>
              </w:rPr>
              <w:t>5.4</w:t>
            </w:r>
          </w:p>
        </w:tc>
      </w:tr>
    </w:tbl>
    <w:p w:rsidR="00BB12B0" w:rsidRPr="00B118E9" w:rsidRDefault="00BB12B0" w:rsidP="00BB12B0">
      <w:pPr>
        <w:tabs>
          <w:tab w:val="left" w:pos="6840"/>
        </w:tabs>
        <w:autoSpaceDE w:val="0"/>
        <w:autoSpaceDN w:val="0"/>
        <w:adjustRightInd w:val="0"/>
        <w:snapToGrid w:val="0"/>
        <w:spacing w:line="300" w:lineRule="exact"/>
        <w:jc w:val="both"/>
        <w:rPr>
          <w:rFonts w:eastAsia="標楷體"/>
          <w:bCs/>
          <w:sz w:val="22"/>
          <w:lang w:val="zh-TW"/>
        </w:rPr>
      </w:pPr>
      <w:r w:rsidRPr="00B118E9">
        <w:rPr>
          <w:rFonts w:eastAsia="標楷體"/>
          <w:bCs/>
          <w:sz w:val="22"/>
          <w:lang w:val="zh-TW"/>
        </w:rPr>
        <w:t>註：</w:t>
      </w:r>
      <w:r w:rsidRPr="00B118E9">
        <w:rPr>
          <w:rFonts w:eastAsia="標楷體"/>
          <w:bCs/>
          <w:sz w:val="22"/>
          <w:lang w:val="zh-TW"/>
        </w:rPr>
        <w:t>GDP</w:t>
      </w:r>
      <w:r w:rsidRPr="00B118E9">
        <w:rPr>
          <w:rFonts w:eastAsia="標楷體"/>
          <w:bCs/>
          <w:sz w:val="22"/>
          <w:lang w:val="zh-TW"/>
        </w:rPr>
        <w:t>成長率係為當季較上季變動率轉換為年率。</w:t>
      </w:r>
    </w:p>
    <w:p w:rsidR="00BB12B0" w:rsidRPr="00B118E9" w:rsidRDefault="00BB12B0" w:rsidP="00BB12B0">
      <w:pPr>
        <w:widowControl/>
        <w:rPr>
          <w:rFonts w:eastAsia="標楷體"/>
          <w:b/>
          <w:bCs/>
          <w:sz w:val="32"/>
          <w:szCs w:val="32"/>
        </w:rPr>
      </w:pPr>
      <w:r w:rsidRPr="00B118E9">
        <w:rPr>
          <w:rFonts w:eastAsia="標楷體"/>
          <w:bCs/>
          <w:sz w:val="22"/>
          <w:lang w:val="zh-TW"/>
        </w:rPr>
        <w:t>資料來源：國際經濟情勢報、美國商務部、美國勞工部。</w:t>
      </w:r>
      <w:r w:rsidRPr="00B118E9">
        <w:rPr>
          <w:rFonts w:eastAsia="標楷體"/>
        </w:rPr>
        <w:br w:type="page"/>
      </w:r>
    </w:p>
    <w:p w:rsidR="00681344" w:rsidRPr="00B118E9" w:rsidRDefault="00681344" w:rsidP="00681344">
      <w:pPr>
        <w:pStyle w:val="t-3"/>
        <w:spacing w:beforeLines="50" w:before="180" w:line="520" w:lineRule="exact"/>
        <w:ind w:right="-60"/>
      </w:pPr>
      <w:bookmarkStart w:id="72" w:name="_Toc396817209"/>
      <w:bookmarkStart w:id="73" w:name="_Toc401923792"/>
      <w:bookmarkStart w:id="74" w:name="_Toc402171708"/>
      <w:bookmarkStart w:id="75" w:name="_Toc420680033"/>
      <w:r w:rsidRPr="00B118E9">
        <w:t>（二）歐元區</w:t>
      </w:r>
      <w:bookmarkEnd w:id="72"/>
      <w:bookmarkEnd w:id="73"/>
      <w:bookmarkEnd w:id="74"/>
      <w:bookmarkEnd w:id="75"/>
    </w:p>
    <w:p w:rsidR="00127CCA" w:rsidRPr="00B118E9" w:rsidRDefault="00127CCA" w:rsidP="00127CCA">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B118E9">
        <w:rPr>
          <w:rFonts w:eastAsia="標楷體"/>
          <w:kern w:val="0"/>
          <w:sz w:val="28"/>
          <w:szCs w:val="28"/>
        </w:rPr>
        <w:t>2015</w:t>
      </w:r>
      <w:r w:rsidRPr="00B118E9">
        <w:rPr>
          <w:rFonts w:eastAsia="標楷體"/>
          <w:kern w:val="0"/>
          <w:sz w:val="28"/>
          <w:szCs w:val="28"/>
        </w:rPr>
        <w:t>年</w:t>
      </w:r>
      <w:r w:rsidRPr="00B118E9">
        <w:rPr>
          <w:rFonts w:eastAsia="標楷體"/>
          <w:kern w:val="0"/>
          <w:sz w:val="28"/>
          <w:szCs w:val="28"/>
        </w:rPr>
        <w:t>5</w:t>
      </w:r>
      <w:r w:rsidRPr="00B118E9">
        <w:rPr>
          <w:rFonts w:eastAsia="標楷體"/>
          <w:kern w:val="0"/>
          <w:sz w:val="28"/>
          <w:szCs w:val="28"/>
        </w:rPr>
        <w:t>月</w:t>
      </w:r>
      <w:r w:rsidRPr="00B118E9">
        <w:rPr>
          <w:rFonts w:eastAsia="標楷體"/>
          <w:kern w:val="0"/>
          <w:sz w:val="28"/>
          <w:szCs w:val="28"/>
        </w:rPr>
        <w:t>13</w:t>
      </w:r>
      <w:r w:rsidRPr="00B118E9">
        <w:rPr>
          <w:rFonts w:eastAsia="標楷體"/>
          <w:kern w:val="0"/>
          <w:sz w:val="28"/>
          <w:szCs w:val="28"/>
        </w:rPr>
        <w:t>日歐盟統計局公布</w:t>
      </w:r>
      <w:r w:rsidRPr="00B118E9">
        <w:rPr>
          <w:rFonts w:eastAsia="標楷體"/>
          <w:kern w:val="0"/>
          <w:sz w:val="28"/>
          <w:szCs w:val="28"/>
        </w:rPr>
        <w:t>2015</w:t>
      </w:r>
      <w:r w:rsidRPr="00B118E9">
        <w:rPr>
          <w:rFonts w:eastAsia="標楷體"/>
          <w:kern w:val="0"/>
          <w:sz w:val="28"/>
          <w:szCs w:val="28"/>
        </w:rPr>
        <w:t>第</w:t>
      </w:r>
      <w:r w:rsidRPr="00B118E9">
        <w:rPr>
          <w:rFonts w:eastAsia="標楷體"/>
          <w:kern w:val="0"/>
          <w:sz w:val="28"/>
          <w:szCs w:val="28"/>
        </w:rPr>
        <w:t>1</w:t>
      </w:r>
      <w:r w:rsidRPr="00B118E9">
        <w:rPr>
          <w:rFonts w:eastAsia="標楷體"/>
          <w:kern w:val="0"/>
          <w:sz w:val="28"/>
          <w:szCs w:val="28"/>
        </w:rPr>
        <w:t>季經濟成長率，歐元區</w:t>
      </w:r>
      <w:r w:rsidRPr="00B118E9">
        <w:rPr>
          <w:rFonts w:eastAsia="標楷體"/>
          <w:kern w:val="0"/>
          <w:sz w:val="28"/>
          <w:szCs w:val="28"/>
        </w:rPr>
        <w:t>19</w:t>
      </w:r>
      <w:r w:rsidRPr="00B118E9">
        <w:rPr>
          <w:rFonts w:eastAsia="標楷體"/>
          <w:kern w:val="0"/>
          <w:sz w:val="28"/>
          <w:szCs w:val="28"/>
        </w:rPr>
        <w:t>國與歐盟</w:t>
      </w:r>
      <w:r w:rsidRPr="00B118E9">
        <w:rPr>
          <w:rFonts w:eastAsia="標楷體"/>
          <w:kern w:val="0"/>
          <w:sz w:val="28"/>
          <w:szCs w:val="28"/>
        </w:rPr>
        <w:t>28</w:t>
      </w:r>
      <w:r w:rsidRPr="00B118E9">
        <w:rPr>
          <w:rFonts w:eastAsia="標楷體"/>
          <w:kern w:val="0"/>
          <w:sz w:val="28"/>
          <w:szCs w:val="28"/>
        </w:rPr>
        <w:t>國皆較上季成長</w:t>
      </w:r>
      <w:r w:rsidRPr="00B118E9">
        <w:rPr>
          <w:rFonts w:eastAsia="標楷體"/>
          <w:kern w:val="0"/>
          <w:sz w:val="28"/>
          <w:szCs w:val="28"/>
        </w:rPr>
        <w:t>0.4%</w:t>
      </w:r>
      <w:r w:rsidRPr="00B118E9">
        <w:rPr>
          <w:rFonts w:eastAsia="標楷體"/>
          <w:kern w:val="0"/>
          <w:sz w:val="28"/>
          <w:szCs w:val="28"/>
        </w:rPr>
        <w:t>，若與上年同期相比則分別成長</w:t>
      </w:r>
      <w:r w:rsidRPr="00B118E9">
        <w:rPr>
          <w:rFonts w:eastAsia="標楷體"/>
          <w:kern w:val="0"/>
          <w:sz w:val="28"/>
          <w:szCs w:val="28"/>
        </w:rPr>
        <w:t>1.0%</w:t>
      </w:r>
      <w:r w:rsidRPr="00B118E9">
        <w:rPr>
          <w:rFonts w:eastAsia="標楷體"/>
          <w:kern w:val="0"/>
          <w:sz w:val="28"/>
          <w:szCs w:val="28"/>
        </w:rPr>
        <w:t>及</w:t>
      </w:r>
      <w:r w:rsidRPr="00B118E9">
        <w:rPr>
          <w:rFonts w:eastAsia="標楷體"/>
          <w:kern w:val="0"/>
          <w:sz w:val="28"/>
          <w:szCs w:val="28"/>
        </w:rPr>
        <w:t>1.4%</w:t>
      </w:r>
      <w:r w:rsidRPr="00B118E9">
        <w:rPr>
          <w:rFonts w:eastAsia="標楷體"/>
          <w:kern w:val="0"/>
          <w:sz w:val="28"/>
          <w:szCs w:val="28"/>
        </w:rPr>
        <w:t>。主要國家中，西班牙因執行撙節有所成效且勞動力市場獲得改善，成長幅度</w:t>
      </w:r>
      <w:r w:rsidRPr="00B118E9">
        <w:rPr>
          <w:rFonts w:eastAsia="標楷體"/>
          <w:kern w:val="0"/>
          <w:sz w:val="28"/>
          <w:szCs w:val="28"/>
        </w:rPr>
        <w:t>0.9%</w:t>
      </w:r>
      <w:r w:rsidRPr="00B118E9">
        <w:rPr>
          <w:rFonts w:eastAsia="標楷體"/>
          <w:kern w:val="0"/>
          <w:sz w:val="28"/>
          <w:szCs w:val="28"/>
        </w:rPr>
        <w:t>最高；義大利內需獲得提升脫離衰退，成長率為</w:t>
      </w:r>
      <w:r w:rsidRPr="00B118E9">
        <w:rPr>
          <w:rFonts w:eastAsia="標楷體"/>
          <w:kern w:val="0"/>
          <w:sz w:val="28"/>
          <w:szCs w:val="28"/>
        </w:rPr>
        <w:t>0.3%</w:t>
      </w:r>
      <w:r w:rsidRPr="00B118E9">
        <w:rPr>
          <w:rFonts w:eastAsia="標楷體"/>
          <w:kern w:val="0"/>
          <w:sz w:val="28"/>
          <w:szCs w:val="28"/>
        </w:rPr>
        <w:t>；德國受到對中國大陸出口下滑而成長率趨緩為</w:t>
      </w:r>
      <w:r w:rsidRPr="00B118E9">
        <w:rPr>
          <w:rFonts w:eastAsia="標楷體"/>
          <w:kern w:val="0"/>
          <w:sz w:val="28"/>
          <w:szCs w:val="28"/>
        </w:rPr>
        <w:t>0.3%</w:t>
      </w:r>
      <w:r w:rsidRPr="00B118E9">
        <w:rPr>
          <w:rFonts w:eastAsia="標楷體"/>
          <w:kern w:val="0"/>
          <w:sz w:val="28"/>
          <w:szCs w:val="28"/>
        </w:rPr>
        <w:t>。</w:t>
      </w:r>
    </w:p>
    <w:p w:rsidR="00127CCA" w:rsidRPr="00B118E9" w:rsidRDefault="00127CCA" w:rsidP="00127CCA">
      <w:pPr>
        <w:widowControl/>
        <w:tabs>
          <w:tab w:val="left" w:pos="6840"/>
        </w:tabs>
        <w:snapToGrid w:val="0"/>
        <w:spacing w:beforeLines="50" w:before="180" w:line="300" w:lineRule="auto"/>
        <w:ind w:left="454" w:right="-142" w:firstLineChars="200" w:firstLine="560"/>
        <w:jc w:val="both"/>
        <w:rPr>
          <w:rFonts w:eastAsia="標楷體"/>
          <w:kern w:val="0"/>
          <w:sz w:val="28"/>
          <w:szCs w:val="28"/>
        </w:rPr>
      </w:pPr>
      <w:r w:rsidRPr="00B118E9">
        <w:rPr>
          <w:rFonts w:eastAsia="標楷體"/>
          <w:kern w:val="0"/>
          <w:sz w:val="28"/>
          <w:szCs w:val="28"/>
        </w:rPr>
        <w:t>2015</w:t>
      </w:r>
      <w:r w:rsidRPr="00B118E9">
        <w:rPr>
          <w:rFonts w:eastAsia="標楷體"/>
          <w:kern w:val="0"/>
          <w:sz w:val="28"/>
          <w:szCs w:val="28"/>
        </w:rPr>
        <w:t>年</w:t>
      </w:r>
      <w:r w:rsidRPr="00B118E9">
        <w:rPr>
          <w:rFonts w:eastAsia="標楷體"/>
          <w:kern w:val="0"/>
          <w:sz w:val="28"/>
          <w:szCs w:val="28"/>
        </w:rPr>
        <w:t>3</w:t>
      </w:r>
      <w:r w:rsidRPr="00B118E9">
        <w:rPr>
          <w:rFonts w:eastAsia="標楷體"/>
          <w:kern w:val="0"/>
          <w:sz w:val="28"/>
          <w:szCs w:val="28"/>
        </w:rPr>
        <w:t>月份歐元區出口總額為</w:t>
      </w:r>
      <w:r w:rsidRPr="00B118E9">
        <w:rPr>
          <w:rFonts w:eastAsia="標楷體"/>
          <w:kern w:val="0"/>
          <w:sz w:val="28"/>
          <w:szCs w:val="28"/>
        </w:rPr>
        <w:t>1,824</w:t>
      </w:r>
      <w:r w:rsidRPr="00B118E9">
        <w:rPr>
          <w:rFonts w:eastAsia="標楷體"/>
          <w:kern w:val="0"/>
          <w:sz w:val="28"/>
          <w:szCs w:val="28"/>
        </w:rPr>
        <w:t>億歐元，較上年同期大幅成長</w:t>
      </w:r>
      <w:r w:rsidRPr="00B118E9">
        <w:rPr>
          <w:rFonts w:eastAsia="標楷體"/>
          <w:kern w:val="0"/>
          <w:sz w:val="28"/>
          <w:szCs w:val="28"/>
        </w:rPr>
        <w:t>11.0%</w:t>
      </w:r>
      <w:r w:rsidRPr="00B118E9">
        <w:rPr>
          <w:rFonts w:eastAsia="標楷體"/>
          <w:kern w:val="0"/>
          <w:sz w:val="28"/>
          <w:szCs w:val="28"/>
        </w:rPr>
        <w:t>，進口為</w:t>
      </w:r>
      <w:r w:rsidRPr="00B118E9">
        <w:rPr>
          <w:rFonts w:eastAsia="標楷體"/>
          <w:kern w:val="0"/>
          <w:sz w:val="28"/>
          <w:szCs w:val="28"/>
        </w:rPr>
        <w:t>1,591</w:t>
      </w:r>
      <w:r w:rsidRPr="00B118E9">
        <w:rPr>
          <w:rFonts w:eastAsia="標楷體"/>
          <w:kern w:val="0"/>
          <w:sz w:val="28"/>
          <w:szCs w:val="28"/>
        </w:rPr>
        <w:t>億歐元，相較上年同期成長</w:t>
      </w:r>
      <w:r w:rsidRPr="00B118E9">
        <w:rPr>
          <w:rFonts w:eastAsia="標楷體"/>
          <w:kern w:val="0"/>
          <w:sz w:val="28"/>
          <w:szCs w:val="28"/>
        </w:rPr>
        <w:t>7.0%</w:t>
      </w:r>
      <w:r w:rsidRPr="00B118E9">
        <w:rPr>
          <w:rFonts w:eastAsia="標楷體"/>
          <w:kern w:val="0"/>
          <w:sz w:val="28"/>
          <w:szCs w:val="28"/>
        </w:rPr>
        <w:t>，貿易出超為</w:t>
      </w:r>
      <w:r w:rsidRPr="00B118E9">
        <w:rPr>
          <w:rFonts w:eastAsia="標楷體"/>
          <w:kern w:val="0"/>
          <w:sz w:val="28"/>
          <w:szCs w:val="28"/>
        </w:rPr>
        <w:t>233</w:t>
      </w:r>
      <w:r w:rsidRPr="00B118E9">
        <w:rPr>
          <w:rFonts w:eastAsia="標楷體"/>
          <w:kern w:val="0"/>
          <w:sz w:val="28"/>
          <w:szCs w:val="28"/>
        </w:rPr>
        <w:t>億歐元；工業生產較上月減少</w:t>
      </w:r>
      <w:r w:rsidRPr="00B118E9">
        <w:rPr>
          <w:rFonts w:eastAsia="標楷體"/>
          <w:kern w:val="0"/>
          <w:sz w:val="28"/>
          <w:szCs w:val="28"/>
        </w:rPr>
        <w:t>0.3%</w:t>
      </w:r>
      <w:r w:rsidRPr="00B118E9">
        <w:rPr>
          <w:rFonts w:eastAsia="標楷體"/>
          <w:kern w:val="0"/>
          <w:sz w:val="28"/>
          <w:szCs w:val="28"/>
        </w:rPr>
        <w:t>；失業率維持</w:t>
      </w:r>
      <w:r w:rsidRPr="00B118E9">
        <w:rPr>
          <w:rFonts w:eastAsia="標楷體"/>
          <w:kern w:val="0"/>
          <w:sz w:val="28"/>
          <w:szCs w:val="28"/>
        </w:rPr>
        <w:t>11.3%</w:t>
      </w:r>
      <w:r w:rsidRPr="00B118E9">
        <w:rPr>
          <w:rFonts w:eastAsia="標楷體"/>
          <w:kern w:val="0"/>
          <w:sz w:val="28"/>
          <w:szCs w:val="28"/>
        </w:rPr>
        <w:t>。</w:t>
      </w:r>
      <w:r w:rsidRPr="00B118E9">
        <w:rPr>
          <w:rFonts w:eastAsia="標楷體"/>
          <w:kern w:val="0"/>
          <w:sz w:val="28"/>
          <w:szCs w:val="28"/>
        </w:rPr>
        <w:t>2015</w:t>
      </w:r>
      <w:r w:rsidRPr="00B118E9">
        <w:rPr>
          <w:rFonts w:eastAsia="標楷體"/>
          <w:kern w:val="0"/>
          <w:sz w:val="28"/>
          <w:szCs w:val="28"/>
        </w:rPr>
        <w:t>年</w:t>
      </w:r>
      <w:r w:rsidRPr="00B118E9">
        <w:rPr>
          <w:rFonts w:eastAsia="標楷體"/>
          <w:kern w:val="0"/>
          <w:sz w:val="28"/>
          <w:szCs w:val="28"/>
        </w:rPr>
        <w:t>4</w:t>
      </w:r>
      <w:r w:rsidRPr="00B118E9">
        <w:rPr>
          <w:rFonts w:eastAsia="標楷體"/>
          <w:kern w:val="0"/>
          <w:sz w:val="28"/>
          <w:szCs w:val="28"/>
        </w:rPr>
        <w:t>月份通貨膨脹率提升至</w:t>
      </w:r>
      <w:r w:rsidRPr="00B118E9">
        <w:rPr>
          <w:rFonts w:eastAsia="標楷體"/>
          <w:kern w:val="0"/>
          <w:sz w:val="28"/>
          <w:szCs w:val="28"/>
        </w:rPr>
        <w:t>0.0%</w:t>
      </w:r>
      <w:r w:rsidRPr="00B118E9">
        <w:rPr>
          <w:rFonts w:eastAsia="標楷體"/>
          <w:kern w:val="0"/>
          <w:sz w:val="28"/>
          <w:szCs w:val="28"/>
        </w:rPr>
        <w:t>，擺脫負成長。另數據調查機構</w:t>
      </w:r>
      <w:r w:rsidRPr="00B118E9">
        <w:rPr>
          <w:rFonts w:eastAsia="標楷體"/>
          <w:kern w:val="0"/>
          <w:sz w:val="28"/>
          <w:szCs w:val="28"/>
        </w:rPr>
        <w:t>Markit</w:t>
      </w:r>
      <w:r w:rsidRPr="00B118E9">
        <w:rPr>
          <w:rFonts w:eastAsia="標楷體"/>
          <w:kern w:val="0"/>
          <w:sz w:val="28"/>
          <w:szCs w:val="28"/>
        </w:rPr>
        <w:t>於</w:t>
      </w:r>
      <w:r w:rsidRPr="00B118E9">
        <w:rPr>
          <w:rFonts w:eastAsia="標楷體"/>
          <w:kern w:val="0"/>
          <w:sz w:val="28"/>
          <w:szCs w:val="28"/>
        </w:rPr>
        <w:t>2015</w:t>
      </w:r>
      <w:r w:rsidRPr="00B118E9">
        <w:rPr>
          <w:rFonts w:eastAsia="標楷體"/>
          <w:kern w:val="0"/>
          <w:sz w:val="28"/>
          <w:szCs w:val="28"/>
        </w:rPr>
        <w:t>年</w:t>
      </w:r>
      <w:r w:rsidRPr="00B118E9">
        <w:rPr>
          <w:rFonts w:eastAsia="標楷體"/>
          <w:kern w:val="0"/>
          <w:sz w:val="28"/>
          <w:szCs w:val="28"/>
        </w:rPr>
        <w:t>5</w:t>
      </w:r>
      <w:r w:rsidRPr="00B118E9">
        <w:rPr>
          <w:rFonts w:eastAsia="標楷體"/>
          <w:kern w:val="0"/>
          <w:sz w:val="28"/>
          <w:szCs w:val="28"/>
        </w:rPr>
        <w:t>月</w:t>
      </w:r>
      <w:r w:rsidRPr="00B118E9">
        <w:rPr>
          <w:rFonts w:eastAsia="標楷體"/>
          <w:kern w:val="0"/>
          <w:sz w:val="28"/>
          <w:szCs w:val="28"/>
        </w:rPr>
        <w:t>6</w:t>
      </w:r>
      <w:r w:rsidRPr="00B118E9">
        <w:rPr>
          <w:rFonts w:eastAsia="標楷體"/>
          <w:kern w:val="0"/>
          <w:sz w:val="28"/>
          <w:szCs w:val="28"/>
        </w:rPr>
        <w:t>日公布</w:t>
      </w:r>
      <w:r w:rsidRPr="00B118E9">
        <w:rPr>
          <w:rFonts w:eastAsia="標楷體"/>
          <w:kern w:val="0"/>
          <w:sz w:val="28"/>
          <w:szCs w:val="28"/>
        </w:rPr>
        <w:t>2015</w:t>
      </w:r>
      <w:r w:rsidRPr="00B118E9">
        <w:rPr>
          <w:rFonts w:eastAsia="標楷體"/>
          <w:kern w:val="0"/>
          <w:sz w:val="28"/>
          <w:szCs w:val="28"/>
        </w:rPr>
        <w:t>年</w:t>
      </w:r>
      <w:r w:rsidRPr="00B118E9">
        <w:rPr>
          <w:rFonts w:eastAsia="標楷體"/>
          <w:kern w:val="0"/>
          <w:sz w:val="28"/>
          <w:szCs w:val="28"/>
        </w:rPr>
        <w:t>4</w:t>
      </w:r>
      <w:r w:rsidRPr="00B118E9">
        <w:rPr>
          <w:rFonts w:eastAsia="標楷體"/>
          <w:kern w:val="0"/>
          <w:sz w:val="28"/>
          <w:szCs w:val="28"/>
        </w:rPr>
        <w:t>月份歐元區綜合採購經理人指數</w:t>
      </w:r>
      <w:r w:rsidRPr="00B118E9">
        <w:rPr>
          <w:rFonts w:eastAsia="標楷體"/>
          <w:kern w:val="0"/>
          <w:sz w:val="28"/>
          <w:szCs w:val="28"/>
        </w:rPr>
        <w:t>(Composite PMI)</w:t>
      </w:r>
      <w:r w:rsidRPr="00B118E9">
        <w:rPr>
          <w:rFonts w:eastAsia="標楷體"/>
          <w:kern w:val="0"/>
          <w:sz w:val="28"/>
          <w:szCs w:val="28"/>
        </w:rPr>
        <w:t>，由上月</w:t>
      </w:r>
      <w:r w:rsidRPr="00B118E9">
        <w:rPr>
          <w:rFonts w:eastAsia="標楷體"/>
          <w:kern w:val="0"/>
          <w:sz w:val="28"/>
          <w:szCs w:val="28"/>
        </w:rPr>
        <w:t>54.0</w:t>
      </w:r>
      <w:r w:rsidRPr="00B118E9">
        <w:rPr>
          <w:rFonts w:eastAsia="標楷體"/>
          <w:kern w:val="0"/>
          <w:sz w:val="28"/>
          <w:szCs w:val="28"/>
        </w:rPr>
        <w:t>微降至</w:t>
      </w:r>
      <w:r w:rsidRPr="00B118E9">
        <w:rPr>
          <w:rFonts w:eastAsia="標楷體"/>
          <w:kern w:val="0"/>
          <w:sz w:val="28"/>
          <w:szCs w:val="28"/>
        </w:rPr>
        <w:t>53.9</w:t>
      </w:r>
      <w:r w:rsidRPr="00B118E9">
        <w:rPr>
          <w:rFonts w:eastAsia="標楷體"/>
          <w:kern w:val="0"/>
          <w:sz w:val="28"/>
          <w:szCs w:val="28"/>
        </w:rPr>
        <w:t>，經濟景氣仍維持擴張狀態。</w:t>
      </w:r>
    </w:p>
    <w:p w:rsidR="00127CCA" w:rsidRPr="00B118E9" w:rsidRDefault="00127CCA" w:rsidP="00127CCA">
      <w:pPr>
        <w:widowControl/>
        <w:tabs>
          <w:tab w:val="left" w:pos="6840"/>
        </w:tabs>
        <w:snapToGrid w:val="0"/>
        <w:spacing w:beforeLines="50" w:before="180" w:line="300" w:lineRule="auto"/>
        <w:ind w:left="454" w:right="-142" w:firstLineChars="200" w:firstLine="560"/>
        <w:jc w:val="both"/>
        <w:rPr>
          <w:rFonts w:eastAsia="標楷體"/>
          <w:kern w:val="0"/>
          <w:sz w:val="28"/>
          <w:szCs w:val="28"/>
        </w:rPr>
      </w:pPr>
      <w:r w:rsidRPr="00B118E9">
        <w:rPr>
          <w:rFonts w:eastAsia="標楷體"/>
          <w:kern w:val="0"/>
          <w:sz w:val="28"/>
          <w:szCs w:val="28"/>
        </w:rPr>
        <w:t>英國於</w:t>
      </w:r>
      <w:r w:rsidRPr="00B118E9">
        <w:rPr>
          <w:rFonts w:eastAsia="標楷體"/>
          <w:kern w:val="0"/>
          <w:sz w:val="28"/>
          <w:szCs w:val="28"/>
        </w:rPr>
        <w:t>2015</w:t>
      </w:r>
      <w:r w:rsidRPr="00B118E9">
        <w:rPr>
          <w:rFonts w:eastAsia="標楷體"/>
          <w:kern w:val="0"/>
          <w:sz w:val="28"/>
          <w:szCs w:val="28"/>
        </w:rPr>
        <w:t>年</w:t>
      </w:r>
      <w:r w:rsidRPr="00B118E9">
        <w:rPr>
          <w:rFonts w:eastAsia="標楷體"/>
          <w:kern w:val="0"/>
          <w:sz w:val="28"/>
          <w:szCs w:val="28"/>
        </w:rPr>
        <w:t>5</w:t>
      </w:r>
      <w:r w:rsidRPr="00B118E9">
        <w:rPr>
          <w:rFonts w:eastAsia="標楷體"/>
          <w:kern w:val="0"/>
          <w:sz w:val="28"/>
          <w:szCs w:val="28"/>
        </w:rPr>
        <w:t>月</w:t>
      </w:r>
      <w:r w:rsidRPr="00B118E9">
        <w:rPr>
          <w:rFonts w:eastAsia="標楷體"/>
          <w:kern w:val="0"/>
          <w:sz w:val="28"/>
          <w:szCs w:val="28"/>
        </w:rPr>
        <w:t>7</w:t>
      </w:r>
      <w:r w:rsidRPr="00B118E9">
        <w:rPr>
          <w:rFonts w:eastAsia="標楷體"/>
          <w:kern w:val="0"/>
          <w:sz w:val="28"/>
          <w:szCs w:val="28"/>
        </w:rPr>
        <w:t>日舉行國會大選，原執政黨保守黨獲得過半席次接續執政，由於保守黨主席卡麥隆</w:t>
      </w:r>
      <w:r w:rsidRPr="00B118E9">
        <w:rPr>
          <w:rFonts w:eastAsia="標楷體"/>
          <w:kern w:val="0"/>
          <w:sz w:val="28"/>
          <w:szCs w:val="28"/>
        </w:rPr>
        <w:t>(David Cameron)</w:t>
      </w:r>
      <w:r w:rsidRPr="00B118E9">
        <w:rPr>
          <w:rFonts w:eastAsia="標楷體"/>
          <w:kern w:val="0"/>
          <w:sz w:val="28"/>
          <w:szCs w:val="28"/>
        </w:rPr>
        <w:t>曾承諾，若</w:t>
      </w:r>
      <w:r w:rsidRPr="00B118E9">
        <w:rPr>
          <w:rFonts w:eastAsia="標楷體"/>
          <w:kern w:val="0"/>
          <w:sz w:val="28"/>
          <w:szCs w:val="28"/>
        </w:rPr>
        <w:t>2015</w:t>
      </w:r>
      <w:r w:rsidRPr="00B118E9">
        <w:rPr>
          <w:rFonts w:eastAsia="標楷體"/>
          <w:kern w:val="0"/>
          <w:sz w:val="28"/>
          <w:szCs w:val="28"/>
        </w:rPr>
        <w:t>勝選將於</w:t>
      </w:r>
      <w:r w:rsidRPr="00B118E9">
        <w:rPr>
          <w:rFonts w:eastAsia="標楷體"/>
          <w:kern w:val="0"/>
          <w:sz w:val="28"/>
          <w:szCs w:val="28"/>
        </w:rPr>
        <w:t>2017</w:t>
      </w:r>
      <w:r w:rsidRPr="00B118E9">
        <w:rPr>
          <w:rFonts w:eastAsia="標楷體"/>
          <w:kern w:val="0"/>
          <w:sz w:val="28"/>
          <w:szCs w:val="28"/>
        </w:rPr>
        <w:t>年前舉行英國退歐公投，成為影響歐洲區域經濟復甦不確定因素之一。</w:t>
      </w:r>
    </w:p>
    <w:p w:rsidR="00127CCA" w:rsidRPr="00B118E9" w:rsidRDefault="00127CCA" w:rsidP="00127CCA">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B118E9">
        <w:rPr>
          <w:rFonts w:eastAsia="標楷體"/>
          <w:kern w:val="0"/>
          <w:sz w:val="28"/>
          <w:szCs w:val="28"/>
        </w:rPr>
        <w:t>根據歐盟統計局</w:t>
      </w:r>
      <w:r w:rsidRPr="00B118E9">
        <w:rPr>
          <w:rFonts w:eastAsia="標楷體"/>
          <w:kern w:val="0"/>
          <w:sz w:val="28"/>
          <w:szCs w:val="28"/>
        </w:rPr>
        <w:t>2015</w:t>
      </w:r>
      <w:r w:rsidRPr="00B118E9">
        <w:rPr>
          <w:rFonts w:eastAsia="標楷體"/>
          <w:kern w:val="0"/>
          <w:sz w:val="28"/>
          <w:szCs w:val="28"/>
        </w:rPr>
        <w:t>年</w:t>
      </w:r>
      <w:r w:rsidRPr="00B118E9">
        <w:rPr>
          <w:rFonts w:eastAsia="標楷體"/>
          <w:kern w:val="0"/>
          <w:sz w:val="28"/>
          <w:szCs w:val="28"/>
        </w:rPr>
        <w:t>4</w:t>
      </w:r>
      <w:r w:rsidRPr="00B118E9">
        <w:rPr>
          <w:rFonts w:eastAsia="標楷體"/>
          <w:kern w:val="0"/>
          <w:sz w:val="28"/>
          <w:szCs w:val="28"/>
        </w:rPr>
        <w:t>月</w:t>
      </w:r>
      <w:r w:rsidRPr="00B118E9">
        <w:rPr>
          <w:rFonts w:eastAsia="標楷體"/>
          <w:kern w:val="0"/>
          <w:sz w:val="28"/>
          <w:szCs w:val="28"/>
        </w:rPr>
        <w:t>21</w:t>
      </w:r>
      <w:r w:rsidRPr="00B118E9">
        <w:rPr>
          <w:rFonts w:eastAsia="標楷體"/>
          <w:kern w:val="0"/>
          <w:sz w:val="28"/>
          <w:szCs w:val="28"/>
        </w:rPr>
        <w:t>日公布數據，希臘</w:t>
      </w:r>
      <w:r w:rsidRPr="00B118E9">
        <w:rPr>
          <w:rFonts w:eastAsia="標楷體"/>
          <w:kern w:val="0"/>
          <w:sz w:val="28"/>
          <w:szCs w:val="28"/>
        </w:rPr>
        <w:t>2014</w:t>
      </w:r>
      <w:r w:rsidRPr="00B118E9">
        <w:rPr>
          <w:rFonts w:eastAsia="標楷體"/>
          <w:kern w:val="0"/>
          <w:sz w:val="28"/>
          <w:szCs w:val="28"/>
        </w:rPr>
        <w:t>年累計債務約</w:t>
      </w:r>
      <w:r w:rsidRPr="00B118E9">
        <w:rPr>
          <w:rFonts w:eastAsia="標楷體"/>
          <w:kern w:val="0"/>
          <w:sz w:val="28"/>
          <w:szCs w:val="28"/>
        </w:rPr>
        <w:t>3,170</w:t>
      </w:r>
      <w:r w:rsidRPr="00B118E9">
        <w:rPr>
          <w:rFonts w:eastAsia="標楷體"/>
          <w:kern w:val="0"/>
          <w:sz w:val="28"/>
          <w:szCs w:val="28"/>
        </w:rPr>
        <w:t>億歐元，占</w:t>
      </w:r>
      <w:r w:rsidRPr="00B118E9">
        <w:rPr>
          <w:rFonts w:eastAsia="標楷體"/>
          <w:kern w:val="0"/>
          <w:sz w:val="28"/>
          <w:szCs w:val="28"/>
        </w:rPr>
        <w:t>GDP</w:t>
      </w:r>
      <w:r w:rsidRPr="00B118E9">
        <w:rPr>
          <w:rFonts w:eastAsia="標楷體"/>
          <w:kern w:val="0"/>
          <w:sz w:val="28"/>
          <w:szCs w:val="28"/>
        </w:rPr>
        <w:t>比重約</w:t>
      </w:r>
      <w:r w:rsidRPr="00B118E9">
        <w:rPr>
          <w:rFonts w:eastAsia="標楷體"/>
          <w:kern w:val="0"/>
          <w:sz w:val="28"/>
          <w:szCs w:val="28"/>
        </w:rPr>
        <w:t>177.1%</w:t>
      </w:r>
      <w:r w:rsidRPr="00B118E9">
        <w:rPr>
          <w:rFonts w:eastAsia="標楷體"/>
          <w:kern w:val="0"/>
          <w:sz w:val="28"/>
          <w:szCs w:val="28"/>
        </w:rPr>
        <w:t>。最近一筆是將於</w:t>
      </w:r>
      <w:r w:rsidRPr="00B118E9">
        <w:rPr>
          <w:rFonts w:eastAsia="標楷體"/>
          <w:kern w:val="0"/>
          <w:sz w:val="28"/>
          <w:szCs w:val="28"/>
        </w:rPr>
        <w:t>2015</w:t>
      </w:r>
      <w:r w:rsidRPr="00B118E9">
        <w:rPr>
          <w:rFonts w:eastAsia="標楷體"/>
          <w:kern w:val="0"/>
          <w:sz w:val="28"/>
          <w:szCs w:val="28"/>
        </w:rPr>
        <w:t>年</w:t>
      </w:r>
      <w:r w:rsidRPr="00B118E9">
        <w:rPr>
          <w:rFonts w:eastAsia="標楷體"/>
          <w:kern w:val="0"/>
          <w:sz w:val="28"/>
          <w:szCs w:val="28"/>
        </w:rPr>
        <w:t>6</w:t>
      </w:r>
      <w:r w:rsidRPr="00B118E9">
        <w:rPr>
          <w:rFonts w:eastAsia="標楷體"/>
          <w:kern w:val="0"/>
          <w:sz w:val="28"/>
          <w:szCs w:val="28"/>
        </w:rPr>
        <w:t>月</w:t>
      </w:r>
      <w:r w:rsidRPr="00B118E9">
        <w:rPr>
          <w:rFonts w:eastAsia="標楷體"/>
          <w:kern w:val="0"/>
          <w:sz w:val="28"/>
          <w:szCs w:val="28"/>
        </w:rPr>
        <w:t>5</w:t>
      </w:r>
      <w:r w:rsidRPr="00B118E9">
        <w:rPr>
          <w:rFonts w:eastAsia="標楷體"/>
          <w:kern w:val="0"/>
          <w:sz w:val="28"/>
          <w:szCs w:val="28"/>
        </w:rPr>
        <w:t>日到期的國際貨幣基金組織</w:t>
      </w:r>
      <w:r w:rsidRPr="00B118E9">
        <w:rPr>
          <w:rFonts w:eastAsia="標楷體"/>
          <w:kern w:val="0"/>
          <w:sz w:val="28"/>
          <w:szCs w:val="28"/>
        </w:rPr>
        <w:t>(IMF)</w:t>
      </w:r>
      <w:r w:rsidRPr="00B118E9">
        <w:rPr>
          <w:rFonts w:eastAsia="標楷體"/>
          <w:kern w:val="0"/>
          <w:sz w:val="28"/>
          <w:szCs w:val="28"/>
        </w:rPr>
        <w:t>貸款，約</w:t>
      </w:r>
      <w:r w:rsidRPr="00B118E9">
        <w:rPr>
          <w:rFonts w:eastAsia="標楷體"/>
          <w:kern w:val="0"/>
          <w:sz w:val="28"/>
          <w:szCs w:val="28"/>
        </w:rPr>
        <w:t>16</w:t>
      </w:r>
      <w:r w:rsidRPr="00B118E9">
        <w:rPr>
          <w:rFonts w:eastAsia="標楷體"/>
          <w:kern w:val="0"/>
          <w:sz w:val="28"/>
          <w:szCs w:val="28"/>
        </w:rPr>
        <w:t>億歐元。希臘財長瓦魯費克斯</w:t>
      </w:r>
      <w:r w:rsidRPr="00B118E9">
        <w:rPr>
          <w:rFonts w:eastAsia="標楷體"/>
          <w:kern w:val="0"/>
          <w:sz w:val="28"/>
          <w:szCs w:val="28"/>
        </w:rPr>
        <w:t>(Yanis Varoufakis)</w:t>
      </w:r>
      <w:r w:rsidRPr="00B118E9">
        <w:rPr>
          <w:rFonts w:eastAsia="標楷體"/>
          <w:kern w:val="0"/>
          <w:sz w:val="28"/>
          <w:szCs w:val="28"/>
        </w:rPr>
        <w:t>曾於</w:t>
      </w:r>
      <w:r w:rsidRPr="00B118E9">
        <w:rPr>
          <w:rFonts w:eastAsia="標楷體"/>
          <w:kern w:val="0"/>
          <w:sz w:val="28"/>
          <w:szCs w:val="28"/>
        </w:rPr>
        <w:t>5</w:t>
      </w:r>
      <w:r w:rsidRPr="00B118E9">
        <w:rPr>
          <w:rFonts w:eastAsia="標楷體"/>
          <w:kern w:val="0"/>
          <w:sz w:val="28"/>
          <w:szCs w:val="28"/>
        </w:rPr>
        <w:t>月</w:t>
      </w:r>
      <w:r w:rsidRPr="00B118E9">
        <w:rPr>
          <w:rFonts w:eastAsia="標楷體"/>
          <w:kern w:val="0"/>
          <w:sz w:val="28"/>
          <w:szCs w:val="28"/>
        </w:rPr>
        <w:t>18</w:t>
      </w:r>
      <w:r w:rsidRPr="00B118E9">
        <w:rPr>
          <w:rFonts w:eastAsia="標楷體"/>
          <w:kern w:val="0"/>
          <w:sz w:val="28"/>
          <w:szCs w:val="28"/>
        </w:rPr>
        <w:t>日表示，與歐盟及債權人協議已有所進展，同時保證會優先支付民生所需再還債；歐盟執委會主席容克</w:t>
      </w:r>
      <w:r w:rsidRPr="00B118E9">
        <w:rPr>
          <w:rFonts w:eastAsia="標楷體"/>
          <w:kern w:val="0"/>
          <w:sz w:val="28"/>
          <w:szCs w:val="28"/>
        </w:rPr>
        <w:t>(Jean-Claude Juncker)</w:t>
      </w:r>
      <w:r w:rsidRPr="00B118E9">
        <w:rPr>
          <w:rFonts w:eastAsia="標楷體"/>
          <w:kern w:val="0"/>
          <w:sz w:val="28"/>
          <w:szCs w:val="28"/>
        </w:rPr>
        <w:t>則於</w:t>
      </w:r>
      <w:r w:rsidRPr="00B118E9">
        <w:rPr>
          <w:rFonts w:eastAsia="標楷體"/>
          <w:kern w:val="0"/>
          <w:sz w:val="28"/>
          <w:szCs w:val="28"/>
        </w:rPr>
        <w:t>5</w:t>
      </w:r>
      <w:r w:rsidRPr="00B118E9">
        <w:rPr>
          <w:rFonts w:eastAsia="標楷體"/>
          <w:kern w:val="0"/>
          <w:sz w:val="28"/>
          <w:szCs w:val="28"/>
        </w:rPr>
        <w:t>月</w:t>
      </w:r>
      <w:r w:rsidRPr="00B118E9">
        <w:rPr>
          <w:rFonts w:eastAsia="標楷體"/>
          <w:kern w:val="0"/>
          <w:sz w:val="28"/>
          <w:szCs w:val="28"/>
        </w:rPr>
        <w:t>19</w:t>
      </w:r>
      <w:r w:rsidRPr="00B118E9">
        <w:rPr>
          <w:rFonts w:eastAsia="標楷體"/>
          <w:kern w:val="0"/>
          <w:sz w:val="28"/>
          <w:szCs w:val="28"/>
        </w:rPr>
        <w:t>日表示與希臘的債務談判最快將於</w:t>
      </w:r>
      <w:r w:rsidRPr="00B118E9">
        <w:rPr>
          <w:rFonts w:eastAsia="標楷體"/>
          <w:kern w:val="0"/>
          <w:sz w:val="28"/>
          <w:szCs w:val="28"/>
        </w:rPr>
        <w:t>5</w:t>
      </w:r>
      <w:r w:rsidRPr="00B118E9">
        <w:rPr>
          <w:rFonts w:eastAsia="標楷體"/>
          <w:kern w:val="0"/>
          <w:sz w:val="28"/>
          <w:szCs w:val="28"/>
        </w:rPr>
        <w:t>月底或</w:t>
      </w:r>
      <w:r w:rsidRPr="00B118E9">
        <w:rPr>
          <w:rFonts w:eastAsia="標楷體"/>
          <w:kern w:val="0"/>
          <w:sz w:val="28"/>
          <w:szCs w:val="28"/>
        </w:rPr>
        <w:t>6</w:t>
      </w:r>
      <w:r w:rsidRPr="00B118E9">
        <w:rPr>
          <w:rFonts w:eastAsia="標楷體"/>
          <w:kern w:val="0"/>
          <w:sz w:val="28"/>
          <w:szCs w:val="28"/>
        </w:rPr>
        <w:t>月初完成。</w:t>
      </w:r>
    </w:p>
    <w:p w:rsidR="00681344" w:rsidRPr="00B118E9" w:rsidRDefault="00681344" w:rsidP="00681344">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p>
    <w:p w:rsidR="00681344" w:rsidRPr="00B118E9" w:rsidRDefault="00681344" w:rsidP="00681344">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p>
    <w:p w:rsidR="00127CCA" w:rsidRPr="00B118E9"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127CCA" w:rsidRPr="00B118E9" w:rsidRDefault="00127CCA" w:rsidP="00127CCA">
      <w:pPr>
        <w:widowControl/>
        <w:tabs>
          <w:tab w:val="left" w:pos="6840"/>
        </w:tabs>
        <w:snapToGrid w:val="0"/>
        <w:spacing w:beforeLines="50" w:before="180" w:line="288" w:lineRule="auto"/>
        <w:jc w:val="center"/>
        <w:rPr>
          <w:rFonts w:eastAsia="標楷體"/>
          <w:b/>
          <w:kern w:val="0"/>
          <w:sz w:val="28"/>
          <w:szCs w:val="32"/>
          <w:lang w:val="zh-TW"/>
        </w:rPr>
      </w:pPr>
    </w:p>
    <w:p w:rsidR="00127CCA" w:rsidRPr="00B118E9" w:rsidRDefault="00127CCA" w:rsidP="00127CCA">
      <w:pPr>
        <w:widowControl/>
        <w:tabs>
          <w:tab w:val="left" w:pos="6840"/>
        </w:tabs>
        <w:snapToGrid w:val="0"/>
        <w:spacing w:beforeLines="50" w:before="180" w:line="288" w:lineRule="auto"/>
        <w:jc w:val="center"/>
        <w:rPr>
          <w:rFonts w:eastAsia="標楷體"/>
          <w:b/>
          <w:bCs/>
          <w:sz w:val="28"/>
        </w:rPr>
      </w:pPr>
      <w:r w:rsidRPr="00B118E9">
        <w:rPr>
          <w:rFonts w:eastAsia="標楷體"/>
          <w:b/>
          <w:kern w:val="0"/>
          <w:sz w:val="28"/>
          <w:szCs w:val="32"/>
          <w:lang w:val="zh-TW"/>
        </w:rPr>
        <w:t>表</w:t>
      </w:r>
      <w:r w:rsidRPr="00B118E9">
        <w:rPr>
          <w:rFonts w:eastAsia="標楷體"/>
          <w:b/>
          <w:kern w:val="0"/>
          <w:sz w:val="28"/>
          <w:szCs w:val="32"/>
          <w:lang w:val="zh-TW"/>
        </w:rPr>
        <w:t xml:space="preserve">1-2  </w:t>
      </w:r>
      <w:r w:rsidRPr="00B118E9">
        <w:rPr>
          <w:rFonts w:eastAsia="標楷體"/>
          <w:b/>
          <w:kern w:val="0"/>
          <w:sz w:val="28"/>
          <w:szCs w:val="32"/>
          <w:lang w:val="zh-TW"/>
        </w:rPr>
        <w:t>歐元區重要經濟指標</w:t>
      </w:r>
    </w:p>
    <w:p w:rsidR="00127CCA" w:rsidRPr="00B118E9" w:rsidRDefault="00127CCA" w:rsidP="00127CCA">
      <w:pPr>
        <w:wordWrap w:val="0"/>
        <w:snapToGrid w:val="0"/>
        <w:ind w:rightChars="13" w:right="31"/>
        <w:jc w:val="right"/>
        <w:rPr>
          <w:rFonts w:eastAsia="標楷體"/>
          <w:sz w:val="22"/>
        </w:rPr>
      </w:pPr>
      <w:r w:rsidRPr="00B118E9">
        <w:rPr>
          <w:rFonts w:eastAsia="標楷體"/>
          <w:sz w:val="22"/>
        </w:rPr>
        <w:t>單位：億歐元；</w:t>
      </w:r>
      <w:r w:rsidRPr="00B118E9">
        <w:rPr>
          <w:rFonts w:eastAsia="標楷體"/>
          <w:sz w:val="22"/>
        </w:rPr>
        <w:t>%</w:t>
      </w:r>
    </w:p>
    <w:tbl>
      <w:tblPr>
        <w:tblW w:w="8308" w:type="dxa"/>
        <w:jc w:val="center"/>
        <w:tblLayout w:type="fixed"/>
        <w:tblCellMar>
          <w:left w:w="28" w:type="dxa"/>
          <w:right w:w="28" w:type="dxa"/>
        </w:tblCellMar>
        <w:tblLook w:val="0000" w:firstRow="0" w:lastRow="0" w:firstColumn="0" w:lastColumn="0" w:noHBand="0" w:noVBand="0"/>
      </w:tblPr>
      <w:tblGrid>
        <w:gridCol w:w="896"/>
        <w:gridCol w:w="932"/>
        <w:gridCol w:w="672"/>
        <w:gridCol w:w="854"/>
        <w:gridCol w:w="810"/>
        <w:gridCol w:w="757"/>
        <w:gridCol w:w="784"/>
        <w:gridCol w:w="896"/>
        <w:gridCol w:w="854"/>
        <w:gridCol w:w="853"/>
      </w:tblGrid>
      <w:tr w:rsidR="00127CCA" w:rsidRPr="00B118E9" w:rsidTr="00BD6B4B">
        <w:trPr>
          <w:cantSplit/>
          <w:jc w:val="center"/>
        </w:trPr>
        <w:tc>
          <w:tcPr>
            <w:tcW w:w="896" w:type="dxa"/>
            <w:vMerge w:val="restart"/>
            <w:tcBorders>
              <w:top w:val="single" w:sz="6" w:space="0" w:color="auto"/>
              <w:left w:val="nil"/>
              <w:right w:val="single" w:sz="6" w:space="0" w:color="auto"/>
            </w:tcBorders>
            <w:shd w:val="clear" w:color="auto" w:fill="auto"/>
            <w:vAlign w:val="center"/>
          </w:tcPr>
          <w:p w:rsidR="00127CCA" w:rsidRPr="00B118E9" w:rsidRDefault="00127CCA" w:rsidP="00BD6B4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240" w:lineRule="atLeast"/>
              <w:ind w:right="-6"/>
              <w:jc w:val="center"/>
              <w:rPr>
                <w:rFonts w:eastAsia="標楷體"/>
                <w:sz w:val="22"/>
              </w:rPr>
            </w:pPr>
            <w:r w:rsidRPr="00B118E9">
              <w:rPr>
                <w:rFonts w:eastAsia="標楷體"/>
                <w:sz w:val="22"/>
              </w:rPr>
              <w:t>年</w:t>
            </w:r>
          </w:p>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（月）</w:t>
            </w:r>
          </w:p>
        </w:tc>
        <w:tc>
          <w:tcPr>
            <w:tcW w:w="932" w:type="dxa"/>
            <w:vMerge w:val="restart"/>
            <w:tcBorders>
              <w:top w:val="single" w:sz="6" w:space="0" w:color="auto"/>
              <w:left w:val="single" w:sz="6" w:space="0" w:color="auto"/>
              <w:right w:val="single" w:sz="6" w:space="0" w:color="auto"/>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實質</w:t>
            </w:r>
          </w:p>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GDP</w:t>
            </w:r>
          </w:p>
        </w:tc>
        <w:tc>
          <w:tcPr>
            <w:tcW w:w="672" w:type="dxa"/>
            <w:vMerge w:val="restart"/>
            <w:tcBorders>
              <w:top w:val="single" w:sz="6" w:space="0" w:color="auto"/>
              <w:left w:val="single" w:sz="6" w:space="0" w:color="auto"/>
              <w:right w:val="single" w:sz="6" w:space="0" w:color="auto"/>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工業</w:t>
            </w:r>
          </w:p>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生產</w:t>
            </w:r>
          </w:p>
        </w:tc>
        <w:tc>
          <w:tcPr>
            <w:tcW w:w="4101"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貿</w:t>
            </w:r>
            <w:r w:rsidRPr="00B118E9">
              <w:rPr>
                <w:rFonts w:eastAsia="標楷體"/>
                <w:sz w:val="22"/>
              </w:rPr>
              <w:t xml:space="preserve">   </w:t>
            </w:r>
            <w:r w:rsidRPr="00B118E9">
              <w:rPr>
                <w:rFonts w:eastAsia="標楷體"/>
                <w:sz w:val="22"/>
              </w:rPr>
              <w:t>易</w:t>
            </w:r>
          </w:p>
        </w:tc>
        <w:tc>
          <w:tcPr>
            <w:tcW w:w="854" w:type="dxa"/>
            <w:vMerge w:val="restart"/>
            <w:tcBorders>
              <w:top w:val="single" w:sz="6" w:space="0" w:color="auto"/>
              <w:left w:val="single" w:sz="6" w:space="0" w:color="auto"/>
              <w:right w:val="single" w:sz="6" w:space="0" w:color="auto"/>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消費者</w:t>
            </w:r>
          </w:p>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物價</w:t>
            </w:r>
          </w:p>
        </w:tc>
        <w:tc>
          <w:tcPr>
            <w:tcW w:w="853" w:type="dxa"/>
            <w:vMerge w:val="restart"/>
            <w:tcBorders>
              <w:top w:val="single" w:sz="6" w:space="0" w:color="auto"/>
              <w:left w:val="single" w:sz="6" w:space="0" w:color="auto"/>
              <w:right w:val="nil"/>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失業率</w:t>
            </w:r>
          </w:p>
        </w:tc>
      </w:tr>
      <w:tr w:rsidR="00127CCA" w:rsidRPr="00B118E9" w:rsidTr="00BD6B4B">
        <w:trPr>
          <w:cantSplit/>
          <w:trHeight w:val="284"/>
          <w:jc w:val="center"/>
        </w:trPr>
        <w:tc>
          <w:tcPr>
            <w:tcW w:w="896" w:type="dxa"/>
            <w:vMerge/>
            <w:tcBorders>
              <w:left w:val="nil"/>
              <w:right w:val="single" w:sz="6" w:space="0" w:color="auto"/>
            </w:tcBorders>
            <w:shd w:val="clear" w:color="auto" w:fill="00FFFF"/>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1664" w:type="dxa"/>
            <w:gridSpan w:val="2"/>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出入超</w:t>
            </w:r>
          </w:p>
        </w:tc>
        <w:tc>
          <w:tcPr>
            <w:tcW w:w="854" w:type="dxa"/>
            <w:vMerge/>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right w:val="nil"/>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r>
      <w:tr w:rsidR="00127CCA" w:rsidRPr="00B118E9" w:rsidTr="00BD6B4B">
        <w:trPr>
          <w:cantSplit/>
          <w:trHeight w:val="353"/>
          <w:jc w:val="center"/>
        </w:trPr>
        <w:tc>
          <w:tcPr>
            <w:tcW w:w="896" w:type="dxa"/>
            <w:vMerge/>
            <w:tcBorders>
              <w:left w:val="nil"/>
              <w:bottom w:val="single" w:sz="4" w:space="0" w:color="auto"/>
              <w:right w:val="single" w:sz="6" w:space="0" w:color="auto"/>
            </w:tcBorders>
            <w:shd w:val="clear" w:color="auto" w:fill="00FFFF"/>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bottom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bottom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854" w:type="dxa"/>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年增率</w:t>
            </w:r>
          </w:p>
        </w:tc>
        <w:tc>
          <w:tcPr>
            <w:tcW w:w="757" w:type="dxa"/>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年增率</w:t>
            </w:r>
          </w:p>
        </w:tc>
        <w:tc>
          <w:tcPr>
            <w:tcW w:w="896" w:type="dxa"/>
            <w:vMerge/>
            <w:tcBorders>
              <w:left w:val="single" w:sz="6" w:space="0" w:color="auto"/>
              <w:bottom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center"/>
              <w:rPr>
                <w:rFonts w:eastAsia="標楷體"/>
                <w:sz w:val="22"/>
              </w:rPr>
            </w:pPr>
          </w:p>
        </w:tc>
        <w:tc>
          <w:tcPr>
            <w:tcW w:w="854" w:type="dxa"/>
            <w:vMerge/>
            <w:tcBorders>
              <w:left w:val="single" w:sz="6" w:space="0" w:color="auto"/>
              <w:bottom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bottom w:val="single" w:sz="6" w:space="0" w:color="auto"/>
              <w:right w:val="nil"/>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2010</w:t>
            </w:r>
            <w:r w:rsidRPr="00B118E9">
              <w:rPr>
                <w:rFonts w:eastAsia="標楷體"/>
                <w:sz w:val="22"/>
              </w:rPr>
              <w:t>年</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1.8</w:t>
            </w: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4.3</w:t>
            </w:r>
          </w:p>
        </w:tc>
        <w:tc>
          <w:tcPr>
            <w:tcW w:w="854"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15,373</w:t>
            </w:r>
          </w:p>
        </w:tc>
        <w:tc>
          <w:tcPr>
            <w:tcW w:w="810"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20.1</w:t>
            </w:r>
          </w:p>
        </w:tc>
        <w:tc>
          <w:tcPr>
            <w:tcW w:w="757"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15,520</w:t>
            </w:r>
          </w:p>
        </w:tc>
        <w:tc>
          <w:tcPr>
            <w:tcW w:w="784"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22.5</w:t>
            </w:r>
          </w:p>
        </w:tc>
        <w:tc>
          <w:tcPr>
            <w:tcW w:w="896"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-147</w:t>
            </w:r>
          </w:p>
        </w:tc>
        <w:tc>
          <w:tcPr>
            <w:tcW w:w="854"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1.6</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10.1</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2011</w:t>
            </w:r>
            <w:r w:rsidRPr="00B118E9">
              <w:rPr>
                <w:rFonts w:eastAsia="標楷體"/>
                <w:sz w:val="22"/>
              </w:rPr>
              <w:t>年</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1.5</w:t>
            </w: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3.4</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 xml:space="preserve">17,357 </w:t>
            </w:r>
          </w:p>
        </w:tc>
        <w:tc>
          <w:tcPr>
            <w:tcW w:w="810"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 xml:space="preserve">12.9 </w:t>
            </w:r>
          </w:p>
        </w:tc>
        <w:tc>
          <w:tcPr>
            <w:tcW w:w="757"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 xml:space="preserve">17,477 </w:t>
            </w:r>
          </w:p>
        </w:tc>
        <w:tc>
          <w:tcPr>
            <w:tcW w:w="78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12.6</w:t>
            </w:r>
          </w:p>
        </w:tc>
        <w:tc>
          <w:tcPr>
            <w:tcW w:w="896"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 xml:space="preserve">-120 </w:t>
            </w:r>
          </w:p>
        </w:tc>
        <w:tc>
          <w:tcPr>
            <w:tcW w:w="854"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2.7</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10.2</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2012</w:t>
            </w:r>
            <w:r w:rsidRPr="00B118E9">
              <w:rPr>
                <w:rFonts w:eastAsia="標楷體"/>
                <w:sz w:val="22"/>
              </w:rPr>
              <w:t>年</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-0.5</w:t>
            </w: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-2.5</w:t>
            </w:r>
          </w:p>
        </w:tc>
        <w:tc>
          <w:tcPr>
            <w:tcW w:w="854"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18,726</w:t>
            </w:r>
          </w:p>
        </w:tc>
        <w:tc>
          <w:tcPr>
            <w:tcW w:w="810"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7.9</w:t>
            </w:r>
          </w:p>
        </w:tc>
        <w:tc>
          <w:tcPr>
            <w:tcW w:w="757"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17,928</w:t>
            </w:r>
          </w:p>
        </w:tc>
        <w:tc>
          <w:tcPr>
            <w:tcW w:w="784"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2.5</w:t>
            </w:r>
          </w:p>
        </w:tc>
        <w:tc>
          <w:tcPr>
            <w:tcW w:w="896"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798</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2.5</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11.4</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2013</w:t>
            </w:r>
            <w:r w:rsidRPr="00B118E9">
              <w:rPr>
                <w:rFonts w:eastAsia="標楷體"/>
                <w:sz w:val="22"/>
              </w:rPr>
              <w:t>年</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-0.5</w:t>
            </w: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-0.7</w:t>
            </w:r>
          </w:p>
        </w:tc>
        <w:tc>
          <w:tcPr>
            <w:tcW w:w="854"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18,874</w:t>
            </w:r>
          </w:p>
        </w:tc>
        <w:tc>
          <w:tcPr>
            <w:tcW w:w="810"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0.7</w:t>
            </w:r>
          </w:p>
        </w:tc>
        <w:tc>
          <w:tcPr>
            <w:tcW w:w="757"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17,336</w:t>
            </w:r>
          </w:p>
        </w:tc>
        <w:tc>
          <w:tcPr>
            <w:tcW w:w="784"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-3.3</w:t>
            </w:r>
          </w:p>
        </w:tc>
        <w:tc>
          <w:tcPr>
            <w:tcW w:w="896"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1,538</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1.3</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12.0</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2014</w:t>
            </w:r>
            <w:r w:rsidRPr="00B118E9">
              <w:rPr>
                <w:rFonts w:eastAsia="標楷體"/>
                <w:sz w:val="22"/>
              </w:rPr>
              <w:t>年</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-0.05</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19,390</w:t>
            </w:r>
          </w:p>
        </w:tc>
        <w:tc>
          <w:tcPr>
            <w:tcW w:w="810"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2.0</w:t>
            </w:r>
          </w:p>
        </w:tc>
        <w:tc>
          <w:tcPr>
            <w:tcW w:w="757"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17,442</w:t>
            </w:r>
          </w:p>
        </w:tc>
        <w:tc>
          <w:tcPr>
            <w:tcW w:w="78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0.0</w:t>
            </w:r>
          </w:p>
        </w:tc>
        <w:tc>
          <w:tcPr>
            <w:tcW w:w="896"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1948</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0.4</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11.6</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4</w:t>
            </w:r>
            <w:r w:rsidRPr="00B118E9">
              <w:rPr>
                <w:rFonts w:eastAsia="標楷體"/>
                <w:sz w:val="22"/>
              </w:rPr>
              <w:t>月</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1,596</w:t>
            </w:r>
          </w:p>
        </w:tc>
        <w:tc>
          <w:tcPr>
            <w:tcW w:w="810"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-1.0</w:t>
            </w:r>
          </w:p>
        </w:tc>
        <w:tc>
          <w:tcPr>
            <w:tcW w:w="757"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1,446</w:t>
            </w:r>
          </w:p>
        </w:tc>
        <w:tc>
          <w:tcPr>
            <w:tcW w:w="78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-2.0</w:t>
            </w:r>
          </w:p>
        </w:tc>
        <w:tc>
          <w:tcPr>
            <w:tcW w:w="896"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149</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0.7</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11.6</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5</w:t>
            </w:r>
            <w:r w:rsidRPr="00B118E9">
              <w:rPr>
                <w:rFonts w:eastAsia="標楷體"/>
                <w:sz w:val="22"/>
              </w:rPr>
              <w:t>月</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-1.0</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1,601</w:t>
            </w:r>
          </w:p>
        </w:tc>
        <w:tc>
          <w:tcPr>
            <w:tcW w:w="810"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0.0</w:t>
            </w:r>
          </w:p>
        </w:tc>
        <w:tc>
          <w:tcPr>
            <w:tcW w:w="757"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1,449</w:t>
            </w:r>
          </w:p>
        </w:tc>
        <w:tc>
          <w:tcPr>
            <w:tcW w:w="78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0.0</w:t>
            </w:r>
          </w:p>
        </w:tc>
        <w:tc>
          <w:tcPr>
            <w:tcW w:w="896"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152</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0.5</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11.6</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6</w:t>
            </w:r>
            <w:r w:rsidRPr="00B118E9">
              <w:rPr>
                <w:rFonts w:eastAsia="標楷體"/>
                <w:sz w:val="22"/>
              </w:rPr>
              <w:t>月</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0.8</w:t>
            </w:r>
            <w:r w:rsidRPr="00B118E9">
              <w:rPr>
                <w:rFonts w:eastAsia="標楷體"/>
                <w:sz w:val="22"/>
              </w:rPr>
              <w:t>（</w:t>
            </w:r>
            <w:r w:rsidRPr="00B118E9">
              <w:rPr>
                <w:rFonts w:ascii="新細明體" w:hAnsi="新細明體" w:cs="新細明體" w:hint="eastAsia"/>
                <w:sz w:val="22"/>
              </w:rPr>
              <w:t>Ⅱ</w:t>
            </w:r>
            <w:r w:rsidRPr="00B118E9">
              <w:rPr>
                <w:rFonts w:eastAsia="標楷體"/>
                <w:sz w:val="22"/>
              </w:rPr>
              <w:t>）</w:t>
            </w: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-0.4</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1,624</w:t>
            </w:r>
          </w:p>
        </w:tc>
        <w:tc>
          <w:tcPr>
            <w:tcW w:w="810"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3.0</w:t>
            </w:r>
          </w:p>
        </w:tc>
        <w:tc>
          <w:tcPr>
            <w:tcW w:w="757"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1,460</w:t>
            </w:r>
          </w:p>
        </w:tc>
        <w:tc>
          <w:tcPr>
            <w:tcW w:w="78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3.0</w:t>
            </w:r>
          </w:p>
        </w:tc>
        <w:tc>
          <w:tcPr>
            <w:tcW w:w="896"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164</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0.5</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11.5</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7</w:t>
            </w:r>
            <w:r w:rsidRPr="00B118E9">
              <w:rPr>
                <w:rFonts w:eastAsia="標楷體"/>
                <w:sz w:val="22"/>
              </w:rPr>
              <w:t>月</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0.7</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1,731</w:t>
            </w:r>
          </w:p>
        </w:tc>
        <w:tc>
          <w:tcPr>
            <w:tcW w:w="810"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3.0</w:t>
            </w:r>
          </w:p>
        </w:tc>
        <w:tc>
          <w:tcPr>
            <w:tcW w:w="757"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1,520</w:t>
            </w:r>
          </w:p>
        </w:tc>
        <w:tc>
          <w:tcPr>
            <w:tcW w:w="78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1.0</w:t>
            </w:r>
          </w:p>
        </w:tc>
        <w:tc>
          <w:tcPr>
            <w:tcW w:w="896"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211</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0.4</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11.5</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8</w:t>
            </w:r>
            <w:r w:rsidRPr="00B118E9">
              <w:rPr>
                <w:rFonts w:eastAsia="標楷體"/>
                <w:sz w:val="22"/>
              </w:rPr>
              <w:t>月</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1,400</w:t>
            </w:r>
          </w:p>
        </w:tc>
        <w:tc>
          <w:tcPr>
            <w:tcW w:w="810"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-3.0</w:t>
            </w:r>
          </w:p>
        </w:tc>
        <w:tc>
          <w:tcPr>
            <w:tcW w:w="757"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1,315</w:t>
            </w:r>
          </w:p>
        </w:tc>
        <w:tc>
          <w:tcPr>
            <w:tcW w:w="78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-4.0</w:t>
            </w:r>
          </w:p>
        </w:tc>
        <w:tc>
          <w:tcPr>
            <w:tcW w:w="896"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85</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0.4</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11.5</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9</w:t>
            </w:r>
            <w:r w:rsidRPr="00B118E9">
              <w:rPr>
                <w:rFonts w:eastAsia="標楷體"/>
                <w:sz w:val="22"/>
              </w:rPr>
              <w:t>月</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0.8</w:t>
            </w:r>
            <w:r w:rsidRPr="00B118E9">
              <w:rPr>
                <w:rFonts w:eastAsia="標楷體"/>
                <w:sz w:val="22"/>
              </w:rPr>
              <w:t>（</w:t>
            </w:r>
            <w:r w:rsidRPr="00B118E9">
              <w:rPr>
                <w:rFonts w:ascii="新細明體" w:hAnsi="新細明體" w:cs="新細明體" w:hint="eastAsia"/>
                <w:sz w:val="22"/>
              </w:rPr>
              <w:t>Ⅲ</w:t>
            </w:r>
            <w:r w:rsidRPr="00B118E9">
              <w:rPr>
                <w:rFonts w:eastAsia="標楷體"/>
                <w:sz w:val="22"/>
              </w:rPr>
              <w:t>）</w:t>
            </w: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0.5</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1,720</w:t>
            </w:r>
          </w:p>
        </w:tc>
        <w:tc>
          <w:tcPr>
            <w:tcW w:w="810"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8.0</w:t>
            </w:r>
          </w:p>
        </w:tc>
        <w:tc>
          <w:tcPr>
            <w:tcW w:w="757"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1,538</w:t>
            </w:r>
          </w:p>
        </w:tc>
        <w:tc>
          <w:tcPr>
            <w:tcW w:w="78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4.0</w:t>
            </w:r>
          </w:p>
        </w:tc>
        <w:tc>
          <w:tcPr>
            <w:tcW w:w="896"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182</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0.3</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11.5</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10</w:t>
            </w:r>
            <w:r w:rsidRPr="00B118E9">
              <w:rPr>
                <w:rFonts w:eastAsia="標楷體"/>
                <w:sz w:val="22"/>
              </w:rPr>
              <w:t>月</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0.1</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1,799</w:t>
            </w:r>
          </w:p>
        </w:tc>
        <w:tc>
          <w:tcPr>
            <w:tcW w:w="810"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4.0</w:t>
            </w:r>
          </w:p>
        </w:tc>
        <w:tc>
          <w:tcPr>
            <w:tcW w:w="757"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1,560</w:t>
            </w:r>
          </w:p>
        </w:tc>
        <w:tc>
          <w:tcPr>
            <w:tcW w:w="78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0.0</w:t>
            </w:r>
          </w:p>
        </w:tc>
        <w:tc>
          <w:tcPr>
            <w:tcW w:w="896"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239</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0.4</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11.5</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w:t>
            </w:r>
            <w:r w:rsidRPr="00B118E9">
              <w:rPr>
                <w:rFonts w:eastAsia="標楷體"/>
                <w:sz w:val="22"/>
              </w:rPr>
              <w:t>月</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-0.3</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1,632</w:t>
            </w:r>
          </w:p>
        </w:tc>
        <w:tc>
          <w:tcPr>
            <w:tcW w:w="810"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1.0</w:t>
            </w:r>
          </w:p>
        </w:tc>
        <w:tc>
          <w:tcPr>
            <w:tcW w:w="757"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1,420</w:t>
            </w:r>
          </w:p>
        </w:tc>
        <w:tc>
          <w:tcPr>
            <w:tcW w:w="78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-2.0</w:t>
            </w:r>
          </w:p>
        </w:tc>
        <w:tc>
          <w:tcPr>
            <w:tcW w:w="896"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212</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0.3</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11.5</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12</w:t>
            </w:r>
            <w:r w:rsidRPr="00B118E9">
              <w:rPr>
                <w:rFonts w:eastAsia="標楷體"/>
                <w:sz w:val="22"/>
              </w:rPr>
              <w:t>月</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0.3</w:t>
            </w:r>
            <w:r w:rsidRPr="00B118E9">
              <w:rPr>
                <w:rFonts w:eastAsia="標楷體"/>
                <w:sz w:val="22"/>
              </w:rPr>
              <w:t>（</w:t>
            </w:r>
            <w:r w:rsidRPr="00B118E9">
              <w:rPr>
                <w:rFonts w:ascii="新細明體" w:hAnsi="新細明體" w:cs="新細明體" w:hint="eastAsia"/>
                <w:sz w:val="22"/>
              </w:rPr>
              <w:t>Ⅳ</w:t>
            </w:r>
            <w:r w:rsidRPr="00B118E9">
              <w:rPr>
                <w:rFonts w:eastAsia="標楷體"/>
                <w:sz w:val="22"/>
              </w:rPr>
              <w:t>）</w:t>
            </w: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0.0</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1,615</w:t>
            </w:r>
          </w:p>
        </w:tc>
        <w:tc>
          <w:tcPr>
            <w:tcW w:w="810"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8.0</w:t>
            </w:r>
          </w:p>
        </w:tc>
        <w:tc>
          <w:tcPr>
            <w:tcW w:w="757"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1,372</w:t>
            </w:r>
          </w:p>
        </w:tc>
        <w:tc>
          <w:tcPr>
            <w:tcW w:w="78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1.0</w:t>
            </w:r>
          </w:p>
        </w:tc>
        <w:tc>
          <w:tcPr>
            <w:tcW w:w="896" w:type="dxa"/>
            <w:tcBorders>
              <w:left w:val="single" w:sz="6" w:space="0" w:color="auto"/>
              <w:right w:val="single" w:sz="6" w:space="0" w:color="auto"/>
            </w:tcBorders>
            <w:vAlign w:val="center"/>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243</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-0.2</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11.4</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2015</w:t>
            </w:r>
            <w:r w:rsidRPr="00B118E9">
              <w:rPr>
                <w:rFonts w:eastAsia="標楷體"/>
                <w:sz w:val="22"/>
              </w:rPr>
              <w:t>年</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810"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757"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78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896"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w:t>
            </w:r>
            <w:r w:rsidRPr="00B118E9">
              <w:rPr>
                <w:rFonts w:eastAsia="標楷體"/>
                <w:sz w:val="22"/>
              </w:rPr>
              <w:t>月</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-0.1</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1,482</w:t>
            </w:r>
          </w:p>
        </w:tc>
        <w:tc>
          <w:tcPr>
            <w:tcW w:w="810"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0.0</w:t>
            </w:r>
          </w:p>
        </w:tc>
        <w:tc>
          <w:tcPr>
            <w:tcW w:w="757"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1,403</w:t>
            </w:r>
          </w:p>
        </w:tc>
        <w:tc>
          <w:tcPr>
            <w:tcW w:w="78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-6.0</w:t>
            </w:r>
          </w:p>
        </w:tc>
        <w:tc>
          <w:tcPr>
            <w:tcW w:w="896"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79</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-0.6</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11.4</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w:t>
            </w:r>
            <w:r w:rsidRPr="00B118E9">
              <w:rPr>
                <w:rFonts w:eastAsia="標楷體"/>
                <w:sz w:val="22"/>
              </w:rPr>
              <w:t>月</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1,607</w:t>
            </w:r>
          </w:p>
        </w:tc>
        <w:tc>
          <w:tcPr>
            <w:tcW w:w="810"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4.0</w:t>
            </w:r>
          </w:p>
        </w:tc>
        <w:tc>
          <w:tcPr>
            <w:tcW w:w="757"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1,405</w:t>
            </w:r>
          </w:p>
        </w:tc>
        <w:tc>
          <w:tcPr>
            <w:tcW w:w="78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0.0</w:t>
            </w:r>
          </w:p>
        </w:tc>
        <w:tc>
          <w:tcPr>
            <w:tcW w:w="896"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202</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-0.3</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11.3</w:t>
            </w:r>
          </w:p>
        </w:tc>
      </w:tr>
      <w:tr w:rsidR="00127CCA" w:rsidRPr="00B118E9" w:rsidTr="00BD6B4B">
        <w:trPr>
          <w:cantSplit/>
          <w:jc w:val="center"/>
        </w:trPr>
        <w:tc>
          <w:tcPr>
            <w:tcW w:w="896" w:type="dxa"/>
            <w:tcBorders>
              <w:left w:val="nil"/>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3</w:t>
            </w:r>
            <w:r w:rsidRPr="00B118E9">
              <w:rPr>
                <w:rFonts w:eastAsia="標楷體"/>
                <w:sz w:val="22"/>
              </w:rPr>
              <w:t>月</w:t>
            </w:r>
          </w:p>
        </w:tc>
        <w:tc>
          <w:tcPr>
            <w:tcW w:w="93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1.0</w:t>
            </w:r>
            <w:r w:rsidRPr="00B118E9">
              <w:rPr>
                <w:rFonts w:eastAsia="標楷體"/>
                <w:sz w:val="22"/>
              </w:rPr>
              <w:t>（</w:t>
            </w:r>
            <w:r w:rsidRPr="00B118E9">
              <w:rPr>
                <w:rFonts w:eastAsia="標楷體"/>
                <w:sz w:val="22"/>
              </w:rPr>
              <w:t>I</w:t>
            </w:r>
            <w:r w:rsidRPr="00B118E9">
              <w:rPr>
                <w:rFonts w:eastAsia="標楷體"/>
                <w:sz w:val="22"/>
              </w:rPr>
              <w:t>）</w:t>
            </w:r>
          </w:p>
        </w:tc>
        <w:tc>
          <w:tcPr>
            <w:tcW w:w="672" w:type="dxa"/>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-0.3</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1,824</w:t>
            </w:r>
          </w:p>
        </w:tc>
        <w:tc>
          <w:tcPr>
            <w:tcW w:w="810"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11.0</w:t>
            </w:r>
          </w:p>
        </w:tc>
        <w:tc>
          <w:tcPr>
            <w:tcW w:w="757"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1,591</w:t>
            </w:r>
          </w:p>
        </w:tc>
        <w:tc>
          <w:tcPr>
            <w:tcW w:w="78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7.0</w:t>
            </w:r>
          </w:p>
        </w:tc>
        <w:tc>
          <w:tcPr>
            <w:tcW w:w="896"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233</w:t>
            </w:r>
          </w:p>
        </w:tc>
        <w:tc>
          <w:tcPr>
            <w:tcW w:w="854" w:type="dxa"/>
            <w:tcBorders>
              <w:left w:val="single" w:sz="6"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-0.1</w:t>
            </w:r>
          </w:p>
        </w:tc>
        <w:tc>
          <w:tcPr>
            <w:tcW w:w="853" w:type="dxa"/>
            <w:tcBorders>
              <w:left w:val="single" w:sz="6"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11.3</w:t>
            </w:r>
          </w:p>
        </w:tc>
      </w:tr>
      <w:tr w:rsidR="00127CCA" w:rsidRPr="00B118E9" w:rsidTr="00BD6B4B">
        <w:trPr>
          <w:cantSplit/>
          <w:jc w:val="center"/>
        </w:trPr>
        <w:tc>
          <w:tcPr>
            <w:tcW w:w="896" w:type="dxa"/>
            <w:tcBorders>
              <w:left w:val="nil"/>
              <w:bottom w:val="single" w:sz="4"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4</w:t>
            </w:r>
            <w:r w:rsidRPr="00B118E9">
              <w:rPr>
                <w:rFonts w:eastAsia="標楷體"/>
                <w:sz w:val="22"/>
              </w:rPr>
              <w:t>月</w:t>
            </w:r>
          </w:p>
        </w:tc>
        <w:tc>
          <w:tcPr>
            <w:tcW w:w="932" w:type="dxa"/>
            <w:tcBorders>
              <w:left w:val="single" w:sz="6" w:space="0" w:color="auto"/>
              <w:bottom w:val="single" w:sz="4"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p>
        </w:tc>
        <w:tc>
          <w:tcPr>
            <w:tcW w:w="672" w:type="dxa"/>
            <w:tcBorders>
              <w:left w:val="single" w:sz="6" w:space="0" w:color="auto"/>
              <w:bottom w:val="single" w:sz="4" w:space="0" w:color="auto"/>
              <w:right w:val="single" w:sz="6" w:space="0" w:color="auto"/>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w:t>
            </w:r>
          </w:p>
        </w:tc>
        <w:tc>
          <w:tcPr>
            <w:tcW w:w="854" w:type="dxa"/>
            <w:tcBorders>
              <w:left w:val="single" w:sz="6" w:space="0" w:color="auto"/>
              <w:bottom w:val="single" w:sz="4"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w:t>
            </w:r>
          </w:p>
        </w:tc>
        <w:tc>
          <w:tcPr>
            <w:tcW w:w="810" w:type="dxa"/>
            <w:tcBorders>
              <w:left w:val="single" w:sz="6" w:space="0" w:color="auto"/>
              <w:bottom w:val="single" w:sz="4"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w:t>
            </w:r>
          </w:p>
        </w:tc>
        <w:tc>
          <w:tcPr>
            <w:tcW w:w="757" w:type="dxa"/>
            <w:tcBorders>
              <w:left w:val="single" w:sz="6" w:space="0" w:color="auto"/>
              <w:bottom w:val="single" w:sz="4"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w:t>
            </w:r>
          </w:p>
        </w:tc>
        <w:tc>
          <w:tcPr>
            <w:tcW w:w="784" w:type="dxa"/>
            <w:tcBorders>
              <w:left w:val="single" w:sz="6" w:space="0" w:color="auto"/>
              <w:bottom w:val="single" w:sz="4"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w:t>
            </w:r>
          </w:p>
        </w:tc>
        <w:tc>
          <w:tcPr>
            <w:tcW w:w="896" w:type="dxa"/>
            <w:tcBorders>
              <w:left w:val="single" w:sz="6" w:space="0" w:color="auto"/>
              <w:bottom w:val="single" w:sz="4"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w:t>
            </w:r>
          </w:p>
        </w:tc>
        <w:tc>
          <w:tcPr>
            <w:tcW w:w="854" w:type="dxa"/>
            <w:tcBorders>
              <w:left w:val="single" w:sz="6" w:space="0" w:color="auto"/>
              <w:bottom w:val="single" w:sz="4" w:space="0" w:color="auto"/>
              <w:right w:val="single" w:sz="6" w:space="0" w:color="auto"/>
            </w:tcBorders>
            <w:vAlign w:val="bottom"/>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0.0</w:t>
            </w:r>
          </w:p>
        </w:tc>
        <w:tc>
          <w:tcPr>
            <w:tcW w:w="853" w:type="dxa"/>
            <w:tcBorders>
              <w:left w:val="single" w:sz="6" w:space="0" w:color="auto"/>
              <w:bottom w:val="single" w:sz="4" w:space="0" w:color="auto"/>
              <w:right w:val="nil"/>
            </w:tcBorders>
          </w:tcPr>
          <w:p w:rsidR="00127CCA" w:rsidRPr="00B118E9" w:rsidRDefault="00127CCA" w:rsidP="00BD6B4B">
            <w:pPr>
              <w:autoSpaceDE w:val="0"/>
              <w:autoSpaceDN w:val="0"/>
              <w:adjustRightInd w:val="0"/>
              <w:snapToGrid w:val="0"/>
              <w:spacing w:line="380" w:lineRule="atLeast"/>
              <w:jc w:val="center"/>
              <w:rPr>
                <w:rFonts w:eastAsia="標楷體"/>
                <w:sz w:val="22"/>
              </w:rPr>
            </w:pPr>
            <w:r w:rsidRPr="00B118E9">
              <w:rPr>
                <w:rFonts w:eastAsia="標楷體"/>
                <w:sz w:val="22"/>
              </w:rPr>
              <w:t>-</w:t>
            </w:r>
          </w:p>
        </w:tc>
      </w:tr>
    </w:tbl>
    <w:p w:rsidR="00127CCA" w:rsidRPr="00B118E9" w:rsidRDefault="00127CCA" w:rsidP="00127CCA">
      <w:pPr>
        <w:widowControl/>
        <w:rPr>
          <w:rFonts w:eastAsia="標楷體"/>
          <w:b/>
          <w:bCs/>
          <w:sz w:val="32"/>
          <w:szCs w:val="32"/>
        </w:rPr>
      </w:pPr>
      <w:r w:rsidRPr="00B118E9">
        <w:rPr>
          <w:rFonts w:eastAsia="標楷體"/>
        </w:rPr>
        <w:t>資料來源：歐洲統計局</w:t>
      </w:r>
    </w:p>
    <w:p w:rsidR="00127CCA" w:rsidRPr="00B118E9"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127CCA" w:rsidRPr="00B118E9"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681344" w:rsidRPr="00B118E9" w:rsidRDefault="00821547" w:rsidP="00B40DBD">
      <w:pPr>
        <w:pStyle w:val="t-3"/>
        <w:spacing w:beforeLines="50" w:before="180" w:line="520" w:lineRule="exact"/>
        <w:ind w:right="-60"/>
        <w:rPr>
          <w:b w:val="0"/>
          <w:bCs w:val="0"/>
          <w:sz w:val="40"/>
          <w:szCs w:val="36"/>
        </w:rPr>
      </w:pPr>
      <w:bookmarkStart w:id="76" w:name="_Toc402171709"/>
      <w:bookmarkStart w:id="77" w:name="_Toc420680034"/>
      <w:r w:rsidRPr="00B118E9">
        <w:t>（</w:t>
      </w:r>
      <w:r w:rsidR="00681344" w:rsidRPr="00B118E9">
        <w:t>三</w:t>
      </w:r>
      <w:r w:rsidRPr="00B118E9">
        <w:t>）</w:t>
      </w:r>
      <w:r w:rsidR="00681344" w:rsidRPr="00B118E9">
        <w:t>亞太地區</w:t>
      </w:r>
      <w:bookmarkEnd w:id="76"/>
      <w:bookmarkEnd w:id="77"/>
    </w:p>
    <w:p w:rsidR="008A0333" w:rsidRPr="00B118E9" w:rsidRDefault="008A0333" w:rsidP="008A0333">
      <w:pPr>
        <w:widowControl/>
        <w:tabs>
          <w:tab w:val="left" w:pos="6840"/>
        </w:tabs>
        <w:snapToGrid w:val="0"/>
        <w:spacing w:beforeLines="50" w:before="180" w:line="300" w:lineRule="auto"/>
        <w:ind w:leftChars="200" w:left="480" w:rightChars="-59" w:right="-142" w:firstLineChars="200" w:firstLine="560"/>
        <w:jc w:val="both"/>
        <w:rPr>
          <w:rFonts w:eastAsia="標楷體"/>
          <w:sz w:val="28"/>
          <w:szCs w:val="28"/>
        </w:rPr>
      </w:pPr>
      <w:r w:rsidRPr="00B118E9">
        <w:rPr>
          <w:rFonts w:eastAsia="標楷體"/>
          <w:kern w:val="0"/>
          <w:sz w:val="28"/>
          <w:szCs w:val="28"/>
        </w:rPr>
        <w:t>國際貨幣基金</w:t>
      </w:r>
      <w:r w:rsidRPr="00B118E9">
        <w:rPr>
          <w:rFonts w:eastAsia="標楷體"/>
          <w:kern w:val="0"/>
          <w:sz w:val="28"/>
          <w:szCs w:val="28"/>
        </w:rPr>
        <w:t>(IMF)2015</w:t>
      </w:r>
      <w:r w:rsidRPr="00B118E9">
        <w:rPr>
          <w:rFonts w:eastAsia="標楷體"/>
          <w:kern w:val="0"/>
          <w:sz w:val="28"/>
          <w:szCs w:val="28"/>
        </w:rPr>
        <w:t>年</w:t>
      </w:r>
      <w:r w:rsidRPr="00B118E9">
        <w:rPr>
          <w:rFonts w:eastAsia="標楷體"/>
          <w:kern w:val="0"/>
          <w:sz w:val="28"/>
          <w:szCs w:val="28"/>
        </w:rPr>
        <w:t>5</w:t>
      </w:r>
      <w:r w:rsidRPr="00B118E9">
        <w:rPr>
          <w:rFonts w:eastAsia="標楷體"/>
          <w:kern w:val="0"/>
          <w:sz w:val="28"/>
          <w:szCs w:val="28"/>
        </w:rPr>
        <w:t>月</w:t>
      </w:r>
      <w:r w:rsidRPr="00B118E9">
        <w:rPr>
          <w:rFonts w:eastAsia="標楷體"/>
          <w:kern w:val="0"/>
          <w:sz w:val="28"/>
          <w:szCs w:val="28"/>
        </w:rPr>
        <w:t>7</w:t>
      </w:r>
      <w:r w:rsidRPr="00B118E9">
        <w:rPr>
          <w:rFonts w:eastAsia="標楷體"/>
          <w:kern w:val="0"/>
          <w:sz w:val="28"/>
          <w:szCs w:val="28"/>
        </w:rPr>
        <w:t>日發表亞太區「區域經濟展望」報告，受惠於國際油價下跌、良好就業市場及歐美經濟穩定復甦，預測亞洲</w:t>
      </w:r>
      <w:r w:rsidRPr="00B118E9">
        <w:rPr>
          <w:rFonts w:eastAsia="標楷體"/>
          <w:kern w:val="0"/>
          <w:sz w:val="28"/>
          <w:szCs w:val="28"/>
        </w:rPr>
        <w:t>2015</w:t>
      </w:r>
      <w:r w:rsidRPr="00B118E9">
        <w:rPr>
          <w:rFonts w:eastAsia="標楷體"/>
          <w:kern w:val="0"/>
          <w:sz w:val="28"/>
          <w:szCs w:val="28"/>
        </w:rPr>
        <w:t>年經濟成長率</w:t>
      </w:r>
      <w:r w:rsidRPr="00B118E9">
        <w:rPr>
          <w:rFonts w:eastAsia="標楷體"/>
          <w:kern w:val="0"/>
          <w:sz w:val="28"/>
          <w:szCs w:val="28"/>
        </w:rPr>
        <w:t>5.6%</w:t>
      </w:r>
      <w:r w:rsidRPr="00B118E9">
        <w:rPr>
          <w:rFonts w:eastAsia="標楷體"/>
          <w:kern w:val="0"/>
          <w:sz w:val="28"/>
          <w:szCs w:val="28"/>
        </w:rPr>
        <w:t>，</w:t>
      </w:r>
      <w:r w:rsidRPr="00B118E9">
        <w:rPr>
          <w:rFonts w:eastAsia="標楷體"/>
          <w:kern w:val="0"/>
          <w:sz w:val="28"/>
          <w:szCs w:val="28"/>
        </w:rPr>
        <w:t>2016</w:t>
      </w:r>
      <w:r w:rsidRPr="00B118E9">
        <w:rPr>
          <w:rFonts w:eastAsia="標楷體"/>
          <w:kern w:val="0"/>
          <w:sz w:val="28"/>
          <w:szCs w:val="28"/>
        </w:rPr>
        <w:t>年微幅放緩至</w:t>
      </w:r>
      <w:r w:rsidRPr="00B118E9">
        <w:rPr>
          <w:rFonts w:eastAsia="標楷體"/>
          <w:kern w:val="0"/>
          <w:sz w:val="28"/>
          <w:szCs w:val="28"/>
        </w:rPr>
        <w:t>5.5%</w:t>
      </w:r>
      <w:r w:rsidRPr="00B118E9">
        <w:rPr>
          <w:rFonts w:eastAsia="標楷體"/>
          <w:kern w:val="0"/>
          <w:sz w:val="28"/>
          <w:szCs w:val="28"/>
        </w:rPr>
        <w:t>。雖存在中國大陸及日本經濟較預期疲弱、強勢美元與負債增加等風險，相較於全球其他地區，本區域前景仍然穩健，並持續扮演領導全球成長動能的主力，對全球經濟成長的貢獻近</w:t>
      </w:r>
      <w:r w:rsidRPr="00B118E9">
        <w:rPr>
          <w:rFonts w:eastAsia="標楷體"/>
          <w:kern w:val="0"/>
          <w:sz w:val="28"/>
          <w:szCs w:val="28"/>
        </w:rPr>
        <w:t>2/3</w:t>
      </w:r>
      <w:r w:rsidRPr="00B118E9">
        <w:rPr>
          <w:rFonts w:eastAsia="標楷體"/>
          <w:kern w:val="0"/>
          <w:sz w:val="28"/>
          <w:szCs w:val="28"/>
        </w:rPr>
        <w:t>。</w:t>
      </w:r>
    </w:p>
    <w:p w:rsidR="00681344" w:rsidRPr="00B118E9" w:rsidRDefault="00681344" w:rsidP="00681344">
      <w:pPr>
        <w:pStyle w:val="k3a"/>
        <w:tabs>
          <w:tab w:val="left" w:pos="540"/>
        </w:tabs>
        <w:spacing w:before="180" w:line="300" w:lineRule="auto"/>
        <w:ind w:leftChars="0" w:left="0" w:right="-60" w:firstLineChars="0" w:firstLine="0"/>
        <w:rPr>
          <w:b/>
          <w:bCs/>
          <w:szCs w:val="28"/>
        </w:rPr>
      </w:pPr>
      <w:r w:rsidRPr="00B118E9">
        <w:rPr>
          <w:b/>
          <w:bCs/>
          <w:szCs w:val="28"/>
        </w:rPr>
        <w:t>１、日本</w:t>
      </w:r>
    </w:p>
    <w:p w:rsidR="00681344" w:rsidRPr="00B118E9" w:rsidRDefault="008A0333" w:rsidP="00681344">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B118E9">
        <w:rPr>
          <w:rFonts w:ascii="Times New Roman" w:eastAsia="標楷體" w:hAnsi="Times New Roman"/>
          <w:sz w:val="28"/>
          <w:szCs w:val="28"/>
        </w:rPr>
        <w:t>日本政府於</w:t>
      </w:r>
      <w:r w:rsidRPr="00B118E9">
        <w:rPr>
          <w:rFonts w:ascii="Times New Roman" w:eastAsia="標楷體" w:hAnsi="Times New Roman"/>
          <w:sz w:val="28"/>
          <w:szCs w:val="28"/>
        </w:rPr>
        <w:t>2015</w:t>
      </w:r>
      <w:r w:rsidRPr="00B118E9">
        <w:rPr>
          <w:rFonts w:ascii="Times New Roman" w:eastAsia="標楷體" w:hAnsi="Times New Roman"/>
          <w:sz w:val="28"/>
          <w:szCs w:val="28"/>
        </w:rPr>
        <w:t>年</w:t>
      </w:r>
      <w:r w:rsidRPr="00B118E9">
        <w:rPr>
          <w:rFonts w:ascii="Times New Roman" w:eastAsia="標楷體" w:hAnsi="Times New Roman"/>
          <w:sz w:val="28"/>
          <w:szCs w:val="28"/>
        </w:rPr>
        <w:t>5</w:t>
      </w:r>
      <w:r w:rsidRPr="00B118E9">
        <w:rPr>
          <w:rFonts w:ascii="Times New Roman" w:eastAsia="標楷體" w:hAnsi="Times New Roman"/>
          <w:sz w:val="28"/>
          <w:szCs w:val="28"/>
        </w:rPr>
        <w:t>月</w:t>
      </w:r>
      <w:r w:rsidRPr="00B118E9">
        <w:rPr>
          <w:rFonts w:ascii="Times New Roman" w:eastAsia="標楷體" w:hAnsi="Times New Roman"/>
          <w:sz w:val="28"/>
          <w:szCs w:val="28"/>
        </w:rPr>
        <w:t>20</w:t>
      </w:r>
      <w:r w:rsidRPr="00B118E9">
        <w:rPr>
          <w:rFonts w:ascii="Times New Roman" w:eastAsia="標楷體" w:hAnsi="Times New Roman"/>
          <w:sz w:val="28"/>
          <w:szCs w:val="28"/>
        </w:rPr>
        <w:t>日公布</w:t>
      </w:r>
      <w:r w:rsidRPr="00B118E9">
        <w:rPr>
          <w:rFonts w:ascii="Times New Roman" w:eastAsia="標楷體" w:hAnsi="Times New Roman"/>
          <w:sz w:val="28"/>
          <w:szCs w:val="28"/>
        </w:rPr>
        <w:t>2015</w:t>
      </w:r>
      <w:r w:rsidRPr="00B118E9">
        <w:rPr>
          <w:rFonts w:ascii="Times New Roman" w:eastAsia="標楷體" w:hAnsi="Times New Roman"/>
          <w:sz w:val="28"/>
          <w:szCs w:val="28"/>
        </w:rPr>
        <w:t>年第</w:t>
      </w:r>
      <w:r w:rsidRPr="00B118E9">
        <w:rPr>
          <w:rFonts w:ascii="Times New Roman" w:eastAsia="標楷體" w:hAnsi="Times New Roman"/>
          <w:sz w:val="28"/>
          <w:szCs w:val="28"/>
        </w:rPr>
        <w:t>1</w:t>
      </w:r>
      <w:r w:rsidRPr="00B118E9">
        <w:rPr>
          <w:rFonts w:ascii="Times New Roman" w:eastAsia="標楷體" w:hAnsi="Times New Roman"/>
          <w:sz w:val="28"/>
          <w:szCs w:val="28"/>
        </w:rPr>
        <w:t>季實質</w:t>
      </w:r>
      <w:r w:rsidRPr="00B118E9">
        <w:rPr>
          <w:rFonts w:ascii="Times New Roman" w:eastAsia="標楷體" w:hAnsi="Times New Roman"/>
          <w:sz w:val="28"/>
          <w:szCs w:val="28"/>
        </w:rPr>
        <w:t>GDP</w:t>
      </w:r>
      <w:r w:rsidRPr="00B118E9">
        <w:rPr>
          <w:rFonts w:ascii="Times New Roman" w:eastAsia="標楷體" w:hAnsi="Times New Roman"/>
          <w:sz w:val="28"/>
          <w:szCs w:val="28"/>
        </w:rPr>
        <w:t>數據，較上季成長</w:t>
      </w:r>
      <w:r w:rsidRPr="00B118E9">
        <w:rPr>
          <w:rFonts w:ascii="Times New Roman" w:eastAsia="標楷體" w:hAnsi="Times New Roman"/>
          <w:sz w:val="28"/>
          <w:szCs w:val="28"/>
        </w:rPr>
        <w:t>0.6%</w:t>
      </w:r>
      <w:r w:rsidRPr="00B118E9">
        <w:rPr>
          <w:rFonts w:ascii="Times New Roman" w:eastAsia="標楷體" w:hAnsi="Times New Roman"/>
          <w:sz w:val="28"/>
          <w:szCs w:val="28"/>
        </w:rPr>
        <w:t>，換算年率為</w:t>
      </w:r>
      <w:r w:rsidRPr="00B118E9">
        <w:rPr>
          <w:rFonts w:ascii="Times New Roman" w:eastAsia="標楷體" w:hAnsi="Times New Roman"/>
          <w:sz w:val="28"/>
          <w:szCs w:val="28"/>
        </w:rPr>
        <w:t>2.4%</w:t>
      </w:r>
      <w:r w:rsidRPr="00B118E9">
        <w:rPr>
          <w:rFonts w:ascii="Times New Roman" w:eastAsia="標楷體" w:hAnsi="Times New Roman"/>
          <w:sz w:val="28"/>
          <w:szCs w:val="28"/>
        </w:rPr>
        <w:t>，除個人消費持續復甦外，企業設備投資亦因收益改善而獲得提升。其中，民間需求及民間企業設備皆較上季成長</w:t>
      </w:r>
      <w:r w:rsidRPr="00B118E9">
        <w:rPr>
          <w:rFonts w:ascii="Times New Roman" w:eastAsia="標楷體" w:hAnsi="Times New Roman"/>
          <w:sz w:val="28"/>
          <w:szCs w:val="28"/>
        </w:rPr>
        <w:t>0.4%</w:t>
      </w:r>
      <w:r w:rsidRPr="00B118E9">
        <w:rPr>
          <w:rFonts w:ascii="Times New Roman" w:eastAsia="標楷體" w:hAnsi="Times New Roman"/>
          <w:sz w:val="28"/>
          <w:szCs w:val="28"/>
        </w:rPr>
        <w:t>，民間住宅成長</w:t>
      </w:r>
      <w:r w:rsidRPr="00B118E9">
        <w:rPr>
          <w:rFonts w:ascii="Times New Roman" w:eastAsia="標楷體" w:hAnsi="Times New Roman"/>
          <w:sz w:val="28"/>
          <w:szCs w:val="28"/>
        </w:rPr>
        <w:t>1.8%</w:t>
      </w:r>
      <w:r w:rsidRPr="00B118E9">
        <w:rPr>
          <w:rFonts w:ascii="Times New Roman" w:eastAsia="標楷體" w:hAnsi="Times New Roman"/>
          <w:sz w:val="28"/>
          <w:szCs w:val="28"/>
        </w:rPr>
        <w:t>，政府最終消費支出成長</w:t>
      </w:r>
      <w:r w:rsidRPr="00B118E9">
        <w:rPr>
          <w:rFonts w:ascii="Times New Roman" w:eastAsia="標楷體" w:hAnsi="Times New Roman"/>
          <w:sz w:val="28"/>
          <w:szCs w:val="28"/>
        </w:rPr>
        <w:t>0.1%</w:t>
      </w:r>
      <w:r w:rsidRPr="00B118E9">
        <w:rPr>
          <w:rFonts w:ascii="Times New Roman" w:eastAsia="標楷體" w:hAnsi="Times New Roman"/>
          <w:sz w:val="28"/>
          <w:szCs w:val="28"/>
        </w:rPr>
        <w:t>，出口、進口則分別成長</w:t>
      </w:r>
      <w:r w:rsidRPr="00B118E9">
        <w:rPr>
          <w:rFonts w:ascii="Times New Roman" w:eastAsia="標楷體" w:hAnsi="Times New Roman"/>
          <w:sz w:val="28"/>
          <w:szCs w:val="28"/>
        </w:rPr>
        <w:t>2.4%</w:t>
      </w:r>
      <w:r w:rsidRPr="00B118E9">
        <w:rPr>
          <w:rFonts w:ascii="Times New Roman" w:eastAsia="標楷體" w:hAnsi="Times New Roman"/>
          <w:sz w:val="28"/>
          <w:szCs w:val="28"/>
        </w:rPr>
        <w:t>及</w:t>
      </w:r>
      <w:r w:rsidRPr="00B118E9">
        <w:rPr>
          <w:rFonts w:ascii="Times New Roman" w:eastAsia="標楷體" w:hAnsi="Times New Roman"/>
          <w:sz w:val="28"/>
          <w:szCs w:val="28"/>
        </w:rPr>
        <w:t>2.9%</w:t>
      </w:r>
      <w:r w:rsidRPr="00B118E9">
        <w:rPr>
          <w:rFonts w:ascii="Times New Roman" w:eastAsia="標楷體" w:hAnsi="Times New Roman"/>
          <w:sz w:val="28"/>
          <w:szCs w:val="28"/>
        </w:rPr>
        <w:t>。</w:t>
      </w:r>
    </w:p>
    <w:p w:rsidR="00681344" w:rsidRPr="00B118E9" w:rsidRDefault="008A0333" w:rsidP="00681344">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B118E9">
        <w:rPr>
          <w:rFonts w:ascii="Times New Roman" w:eastAsia="標楷體" w:hAnsi="Times New Roman"/>
          <w:sz w:val="28"/>
          <w:szCs w:val="28"/>
        </w:rPr>
        <w:t>根據日本財務省</w:t>
      </w:r>
      <w:r w:rsidRPr="00B118E9">
        <w:rPr>
          <w:rFonts w:ascii="Times New Roman" w:eastAsia="標楷體" w:hAnsi="Times New Roman"/>
          <w:sz w:val="28"/>
          <w:szCs w:val="28"/>
        </w:rPr>
        <w:t>2015</w:t>
      </w:r>
      <w:r w:rsidRPr="00B118E9">
        <w:rPr>
          <w:rFonts w:ascii="Times New Roman" w:eastAsia="標楷體" w:hAnsi="Times New Roman"/>
          <w:sz w:val="28"/>
          <w:szCs w:val="28"/>
        </w:rPr>
        <w:t>年</w:t>
      </w:r>
      <w:r w:rsidRPr="00B118E9">
        <w:rPr>
          <w:rFonts w:ascii="Times New Roman" w:eastAsia="標楷體" w:hAnsi="Times New Roman"/>
          <w:sz w:val="28"/>
          <w:szCs w:val="28"/>
        </w:rPr>
        <w:t>5</w:t>
      </w:r>
      <w:r w:rsidRPr="00B118E9">
        <w:rPr>
          <w:rFonts w:ascii="Times New Roman" w:eastAsia="標楷體" w:hAnsi="Times New Roman"/>
          <w:sz w:val="28"/>
          <w:szCs w:val="28"/>
        </w:rPr>
        <w:t>月</w:t>
      </w:r>
      <w:r w:rsidRPr="00B118E9">
        <w:rPr>
          <w:rFonts w:ascii="Times New Roman" w:eastAsia="標楷體" w:hAnsi="Times New Roman"/>
          <w:sz w:val="28"/>
          <w:szCs w:val="28"/>
        </w:rPr>
        <w:t>25</w:t>
      </w:r>
      <w:r w:rsidRPr="00B118E9">
        <w:rPr>
          <w:rFonts w:ascii="Times New Roman" w:eastAsia="標楷體" w:hAnsi="Times New Roman"/>
          <w:sz w:val="28"/>
          <w:szCs w:val="28"/>
        </w:rPr>
        <w:t>日最新發布之進出口貿易統計，受益於日圓貶值及低油價，</w:t>
      </w:r>
      <w:r w:rsidRPr="00B118E9">
        <w:rPr>
          <w:rFonts w:ascii="Times New Roman" w:eastAsia="標楷體" w:hAnsi="Times New Roman"/>
          <w:sz w:val="28"/>
          <w:szCs w:val="28"/>
        </w:rPr>
        <w:t>2015</w:t>
      </w:r>
      <w:r w:rsidRPr="00B118E9">
        <w:rPr>
          <w:rFonts w:ascii="Times New Roman" w:eastAsia="標楷體" w:hAnsi="Times New Roman"/>
          <w:sz w:val="28"/>
          <w:szCs w:val="28"/>
        </w:rPr>
        <w:t>年</w:t>
      </w:r>
      <w:r w:rsidRPr="00B118E9">
        <w:rPr>
          <w:rFonts w:ascii="Times New Roman" w:eastAsia="標楷體" w:hAnsi="Times New Roman"/>
          <w:sz w:val="28"/>
          <w:szCs w:val="28"/>
        </w:rPr>
        <w:t>4</w:t>
      </w:r>
      <w:r w:rsidRPr="00B118E9">
        <w:rPr>
          <w:rFonts w:ascii="Times New Roman" w:eastAsia="標楷體" w:hAnsi="Times New Roman"/>
          <w:sz w:val="28"/>
          <w:szCs w:val="28"/>
        </w:rPr>
        <w:t>月份出口為</w:t>
      </w:r>
      <w:r w:rsidRPr="00B118E9">
        <w:rPr>
          <w:rFonts w:ascii="Times New Roman" w:eastAsia="標楷體" w:hAnsi="Times New Roman"/>
          <w:sz w:val="28"/>
          <w:szCs w:val="28"/>
        </w:rPr>
        <w:t>6.55</w:t>
      </w:r>
      <w:r w:rsidRPr="00B118E9">
        <w:rPr>
          <w:rFonts w:ascii="Times New Roman" w:eastAsia="標楷體" w:hAnsi="Times New Roman"/>
          <w:sz w:val="28"/>
          <w:szCs w:val="28"/>
        </w:rPr>
        <w:t>兆日圓，較上年同期增加</w:t>
      </w:r>
      <w:r w:rsidRPr="00B118E9">
        <w:rPr>
          <w:rFonts w:ascii="Times New Roman" w:eastAsia="標楷體" w:hAnsi="Times New Roman"/>
          <w:sz w:val="28"/>
          <w:szCs w:val="28"/>
        </w:rPr>
        <w:t>8.0%</w:t>
      </w:r>
      <w:r w:rsidRPr="00B118E9">
        <w:rPr>
          <w:rFonts w:ascii="Times New Roman" w:eastAsia="標楷體" w:hAnsi="Times New Roman"/>
          <w:sz w:val="28"/>
          <w:szCs w:val="28"/>
        </w:rPr>
        <w:t>，進口則為</w:t>
      </w:r>
      <w:r w:rsidRPr="00B118E9">
        <w:rPr>
          <w:rFonts w:ascii="Times New Roman" w:eastAsia="標楷體" w:hAnsi="Times New Roman"/>
          <w:sz w:val="28"/>
          <w:szCs w:val="28"/>
        </w:rPr>
        <w:t>6.60</w:t>
      </w:r>
      <w:r w:rsidRPr="00B118E9">
        <w:rPr>
          <w:rFonts w:ascii="Times New Roman" w:eastAsia="標楷體" w:hAnsi="Times New Roman"/>
          <w:sz w:val="28"/>
          <w:szCs w:val="28"/>
        </w:rPr>
        <w:t>兆日圓，較上年同期減少</w:t>
      </w:r>
      <w:r w:rsidRPr="00B118E9">
        <w:rPr>
          <w:rFonts w:ascii="Times New Roman" w:eastAsia="標楷體" w:hAnsi="Times New Roman"/>
          <w:sz w:val="28"/>
          <w:szCs w:val="28"/>
        </w:rPr>
        <w:t>4.2%</w:t>
      </w:r>
      <w:r w:rsidRPr="00B118E9">
        <w:rPr>
          <w:rFonts w:ascii="Times New Roman" w:eastAsia="標楷體" w:hAnsi="Times New Roman"/>
          <w:sz w:val="28"/>
          <w:szCs w:val="28"/>
        </w:rPr>
        <w:t>，貿易入超為</w:t>
      </w:r>
      <w:r w:rsidRPr="00B118E9">
        <w:rPr>
          <w:rFonts w:ascii="Times New Roman" w:eastAsia="標楷體" w:hAnsi="Times New Roman"/>
          <w:sz w:val="28"/>
          <w:szCs w:val="28"/>
        </w:rPr>
        <w:t>534</w:t>
      </w:r>
      <w:r w:rsidRPr="00B118E9">
        <w:rPr>
          <w:rFonts w:ascii="Times New Roman" w:eastAsia="標楷體" w:hAnsi="Times New Roman"/>
          <w:sz w:val="28"/>
          <w:szCs w:val="28"/>
        </w:rPr>
        <w:t>億日圓。就地區而言，對主要貿易夥伴，歐盟、美國、中國大陸、東協出口成長率分別為</w:t>
      </w:r>
      <w:r w:rsidRPr="00B118E9">
        <w:rPr>
          <w:rFonts w:ascii="Times New Roman" w:eastAsia="標楷體" w:hAnsi="Times New Roman"/>
          <w:sz w:val="28"/>
          <w:szCs w:val="28"/>
        </w:rPr>
        <w:t>0.8%</w:t>
      </w:r>
      <w:r w:rsidRPr="00B118E9">
        <w:rPr>
          <w:rFonts w:ascii="Times New Roman" w:eastAsia="標楷體" w:hAnsi="Times New Roman"/>
          <w:sz w:val="28"/>
          <w:szCs w:val="28"/>
        </w:rPr>
        <w:t>、</w:t>
      </w:r>
      <w:r w:rsidRPr="00B118E9">
        <w:rPr>
          <w:rFonts w:ascii="Times New Roman" w:eastAsia="標楷體" w:hAnsi="Times New Roman"/>
          <w:sz w:val="28"/>
          <w:szCs w:val="28"/>
        </w:rPr>
        <w:t>21.4%</w:t>
      </w:r>
      <w:r w:rsidRPr="00B118E9">
        <w:rPr>
          <w:rFonts w:ascii="Times New Roman" w:eastAsia="標楷體" w:hAnsi="Times New Roman"/>
          <w:sz w:val="28"/>
          <w:szCs w:val="28"/>
        </w:rPr>
        <w:t>、</w:t>
      </w:r>
      <w:r w:rsidRPr="00B118E9">
        <w:rPr>
          <w:rFonts w:ascii="Times New Roman" w:eastAsia="標楷體" w:hAnsi="Times New Roman"/>
          <w:sz w:val="28"/>
          <w:szCs w:val="28"/>
        </w:rPr>
        <w:t>2.4%</w:t>
      </w:r>
      <w:r w:rsidRPr="00B118E9">
        <w:rPr>
          <w:rFonts w:ascii="Times New Roman" w:eastAsia="標楷體" w:hAnsi="Times New Roman"/>
          <w:sz w:val="28"/>
          <w:szCs w:val="28"/>
        </w:rPr>
        <w:t>及</w:t>
      </w:r>
      <w:r w:rsidRPr="00B118E9">
        <w:rPr>
          <w:rFonts w:ascii="Times New Roman" w:eastAsia="標楷體" w:hAnsi="Times New Roman"/>
          <w:sz w:val="28"/>
          <w:szCs w:val="28"/>
        </w:rPr>
        <w:t>7.5%</w:t>
      </w:r>
      <w:r w:rsidRPr="00B118E9">
        <w:rPr>
          <w:rFonts w:ascii="Times New Roman" w:eastAsia="標楷體" w:hAnsi="Times New Roman"/>
          <w:sz w:val="28"/>
          <w:szCs w:val="28"/>
        </w:rPr>
        <w:t>。</w:t>
      </w:r>
      <w:r w:rsidRPr="00B118E9">
        <w:rPr>
          <w:rFonts w:ascii="Times New Roman" w:eastAsia="標楷體" w:hAnsi="Times New Roman"/>
          <w:sz w:val="28"/>
          <w:szCs w:val="28"/>
        </w:rPr>
        <w:t>2015</w:t>
      </w:r>
      <w:r w:rsidRPr="00B118E9">
        <w:rPr>
          <w:rFonts w:ascii="Times New Roman" w:eastAsia="標楷體" w:hAnsi="Times New Roman"/>
          <w:sz w:val="28"/>
          <w:szCs w:val="28"/>
        </w:rPr>
        <w:t>年</w:t>
      </w:r>
      <w:r w:rsidRPr="00B118E9">
        <w:rPr>
          <w:rFonts w:ascii="Times New Roman" w:eastAsia="標楷體" w:hAnsi="Times New Roman"/>
          <w:sz w:val="28"/>
          <w:szCs w:val="28"/>
        </w:rPr>
        <w:t>3</w:t>
      </w:r>
      <w:r w:rsidRPr="00B118E9">
        <w:rPr>
          <w:rFonts w:ascii="Times New Roman" w:eastAsia="標楷體" w:hAnsi="Times New Roman"/>
          <w:sz w:val="28"/>
          <w:szCs w:val="28"/>
        </w:rPr>
        <w:t>月工業生產減少</w:t>
      </w:r>
      <w:r w:rsidRPr="00B118E9">
        <w:rPr>
          <w:rFonts w:ascii="Times New Roman" w:eastAsia="標楷體" w:hAnsi="Times New Roman"/>
          <w:sz w:val="28"/>
          <w:szCs w:val="28"/>
        </w:rPr>
        <w:t>1.7%</w:t>
      </w:r>
      <w:r w:rsidRPr="00B118E9">
        <w:rPr>
          <w:rFonts w:ascii="Times New Roman" w:eastAsia="標楷體" w:hAnsi="Times New Roman"/>
          <w:sz w:val="28"/>
          <w:szCs w:val="28"/>
        </w:rPr>
        <w:t>；消費者物價上漲</w:t>
      </w:r>
      <w:r w:rsidRPr="00B118E9">
        <w:rPr>
          <w:rFonts w:ascii="Times New Roman" w:eastAsia="標楷體" w:hAnsi="Times New Roman"/>
          <w:sz w:val="28"/>
          <w:szCs w:val="28"/>
        </w:rPr>
        <w:t>2.3%</w:t>
      </w:r>
      <w:r w:rsidRPr="00B118E9">
        <w:rPr>
          <w:rFonts w:ascii="Times New Roman" w:eastAsia="標楷體" w:hAnsi="Times New Roman"/>
          <w:sz w:val="28"/>
          <w:szCs w:val="28"/>
        </w:rPr>
        <w:t>；失業率為</w:t>
      </w:r>
      <w:r w:rsidRPr="00B118E9">
        <w:rPr>
          <w:rFonts w:ascii="Times New Roman" w:eastAsia="標楷體" w:hAnsi="Times New Roman"/>
          <w:sz w:val="28"/>
          <w:szCs w:val="28"/>
        </w:rPr>
        <w:t>3.4%</w:t>
      </w:r>
      <w:r w:rsidRPr="00B118E9">
        <w:rPr>
          <w:rFonts w:ascii="Times New Roman" w:eastAsia="標楷體" w:hAnsi="Times New Roman"/>
          <w:sz w:val="28"/>
          <w:szCs w:val="28"/>
        </w:rPr>
        <w:t>。</w:t>
      </w:r>
    </w:p>
    <w:p w:rsidR="008A0333" w:rsidRPr="00B118E9" w:rsidRDefault="008A0333" w:rsidP="00681344">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B118E9">
        <w:rPr>
          <w:rFonts w:ascii="Times New Roman" w:eastAsia="標楷體" w:hAnsi="Times New Roman"/>
          <w:sz w:val="28"/>
          <w:szCs w:val="28"/>
        </w:rPr>
        <w:t>目前日本國債占</w:t>
      </w:r>
      <w:r w:rsidRPr="00B118E9">
        <w:rPr>
          <w:rFonts w:ascii="Times New Roman" w:eastAsia="標楷體" w:hAnsi="Times New Roman"/>
          <w:sz w:val="28"/>
          <w:szCs w:val="28"/>
        </w:rPr>
        <w:t xml:space="preserve">GDP </w:t>
      </w:r>
      <w:r w:rsidRPr="00B118E9">
        <w:rPr>
          <w:rFonts w:ascii="Times New Roman" w:eastAsia="標楷體" w:hAnsi="Times New Roman"/>
          <w:sz w:val="28"/>
          <w:szCs w:val="28"/>
        </w:rPr>
        <w:t>的</w:t>
      </w:r>
      <w:r w:rsidRPr="00B118E9">
        <w:rPr>
          <w:rFonts w:ascii="Times New Roman" w:eastAsia="標楷體" w:hAnsi="Times New Roman"/>
          <w:sz w:val="28"/>
          <w:szCs w:val="28"/>
        </w:rPr>
        <w:t>2</w:t>
      </w:r>
      <w:r w:rsidRPr="00B118E9">
        <w:rPr>
          <w:rFonts w:ascii="Times New Roman" w:eastAsia="標楷體" w:hAnsi="Times New Roman"/>
          <w:sz w:val="28"/>
          <w:szCs w:val="28"/>
        </w:rPr>
        <w:t>倍以上，日本安倍首相於</w:t>
      </w:r>
      <w:r w:rsidRPr="00B118E9">
        <w:rPr>
          <w:rFonts w:ascii="Times New Roman" w:eastAsia="標楷體" w:hAnsi="Times New Roman"/>
          <w:sz w:val="28"/>
          <w:szCs w:val="28"/>
        </w:rPr>
        <w:t>2015</w:t>
      </w:r>
      <w:r w:rsidRPr="00B118E9">
        <w:rPr>
          <w:rFonts w:ascii="Times New Roman" w:eastAsia="標楷體" w:hAnsi="Times New Roman"/>
          <w:sz w:val="28"/>
          <w:szCs w:val="28"/>
        </w:rPr>
        <w:t>年</w:t>
      </w:r>
      <w:r w:rsidRPr="00B118E9">
        <w:rPr>
          <w:rFonts w:ascii="Times New Roman" w:eastAsia="標楷體" w:hAnsi="Times New Roman"/>
          <w:sz w:val="28"/>
          <w:szCs w:val="28"/>
        </w:rPr>
        <w:t>5</w:t>
      </w:r>
      <w:r w:rsidRPr="00B118E9">
        <w:rPr>
          <w:rFonts w:ascii="Times New Roman" w:eastAsia="標楷體" w:hAnsi="Times New Roman"/>
          <w:sz w:val="28"/>
          <w:szCs w:val="28"/>
        </w:rPr>
        <w:t>月</w:t>
      </w:r>
      <w:r w:rsidRPr="00B118E9">
        <w:rPr>
          <w:rFonts w:ascii="Times New Roman" w:eastAsia="標楷體" w:hAnsi="Times New Roman"/>
          <w:sz w:val="28"/>
          <w:szCs w:val="28"/>
        </w:rPr>
        <w:t>12</w:t>
      </w:r>
      <w:r w:rsidRPr="00B118E9">
        <w:rPr>
          <w:rFonts w:ascii="Times New Roman" w:eastAsia="標楷體" w:hAnsi="Times New Roman"/>
          <w:sz w:val="28"/>
          <w:szCs w:val="28"/>
        </w:rPr>
        <w:t>日經濟財政諮問會議中表示，將於</w:t>
      </w:r>
      <w:r w:rsidRPr="00B118E9">
        <w:rPr>
          <w:rFonts w:ascii="Times New Roman" w:eastAsia="標楷體" w:hAnsi="Times New Roman"/>
          <w:sz w:val="28"/>
          <w:szCs w:val="28"/>
        </w:rPr>
        <w:t>6</w:t>
      </w:r>
      <w:r w:rsidRPr="00B118E9">
        <w:rPr>
          <w:rFonts w:ascii="Times New Roman" w:eastAsia="標楷體" w:hAnsi="Times New Roman"/>
          <w:sz w:val="28"/>
          <w:szCs w:val="28"/>
        </w:rPr>
        <w:t>月底完成日本財政健全化計畫，並強調財政重建必須仰賴經濟成長復甦，期藉由經濟成長來增加稅收改善財政。規劃中期目標為</w:t>
      </w:r>
      <w:r w:rsidRPr="00B118E9">
        <w:rPr>
          <w:rFonts w:ascii="Times New Roman" w:eastAsia="標楷體" w:hAnsi="Times New Roman"/>
          <w:sz w:val="28"/>
          <w:szCs w:val="28"/>
        </w:rPr>
        <w:t>2018</w:t>
      </w:r>
      <w:r w:rsidRPr="00B118E9">
        <w:rPr>
          <w:rFonts w:ascii="Times New Roman" w:eastAsia="標楷體" w:hAnsi="Times New Roman"/>
          <w:sz w:val="28"/>
          <w:szCs w:val="28"/>
        </w:rPr>
        <w:t>年度基本財政收支之赤字幅度占國內總生產的比重縮減為</w:t>
      </w:r>
      <w:r w:rsidRPr="00B118E9">
        <w:rPr>
          <w:rFonts w:ascii="Times New Roman" w:eastAsia="標楷體" w:hAnsi="Times New Roman"/>
          <w:sz w:val="28"/>
          <w:szCs w:val="28"/>
        </w:rPr>
        <w:t>1%</w:t>
      </w:r>
      <w:r w:rsidRPr="00B118E9">
        <w:rPr>
          <w:rFonts w:ascii="Times New Roman" w:eastAsia="標楷體" w:hAnsi="Times New Roman"/>
          <w:sz w:val="28"/>
          <w:szCs w:val="28"/>
        </w:rPr>
        <w:t>，並於</w:t>
      </w:r>
      <w:r w:rsidRPr="00B118E9">
        <w:rPr>
          <w:rFonts w:ascii="Times New Roman" w:eastAsia="標楷體" w:hAnsi="Times New Roman"/>
          <w:sz w:val="28"/>
          <w:szCs w:val="28"/>
        </w:rPr>
        <w:t>2020</w:t>
      </w:r>
      <w:r w:rsidRPr="00B118E9">
        <w:rPr>
          <w:rFonts w:ascii="Times New Roman" w:eastAsia="標楷體" w:hAnsi="Times New Roman"/>
          <w:sz w:val="28"/>
          <w:szCs w:val="28"/>
        </w:rPr>
        <w:t>年度實現財政收支轉虧為盈之目標。</w:t>
      </w:r>
    </w:p>
    <w:p w:rsidR="008A0333" w:rsidRPr="00B118E9" w:rsidRDefault="008A0333" w:rsidP="00681344">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B118E9">
        <w:rPr>
          <w:rFonts w:ascii="Times New Roman" w:eastAsia="標楷體" w:hAnsi="Times New Roman"/>
          <w:sz w:val="28"/>
          <w:szCs w:val="28"/>
        </w:rPr>
        <w:t>日本－歐盟經濟夥伴協定</w:t>
      </w:r>
      <w:r w:rsidRPr="00B118E9">
        <w:rPr>
          <w:rFonts w:ascii="Times New Roman" w:eastAsia="標楷體" w:hAnsi="Times New Roman"/>
          <w:sz w:val="28"/>
          <w:szCs w:val="28"/>
        </w:rPr>
        <w:t>(EPA)</w:t>
      </w:r>
      <w:r w:rsidRPr="00B118E9">
        <w:rPr>
          <w:rFonts w:ascii="Times New Roman" w:eastAsia="標楷體" w:hAnsi="Times New Roman"/>
          <w:sz w:val="28"/>
          <w:szCs w:val="28"/>
        </w:rPr>
        <w:t>自</w:t>
      </w:r>
      <w:r w:rsidRPr="00B118E9">
        <w:rPr>
          <w:rFonts w:ascii="Times New Roman" w:eastAsia="標楷體" w:hAnsi="Times New Roman"/>
          <w:sz w:val="28"/>
          <w:szCs w:val="28"/>
        </w:rPr>
        <w:t>2013</w:t>
      </w:r>
      <w:r w:rsidRPr="00B118E9">
        <w:rPr>
          <w:rFonts w:ascii="Times New Roman" w:eastAsia="標楷體" w:hAnsi="Times New Roman"/>
          <w:sz w:val="28"/>
          <w:szCs w:val="28"/>
        </w:rPr>
        <w:t>年</w:t>
      </w:r>
      <w:r w:rsidRPr="00B118E9">
        <w:rPr>
          <w:rFonts w:ascii="Times New Roman" w:eastAsia="標楷體" w:hAnsi="Times New Roman"/>
          <w:sz w:val="28"/>
          <w:szCs w:val="28"/>
        </w:rPr>
        <w:t>4</w:t>
      </w:r>
      <w:r w:rsidRPr="00B118E9">
        <w:rPr>
          <w:rFonts w:ascii="Times New Roman" w:eastAsia="標楷體" w:hAnsi="Times New Roman"/>
          <w:sz w:val="28"/>
          <w:szCs w:val="28"/>
        </w:rPr>
        <w:t>月起已進行</w:t>
      </w:r>
      <w:r w:rsidRPr="00B118E9">
        <w:rPr>
          <w:rFonts w:ascii="Times New Roman" w:eastAsia="標楷體" w:hAnsi="Times New Roman"/>
          <w:sz w:val="28"/>
          <w:szCs w:val="28"/>
        </w:rPr>
        <w:t>10</w:t>
      </w:r>
      <w:r w:rsidRPr="00B118E9">
        <w:rPr>
          <w:rFonts w:ascii="Times New Roman" w:eastAsia="標楷體" w:hAnsi="Times New Roman"/>
          <w:sz w:val="28"/>
          <w:szCs w:val="28"/>
        </w:rPr>
        <w:t>回合談判，然雙方對於汽車、農產品等領域方面歧見仍深。因此日本首相安倍晉三及歐盟理事會輪值主席</w:t>
      </w:r>
      <w:r w:rsidRPr="00B118E9">
        <w:rPr>
          <w:rFonts w:ascii="Times New Roman" w:eastAsia="標楷體" w:hAnsi="Times New Roman"/>
          <w:sz w:val="28"/>
          <w:szCs w:val="28"/>
        </w:rPr>
        <w:t>Mr. Donald Tusk</w:t>
      </w:r>
      <w:r w:rsidRPr="00B118E9">
        <w:rPr>
          <w:rFonts w:ascii="Times New Roman" w:eastAsia="標楷體" w:hAnsi="Times New Roman"/>
          <w:sz w:val="28"/>
          <w:szCs w:val="28"/>
        </w:rPr>
        <w:t>於</w:t>
      </w:r>
      <w:r w:rsidRPr="00B118E9">
        <w:rPr>
          <w:rFonts w:ascii="Times New Roman" w:eastAsia="標楷體" w:hAnsi="Times New Roman"/>
          <w:sz w:val="28"/>
          <w:szCs w:val="28"/>
        </w:rPr>
        <w:t>2015</w:t>
      </w:r>
      <w:r w:rsidRPr="00B118E9">
        <w:rPr>
          <w:rFonts w:ascii="Times New Roman" w:eastAsia="標楷體" w:hAnsi="Times New Roman"/>
          <w:sz w:val="28"/>
          <w:szCs w:val="28"/>
        </w:rPr>
        <w:t>年</w:t>
      </w:r>
      <w:r w:rsidRPr="00B118E9">
        <w:rPr>
          <w:rFonts w:ascii="Times New Roman" w:eastAsia="標楷體" w:hAnsi="Times New Roman"/>
          <w:sz w:val="28"/>
          <w:szCs w:val="28"/>
        </w:rPr>
        <w:t>5</w:t>
      </w:r>
      <w:r w:rsidRPr="00B118E9">
        <w:rPr>
          <w:rFonts w:ascii="Times New Roman" w:eastAsia="標楷體" w:hAnsi="Times New Roman"/>
          <w:sz w:val="28"/>
          <w:szCs w:val="28"/>
        </w:rPr>
        <w:t>月</w:t>
      </w:r>
      <w:r w:rsidRPr="00B118E9">
        <w:rPr>
          <w:rFonts w:ascii="Times New Roman" w:eastAsia="標楷體" w:hAnsi="Times New Roman"/>
          <w:sz w:val="28"/>
          <w:szCs w:val="28"/>
        </w:rPr>
        <w:t>29</w:t>
      </w:r>
      <w:r w:rsidRPr="00B118E9">
        <w:rPr>
          <w:rFonts w:ascii="Times New Roman" w:eastAsia="標楷體" w:hAnsi="Times New Roman"/>
          <w:sz w:val="28"/>
          <w:szCs w:val="28"/>
        </w:rPr>
        <w:t>日在東京舉行領袖會議，除表示將加速日歐</w:t>
      </w:r>
      <w:r w:rsidRPr="00B118E9">
        <w:rPr>
          <w:rFonts w:ascii="Times New Roman" w:eastAsia="標楷體" w:hAnsi="Times New Roman"/>
          <w:sz w:val="28"/>
          <w:szCs w:val="28"/>
        </w:rPr>
        <w:t>EPA</w:t>
      </w:r>
      <w:r w:rsidRPr="00B118E9">
        <w:rPr>
          <w:rFonts w:ascii="Times New Roman" w:eastAsia="標楷體" w:hAnsi="Times New Roman"/>
          <w:sz w:val="28"/>
          <w:szCs w:val="28"/>
        </w:rPr>
        <w:t>談判外，亦將就安全保障及能源等廣泛領域進行相關合作之探討。</w:t>
      </w:r>
    </w:p>
    <w:p w:rsidR="008A0333" w:rsidRPr="00B118E9" w:rsidRDefault="008A0333" w:rsidP="008A0333">
      <w:pPr>
        <w:pStyle w:val="afffff"/>
        <w:snapToGrid w:val="0"/>
        <w:spacing w:before="180" w:line="300" w:lineRule="auto"/>
        <w:ind w:leftChars="0" w:left="709" w:right="-227" w:firstLineChars="0" w:firstLine="0"/>
        <w:rPr>
          <w:rFonts w:ascii="Times New Roman" w:eastAsia="標楷體" w:hAnsi="Times New Roman"/>
          <w:sz w:val="28"/>
          <w:szCs w:val="28"/>
        </w:rPr>
      </w:pPr>
    </w:p>
    <w:p w:rsidR="00681344" w:rsidRPr="00B118E9" w:rsidRDefault="00681344" w:rsidP="00681344">
      <w:pPr>
        <w:rPr>
          <w:rFonts w:eastAsia="標楷體"/>
        </w:rPr>
      </w:pPr>
    </w:p>
    <w:p w:rsidR="00681344" w:rsidRPr="00B118E9" w:rsidRDefault="00681344" w:rsidP="00681344">
      <w:pPr>
        <w:snapToGrid w:val="0"/>
        <w:spacing w:before="60" w:line="300" w:lineRule="auto"/>
        <w:ind w:leftChars="250" w:left="600" w:right="-227" w:firstLineChars="700" w:firstLine="1962"/>
        <w:jc w:val="both"/>
        <w:rPr>
          <w:rFonts w:eastAsia="標楷體"/>
          <w:b/>
          <w:bCs/>
          <w:sz w:val="28"/>
          <w:szCs w:val="32"/>
          <w:lang w:val="zh-TW"/>
        </w:rPr>
      </w:pPr>
      <w:r w:rsidRPr="00B118E9">
        <w:rPr>
          <w:rFonts w:eastAsia="標楷體"/>
          <w:b/>
          <w:bCs/>
          <w:sz w:val="28"/>
          <w:szCs w:val="32"/>
          <w:lang w:val="zh-TW"/>
        </w:rPr>
        <w:t>表</w:t>
      </w:r>
      <w:r w:rsidRPr="00B118E9">
        <w:rPr>
          <w:rFonts w:eastAsia="標楷體"/>
          <w:b/>
          <w:bCs/>
          <w:sz w:val="28"/>
          <w:szCs w:val="32"/>
          <w:lang w:val="zh-TW"/>
        </w:rPr>
        <w:t xml:space="preserve">1-3-1 </w:t>
      </w:r>
      <w:r w:rsidRPr="00B118E9">
        <w:rPr>
          <w:rFonts w:eastAsia="標楷體"/>
          <w:b/>
          <w:bCs/>
          <w:sz w:val="28"/>
          <w:szCs w:val="32"/>
          <w:lang w:val="zh-TW"/>
        </w:rPr>
        <w:t>日本重要經濟指標</w:t>
      </w:r>
    </w:p>
    <w:p w:rsidR="008A0333" w:rsidRPr="00B118E9" w:rsidRDefault="008A0333" w:rsidP="008A0333">
      <w:pPr>
        <w:snapToGrid w:val="0"/>
        <w:ind w:rightChars="-300" w:right="-720"/>
        <w:jc w:val="right"/>
        <w:rPr>
          <w:rFonts w:eastAsia="標楷體"/>
          <w:lang w:val="zh-TW"/>
        </w:rPr>
      </w:pPr>
      <w:r w:rsidRPr="00B118E9">
        <w:rPr>
          <w:rFonts w:eastAsia="標楷體"/>
          <w:lang w:val="zh-TW"/>
        </w:rPr>
        <w:t>單位：兆日圓；</w:t>
      </w:r>
      <w:r w:rsidRPr="00B118E9">
        <w:rPr>
          <w:rFonts w:eastAsia="標楷體"/>
          <w:lang w:val="zh-TW"/>
        </w:rPr>
        <w:t>%</w:t>
      </w:r>
    </w:p>
    <w:tbl>
      <w:tblPr>
        <w:tblW w:w="9114" w:type="dxa"/>
        <w:tblInd w:w="-114" w:type="dxa"/>
        <w:tblLayout w:type="fixed"/>
        <w:tblCellMar>
          <w:left w:w="28" w:type="dxa"/>
          <w:right w:w="28" w:type="dxa"/>
        </w:tblCellMar>
        <w:tblLook w:val="04A0" w:firstRow="1" w:lastRow="0" w:firstColumn="1" w:lastColumn="0" w:noHBand="0" w:noVBand="1"/>
      </w:tblPr>
      <w:tblGrid>
        <w:gridCol w:w="1402"/>
        <w:gridCol w:w="1080"/>
        <w:gridCol w:w="772"/>
        <w:gridCol w:w="840"/>
        <w:gridCol w:w="784"/>
        <w:gridCol w:w="853"/>
        <w:gridCol w:w="784"/>
        <w:gridCol w:w="910"/>
        <w:gridCol w:w="854"/>
        <w:gridCol w:w="835"/>
      </w:tblGrid>
      <w:tr w:rsidR="008A0333" w:rsidRPr="00B118E9" w:rsidTr="00BD6B4B">
        <w:trPr>
          <w:cantSplit/>
        </w:trPr>
        <w:tc>
          <w:tcPr>
            <w:tcW w:w="1402" w:type="dxa"/>
            <w:vMerge w:val="restart"/>
            <w:tcBorders>
              <w:top w:val="single" w:sz="6" w:space="0" w:color="auto"/>
              <w:left w:val="nil"/>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lang w:val="zh-TW"/>
              </w:rPr>
              <w:t>年（月）</w:t>
            </w:r>
          </w:p>
        </w:tc>
        <w:tc>
          <w:tcPr>
            <w:tcW w:w="1080"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實質</w:t>
            </w:r>
          </w:p>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lang w:val="zh-TW"/>
              </w:rPr>
              <w:t>GD</w:t>
            </w:r>
            <w:r w:rsidRPr="00B118E9">
              <w:rPr>
                <w:rFonts w:eastAsia="標楷體"/>
                <w:sz w:val="22"/>
              </w:rPr>
              <w:t>P</w:t>
            </w:r>
          </w:p>
        </w:tc>
        <w:tc>
          <w:tcPr>
            <w:tcW w:w="772"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工業</w:t>
            </w:r>
          </w:p>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szCs w:val="20"/>
              </w:rPr>
            </w:pPr>
            <w:r w:rsidRPr="00B118E9">
              <w:rPr>
                <w:rFonts w:eastAsia="標楷體"/>
                <w:sz w:val="22"/>
                <w:szCs w:val="20"/>
              </w:rPr>
              <w:t>貿</w:t>
            </w:r>
            <w:r w:rsidRPr="00B118E9">
              <w:rPr>
                <w:rFonts w:eastAsia="標楷體"/>
                <w:sz w:val="22"/>
                <w:szCs w:val="20"/>
              </w:rPr>
              <w:t xml:space="preserve">    </w:t>
            </w:r>
            <w:r w:rsidRPr="00B118E9">
              <w:rPr>
                <w:rFonts w:eastAsia="標楷體"/>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消費者</w:t>
            </w:r>
          </w:p>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物價</w:t>
            </w:r>
          </w:p>
        </w:tc>
        <w:tc>
          <w:tcPr>
            <w:tcW w:w="835" w:type="dxa"/>
            <w:vMerge w:val="restart"/>
            <w:tcBorders>
              <w:top w:val="single" w:sz="6" w:space="0" w:color="auto"/>
              <w:left w:val="single" w:sz="6" w:space="0" w:color="auto"/>
              <w:bottom w:val="single" w:sz="6" w:space="0" w:color="auto"/>
              <w:right w:val="nil"/>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失業率</w:t>
            </w:r>
          </w:p>
        </w:tc>
      </w:tr>
      <w:tr w:rsidR="008A0333" w:rsidRPr="00B118E9" w:rsidTr="00BD6B4B">
        <w:trPr>
          <w:cantSplit/>
          <w:trHeight w:val="284"/>
        </w:trPr>
        <w:tc>
          <w:tcPr>
            <w:tcW w:w="1402" w:type="dxa"/>
            <w:vMerge/>
            <w:tcBorders>
              <w:top w:val="single" w:sz="6" w:space="0" w:color="auto"/>
              <w:left w:val="nil"/>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1624" w:type="dxa"/>
            <w:gridSpan w:val="2"/>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出口</w:t>
            </w:r>
          </w:p>
        </w:tc>
        <w:tc>
          <w:tcPr>
            <w:tcW w:w="1637" w:type="dxa"/>
            <w:gridSpan w:val="2"/>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進口</w:t>
            </w:r>
          </w:p>
        </w:tc>
        <w:tc>
          <w:tcPr>
            <w:tcW w:w="910"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出入超</w:t>
            </w: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8A0333" w:rsidRPr="00B118E9" w:rsidRDefault="008A0333" w:rsidP="00BD6B4B">
            <w:pPr>
              <w:widowControl/>
              <w:rPr>
                <w:rFonts w:eastAsia="標楷體"/>
                <w:sz w:val="22"/>
                <w:lang w:val="zh-TW"/>
              </w:rPr>
            </w:pPr>
          </w:p>
        </w:tc>
      </w:tr>
      <w:tr w:rsidR="008A0333" w:rsidRPr="00B118E9" w:rsidTr="00BD6B4B">
        <w:trPr>
          <w:cantSplit/>
          <w:trHeight w:val="368"/>
        </w:trPr>
        <w:tc>
          <w:tcPr>
            <w:tcW w:w="1402" w:type="dxa"/>
            <w:vMerge/>
            <w:tcBorders>
              <w:top w:val="single" w:sz="6" w:space="0" w:color="auto"/>
              <w:left w:val="nil"/>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840" w:type="dxa"/>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年增率</w:t>
            </w:r>
          </w:p>
        </w:tc>
        <w:tc>
          <w:tcPr>
            <w:tcW w:w="853" w:type="dxa"/>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年增率</w:t>
            </w:r>
          </w:p>
        </w:tc>
        <w:tc>
          <w:tcPr>
            <w:tcW w:w="910"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lang w:val="zh-TW"/>
              </w:rPr>
            </w:pP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8A0333" w:rsidRPr="00B118E9" w:rsidRDefault="008A0333" w:rsidP="00BD6B4B">
            <w:pPr>
              <w:widowControl/>
              <w:rPr>
                <w:rFonts w:eastAsia="標楷體"/>
                <w:sz w:val="22"/>
                <w:lang w:val="zh-TW"/>
              </w:rPr>
            </w:pPr>
          </w:p>
        </w:tc>
      </w:tr>
      <w:tr w:rsidR="008A0333" w:rsidRPr="00B118E9" w:rsidTr="00BD6B4B">
        <w:trPr>
          <w:cantSplit/>
        </w:trPr>
        <w:tc>
          <w:tcPr>
            <w:tcW w:w="1402" w:type="dxa"/>
            <w:tcBorders>
              <w:top w:val="nil"/>
              <w:left w:val="nil"/>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2010</w:t>
            </w:r>
            <w:r w:rsidRPr="00B118E9">
              <w:rPr>
                <w:rFonts w:eastAsia="標楷體"/>
                <w:sz w:val="22"/>
              </w:rPr>
              <w:t>年</w:t>
            </w:r>
          </w:p>
        </w:tc>
        <w:tc>
          <w:tcPr>
            <w:tcW w:w="108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4.7</w:t>
            </w:r>
          </w:p>
        </w:tc>
        <w:tc>
          <w:tcPr>
            <w:tcW w:w="772"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15.6</w:t>
            </w:r>
          </w:p>
        </w:tc>
        <w:tc>
          <w:tcPr>
            <w:tcW w:w="84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67.4</w:t>
            </w:r>
          </w:p>
        </w:tc>
        <w:tc>
          <w:tcPr>
            <w:tcW w:w="78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24.4</w:t>
            </w:r>
          </w:p>
        </w:tc>
        <w:tc>
          <w:tcPr>
            <w:tcW w:w="853"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60.6</w:t>
            </w:r>
          </w:p>
        </w:tc>
        <w:tc>
          <w:tcPr>
            <w:tcW w:w="78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17.7</w:t>
            </w:r>
          </w:p>
        </w:tc>
        <w:tc>
          <w:tcPr>
            <w:tcW w:w="91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6.8</w:t>
            </w:r>
          </w:p>
        </w:tc>
        <w:tc>
          <w:tcPr>
            <w:tcW w:w="85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-0.7</w:t>
            </w:r>
          </w:p>
        </w:tc>
        <w:tc>
          <w:tcPr>
            <w:tcW w:w="835" w:type="dxa"/>
            <w:tcBorders>
              <w:top w:val="nil"/>
              <w:left w:val="single" w:sz="6" w:space="0" w:color="auto"/>
              <w:bottom w:val="nil"/>
              <w:right w:val="nil"/>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5.1</w:t>
            </w:r>
          </w:p>
        </w:tc>
      </w:tr>
      <w:tr w:rsidR="008A0333" w:rsidRPr="00B118E9" w:rsidTr="00BD6B4B">
        <w:trPr>
          <w:cantSplit/>
        </w:trPr>
        <w:tc>
          <w:tcPr>
            <w:tcW w:w="1402" w:type="dxa"/>
            <w:tcBorders>
              <w:top w:val="nil"/>
              <w:left w:val="nil"/>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2011</w:t>
            </w:r>
            <w:r w:rsidRPr="00B118E9">
              <w:rPr>
                <w:rFonts w:eastAsia="標楷體"/>
                <w:sz w:val="22"/>
              </w:rPr>
              <w:t>年</w:t>
            </w:r>
          </w:p>
        </w:tc>
        <w:tc>
          <w:tcPr>
            <w:tcW w:w="108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-0.5</w:t>
            </w:r>
          </w:p>
        </w:tc>
        <w:tc>
          <w:tcPr>
            <w:tcW w:w="772"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-2.8</w:t>
            </w:r>
          </w:p>
        </w:tc>
        <w:tc>
          <w:tcPr>
            <w:tcW w:w="84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65.7</w:t>
            </w:r>
          </w:p>
        </w:tc>
        <w:tc>
          <w:tcPr>
            <w:tcW w:w="78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-2.5</w:t>
            </w:r>
          </w:p>
        </w:tc>
        <w:tc>
          <w:tcPr>
            <w:tcW w:w="853"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67.9</w:t>
            </w:r>
          </w:p>
        </w:tc>
        <w:tc>
          <w:tcPr>
            <w:tcW w:w="78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12.0</w:t>
            </w:r>
          </w:p>
        </w:tc>
        <w:tc>
          <w:tcPr>
            <w:tcW w:w="91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-2.2</w:t>
            </w:r>
          </w:p>
        </w:tc>
        <w:tc>
          <w:tcPr>
            <w:tcW w:w="85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-0.3</w:t>
            </w:r>
          </w:p>
        </w:tc>
        <w:tc>
          <w:tcPr>
            <w:tcW w:w="835" w:type="dxa"/>
            <w:tcBorders>
              <w:top w:val="nil"/>
              <w:left w:val="single" w:sz="6" w:space="0" w:color="auto"/>
              <w:bottom w:val="nil"/>
              <w:right w:val="nil"/>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4.6</w:t>
            </w:r>
          </w:p>
        </w:tc>
      </w:tr>
      <w:tr w:rsidR="008A0333" w:rsidRPr="00B118E9" w:rsidTr="00BD6B4B">
        <w:trPr>
          <w:cantSplit/>
        </w:trPr>
        <w:tc>
          <w:tcPr>
            <w:tcW w:w="1402" w:type="dxa"/>
            <w:tcBorders>
              <w:top w:val="nil"/>
              <w:left w:val="nil"/>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2012</w:t>
            </w:r>
            <w:r w:rsidRPr="00B118E9">
              <w:rPr>
                <w:rFonts w:eastAsia="標楷體"/>
                <w:sz w:val="22"/>
              </w:rPr>
              <w:t>年</w:t>
            </w:r>
          </w:p>
        </w:tc>
        <w:tc>
          <w:tcPr>
            <w:tcW w:w="108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1.4</w:t>
            </w:r>
          </w:p>
        </w:tc>
        <w:tc>
          <w:tcPr>
            <w:tcW w:w="772"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0.6</w:t>
            </w:r>
          </w:p>
        </w:tc>
        <w:tc>
          <w:tcPr>
            <w:tcW w:w="84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 xml:space="preserve">63.8 </w:t>
            </w:r>
          </w:p>
        </w:tc>
        <w:tc>
          <w:tcPr>
            <w:tcW w:w="78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 xml:space="preserve">-2.7 </w:t>
            </w:r>
          </w:p>
        </w:tc>
        <w:tc>
          <w:tcPr>
            <w:tcW w:w="853"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 xml:space="preserve">70.7 </w:t>
            </w:r>
          </w:p>
        </w:tc>
        <w:tc>
          <w:tcPr>
            <w:tcW w:w="78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 xml:space="preserve">3.8 </w:t>
            </w:r>
          </w:p>
        </w:tc>
        <w:tc>
          <w:tcPr>
            <w:tcW w:w="91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 xml:space="preserve">-6.9 </w:t>
            </w:r>
          </w:p>
        </w:tc>
        <w:tc>
          <w:tcPr>
            <w:tcW w:w="85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0.0</w:t>
            </w:r>
          </w:p>
        </w:tc>
        <w:tc>
          <w:tcPr>
            <w:tcW w:w="835" w:type="dxa"/>
            <w:tcBorders>
              <w:top w:val="nil"/>
              <w:left w:val="single" w:sz="6" w:space="0" w:color="auto"/>
              <w:bottom w:val="nil"/>
              <w:right w:val="nil"/>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4.3</w:t>
            </w:r>
          </w:p>
        </w:tc>
      </w:tr>
      <w:tr w:rsidR="008A0333" w:rsidRPr="00B118E9" w:rsidTr="00BD6B4B">
        <w:trPr>
          <w:cantSplit/>
        </w:trPr>
        <w:tc>
          <w:tcPr>
            <w:tcW w:w="1402" w:type="dxa"/>
            <w:tcBorders>
              <w:top w:val="nil"/>
              <w:left w:val="nil"/>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2013</w:t>
            </w:r>
            <w:r w:rsidRPr="00B118E9">
              <w:rPr>
                <w:rFonts w:eastAsia="標楷體"/>
                <w:sz w:val="22"/>
              </w:rPr>
              <w:t>年</w:t>
            </w:r>
          </w:p>
        </w:tc>
        <w:tc>
          <w:tcPr>
            <w:tcW w:w="108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1.6</w:t>
            </w:r>
          </w:p>
        </w:tc>
        <w:tc>
          <w:tcPr>
            <w:tcW w:w="772"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-0.8</w:t>
            </w:r>
          </w:p>
        </w:tc>
        <w:tc>
          <w:tcPr>
            <w:tcW w:w="84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69.8</w:t>
            </w:r>
          </w:p>
        </w:tc>
        <w:tc>
          <w:tcPr>
            <w:tcW w:w="78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9.5</w:t>
            </w:r>
          </w:p>
        </w:tc>
        <w:tc>
          <w:tcPr>
            <w:tcW w:w="853"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81.3</w:t>
            </w:r>
          </w:p>
        </w:tc>
        <w:tc>
          <w:tcPr>
            <w:tcW w:w="78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15.0</w:t>
            </w:r>
          </w:p>
        </w:tc>
        <w:tc>
          <w:tcPr>
            <w:tcW w:w="91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-11.5</w:t>
            </w:r>
          </w:p>
        </w:tc>
        <w:tc>
          <w:tcPr>
            <w:tcW w:w="85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0.4</w:t>
            </w:r>
          </w:p>
        </w:tc>
        <w:tc>
          <w:tcPr>
            <w:tcW w:w="835" w:type="dxa"/>
            <w:tcBorders>
              <w:top w:val="nil"/>
              <w:left w:val="single" w:sz="6" w:space="0" w:color="auto"/>
              <w:bottom w:val="nil"/>
              <w:right w:val="nil"/>
            </w:tcBorders>
            <w:vAlign w:val="bottom"/>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4.0</w:t>
            </w:r>
          </w:p>
        </w:tc>
      </w:tr>
      <w:tr w:rsidR="008A0333" w:rsidRPr="00B118E9" w:rsidTr="00BD6B4B">
        <w:trPr>
          <w:cantSplit/>
        </w:trPr>
        <w:tc>
          <w:tcPr>
            <w:tcW w:w="1402" w:type="dxa"/>
            <w:tcBorders>
              <w:top w:val="nil"/>
              <w:left w:val="nil"/>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2014</w:t>
            </w:r>
            <w:r w:rsidRPr="00B118E9">
              <w:rPr>
                <w:rFonts w:eastAsia="標楷體"/>
                <w:sz w:val="22"/>
              </w:rPr>
              <w:t>年</w:t>
            </w:r>
          </w:p>
        </w:tc>
        <w:tc>
          <w:tcPr>
            <w:tcW w:w="108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0.0</w:t>
            </w:r>
          </w:p>
        </w:tc>
        <w:tc>
          <w:tcPr>
            <w:tcW w:w="77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2.1</w:t>
            </w:r>
          </w:p>
        </w:tc>
        <w:tc>
          <w:tcPr>
            <w:tcW w:w="84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73.1</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4.7</w:t>
            </w:r>
          </w:p>
        </w:tc>
        <w:tc>
          <w:tcPr>
            <w:tcW w:w="85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85.8</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5.5</w:t>
            </w:r>
          </w:p>
        </w:tc>
        <w:tc>
          <w:tcPr>
            <w:tcW w:w="91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-12.7</w:t>
            </w:r>
          </w:p>
        </w:tc>
        <w:tc>
          <w:tcPr>
            <w:tcW w:w="85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2.7</w:t>
            </w:r>
          </w:p>
        </w:tc>
        <w:tc>
          <w:tcPr>
            <w:tcW w:w="835"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3.6</w:t>
            </w:r>
          </w:p>
        </w:tc>
      </w:tr>
      <w:tr w:rsidR="008A0333" w:rsidRPr="00B118E9" w:rsidTr="00BD6B4B">
        <w:trPr>
          <w:cantSplit/>
        </w:trPr>
        <w:tc>
          <w:tcPr>
            <w:tcW w:w="1402" w:type="dxa"/>
            <w:tcBorders>
              <w:top w:val="nil"/>
              <w:left w:val="nil"/>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4</w:t>
            </w:r>
            <w:r w:rsidRPr="00B118E9">
              <w:rPr>
                <w:rFonts w:eastAsia="標楷體"/>
                <w:sz w:val="22"/>
              </w:rPr>
              <w:t>月</w:t>
            </w:r>
          </w:p>
        </w:tc>
        <w:tc>
          <w:tcPr>
            <w:tcW w:w="108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3.8</w:t>
            </w:r>
          </w:p>
        </w:tc>
        <w:tc>
          <w:tcPr>
            <w:tcW w:w="84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6.07</w:t>
            </w:r>
          </w:p>
        </w:tc>
        <w:tc>
          <w:tcPr>
            <w:tcW w:w="78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5.1</w:t>
            </w:r>
          </w:p>
        </w:tc>
        <w:tc>
          <w:tcPr>
            <w:tcW w:w="853"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6.88</w:t>
            </w:r>
          </w:p>
        </w:tc>
        <w:tc>
          <w:tcPr>
            <w:tcW w:w="78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3.4</w:t>
            </w:r>
          </w:p>
        </w:tc>
        <w:tc>
          <w:tcPr>
            <w:tcW w:w="91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-0.81</w:t>
            </w:r>
          </w:p>
        </w:tc>
        <w:tc>
          <w:tcPr>
            <w:tcW w:w="85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3.4</w:t>
            </w:r>
          </w:p>
        </w:tc>
        <w:tc>
          <w:tcPr>
            <w:tcW w:w="835" w:type="dxa"/>
            <w:tcBorders>
              <w:top w:val="nil"/>
              <w:left w:val="single" w:sz="6" w:space="0" w:color="auto"/>
              <w:bottom w:val="nil"/>
              <w:right w:val="nil"/>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3.6</w:t>
            </w:r>
          </w:p>
        </w:tc>
      </w:tr>
      <w:tr w:rsidR="008A0333" w:rsidRPr="00B118E9" w:rsidTr="00BD6B4B">
        <w:trPr>
          <w:cantSplit/>
        </w:trPr>
        <w:tc>
          <w:tcPr>
            <w:tcW w:w="1402" w:type="dxa"/>
            <w:tcBorders>
              <w:top w:val="nil"/>
              <w:left w:val="nil"/>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5</w:t>
            </w:r>
            <w:r w:rsidRPr="00B118E9">
              <w:rPr>
                <w:rFonts w:eastAsia="標楷體"/>
                <w:sz w:val="22"/>
              </w:rPr>
              <w:t>月</w:t>
            </w:r>
          </w:p>
        </w:tc>
        <w:tc>
          <w:tcPr>
            <w:tcW w:w="108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1.0</w:t>
            </w:r>
          </w:p>
        </w:tc>
        <w:tc>
          <w:tcPr>
            <w:tcW w:w="84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5.61</w:t>
            </w:r>
          </w:p>
        </w:tc>
        <w:tc>
          <w:tcPr>
            <w:tcW w:w="78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-2.7</w:t>
            </w:r>
          </w:p>
        </w:tc>
        <w:tc>
          <w:tcPr>
            <w:tcW w:w="853"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6.52</w:t>
            </w:r>
          </w:p>
        </w:tc>
        <w:tc>
          <w:tcPr>
            <w:tcW w:w="78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-3.6</w:t>
            </w:r>
          </w:p>
        </w:tc>
        <w:tc>
          <w:tcPr>
            <w:tcW w:w="91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-0.91</w:t>
            </w:r>
          </w:p>
        </w:tc>
        <w:tc>
          <w:tcPr>
            <w:tcW w:w="85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3.7</w:t>
            </w:r>
          </w:p>
        </w:tc>
        <w:tc>
          <w:tcPr>
            <w:tcW w:w="835" w:type="dxa"/>
            <w:tcBorders>
              <w:top w:val="nil"/>
              <w:left w:val="single" w:sz="6" w:space="0" w:color="auto"/>
              <w:bottom w:val="nil"/>
              <w:right w:val="nil"/>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3.5</w:t>
            </w:r>
          </w:p>
        </w:tc>
      </w:tr>
      <w:tr w:rsidR="008A0333" w:rsidRPr="00B118E9" w:rsidTr="00BD6B4B">
        <w:trPr>
          <w:cantSplit/>
        </w:trPr>
        <w:tc>
          <w:tcPr>
            <w:tcW w:w="1402" w:type="dxa"/>
            <w:tcBorders>
              <w:top w:val="nil"/>
              <w:left w:val="nil"/>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w:t>
            </w:r>
            <w:r w:rsidRPr="00B118E9">
              <w:rPr>
                <w:rFonts w:eastAsia="標楷體"/>
                <w:sz w:val="22"/>
              </w:rPr>
              <w:t>月</w:t>
            </w:r>
          </w:p>
        </w:tc>
        <w:tc>
          <w:tcPr>
            <w:tcW w:w="108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-7.1</w:t>
            </w:r>
            <w:r w:rsidRPr="00B118E9">
              <w:rPr>
                <w:rFonts w:eastAsia="標楷體"/>
                <w:sz w:val="22"/>
              </w:rPr>
              <w:t>（</w:t>
            </w:r>
            <w:r w:rsidRPr="00B118E9">
              <w:rPr>
                <w:rFonts w:eastAsia="標楷體"/>
                <w:sz w:val="22"/>
              </w:rPr>
              <w:t>II</w:t>
            </w:r>
            <w:r w:rsidRPr="00B118E9">
              <w:rPr>
                <w:rFonts w:eastAsia="標楷體"/>
                <w:sz w:val="22"/>
              </w:rPr>
              <w:t>）</w:t>
            </w:r>
          </w:p>
        </w:tc>
        <w:tc>
          <w:tcPr>
            <w:tcW w:w="772"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3.1</w:t>
            </w:r>
          </w:p>
        </w:tc>
        <w:tc>
          <w:tcPr>
            <w:tcW w:w="84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5.94</w:t>
            </w:r>
          </w:p>
        </w:tc>
        <w:tc>
          <w:tcPr>
            <w:tcW w:w="78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-1.9</w:t>
            </w:r>
          </w:p>
        </w:tc>
        <w:tc>
          <w:tcPr>
            <w:tcW w:w="853"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6.76</w:t>
            </w:r>
          </w:p>
        </w:tc>
        <w:tc>
          <w:tcPr>
            <w:tcW w:w="78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8.4</w:t>
            </w:r>
          </w:p>
        </w:tc>
        <w:tc>
          <w:tcPr>
            <w:tcW w:w="910"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-0.82</w:t>
            </w:r>
          </w:p>
        </w:tc>
        <w:tc>
          <w:tcPr>
            <w:tcW w:w="854"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3.6</w:t>
            </w:r>
          </w:p>
        </w:tc>
        <w:tc>
          <w:tcPr>
            <w:tcW w:w="835" w:type="dxa"/>
            <w:tcBorders>
              <w:top w:val="nil"/>
              <w:left w:val="single" w:sz="6" w:space="0" w:color="auto"/>
              <w:bottom w:val="nil"/>
              <w:right w:val="nil"/>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3.7</w:t>
            </w:r>
          </w:p>
        </w:tc>
      </w:tr>
      <w:tr w:rsidR="008A0333" w:rsidRPr="00B118E9" w:rsidTr="00BD6B4B">
        <w:trPr>
          <w:cantSplit/>
        </w:trPr>
        <w:tc>
          <w:tcPr>
            <w:tcW w:w="1402" w:type="dxa"/>
            <w:tcBorders>
              <w:top w:val="nil"/>
              <w:left w:val="nil"/>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7</w:t>
            </w:r>
            <w:r w:rsidRPr="00B118E9">
              <w:rPr>
                <w:rFonts w:eastAsia="標楷體"/>
                <w:sz w:val="22"/>
              </w:rPr>
              <w:t>月</w:t>
            </w:r>
          </w:p>
        </w:tc>
        <w:tc>
          <w:tcPr>
            <w:tcW w:w="108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-0.7</w:t>
            </w:r>
          </w:p>
        </w:tc>
        <w:tc>
          <w:tcPr>
            <w:tcW w:w="84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6.19</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3.9</w:t>
            </w:r>
          </w:p>
        </w:tc>
        <w:tc>
          <w:tcPr>
            <w:tcW w:w="85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7.15</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2.3</w:t>
            </w:r>
          </w:p>
        </w:tc>
        <w:tc>
          <w:tcPr>
            <w:tcW w:w="91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-0.96</w:t>
            </w:r>
          </w:p>
        </w:tc>
        <w:tc>
          <w:tcPr>
            <w:tcW w:w="85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3.4</w:t>
            </w:r>
          </w:p>
        </w:tc>
        <w:tc>
          <w:tcPr>
            <w:tcW w:w="835"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3.8</w:t>
            </w:r>
          </w:p>
        </w:tc>
      </w:tr>
      <w:tr w:rsidR="008A0333" w:rsidRPr="00B118E9" w:rsidTr="00BD6B4B">
        <w:trPr>
          <w:cantSplit/>
        </w:trPr>
        <w:tc>
          <w:tcPr>
            <w:tcW w:w="1402" w:type="dxa"/>
            <w:tcBorders>
              <w:top w:val="nil"/>
              <w:left w:val="nil"/>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8</w:t>
            </w:r>
            <w:r w:rsidRPr="00B118E9">
              <w:rPr>
                <w:rFonts w:eastAsia="標楷體"/>
                <w:sz w:val="22"/>
              </w:rPr>
              <w:t>月</w:t>
            </w:r>
          </w:p>
        </w:tc>
        <w:tc>
          <w:tcPr>
            <w:tcW w:w="108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-3.3</w:t>
            </w:r>
          </w:p>
        </w:tc>
        <w:tc>
          <w:tcPr>
            <w:tcW w:w="84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5.71</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-1.3</w:t>
            </w:r>
          </w:p>
        </w:tc>
        <w:tc>
          <w:tcPr>
            <w:tcW w:w="85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6.65</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-1.5</w:t>
            </w:r>
          </w:p>
        </w:tc>
        <w:tc>
          <w:tcPr>
            <w:tcW w:w="91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-0.95</w:t>
            </w:r>
          </w:p>
        </w:tc>
        <w:tc>
          <w:tcPr>
            <w:tcW w:w="85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3.1</w:t>
            </w:r>
          </w:p>
        </w:tc>
        <w:tc>
          <w:tcPr>
            <w:tcW w:w="835"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3.5</w:t>
            </w:r>
          </w:p>
        </w:tc>
      </w:tr>
      <w:tr w:rsidR="008A0333" w:rsidRPr="00B118E9" w:rsidTr="00BD6B4B">
        <w:trPr>
          <w:cantSplit/>
        </w:trPr>
        <w:tc>
          <w:tcPr>
            <w:tcW w:w="1402" w:type="dxa"/>
            <w:tcBorders>
              <w:top w:val="nil"/>
              <w:left w:val="nil"/>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9</w:t>
            </w:r>
            <w:r w:rsidRPr="00B118E9">
              <w:rPr>
                <w:rFonts w:eastAsia="標楷體"/>
                <w:sz w:val="22"/>
              </w:rPr>
              <w:t>月</w:t>
            </w:r>
          </w:p>
        </w:tc>
        <w:tc>
          <w:tcPr>
            <w:tcW w:w="108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-1.9</w:t>
            </w:r>
            <w:r w:rsidRPr="00B118E9">
              <w:rPr>
                <w:rFonts w:eastAsia="標楷體"/>
                <w:sz w:val="22"/>
              </w:rPr>
              <w:t>（</w:t>
            </w:r>
            <w:r w:rsidRPr="00B118E9">
              <w:rPr>
                <w:rFonts w:eastAsia="標楷體"/>
                <w:sz w:val="22"/>
              </w:rPr>
              <w:t>III</w:t>
            </w:r>
            <w:r w:rsidRPr="00B118E9">
              <w:rPr>
                <w:rFonts w:eastAsia="標楷體"/>
                <w:sz w:val="22"/>
              </w:rPr>
              <w:t>）</w:t>
            </w:r>
          </w:p>
        </w:tc>
        <w:tc>
          <w:tcPr>
            <w:tcW w:w="77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0.8</w:t>
            </w:r>
          </w:p>
        </w:tc>
        <w:tc>
          <w:tcPr>
            <w:tcW w:w="84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6.38</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6.9</w:t>
            </w:r>
          </w:p>
        </w:tc>
        <w:tc>
          <w:tcPr>
            <w:tcW w:w="85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7.34</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6.2</w:t>
            </w:r>
          </w:p>
        </w:tc>
        <w:tc>
          <w:tcPr>
            <w:tcW w:w="91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-0.96</w:t>
            </w:r>
          </w:p>
        </w:tc>
        <w:tc>
          <w:tcPr>
            <w:tcW w:w="85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3.2</w:t>
            </w:r>
          </w:p>
        </w:tc>
        <w:tc>
          <w:tcPr>
            <w:tcW w:w="835"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3.6</w:t>
            </w:r>
          </w:p>
        </w:tc>
      </w:tr>
      <w:tr w:rsidR="008A0333" w:rsidRPr="00B118E9" w:rsidTr="00BD6B4B">
        <w:trPr>
          <w:cantSplit/>
        </w:trPr>
        <w:tc>
          <w:tcPr>
            <w:tcW w:w="1402" w:type="dxa"/>
            <w:tcBorders>
              <w:top w:val="nil"/>
              <w:left w:val="nil"/>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10</w:t>
            </w:r>
            <w:r w:rsidRPr="00B118E9">
              <w:rPr>
                <w:rFonts w:eastAsia="標楷體"/>
                <w:sz w:val="22"/>
              </w:rPr>
              <w:t>月</w:t>
            </w:r>
          </w:p>
        </w:tc>
        <w:tc>
          <w:tcPr>
            <w:tcW w:w="108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-0.8</w:t>
            </w:r>
          </w:p>
        </w:tc>
        <w:tc>
          <w:tcPr>
            <w:tcW w:w="84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6.69</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9.6</w:t>
            </w:r>
          </w:p>
        </w:tc>
        <w:tc>
          <w:tcPr>
            <w:tcW w:w="85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7.39</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2.7</w:t>
            </w:r>
          </w:p>
        </w:tc>
        <w:tc>
          <w:tcPr>
            <w:tcW w:w="91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-0.70</w:t>
            </w:r>
          </w:p>
        </w:tc>
        <w:tc>
          <w:tcPr>
            <w:tcW w:w="85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2.9</w:t>
            </w:r>
          </w:p>
        </w:tc>
        <w:tc>
          <w:tcPr>
            <w:tcW w:w="835"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3.5</w:t>
            </w:r>
          </w:p>
        </w:tc>
      </w:tr>
      <w:tr w:rsidR="008A0333" w:rsidRPr="00B118E9" w:rsidTr="00BD6B4B">
        <w:trPr>
          <w:cantSplit/>
        </w:trPr>
        <w:tc>
          <w:tcPr>
            <w:tcW w:w="1402" w:type="dxa"/>
            <w:tcBorders>
              <w:top w:val="nil"/>
              <w:left w:val="nil"/>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11</w:t>
            </w:r>
            <w:r w:rsidRPr="00B118E9">
              <w:rPr>
                <w:rFonts w:eastAsia="標楷體"/>
                <w:sz w:val="22"/>
              </w:rPr>
              <w:t>月</w:t>
            </w:r>
          </w:p>
        </w:tc>
        <w:tc>
          <w:tcPr>
            <w:tcW w:w="108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-3.7</w:t>
            </w:r>
          </w:p>
        </w:tc>
        <w:tc>
          <w:tcPr>
            <w:tcW w:w="84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6.19</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4.9</w:t>
            </w:r>
          </w:p>
        </w:tc>
        <w:tc>
          <w:tcPr>
            <w:tcW w:w="85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7.08</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-1.7</w:t>
            </w:r>
          </w:p>
        </w:tc>
        <w:tc>
          <w:tcPr>
            <w:tcW w:w="91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-0.89</w:t>
            </w:r>
          </w:p>
        </w:tc>
        <w:tc>
          <w:tcPr>
            <w:tcW w:w="85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2.4</w:t>
            </w:r>
          </w:p>
        </w:tc>
        <w:tc>
          <w:tcPr>
            <w:tcW w:w="835"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3.5</w:t>
            </w:r>
          </w:p>
        </w:tc>
      </w:tr>
      <w:tr w:rsidR="008A0333" w:rsidRPr="00B118E9" w:rsidTr="00BD6B4B">
        <w:trPr>
          <w:cantSplit/>
        </w:trPr>
        <w:tc>
          <w:tcPr>
            <w:tcW w:w="1402" w:type="dxa"/>
            <w:tcBorders>
              <w:top w:val="nil"/>
              <w:left w:val="nil"/>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12</w:t>
            </w:r>
            <w:r w:rsidRPr="00B118E9">
              <w:rPr>
                <w:rFonts w:eastAsia="標楷體"/>
                <w:sz w:val="22"/>
              </w:rPr>
              <w:t>月</w:t>
            </w:r>
          </w:p>
        </w:tc>
        <w:tc>
          <w:tcPr>
            <w:tcW w:w="108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1.5</w:t>
            </w:r>
            <w:r w:rsidRPr="00B118E9">
              <w:rPr>
                <w:rFonts w:eastAsia="標楷體"/>
                <w:sz w:val="22"/>
              </w:rPr>
              <w:t>（</w:t>
            </w:r>
            <w:r w:rsidRPr="00B118E9">
              <w:rPr>
                <w:rFonts w:eastAsia="標楷體"/>
                <w:sz w:val="22"/>
              </w:rPr>
              <w:t>IV</w:t>
            </w:r>
            <w:r w:rsidRPr="00B118E9">
              <w:rPr>
                <w:rFonts w:eastAsia="標楷體"/>
                <w:sz w:val="22"/>
              </w:rPr>
              <w:t>）</w:t>
            </w:r>
          </w:p>
        </w:tc>
        <w:tc>
          <w:tcPr>
            <w:tcW w:w="77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0.1</w:t>
            </w:r>
          </w:p>
        </w:tc>
        <w:tc>
          <w:tcPr>
            <w:tcW w:w="84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6.89</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12.8</w:t>
            </w:r>
          </w:p>
        </w:tc>
        <w:tc>
          <w:tcPr>
            <w:tcW w:w="85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7.56</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1.9</w:t>
            </w:r>
          </w:p>
        </w:tc>
        <w:tc>
          <w:tcPr>
            <w:tcW w:w="91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-0.67</w:t>
            </w:r>
          </w:p>
        </w:tc>
        <w:tc>
          <w:tcPr>
            <w:tcW w:w="85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2.4</w:t>
            </w:r>
          </w:p>
        </w:tc>
        <w:tc>
          <w:tcPr>
            <w:tcW w:w="835"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3.4</w:t>
            </w:r>
          </w:p>
        </w:tc>
      </w:tr>
      <w:tr w:rsidR="008A0333" w:rsidRPr="00B118E9" w:rsidTr="00BD6B4B">
        <w:trPr>
          <w:cantSplit/>
        </w:trPr>
        <w:tc>
          <w:tcPr>
            <w:tcW w:w="1402" w:type="dxa"/>
            <w:tcBorders>
              <w:top w:val="nil"/>
              <w:left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2015</w:t>
            </w:r>
            <w:r w:rsidRPr="00B118E9">
              <w:rPr>
                <w:rFonts w:eastAsia="標楷體"/>
                <w:sz w:val="22"/>
              </w:rPr>
              <w:t>年</w:t>
            </w:r>
          </w:p>
        </w:tc>
        <w:tc>
          <w:tcPr>
            <w:tcW w:w="1080" w:type="dxa"/>
            <w:tcBorders>
              <w:top w:val="nil"/>
              <w:left w:val="single" w:sz="6"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840" w:type="dxa"/>
            <w:tcBorders>
              <w:top w:val="nil"/>
              <w:left w:val="single" w:sz="6"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784" w:type="dxa"/>
            <w:tcBorders>
              <w:top w:val="nil"/>
              <w:left w:val="single" w:sz="6"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853" w:type="dxa"/>
            <w:tcBorders>
              <w:top w:val="nil"/>
              <w:left w:val="single" w:sz="6"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784" w:type="dxa"/>
            <w:tcBorders>
              <w:top w:val="nil"/>
              <w:left w:val="single" w:sz="6"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910" w:type="dxa"/>
            <w:tcBorders>
              <w:top w:val="nil"/>
              <w:left w:val="single" w:sz="6"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854" w:type="dxa"/>
            <w:tcBorders>
              <w:top w:val="nil"/>
              <w:left w:val="single" w:sz="6"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835" w:type="dxa"/>
            <w:tcBorders>
              <w:top w:val="nil"/>
              <w:left w:val="single" w:sz="6" w:space="0" w:color="auto"/>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r>
      <w:tr w:rsidR="008A0333" w:rsidRPr="00B118E9" w:rsidTr="00BD6B4B">
        <w:trPr>
          <w:cantSplit/>
        </w:trPr>
        <w:tc>
          <w:tcPr>
            <w:tcW w:w="1402" w:type="dxa"/>
            <w:tcBorders>
              <w:top w:val="nil"/>
              <w:left w:val="nil"/>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w:t>
            </w:r>
            <w:r w:rsidRPr="00B118E9">
              <w:rPr>
                <w:rFonts w:eastAsia="標楷體"/>
                <w:sz w:val="22"/>
              </w:rPr>
              <w:t>月</w:t>
            </w:r>
          </w:p>
        </w:tc>
        <w:tc>
          <w:tcPr>
            <w:tcW w:w="108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-2.8</w:t>
            </w:r>
          </w:p>
        </w:tc>
        <w:tc>
          <w:tcPr>
            <w:tcW w:w="84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6.14</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17.0</w:t>
            </w:r>
          </w:p>
        </w:tc>
        <w:tc>
          <w:tcPr>
            <w:tcW w:w="85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7.32</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-9.0</w:t>
            </w:r>
          </w:p>
        </w:tc>
        <w:tc>
          <w:tcPr>
            <w:tcW w:w="91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-1.18</w:t>
            </w:r>
          </w:p>
        </w:tc>
        <w:tc>
          <w:tcPr>
            <w:tcW w:w="85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2.4</w:t>
            </w:r>
          </w:p>
        </w:tc>
        <w:tc>
          <w:tcPr>
            <w:tcW w:w="835"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3.6</w:t>
            </w:r>
          </w:p>
        </w:tc>
      </w:tr>
      <w:tr w:rsidR="008A0333" w:rsidRPr="00B118E9" w:rsidTr="00BD6B4B">
        <w:trPr>
          <w:cantSplit/>
        </w:trPr>
        <w:tc>
          <w:tcPr>
            <w:tcW w:w="1402" w:type="dxa"/>
            <w:tcBorders>
              <w:top w:val="nil"/>
              <w:left w:val="nil"/>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w:t>
            </w:r>
            <w:r w:rsidRPr="00B118E9">
              <w:rPr>
                <w:rFonts w:eastAsia="標楷體"/>
                <w:sz w:val="22"/>
              </w:rPr>
              <w:t>月</w:t>
            </w:r>
          </w:p>
        </w:tc>
        <w:tc>
          <w:tcPr>
            <w:tcW w:w="108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-2.0</w:t>
            </w:r>
          </w:p>
        </w:tc>
        <w:tc>
          <w:tcPr>
            <w:tcW w:w="84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5.94</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2.4</w:t>
            </w:r>
          </w:p>
        </w:tc>
        <w:tc>
          <w:tcPr>
            <w:tcW w:w="85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6.36</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-3.6</w:t>
            </w:r>
          </w:p>
        </w:tc>
        <w:tc>
          <w:tcPr>
            <w:tcW w:w="91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-0.42</w:t>
            </w:r>
          </w:p>
        </w:tc>
        <w:tc>
          <w:tcPr>
            <w:tcW w:w="85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2.2</w:t>
            </w:r>
          </w:p>
        </w:tc>
        <w:tc>
          <w:tcPr>
            <w:tcW w:w="835"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3.5</w:t>
            </w:r>
          </w:p>
        </w:tc>
      </w:tr>
      <w:tr w:rsidR="008A0333" w:rsidRPr="00B118E9" w:rsidTr="00BD6B4B">
        <w:trPr>
          <w:cantSplit/>
        </w:trPr>
        <w:tc>
          <w:tcPr>
            <w:tcW w:w="1402" w:type="dxa"/>
            <w:tcBorders>
              <w:top w:val="nil"/>
              <w:left w:val="nil"/>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w:t>
            </w:r>
            <w:r w:rsidRPr="00B118E9">
              <w:rPr>
                <w:rFonts w:eastAsia="標楷體"/>
                <w:sz w:val="22"/>
              </w:rPr>
              <w:t>月</w:t>
            </w:r>
          </w:p>
        </w:tc>
        <w:tc>
          <w:tcPr>
            <w:tcW w:w="1080" w:type="dxa"/>
            <w:tcBorders>
              <w:top w:val="nil"/>
              <w:left w:val="single" w:sz="6" w:space="0" w:color="auto"/>
              <w:bottom w:val="nil"/>
              <w:right w:val="single" w:sz="6" w:space="0" w:color="auto"/>
            </w:tcBorders>
            <w:vAlign w:val="center"/>
          </w:tcPr>
          <w:p w:rsidR="008A0333" w:rsidRPr="00B118E9" w:rsidRDefault="007E2D37" w:rsidP="007E2D37">
            <w:pPr>
              <w:autoSpaceDE w:val="0"/>
              <w:autoSpaceDN w:val="0"/>
              <w:adjustRightInd w:val="0"/>
              <w:snapToGrid w:val="0"/>
              <w:spacing w:line="380" w:lineRule="exact"/>
              <w:jc w:val="center"/>
              <w:rPr>
                <w:rFonts w:eastAsia="標楷體"/>
                <w:sz w:val="22"/>
              </w:rPr>
            </w:pPr>
            <w:r>
              <w:rPr>
                <w:rFonts w:eastAsia="標楷體" w:hint="eastAsia"/>
                <w:sz w:val="22"/>
              </w:rPr>
              <w:t>2.4</w:t>
            </w:r>
            <w:r w:rsidR="008A0333" w:rsidRPr="00B118E9">
              <w:rPr>
                <w:rFonts w:eastAsia="標楷體"/>
                <w:sz w:val="22"/>
              </w:rPr>
              <w:t>（</w:t>
            </w:r>
            <w:r w:rsidR="008A0333" w:rsidRPr="00B118E9">
              <w:rPr>
                <w:rFonts w:eastAsia="標楷體"/>
                <w:sz w:val="22"/>
              </w:rPr>
              <w:t>I</w:t>
            </w:r>
            <w:r w:rsidR="008A0333" w:rsidRPr="00B118E9">
              <w:rPr>
                <w:rFonts w:eastAsia="標楷體"/>
                <w:sz w:val="22"/>
              </w:rPr>
              <w:t>）</w:t>
            </w:r>
          </w:p>
        </w:tc>
        <w:tc>
          <w:tcPr>
            <w:tcW w:w="77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-1.7</w:t>
            </w:r>
          </w:p>
        </w:tc>
        <w:tc>
          <w:tcPr>
            <w:tcW w:w="84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6.93</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8.5</w:t>
            </w:r>
          </w:p>
        </w:tc>
        <w:tc>
          <w:tcPr>
            <w:tcW w:w="85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6.70</w:t>
            </w:r>
          </w:p>
        </w:tc>
        <w:tc>
          <w:tcPr>
            <w:tcW w:w="78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-14.5</w:t>
            </w:r>
          </w:p>
        </w:tc>
        <w:tc>
          <w:tcPr>
            <w:tcW w:w="910"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0.23</w:t>
            </w:r>
          </w:p>
        </w:tc>
        <w:tc>
          <w:tcPr>
            <w:tcW w:w="854"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2.3</w:t>
            </w:r>
          </w:p>
        </w:tc>
        <w:tc>
          <w:tcPr>
            <w:tcW w:w="835"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3.4</w:t>
            </w:r>
          </w:p>
        </w:tc>
      </w:tr>
      <w:tr w:rsidR="008A0333" w:rsidRPr="00B118E9" w:rsidTr="00BD6B4B">
        <w:trPr>
          <w:cantSplit/>
        </w:trPr>
        <w:tc>
          <w:tcPr>
            <w:tcW w:w="1402" w:type="dxa"/>
            <w:tcBorders>
              <w:top w:val="nil"/>
              <w:left w:val="nil"/>
              <w:bottom w:val="single" w:sz="4"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4</w:t>
            </w:r>
            <w:r w:rsidRPr="00B118E9">
              <w:rPr>
                <w:rFonts w:eastAsia="標楷體"/>
                <w:sz w:val="22"/>
              </w:rPr>
              <w:t>月</w:t>
            </w:r>
          </w:p>
        </w:tc>
        <w:tc>
          <w:tcPr>
            <w:tcW w:w="1080" w:type="dxa"/>
            <w:tcBorders>
              <w:top w:val="nil"/>
              <w:left w:val="single" w:sz="6" w:space="0" w:color="auto"/>
              <w:bottom w:val="single" w:sz="4"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single" w:sz="4"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w:t>
            </w:r>
          </w:p>
        </w:tc>
        <w:tc>
          <w:tcPr>
            <w:tcW w:w="840" w:type="dxa"/>
            <w:tcBorders>
              <w:top w:val="nil"/>
              <w:left w:val="single" w:sz="6" w:space="0" w:color="auto"/>
              <w:bottom w:val="single" w:sz="4"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6.55</w:t>
            </w:r>
          </w:p>
        </w:tc>
        <w:tc>
          <w:tcPr>
            <w:tcW w:w="784" w:type="dxa"/>
            <w:tcBorders>
              <w:top w:val="nil"/>
              <w:left w:val="single" w:sz="6" w:space="0" w:color="auto"/>
              <w:bottom w:val="single" w:sz="4"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8.0</w:t>
            </w:r>
          </w:p>
        </w:tc>
        <w:tc>
          <w:tcPr>
            <w:tcW w:w="853" w:type="dxa"/>
            <w:tcBorders>
              <w:top w:val="nil"/>
              <w:left w:val="single" w:sz="6" w:space="0" w:color="auto"/>
              <w:bottom w:val="single" w:sz="4"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6.60</w:t>
            </w:r>
          </w:p>
        </w:tc>
        <w:tc>
          <w:tcPr>
            <w:tcW w:w="784" w:type="dxa"/>
            <w:tcBorders>
              <w:top w:val="nil"/>
              <w:left w:val="single" w:sz="6" w:space="0" w:color="auto"/>
              <w:bottom w:val="single" w:sz="4"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-4.2</w:t>
            </w:r>
          </w:p>
        </w:tc>
        <w:tc>
          <w:tcPr>
            <w:tcW w:w="910" w:type="dxa"/>
            <w:tcBorders>
              <w:top w:val="nil"/>
              <w:left w:val="single" w:sz="6" w:space="0" w:color="auto"/>
              <w:bottom w:val="single" w:sz="4"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-0.05</w:t>
            </w:r>
          </w:p>
        </w:tc>
        <w:tc>
          <w:tcPr>
            <w:tcW w:w="854" w:type="dxa"/>
            <w:tcBorders>
              <w:top w:val="nil"/>
              <w:left w:val="single" w:sz="6" w:space="0" w:color="auto"/>
              <w:bottom w:val="single" w:sz="4"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w:t>
            </w:r>
          </w:p>
        </w:tc>
        <w:tc>
          <w:tcPr>
            <w:tcW w:w="835" w:type="dxa"/>
            <w:tcBorders>
              <w:top w:val="nil"/>
              <w:left w:val="single" w:sz="6" w:space="0" w:color="auto"/>
              <w:bottom w:val="single" w:sz="4" w:space="0" w:color="auto"/>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w:t>
            </w:r>
          </w:p>
        </w:tc>
      </w:tr>
    </w:tbl>
    <w:p w:rsidR="008A0333" w:rsidRPr="00B118E9" w:rsidRDefault="008A0333" w:rsidP="008A0333">
      <w:pPr>
        <w:widowControl/>
        <w:snapToGrid w:val="0"/>
        <w:spacing w:line="280" w:lineRule="exact"/>
        <w:ind w:left="447" w:rightChars="-295" w:right="-708" w:hangingChars="203" w:hanging="447"/>
        <w:rPr>
          <w:rFonts w:eastAsia="標楷體"/>
          <w:kern w:val="0"/>
          <w:sz w:val="22"/>
          <w:szCs w:val="22"/>
        </w:rPr>
      </w:pPr>
      <w:r w:rsidRPr="00B118E9">
        <w:rPr>
          <w:rFonts w:eastAsia="標楷體"/>
          <w:kern w:val="0"/>
          <w:sz w:val="22"/>
          <w:szCs w:val="22"/>
        </w:rPr>
        <w:t>註：除實質</w:t>
      </w:r>
      <w:r w:rsidRPr="00B118E9">
        <w:rPr>
          <w:rFonts w:eastAsia="標楷體"/>
          <w:kern w:val="0"/>
          <w:sz w:val="22"/>
          <w:szCs w:val="22"/>
        </w:rPr>
        <w:t>GDP</w:t>
      </w:r>
      <w:r w:rsidRPr="00B118E9">
        <w:rPr>
          <w:rFonts w:eastAsia="標楷體"/>
          <w:kern w:val="0"/>
          <w:sz w:val="22"/>
          <w:szCs w:val="22"/>
        </w:rPr>
        <w:t>經濟成長率為較前期比換算為年率、失業率為與前月相比之季節調整值外，其餘成長率皆為與上年同期相比資料。</w:t>
      </w:r>
    </w:p>
    <w:p w:rsidR="008A0333" w:rsidRPr="00B118E9" w:rsidRDefault="008A0333" w:rsidP="008A0333">
      <w:pPr>
        <w:widowControl/>
        <w:rPr>
          <w:rFonts w:eastAsia="標楷體"/>
          <w:b/>
          <w:bCs/>
          <w:sz w:val="32"/>
          <w:szCs w:val="32"/>
        </w:rPr>
      </w:pPr>
      <w:r w:rsidRPr="00B118E9">
        <w:rPr>
          <w:rFonts w:eastAsia="標楷體"/>
          <w:kern w:val="0"/>
          <w:sz w:val="22"/>
          <w:szCs w:val="22"/>
        </w:rPr>
        <w:t>資料來源：日本內閣府、經濟產業省、財務省、總務省。</w:t>
      </w:r>
    </w:p>
    <w:p w:rsidR="008A0333" w:rsidRPr="00B118E9" w:rsidRDefault="008A0333" w:rsidP="008A0333">
      <w:pPr>
        <w:snapToGrid w:val="0"/>
        <w:spacing w:before="60" w:line="300" w:lineRule="auto"/>
        <w:ind w:right="-227"/>
        <w:jc w:val="both"/>
        <w:rPr>
          <w:rFonts w:eastAsia="標楷體"/>
          <w:sz w:val="28"/>
          <w:szCs w:val="32"/>
        </w:rPr>
      </w:pPr>
    </w:p>
    <w:p w:rsidR="008A0333" w:rsidRPr="00B118E9" w:rsidRDefault="008A0333" w:rsidP="008A0333">
      <w:pPr>
        <w:snapToGrid w:val="0"/>
        <w:spacing w:before="60" w:line="300" w:lineRule="auto"/>
        <w:ind w:right="-227"/>
        <w:jc w:val="both"/>
        <w:rPr>
          <w:rFonts w:eastAsia="標楷體"/>
          <w:sz w:val="28"/>
          <w:szCs w:val="32"/>
        </w:rPr>
      </w:pPr>
    </w:p>
    <w:p w:rsidR="008A0333" w:rsidRPr="00B118E9" w:rsidRDefault="008A0333" w:rsidP="008A0333">
      <w:pPr>
        <w:snapToGrid w:val="0"/>
        <w:spacing w:before="60" w:line="300" w:lineRule="auto"/>
        <w:ind w:right="-227"/>
        <w:jc w:val="both"/>
        <w:rPr>
          <w:rFonts w:eastAsia="標楷體"/>
          <w:sz w:val="28"/>
          <w:szCs w:val="32"/>
        </w:rPr>
      </w:pPr>
    </w:p>
    <w:p w:rsidR="00812880" w:rsidRPr="00B118E9" w:rsidRDefault="00812880" w:rsidP="00812880">
      <w:pPr>
        <w:pStyle w:val="k3a"/>
        <w:tabs>
          <w:tab w:val="left" w:pos="540"/>
        </w:tabs>
        <w:spacing w:before="180" w:line="300" w:lineRule="auto"/>
        <w:ind w:leftChars="0" w:left="0" w:firstLineChars="0" w:firstLine="0"/>
        <w:rPr>
          <w:b/>
          <w:bCs/>
          <w:szCs w:val="28"/>
        </w:rPr>
      </w:pPr>
      <w:r w:rsidRPr="00B118E9">
        <w:rPr>
          <w:b/>
          <w:bCs/>
          <w:szCs w:val="28"/>
        </w:rPr>
        <w:t>２、南韓</w:t>
      </w:r>
    </w:p>
    <w:p w:rsidR="008A0333" w:rsidRPr="00B118E9" w:rsidRDefault="008A0333" w:rsidP="008A0333">
      <w:pPr>
        <w:pStyle w:val="afffff"/>
        <w:numPr>
          <w:ilvl w:val="0"/>
          <w:numId w:val="7"/>
        </w:numPr>
        <w:snapToGrid w:val="0"/>
        <w:spacing w:before="180" w:line="300" w:lineRule="auto"/>
        <w:ind w:leftChars="0" w:left="709" w:right="-227" w:firstLineChars="0" w:hanging="567"/>
        <w:rPr>
          <w:rFonts w:ascii="Times New Roman" w:eastAsia="標楷體" w:hAnsi="Times New Roman"/>
          <w:kern w:val="0"/>
          <w:sz w:val="28"/>
          <w:szCs w:val="20"/>
        </w:rPr>
      </w:pPr>
      <w:r w:rsidRPr="00B118E9">
        <w:rPr>
          <w:rFonts w:ascii="Times New Roman" w:eastAsia="標楷體" w:hAnsi="Times New Roman"/>
          <w:kern w:val="0"/>
          <w:sz w:val="28"/>
          <w:szCs w:val="20"/>
        </w:rPr>
        <w:t>韓國開發研究院</w:t>
      </w:r>
      <w:r w:rsidRPr="00B118E9">
        <w:rPr>
          <w:rFonts w:ascii="Times New Roman" w:eastAsia="標楷體" w:hAnsi="Times New Roman"/>
          <w:kern w:val="0"/>
          <w:sz w:val="28"/>
          <w:szCs w:val="20"/>
        </w:rPr>
        <w:t>(KDI)</w:t>
      </w:r>
      <w:r w:rsidRPr="00B118E9">
        <w:rPr>
          <w:rFonts w:ascii="Times New Roman" w:eastAsia="標楷體" w:hAnsi="Times New Roman"/>
          <w:kern w:val="0"/>
          <w:sz w:val="28"/>
          <w:szCs w:val="20"/>
        </w:rPr>
        <w:t>下修韓國今</w:t>
      </w:r>
      <w:r w:rsidRPr="00B118E9">
        <w:rPr>
          <w:rFonts w:ascii="Times New Roman" w:eastAsia="標楷體" w:hAnsi="Times New Roman"/>
          <w:kern w:val="0"/>
          <w:sz w:val="28"/>
          <w:szCs w:val="20"/>
        </w:rPr>
        <w:t>(2015)</w:t>
      </w:r>
      <w:r w:rsidRPr="00B118E9">
        <w:rPr>
          <w:rFonts w:ascii="Times New Roman" w:eastAsia="標楷體" w:hAnsi="Times New Roman"/>
          <w:kern w:val="0"/>
          <w:sz w:val="28"/>
          <w:szCs w:val="20"/>
        </w:rPr>
        <w:t>年國內生產毛額</w:t>
      </w:r>
      <w:r w:rsidRPr="00B118E9">
        <w:rPr>
          <w:rFonts w:ascii="Times New Roman" w:eastAsia="標楷體" w:hAnsi="Times New Roman"/>
          <w:kern w:val="0"/>
          <w:sz w:val="28"/>
          <w:szCs w:val="20"/>
        </w:rPr>
        <w:t xml:space="preserve">(GDP) </w:t>
      </w:r>
      <w:r w:rsidRPr="00B118E9">
        <w:rPr>
          <w:rFonts w:ascii="Times New Roman" w:eastAsia="標楷體" w:hAnsi="Times New Roman"/>
          <w:kern w:val="0"/>
          <w:sz w:val="28"/>
          <w:szCs w:val="20"/>
        </w:rPr>
        <w:t>成長率預測至</w:t>
      </w:r>
      <w:r w:rsidRPr="00B118E9">
        <w:rPr>
          <w:rFonts w:ascii="Times New Roman" w:eastAsia="標楷體" w:hAnsi="Times New Roman"/>
          <w:kern w:val="0"/>
          <w:sz w:val="28"/>
          <w:szCs w:val="20"/>
        </w:rPr>
        <w:t>3%</w:t>
      </w:r>
      <w:r w:rsidRPr="00B118E9">
        <w:rPr>
          <w:rFonts w:ascii="Times New Roman" w:eastAsia="標楷體" w:hAnsi="Times New Roman"/>
          <w:kern w:val="0"/>
          <w:sz w:val="28"/>
          <w:szCs w:val="20"/>
        </w:rPr>
        <w:t>，中國大陸及新興市場經濟成長放緩，加以日圓及歐元貶值，打擊韓國出口，預測韓國今年出口年增</w:t>
      </w:r>
      <w:r w:rsidRPr="00B118E9">
        <w:rPr>
          <w:rFonts w:ascii="Times New Roman" w:eastAsia="標楷體" w:hAnsi="Times New Roman"/>
          <w:kern w:val="0"/>
          <w:sz w:val="28"/>
          <w:szCs w:val="20"/>
        </w:rPr>
        <w:t>1.1%</w:t>
      </w:r>
      <w:r w:rsidRPr="00B118E9">
        <w:rPr>
          <w:rFonts w:ascii="Times New Roman" w:eastAsia="標楷體" w:hAnsi="Times New Roman"/>
          <w:kern w:val="0"/>
          <w:sz w:val="28"/>
          <w:szCs w:val="20"/>
        </w:rPr>
        <w:t>；消費者物價指數上漲</w:t>
      </w:r>
      <w:r w:rsidRPr="00B118E9">
        <w:rPr>
          <w:rFonts w:ascii="Times New Roman" w:eastAsia="標楷體" w:hAnsi="Times New Roman"/>
          <w:kern w:val="0"/>
          <w:sz w:val="28"/>
          <w:szCs w:val="20"/>
        </w:rPr>
        <w:t>0.5%</w:t>
      </w:r>
      <w:r w:rsidRPr="00B118E9">
        <w:rPr>
          <w:rFonts w:ascii="Times New Roman" w:eastAsia="標楷體" w:hAnsi="Times New Roman"/>
          <w:kern w:val="0"/>
          <w:sz w:val="28"/>
          <w:szCs w:val="20"/>
        </w:rPr>
        <w:t>，失業率則維持在</w:t>
      </w:r>
      <w:r w:rsidRPr="00B118E9">
        <w:rPr>
          <w:rFonts w:ascii="Times New Roman" w:eastAsia="標楷體" w:hAnsi="Times New Roman"/>
          <w:kern w:val="0"/>
          <w:sz w:val="28"/>
          <w:szCs w:val="20"/>
        </w:rPr>
        <w:t>3.5%</w:t>
      </w:r>
      <w:r w:rsidRPr="00B118E9">
        <w:rPr>
          <w:rFonts w:ascii="Times New Roman" w:eastAsia="標楷體" w:hAnsi="Times New Roman"/>
          <w:kern w:val="0"/>
          <w:sz w:val="28"/>
          <w:szCs w:val="20"/>
        </w:rPr>
        <w:t>。</w:t>
      </w:r>
    </w:p>
    <w:p w:rsidR="008A0333" w:rsidRPr="00B118E9" w:rsidRDefault="008A0333" w:rsidP="008A0333">
      <w:pPr>
        <w:pStyle w:val="afffff"/>
        <w:numPr>
          <w:ilvl w:val="0"/>
          <w:numId w:val="7"/>
        </w:numPr>
        <w:snapToGrid w:val="0"/>
        <w:spacing w:before="180" w:line="300" w:lineRule="auto"/>
        <w:ind w:leftChars="0" w:left="709" w:right="-227" w:firstLineChars="0" w:hanging="567"/>
        <w:rPr>
          <w:rFonts w:ascii="Times New Roman" w:eastAsia="標楷體" w:hAnsi="Times New Roman"/>
          <w:sz w:val="28"/>
          <w:szCs w:val="28"/>
        </w:rPr>
      </w:pPr>
      <w:r w:rsidRPr="00B118E9">
        <w:rPr>
          <w:rFonts w:ascii="Times New Roman" w:eastAsia="標楷體" w:hAnsi="Times New Roman"/>
          <w:sz w:val="28"/>
          <w:szCs w:val="28"/>
        </w:rPr>
        <w:t>2015</w:t>
      </w:r>
      <w:r w:rsidRPr="00B118E9">
        <w:rPr>
          <w:rFonts w:ascii="Times New Roman" w:eastAsia="標楷體" w:hAnsi="Times New Roman"/>
          <w:sz w:val="28"/>
          <w:szCs w:val="28"/>
        </w:rPr>
        <w:t>年</w:t>
      </w:r>
      <w:r w:rsidRPr="00B118E9">
        <w:rPr>
          <w:rFonts w:ascii="Times New Roman" w:eastAsia="標楷體" w:hAnsi="Times New Roman"/>
          <w:sz w:val="28"/>
          <w:szCs w:val="28"/>
        </w:rPr>
        <w:t>4</w:t>
      </w:r>
      <w:r w:rsidRPr="00B118E9">
        <w:rPr>
          <w:rFonts w:ascii="Times New Roman" w:eastAsia="標楷體" w:hAnsi="Times New Roman"/>
          <w:sz w:val="28"/>
          <w:szCs w:val="28"/>
        </w:rPr>
        <w:t>月出口為</w:t>
      </w:r>
      <w:r w:rsidRPr="00B118E9">
        <w:rPr>
          <w:rFonts w:ascii="Times New Roman" w:eastAsia="標楷體" w:hAnsi="Times New Roman"/>
          <w:sz w:val="28"/>
          <w:szCs w:val="28"/>
        </w:rPr>
        <w:t>462.2</w:t>
      </w:r>
      <w:r w:rsidRPr="00B118E9">
        <w:rPr>
          <w:rFonts w:ascii="Times New Roman" w:eastAsia="標楷體" w:hAnsi="Times New Roman"/>
          <w:sz w:val="28"/>
          <w:szCs w:val="28"/>
        </w:rPr>
        <w:t>億美元，較上年同月減少</w:t>
      </w:r>
      <w:r w:rsidRPr="00B118E9">
        <w:rPr>
          <w:rFonts w:ascii="Times New Roman" w:eastAsia="標楷體" w:hAnsi="Times New Roman"/>
          <w:sz w:val="28"/>
          <w:szCs w:val="28"/>
        </w:rPr>
        <w:t>8.1%</w:t>
      </w:r>
      <w:r w:rsidRPr="00B118E9">
        <w:rPr>
          <w:rFonts w:ascii="Times New Roman" w:eastAsia="標楷體" w:hAnsi="Times New Roman"/>
          <w:sz w:val="28"/>
          <w:szCs w:val="28"/>
        </w:rPr>
        <w:t>；進口為</w:t>
      </w:r>
      <w:r w:rsidRPr="00B118E9">
        <w:rPr>
          <w:rFonts w:ascii="Times New Roman" w:eastAsia="標楷體" w:hAnsi="Times New Roman"/>
          <w:sz w:val="28"/>
          <w:szCs w:val="28"/>
        </w:rPr>
        <w:t>377.3</w:t>
      </w:r>
      <w:r w:rsidRPr="00B118E9">
        <w:rPr>
          <w:rFonts w:ascii="Times New Roman" w:eastAsia="標楷體" w:hAnsi="Times New Roman"/>
          <w:sz w:val="28"/>
          <w:szCs w:val="28"/>
        </w:rPr>
        <w:t>億美元，大幅減少</w:t>
      </w:r>
      <w:r w:rsidRPr="00B118E9">
        <w:rPr>
          <w:rFonts w:ascii="Times New Roman" w:eastAsia="標楷體" w:hAnsi="Times New Roman"/>
          <w:sz w:val="28"/>
          <w:szCs w:val="28"/>
        </w:rPr>
        <w:t>17.8%</w:t>
      </w:r>
      <w:r w:rsidRPr="00B118E9">
        <w:rPr>
          <w:rFonts w:ascii="Times New Roman" w:eastAsia="標楷體" w:hAnsi="Times New Roman"/>
          <w:sz w:val="28"/>
          <w:szCs w:val="28"/>
        </w:rPr>
        <w:t>，貿易出超</w:t>
      </w:r>
      <w:r w:rsidRPr="00B118E9">
        <w:rPr>
          <w:rFonts w:ascii="Times New Roman" w:eastAsia="標楷體" w:hAnsi="Times New Roman"/>
          <w:sz w:val="28"/>
          <w:szCs w:val="28"/>
        </w:rPr>
        <w:t>84.9</w:t>
      </w:r>
      <w:r w:rsidRPr="00B118E9">
        <w:rPr>
          <w:rFonts w:ascii="Times New Roman" w:eastAsia="標楷體" w:hAnsi="Times New Roman"/>
          <w:sz w:val="28"/>
          <w:szCs w:val="28"/>
        </w:rPr>
        <w:t>億美元。</w:t>
      </w:r>
      <w:r w:rsidRPr="00B118E9">
        <w:rPr>
          <w:rFonts w:ascii="Times New Roman" w:eastAsia="標楷體" w:hAnsi="Times New Roman"/>
          <w:sz w:val="28"/>
          <w:szCs w:val="28"/>
        </w:rPr>
        <w:t>13</w:t>
      </w:r>
      <w:r w:rsidRPr="00B118E9">
        <w:rPr>
          <w:rFonts w:ascii="Times New Roman" w:eastAsia="標楷體" w:hAnsi="Times New Roman"/>
          <w:sz w:val="28"/>
          <w:szCs w:val="28"/>
        </w:rPr>
        <w:t>大主要出口項目中，除電腦</w:t>
      </w:r>
      <w:r w:rsidRPr="00B118E9">
        <w:rPr>
          <w:rFonts w:ascii="Times New Roman" w:eastAsia="標楷體" w:hAnsi="Times New Roman"/>
          <w:sz w:val="28"/>
          <w:szCs w:val="28"/>
        </w:rPr>
        <w:t>(37.3%)</w:t>
      </w:r>
      <w:r w:rsidRPr="00B118E9">
        <w:rPr>
          <w:rFonts w:ascii="Times New Roman" w:eastAsia="標楷體" w:hAnsi="Times New Roman"/>
          <w:sz w:val="28"/>
          <w:szCs w:val="28"/>
        </w:rPr>
        <w:t>、半導體</w:t>
      </w:r>
      <w:r w:rsidRPr="00B118E9">
        <w:rPr>
          <w:rFonts w:ascii="Times New Roman" w:eastAsia="標楷體" w:hAnsi="Times New Roman"/>
          <w:sz w:val="28"/>
          <w:szCs w:val="28"/>
        </w:rPr>
        <w:t xml:space="preserve"> (7.5%)</w:t>
      </w:r>
      <w:r w:rsidRPr="00B118E9">
        <w:rPr>
          <w:rFonts w:ascii="Times New Roman" w:eastAsia="標楷體" w:hAnsi="Times New Roman"/>
          <w:sz w:val="28"/>
          <w:szCs w:val="28"/>
        </w:rPr>
        <w:t>及一般機械</w:t>
      </w:r>
      <w:r w:rsidRPr="00B118E9">
        <w:rPr>
          <w:rFonts w:ascii="Times New Roman" w:eastAsia="標楷體" w:hAnsi="Times New Roman"/>
          <w:sz w:val="28"/>
          <w:szCs w:val="28"/>
        </w:rPr>
        <w:t>(1.2%)</w:t>
      </w:r>
      <w:r w:rsidRPr="00B118E9">
        <w:rPr>
          <w:rFonts w:ascii="Times New Roman" w:eastAsia="標楷體" w:hAnsi="Times New Roman"/>
          <w:sz w:val="28"/>
          <w:szCs w:val="28"/>
        </w:rPr>
        <w:t>增加外，</w:t>
      </w:r>
      <w:r w:rsidRPr="00B118E9">
        <w:rPr>
          <w:rFonts w:ascii="Times New Roman" w:eastAsia="標楷體" w:hAnsi="Times New Roman"/>
          <w:kern w:val="0"/>
          <w:sz w:val="28"/>
          <w:szCs w:val="28"/>
        </w:rPr>
        <w:t>其餘出口項目呈現</w:t>
      </w:r>
      <w:r w:rsidRPr="00B118E9">
        <w:rPr>
          <w:rFonts w:ascii="Times New Roman" w:eastAsia="標楷體" w:hAnsi="Times New Roman"/>
          <w:sz w:val="28"/>
          <w:szCs w:val="28"/>
        </w:rPr>
        <w:t>減少</w:t>
      </w:r>
      <w:r w:rsidRPr="00B118E9">
        <w:rPr>
          <w:rFonts w:ascii="Times New Roman" w:eastAsia="標楷體" w:hAnsi="Times New Roman"/>
          <w:kern w:val="0"/>
          <w:sz w:val="32"/>
          <w:szCs w:val="32"/>
        </w:rPr>
        <w:t>，</w:t>
      </w:r>
      <w:r w:rsidRPr="00B118E9">
        <w:rPr>
          <w:rFonts w:ascii="Times New Roman" w:eastAsia="標楷體" w:hAnsi="Times New Roman"/>
          <w:kern w:val="0"/>
          <w:sz w:val="28"/>
          <w:szCs w:val="28"/>
        </w:rPr>
        <w:t>其中又以</w:t>
      </w:r>
      <w:r w:rsidRPr="00B118E9">
        <w:rPr>
          <w:rFonts w:ascii="Times New Roman" w:eastAsia="標楷體" w:hAnsi="Times New Roman"/>
          <w:sz w:val="28"/>
          <w:szCs w:val="28"/>
        </w:rPr>
        <w:t>石油製品</w:t>
      </w:r>
      <w:r w:rsidRPr="00B118E9">
        <w:rPr>
          <w:rFonts w:ascii="Times New Roman" w:eastAsia="標楷體" w:hAnsi="Times New Roman"/>
          <w:sz w:val="28"/>
          <w:szCs w:val="28"/>
        </w:rPr>
        <w:t>(-43.3%)</w:t>
      </w:r>
      <w:r w:rsidRPr="00B118E9">
        <w:rPr>
          <w:rFonts w:ascii="Times New Roman" w:eastAsia="標楷體" w:hAnsi="Times New Roman"/>
          <w:sz w:val="28"/>
          <w:szCs w:val="28"/>
        </w:rPr>
        <w:t>、家電</w:t>
      </w:r>
      <w:r w:rsidRPr="00B118E9">
        <w:rPr>
          <w:rFonts w:ascii="Times New Roman" w:eastAsia="標楷體" w:hAnsi="Times New Roman"/>
          <w:sz w:val="28"/>
          <w:szCs w:val="28"/>
        </w:rPr>
        <w:t>(-24.3%)</w:t>
      </w:r>
      <w:r w:rsidRPr="00B118E9">
        <w:rPr>
          <w:rFonts w:ascii="Times New Roman" w:eastAsia="標楷體" w:hAnsi="Times New Roman"/>
          <w:sz w:val="28"/>
          <w:szCs w:val="28"/>
        </w:rPr>
        <w:t>及石油化學</w:t>
      </w:r>
      <w:r w:rsidRPr="00B118E9">
        <w:rPr>
          <w:rFonts w:ascii="Times New Roman" w:eastAsia="標楷體" w:hAnsi="Times New Roman"/>
          <w:sz w:val="28"/>
          <w:szCs w:val="28"/>
        </w:rPr>
        <w:t>(-20.1%)</w:t>
      </w:r>
      <w:r w:rsidRPr="00B118E9">
        <w:rPr>
          <w:rFonts w:ascii="Times New Roman" w:eastAsia="標楷體" w:hAnsi="Times New Roman"/>
          <w:sz w:val="28"/>
          <w:szCs w:val="28"/>
        </w:rPr>
        <w:t>等減少幅度較大。另主要出口地區</w:t>
      </w:r>
      <w:r w:rsidRPr="00B118E9">
        <w:rPr>
          <w:rFonts w:ascii="Times New Roman" w:eastAsia="標楷體" w:hAnsi="Times New Roman"/>
          <w:sz w:val="28"/>
          <w:szCs w:val="28"/>
        </w:rPr>
        <w:t>(4</w:t>
      </w:r>
      <w:r w:rsidRPr="00B118E9">
        <w:rPr>
          <w:rFonts w:ascii="Times New Roman" w:eastAsia="標楷體" w:hAnsi="Times New Roman"/>
          <w:sz w:val="28"/>
          <w:szCs w:val="28"/>
        </w:rPr>
        <w:t>月</w:t>
      </w:r>
      <w:r w:rsidRPr="00B118E9">
        <w:rPr>
          <w:rFonts w:ascii="Times New Roman" w:eastAsia="標楷體" w:hAnsi="Times New Roman"/>
          <w:sz w:val="28"/>
          <w:szCs w:val="28"/>
        </w:rPr>
        <w:t>1</w:t>
      </w:r>
      <w:r w:rsidRPr="00B118E9">
        <w:rPr>
          <w:rFonts w:ascii="Times New Roman" w:eastAsia="標楷體" w:hAnsi="Times New Roman"/>
          <w:sz w:val="28"/>
          <w:szCs w:val="28"/>
        </w:rPr>
        <w:t>日至</w:t>
      </w:r>
      <w:r w:rsidRPr="00B118E9">
        <w:rPr>
          <w:rFonts w:ascii="Times New Roman" w:eastAsia="標楷體" w:hAnsi="Times New Roman"/>
          <w:sz w:val="28"/>
          <w:szCs w:val="28"/>
        </w:rPr>
        <w:t>20</w:t>
      </w:r>
      <w:r w:rsidRPr="00B118E9">
        <w:rPr>
          <w:rFonts w:ascii="Times New Roman" w:eastAsia="標楷體" w:hAnsi="Times New Roman"/>
          <w:sz w:val="28"/>
          <w:szCs w:val="28"/>
        </w:rPr>
        <w:t>日通關統計暫定值</w:t>
      </w:r>
      <w:r w:rsidRPr="00B118E9">
        <w:rPr>
          <w:rFonts w:ascii="Times New Roman" w:eastAsia="標楷體" w:hAnsi="Times New Roman"/>
          <w:sz w:val="28"/>
          <w:szCs w:val="28"/>
        </w:rPr>
        <w:t>)</w:t>
      </w:r>
      <w:r w:rsidRPr="00B118E9">
        <w:rPr>
          <w:rFonts w:ascii="Times New Roman" w:eastAsia="標楷體" w:hAnsi="Times New Roman"/>
          <w:sz w:val="28"/>
          <w:szCs w:val="28"/>
        </w:rPr>
        <w:t>，除對中東</w:t>
      </w:r>
      <w:r w:rsidRPr="00B118E9">
        <w:rPr>
          <w:rFonts w:ascii="Times New Roman" w:eastAsia="標楷體" w:hAnsi="Times New Roman"/>
          <w:sz w:val="28"/>
          <w:szCs w:val="28"/>
        </w:rPr>
        <w:t>(1.4%)</w:t>
      </w:r>
      <w:r w:rsidRPr="00B118E9">
        <w:rPr>
          <w:rFonts w:ascii="Times New Roman" w:eastAsia="標楷體" w:hAnsi="Times New Roman"/>
          <w:sz w:val="28"/>
          <w:szCs w:val="28"/>
        </w:rPr>
        <w:t>增加外，對美國</w:t>
      </w:r>
      <w:r w:rsidRPr="00B118E9">
        <w:rPr>
          <w:rFonts w:ascii="Times New Roman" w:eastAsia="標楷體" w:hAnsi="Times New Roman"/>
          <w:sz w:val="28"/>
          <w:szCs w:val="28"/>
        </w:rPr>
        <w:t>(-2.7%)</w:t>
      </w:r>
      <w:r w:rsidRPr="00B118E9">
        <w:rPr>
          <w:rFonts w:ascii="Times New Roman" w:eastAsia="標楷體" w:hAnsi="Times New Roman"/>
          <w:sz w:val="28"/>
          <w:szCs w:val="28"/>
        </w:rPr>
        <w:t>、中國大陸</w:t>
      </w:r>
      <w:r w:rsidRPr="00B118E9">
        <w:rPr>
          <w:rFonts w:ascii="Times New Roman" w:eastAsia="標楷體" w:hAnsi="Times New Roman"/>
          <w:sz w:val="28"/>
          <w:szCs w:val="28"/>
        </w:rPr>
        <w:t>(-5.2%)</w:t>
      </w:r>
      <w:r w:rsidRPr="00B118E9">
        <w:rPr>
          <w:rFonts w:ascii="Times New Roman" w:eastAsia="標楷體" w:hAnsi="Times New Roman"/>
          <w:sz w:val="28"/>
          <w:szCs w:val="28"/>
        </w:rPr>
        <w:t>、歐盟</w:t>
      </w:r>
      <w:r w:rsidRPr="00B118E9">
        <w:rPr>
          <w:rFonts w:ascii="Times New Roman" w:eastAsia="標楷體" w:hAnsi="Times New Roman"/>
          <w:sz w:val="28"/>
          <w:szCs w:val="28"/>
        </w:rPr>
        <w:t>(-11.9%)</w:t>
      </w:r>
      <w:r w:rsidRPr="00B118E9">
        <w:rPr>
          <w:rFonts w:ascii="Times New Roman" w:eastAsia="標楷體" w:hAnsi="Times New Roman"/>
          <w:sz w:val="28"/>
          <w:szCs w:val="28"/>
        </w:rPr>
        <w:t>、日本</w:t>
      </w:r>
      <w:r w:rsidRPr="00B118E9">
        <w:rPr>
          <w:rFonts w:ascii="Times New Roman" w:eastAsia="標楷體" w:hAnsi="Times New Roman"/>
          <w:sz w:val="28"/>
          <w:szCs w:val="28"/>
        </w:rPr>
        <w:t>(-12.6%)</w:t>
      </w:r>
      <w:r w:rsidRPr="00B118E9">
        <w:rPr>
          <w:rFonts w:ascii="Times New Roman" w:eastAsia="標楷體" w:hAnsi="Times New Roman"/>
          <w:sz w:val="28"/>
          <w:szCs w:val="28"/>
        </w:rPr>
        <w:t>及東協</w:t>
      </w:r>
      <w:r w:rsidRPr="00B118E9">
        <w:rPr>
          <w:rFonts w:ascii="Times New Roman" w:eastAsia="標楷體" w:hAnsi="Times New Roman"/>
          <w:sz w:val="28"/>
          <w:szCs w:val="28"/>
        </w:rPr>
        <w:t>(-19.8%)</w:t>
      </w:r>
      <w:r w:rsidRPr="00B118E9">
        <w:rPr>
          <w:rFonts w:ascii="Times New Roman" w:eastAsia="標楷體" w:hAnsi="Times New Roman"/>
          <w:sz w:val="28"/>
          <w:szCs w:val="28"/>
        </w:rPr>
        <w:t>均減少。</w:t>
      </w:r>
    </w:p>
    <w:p w:rsidR="008A0333" w:rsidRPr="00B118E9" w:rsidRDefault="008A0333" w:rsidP="008A0333">
      <w:pPr>
        <w:pStyle w:val="afffff"/>
        <w:numPr>
          <w:ilvl w:val="0"/>
          <w:numId w:val="7"/>
        </w:numPr>
        <w:snapToGrid w:val="0"/>
        <w:spacing w:before="180" w:line="300" w:lineRule="auto"/>
        <w:ind w:leftChars="0" w:left="709" w:right="-227" w:firstLineChars="0" w:hanging="567"/>
        <w:rPr>
          <w:rFonts w:ascii="Times New Roman" w:eastAsia="標楷體" w:hAnsi="Times New Roman"/>
          <w:kern w:val="0"/>
          <w:sz w:val="28"/>
          <w:szCs w:val="20"/>
        </w:rPr>
      </w:pPr>
      <w:r w:rsidRPr="00B118E9">
        <w:rPr>
          <w:rFonts w:ascii="Times New Roman" w:eastAsia="標楷體" w:hAnsi="Times New Roman"/>
          <w:kern w:val="0"/>
          <w:sz w:val="28"/>
          <w:szCs w:val="20"/>
        </w:rPr>
        <w:t>2015</w:t>
      </w:r>
      <w:r w:rsidRPr="00B118E9">
        <w:rPr>
          <w:rFonts w:ascii="Times New Roman" w:eastAsia="標楷體" w:hAnsi="Times New Roman"/>
          <w:kern w:val="0"/>
          <w:sz w:val="28"/>
          <w:szCs w:val="20"/>
        </w:rPr>
        <w:t>年</w:t>
      </w:r>
      <w:r w:rsidRPr="00B118E9">
        <w:rPr>
          <w:rFonts w:ascii="Times New Roman" w:eastAsia="標楷體" w:hAnsi="Times New Roman"/>
          <w:kern w:val="0"/>
          <w:sz w:val="28"/>
          <w:szCs w:val="20"/>
        </w:rPr>
        <w:t>3</w:t>
      </w:r>
      <w:r w:rsidRPr="00B118E9">
        <w:rPr>
          <w:rFonts w:ascii="Times New Roman" w:eastAsia="標楷體" w:hAnsi="Times New Roman"/>
          <w:kern w:val="0"/>
          <w:sz w:val="28"/>
          <w:szCs w:val="20"/>
        </w:rPr>
        <w:t>月工業生產減少</w:t>
      </w:r>
      <w:r w:rsidRPr="00B118E9">
        <w:rPr>
          <w:rFonts w:ascii="Times New Roman" w:eastAsia="標楷體" w:hAnsi="Times New Roman"/>
          <w:kern w:val="0"/>
          <w:sz w:val="28"/>
          <w:szCs w:val="20"/>
        </w:rPr>
        <w:t>0.1%</w:t>
      </w:r>
      <w:r w:rsidRPr="00B118E9">
        <w:rPr>
          <w:rFonts w:ascii="Times New Roman" w:eastAsia="標楷體" w:hAnsi="Times New Roman"/>
          <w:kern w:val="0"/>
          <w:sz w:val="28"/>
          <w:szCs w:val="20"/>
        </w:rPr>
        <w:t>；</w:t>
      </w:r>
      <w:r w:rsidRPr="00B118E9">
        <w:rPr>
          <w:rFonts w:ascii="Times New Roman" w:eastAsia="標楷體" w:hAnsi="Times New Roman"/>
          <w:kern w:val="0"/>
          <w:sz w:val="28"/>
          <w:szCs w:val="20"/>
        </w:rPr>
        <w:t>4</w:t>
      </w:r>
      <w:r w:rsidRPr="00B118E9">
        <w:rPr>
          <w:rFonts w:ascii="Times New Roman" w:eastAsia="標楷體" w:hAnsi="Times New Roman"/>
          <w:kern w:val="0"/>
          <w:sz w:val="28"/>
          <w:szCs w:val="20"/>
        </w:rPr>
        <w:t>月失業率續降至</w:t>
      </w:r>
      <w:r w:rsidRPr="00B118E9">
        <w:rPr>
          <w:rFonts w:ascii="Times New Roman" w:eastAsia="標楷體" w:hAnsi="Times New Roman"/>
          <w:kern w:val="0"/>
          <w:sz w:val="28"/>
          <w:szCs w:val="20"/>
        </w:rPr>
        <w:t>3.9%</w:t>
      </w:r>
      <w:r w:rsidRPr="00B118E9">
        <w:rPr>
          <w:rFonts w:ascii="Times New Roman" w:eastAsia="標楷體" w:hAnsi="Times New Roman"/>
          <w:kern w:val="0"/>
          <w:sz w:val="28"/>
          <w:szCs w:val="20"/>
        </w:rPr>
        <w:t>，消費者物價維持上漲</w:t>
      </w:r>
      <w:r w:rsidRPr="00B118E9">
        <w:rPr>
          <w:rFonts w:ascii="Times New Roman" w:eastAsia="標楷體" w:hAnsi="Times New Roman"/>
          <w:kern w:val="0"/>
          <w:sz w:val="28"/>
          <w:szCs w:val="20"/>
        </w:rPr>
        <w:t>0.4%</w:t>
      </w:r>
      <w:r w:rsidRPr="00B118E9">
        <w:rPr>
          <w:rFonts w:ascii="Times New Roman" w:eastAsia="標楷體" w:hAnsi="Times New Roman"/>
          <w:kern w:val="0"/>
          <w:sz w:val="28"/>
          <w:szCs w:val="20"/>
        </w:rPr>
        <w:t>。</w:t>
      </w:r>
    </w:p>
    <w:p w:rsidR="005A02A9" w:rsidRPr="00B118E9" w:rsidRDefault="008A0333" w:rsidP="008A0333">
      <w:pPr>
        <w:pStyle w:val="afffff"/>
        <w:numPr>
          <w:ilvl w:val="0"/>
          <w:numId w:val="7"/>
        </w:numPr>
        <w:snapToGrid w:val="0"/>
        <w:spacing w:before="180" w:line="300" w:lineRule="auto"/>
        <w:ind w:leftChars="0" w:left="709" w:right="-227" w:firstLineChars="0" w:hanging="567"/>
        <w:rPr>
          <w:rFonts w:ascii="Times New Roman" w:eastAsia="標楷體" w:hAnsi="Times New Roman"/>
          <w:color w:val="FF0000"/>
          <w:kern w:val="0"/>
          <w:sz w:val="28"/>
          <w:szCs w:val="20"/>
        </w:rPr>
      </w:pPr>
      <w:r w:rsidRPr="00B118E9">
        <w:rPr>
          <w:rFonts w:ascii="Times New Roman" w:eastAsia="標楷體" w:hAnsi="Times New Roman"/>
          <w:kern w:val="0"/>
          <w:sz w:val="28"/>
          <w:szCs w:val="20"/>
        </w:rPr>
        <w:t>韓國產業通商資源部發表「新自由貿易協定</w:t>
      </w:r>
      <w:r w:rsidRPr="00B118E9">
        <w:rPr>
          <w:rFonts w:ascii="Times New Roman" w:eastAsia="標楷體" w:hAnsi="Times New Roman"/>
          <w:kern w:val="0"/>
          <w:sz w:val="28"/>
          <w:szCs w:val="20"/>
        </w:rPr>
        <w:t>(FTA)</w:t>
      </w:r>
      <w:r w:rsidRPr="00B118E9">
        <w:rPr>
          <w:rFonts w:ascii="Times New Roman" w:eastAsia="標楷體" w:hAnsi="Times New Roman"/>
          <w:kern w:val="0"/>
          <w:sz w:val="28"/>
          <w:szCs w:val="20"/>
        </w:rPr>
        <w:t>推動策略」，包括</w:t>
      </w:r>
      <w:r w:rsidRPr="00B118E9">
        <w:rPr>
          <w:rFonts w:ascii="Times New Roman" w:eastAsia="標楷體" w:hAnsi="Times New Roman"/>
          <w:kern w:val="0"/>
          <w:sz w:val="28"/>
          <w:szCs w:val="20"/>
        </w:rPr>
        <w:t>(1)</w:t>
      </w:r>
      <w:r w:rsidRPr="00B118E9">
        <w:rPr>
          <w:rFonts w:ascii="Times New Roman" w:eastAsia="標楷體" w:hAnsi="Times New Roman"/>
          <w:kern w:val="0"/>
          <w:sz w:val="28"/>
          <w:szCs w:val="20"/>
        </w:rPr>
        <w:t>積極因應跨太平洋夥伴協定</w:t>
      </w:r>
      <w:r w:rsidRPr="00B118E9">
        <w:rPr>
          <w:rFonts w:ascii="Times New Roman" w:eastAsia="標楷體" w:hAnsi="Times New Roman"/>
          <w:kern w:val="0"/>
          <w:sz w:val="28"/>
          <w:szCs w:val="20"/>
        </w:rPr>
        <w:t>(TPP)</w:t>
      </w:r>
      <w:r w:rsidRPr="00B118E9">
        <w:rPr>
          <w:rFonts w:ascii="Times New Roman" w:eastAsia="標楷體" w:hAnsi="Times New Roman"/>
          <w:kern w:val="0"/>
          <w:sz w:val="28"/>
          <w:szCs w:val="20"/>
        </w:rPr>
        <w:t>、區域全面經濟夥伴協定</w:t>
      </w:r>
      <w:r w:rsidRPr="00B118E9">
        <w:rPr>
          <w:rFonts w:ascii="Times New Roman" w:eastAsia="標楷體" w:hAnsi="Times New Roman"/>
          <w:kern w:val="0"/>
          <w:sz w:val="28"/>
          <w:szCs w:val="20"/>
        </w:rPr>
        <w:t>(RCEP)</w:t>
      </w:r>
      <w:r w:rsidRPr="00B118E9">
        <w:rPr>
          <w:rFonts w:ascii="Times New Roman" w:eastAsia="標楷體" w:hAnsi="Times New Roman"/>
          <w:kern w:val="0"/>
          <w:sz w:val="28"/>
          <w:szCs w:val="20"/>
        </w:rPr>
        <w:t>等</w:t>
      </w:r>
      <w:r w:rsidRPr="00B118E9">
        <w:rPr>
          <w:rFonts w:ascii="Times New Roman" w:eastAsia="標楷體" w:hAnsi="Times New Roman"/>
          <w:kern w:val="0"/>
          <w:sz w:val="28"/>
          <w:szCs w:val="20"/>
        </w:rPr>
        <w:t>Mega FTA</w:t>
      </w:r>
      <w:r w:rsidRPr="00B118E9">
        <w:rPr>
          <w:rFonts w:ascii="Times New Roman" w:eastAsia="標楷體" w:hAnsi="Times New Roman"/>
          <w:kern w:val="0"/>
          <w:sz w:val="28"/>
          <w:szCs w:val="20"/>
        </w:rPr>
        <w:t>；</w:t>
      </w:r>
      <w:r w:rsidRPr="00B118E9">
        <w:rPr>
          <w:rFonts w:ascii="Times New Roman" w:eastAsia="標楷體" w:hAnsi="Times New Roman"/>
          <w:kern w:val="0"/>
          <w:sz w:val="28"/>
          <w:szCs w:val="20"/>
        </w:rPr>
        <w:t>(2)</w:t>
      </w:r>
      <w:r w:rsidRPr="00B118E9">
        <w:rPr>
          <w:rFonts w:ascii="Times New Roman" w:eastAsia="標楷體" w:hAnsi="Times New Roman"/>
          <w:kern w:val="0"/>
          <w:sz w:val="28"/>
          <w:szCs w:val="20"/>
        </w:rPr>
        <w:t>改善已簽署如</w:t>
      </w:r>
      <w:r w:rsidRPr="00B118E9">
        <w:rPr>
          <w:rFonts w:ascii="Times New Roman" w:eastAsia="標楷體" w:hAnsi="Times New Roman"/>
          <w:kern w:val="0"/>
          <w:sz w:val="28"/>
          <w:szCs w:val="20"/>
        </w:rPr>
        <w:t>ASEAN</w:t>
      </w:r>
      <w:r w:rsidRPr="00B118E9">
        <w:rPr>
          <w:rFonts w:ascii="Times New Roman" w:eastAsia="標楷體" w:hAnsi="Times New Roman"/>
          <w:kern w:val="0"/>
          <w:sz w:val="28"/>
          <w:szCs w:val="20"/>
        </w:rPr>
        <w:t>、印度等活用度較低之</w:t>
      </w:r>
      <w:r w:rsidRPr="00B118E9">
        <w:rPr>
          <w:rFonts w:ascii="Times New Roman" w:eastAsia="標楷體" w:hAnsi="Times New Roman"/>
          <w:kern w:val="0"/>
          <w:sz w:val="28"/>
          <w:szCs w:val="20"/>
        </w:rPr>
        <w:t>FTA</w:t>
      </w:r>
      <w:r w:rsidRPr="00B118E9">
        <w:rPr>
          <w:rFonts w:ascii="Times New Roman" w:eastAsia="標楷體" w:hAnsi="Times New Roman"/>
          <w:kern w:val="0"/>
          <w:sz w:val="28"/>
          <w:szCs w:val="20"/>
        </w:rPr>
        <w:t>內容；</w:t>
      </w:r>
      <w:r w:rsidRPr="00B118E9">
        <w:rPr>
          <w:rFonts w:ascii="Times New Roman" w:eastAsia="標楷體" w:hAnsi="Times New Roman"/>
          <w:kern w:val="0"/>
          <w:sz w:val="28"/>
          <w:szCs w:val="20"/>
        </w:rPr>
        <w:t>(3)</w:t>
      </w:r>
      <w:r w:rsidRPr="00B118E9">
        <w:rPr>
          <w:rFonts w:ascii="Times New Roman" w:eastAsia="標楷體" w:hAnsi="Times New Roman"/>
          <w:kern w:val="0"/>
          <w:sz w:val="28"/>
          <w:szCs w:val="20"/>
        </w:rPr>
        <w:t>推動以有潛力新興市場為目標之新</w:t>
      </w:r>
      <w:r w:rsidRPr="00B118E9">
        <w:rPr>
          <w:rFonts w:ascii="Times New Roman" w:eastAsia="標楷體" w:hAnsi="Times New Roman"/>
          <w:kern w:val="0"/>
          <w:sz w:val="28"/>
          <w:szCs w:val="20"/>
        </w:rPr>
        <w:t>FTA</w:t>
      </w:r>
      <w:r w:rsidRPr="00B118E9">
        <w:rPr>
          <w:rFonts w:ascii="Times New Roman" w:eastAsia="標楷體" w:hAnsi="Times New Roman"/>
          <w:kern w:val="0"/>
          <w:sz w:val="28"/>
          <w:szCs w:val="20"/>
        </w:rPr>
        <w:t>等</w:t>
      </w:r>
      <w:r w:rsidRPr="00B118E9">
        <w:rPr>
          <w:rFonts w:ascii="Times New Roman" w:eastAsia="標楷體" w:hAnsi="Times New Roman"/>
          <w:kern w:val="0"/>
          <w:sz w:val="28"/>
          <w:szCs w:val="20"/>
        </w:rPr>
        <w:t>3</w:t>
      </w:r>
      <w:r w:rsidRPr="00B118E9">
        <w:rPr>
          <w:rFonts w:ascii="Times New Roman" w:eastAsia="標楷體" w:hAnsi="Times New Roman"/>
          <w:kern w:val="0"/>
          <w:sz w:val="28"/>
          <w:szCs w:val="20"/>
        </w:rPr>
        <w:t>大項。</w:t>
      </w:r>
    </w:p>
    <w:p w:rsidR="00812880" w:rsidRPr="00B118E9" w:rsidRDefault="00812880" w:rsidP="00A8137A">
      <w:pPr>
        <w:pStyle w:val="afffff"/>
        <w:numPr>
          <w:ilvl w:val="0"/>
          <w:numId w:val="7"/>
        </w:numPr>
        <w:snapToGrid w:val="0"/>
        <w:spacing w:before="180" w:line="300" w:lineRule="auto"/>
        <w:ind w:leftChars="0" w:right="-227" w:firstLineChars="0"/>
        <w:rPr>
          <w:rFonts w:ascii="Times New Roman" w:eastAsia="標楷體" w:hAnsi="Times New Roman"/>
          <w:b/>
          <w:bCs/>
          <w:color w:val="FF0000"/>
          <w:sz w:val="28"/>
          <w:szCs w:val="32"/>
          <w:lang w:val="zh-TW"/>
        </w:rPr>
      </w:pPr>
      <w:r w:rsidRPr="00B118E9">
        <w:rPr>
          <w:rFonts w:ascii="Times New Roman" w:eastAsia="標楷體" w:hAnsi="Times New Roman"/>
          <w:b/>
          <w:bCs/>
          <w:color w:val="FF0000"/>
          <w:sz w:val="28"/>
          <w:szCs w:val="32"/>
          <w:lang w:val="zh-TW"/>
        </w:rPr>
        <w:br w:type="page"/>
      </w:r>
    </w:p>
    <w:p w:rsidR="00812880" w:rsidRPr="00B118E9" w:rsidRDefault="00812880" w:rsidP="00812880">
      <w:pPr>
        <w:snapToGrid w:val="0"/>
        <w:spacing w:before="120" w:line="300" w:lineRule="auto"/>
        <w:ind w:right="-227"/>
        <w:jc w:val="center"/>
        <w:rPr>
          <w:rFonts w:eastAsia="標楷體"/>
          <w:sz w:val="28"/>
          <w:szCs w:val="28"/>
        </w:rPr>
      </w:pPr>
      <w:r w:rsidRPr="00B118E9">
        <w:rPr>
          <w:rFonts w:eastAsia="標楷體"/>
          <w:b/>
          <w:bCs/>
          <w:sz w:val="28"/>
          <w:szCs w:val="32"/>
          <w:lang w:val="zh-TW"/>
        </w:rPr>
        <w:t>表</w:t>
      </w:r>
      <w:r w:rsidRPr="00B118E9">
        <w:rPr>
          <w:rFonts w:eastAsia="標楷體"/>
          <w:b/>
          <w:bCs/>
          <w:sz w:val="28"/>
          <w:szCs w:val="32"/>
          <w:lang w:val="zh-TW"/>
        </w:rPr>
        <w:t xml:space="preserve">1-3-2   </w:t>
      </w:r>
      <w:r w:rsidRPr="00B118E9">
        <w:rPr>
          <w:rFonts w:eastAsia="標楷體"/>
          <w:b/>
          <w:bCs/>
          <w:sz w:val="28"/>
          <w:szCs w:val="32"/>
          <w:lang w:val="zh-TW"/>
        </w:rPr>
        <w:t>南韓重要經濟指標</w:t>
      </w:r>
    </w:p>
    <w:p w:rsidR="00812880" w:rsidRPr="00B118E9" w:rsidRDefault="00812880" w:rsidP="00812880">
      <w:pPr>
        <w:snapToGrid w:val="0"/>
        <w:jc w:val="right"/>
        <w:rPr>
          <w:rFonts w:eastAsia="標楷體"/>
          <w:szCs w:val="28"/>
        </w:rPr>
      </w:pPr>
      <w:r w:rsidRPr="00B118E9">
        <w:rPr>
          <w:rFonts w:eastAsia="標楷體"/>
          <w:sz w:val="28"/>
          <w:szCs w:val="32"/>
          <w:lang w:val="zh-TW"/>
        </w:rPr>
        <w:t xml:space="preserve">           </w:t>
      </w:r>
      <w:r w:rsidRPr="00B118E9">
        <w:rPr>
          <w:rFonts w:eastAsia="標楷體"/>
          <w:szCs w:val="28"/>
          <w:lang w:val="zh-TW"/>
        </w:rPr>
        <w:t>單位：億美元；</w:t>
      </w:r>
      <w:r w:rsidR="008A0333" w:rsidRPr="00B118E9">
        <w:rPr>
          <w:rFonts w:eastAsia="標楷體"/>
          <w:szCs w:val="28"/>
          <w:lang w:val="zh-TW"/>
        </w:rPr>
        <w:t>%</w:t>
      </w:r>
    </w:p>
    <w:tbl>
      <w:tblPr>
        <w:tblW w:w="8490" w:type="dxa"/>
        <w:tblLayout w:type="fixed"/>
        <w:tblCellMar>
          <w:left w:w="28" w:type="dxa"/>
          <w:right w:w="28" w:type="dxa"/>
        </w:tblCellMar>
        <w:tblLook w:val="04A0" w:firstRow="1" w:lastRow="0" w:firstColumn="1" w:lastColumn="0" w:noHBand="0" w:noVBand="1"/>
      </w:tblPr>
      <w:tblGrid>
        <w:gridCol w:w="879"/>
        <w:gridCol w:w="969"/>
        <w:gridCol w:w="682"/>
        <w:gridCol w:w="856"/>
        <w:gridCol w:w="964"/>
        <w:gridCol w:w="909"/>
        <w:gridCol w:w="870"/>
        <w:gridCol w:w="818"/>
        <w:gridCol w:w="823"/>
        <w:gridCol w:w="720"/>
      </w:tblGrid>
      <w:tr w:rsidR="008A0333" w:rsidRPr="00B118E9" w:rsidTr="00BD6B4B">
        <w:trPr>
          <w:cantSplit/>
        </w:trPr>
        <w:tc>
          <w:tcPr>
            <w:tcW w:w="879" w:type="dxa"/>
            <w:vMerge w:val="restart"/>
            <w:tcBorders>
              <w:top w:val="single" w:sz="6" w:space="0" w:color="auto"/>
              <w:left w:val="nil"/>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年</w:t>
            </w:r>
            <w:r w:rsidRPr="00B118E9">
              <w:rPr>
                <w:rFonts w:eastAsia="標楷體"/>
                <w:sz w:val="22"/>
                <w:szCs w:val="22"/>
              </w:rPr>
              <w:t>(</w:t>
            </w:r>
            <w:r w:rsidRPr="00B118E9">
              <w:rPr>
                <w:rFonts w:eastAsia="標楷體"/>
                <w:sz w:val="22"/>
                <w:szCs w:val="22"/>
                <w:lang w:val="zh-TW"/>
              </w:rPr>
              <w:t>月</w:t>
            </w:r>
            <w:r w:rsidRPr="00B118E9">
              <w:rPr>
                <w:rFonts w:eastAsia="標楷體"/>
                <w:sz w:val="22"/>
                <w:szCs w:val="22"/>
              </w:rPr>
              <w:t>)</w:t>
            </w:r>
          </w:p>
        </w:tc>
        <w:tc>
          <w:tcPr>
            <w:tcW w:w="969"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實質</w:t>
            </w:r>
          </w:p>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GDP</w:t>
            </w:r>
          </w:p>
        </w:tc>
        <w:tc>
          <w:tcPr>
            <w:tcW w:w="682"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工業</w:t>
            </w:r>
          </w:p>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生產</w:t>
            </w:r>
          </w:p>
        </w:tc>
        <w:tc>
          <w:tcPr>
            <w:tcW w:w="4417" w:type="dxa"/>
            <w:gridSpan w:val="5"/>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0"/>
              </w:rPr>
            </w:pPr>
            <w:r w:rsidRPr="00B118E9">
              <w:rPr>
                <w:rFonts w:eastAsia="標楷體"/>
                <w:sz w:val="22"/>
                <w:szCs w:val="20"/>
              </w:rPr>
              <w:t>貿</w:t>
            </w:r>
            <w:r w:rsidRPr="00B118E9">
              <w:rPr>
                <w:rFonts w:eastAsia="標楷體"/>
                <w:sz w:val="22"/>
                <w:szCs w:val="20"/>
              </w:rPr>
              <w:t xml:space="preserve">    </w:t>
            </w:r>
            <w:r w:rsidRPr="00B118E9">
              <w:rPr>
                <w:rFonts w:eastAsia="標楷體"/>
                <w:sz w:val="22"/>
                <w:szCs w:val="20"/>
              </w:rPr>
              <w:t>易</w:t>
            </w:r>
          </w:p>
        </w:tc>
        <w:tc>
          <w:tcPr>
            <w:tcW w:w="823"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lang w:val="zh-TW"/>
              </w:rPr>
            </w:pPr>
            <w:r w:rsidRPr="00B118E9">
              <w:rPr>
                <w:rFonts w:eastAsia="標楷體"/>
                <w:sz w:val="22"/>
                <w:szCs w:val="22"/>
                <w:lang w:val="zh-TW"/>
              </w:rPr>
              <w:t>消費者</w:t>
            </w:r>
          </w:p>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物價</w:t>
            </w:r>
          </w:p>
        </w:tc>
        <w:tc>
          <w:tcPr>
            <w:tcW w:w="720" w:type="dxa"/>
            <w:vMerge w:val="restart"/>
            <w:tcBorders>
              <w:top w:val="single" w:sz="6" w:space="0" w:color="auto"/>
              <w:left w:val="single" w:sz="6" w:space="0" w:color="auto"/>
              <w:bottom w:val="single" w:sz="6" w:space="0" w:color="auto"/>
              <w:right w:val="nil"/>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失業率</w:t>
            </w:r>
          </w:p>
        </w:tc>
      </w:tr>
      <w:tr w:rsidR="008A0333" w:rsidRPr="00B118E9" w:rsidTr="00BD6B4B">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969"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682"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1820" w:type="dxa"/>
            <w:gridSpan w:val="2"/>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出口</w:t>
            </w:r>
          </w:p>
        </w:tc>
        <w:tc>
          <w:tcPr>
            <w:tcW w:w="1779" w:type="dxa"/>
            <w:gridSpan w:val="2"/>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tabs>
                <w:tab w:val="left" w:pos="403"/>
                <w:tab w:val="center" w:pos="861"/>
              </w:tabs>
              <w:autoSpaceDE w:val="0"/>
              <w:autoSpaceDN w:val="0"/>
              <w:adjustRightInd w:val="0"/>
              <w:snapToGrid w:val="0"/>
              <w:spacing w:line="380" w:lineRule="exact"/>
              <w:rPr>
                <w:rFonts w:eastAsia="標楷體"/>
                <w:sz w:val="22"/>
                <w:szCs w:val="22"/>
              </w:rPr>
            </w:pPr>
            <w:r w:rsidRPr="00B118E9">
              <w:rPr>
                <w:rFonts w:eastAsia="標楷體"/>
                <w:sz w:val="22"/>
                <w:szCs w:val="22"/>
              </w:rPr>
              <w:tab/>
            </w:r>
            <w:r w:rsidRPr="00B118E9">
              <w:rPr>
                <w:rFonts w:eastAsia="標楷體"/>
                <w:sz w:val="22"/>
                <w:szCs w:val="22"/>
              </w:rPr>
              <w:tab/>
            </w:r>
            <w:r w:rsidRPr="00B118E9">
              <w:rPr>
                <w:rFonts w:eastAsia="標楷體"/>
                <w:sz w:val="22"/>
                <w:szCs w:val="22"/>
              </w:rPr>
              <w:t>進口</w:t>
            </w:r>
          </w:p>
        </w:tc>
        <w:tc>
          <w:tcPr>
            <w:tcW w:w="818"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8A0333">
            <w:pPr>
              <w:autoSpaceDE w:val="0"/>
              <w:autoSpaceDN w:val="0"/>
              <w:adjustRightInd w:val="0"/>
              <w:snapToGrid w:val="0"/>
              <w:spacing w:beforeLines="30" w:before="108" w:line="380" w:lineRule="exact"/>
              <w:jc w:val="center"/>
              <w:rPr>
                <w:rFonts w:eastAsia="標楷體"/>
                <w:sz w:val="22"/>
                <w:szCs w:val="22"/>
                <w:shd w:val="clear" w:color="auto" w:fill="FFFF99"/>
              </w:rPr>
            </w:pPr>
            <w:r w:rsidRPr="00B118E9">
              <w:rPr>
                <w:rFonts w:eastAsia="標楷體"/>
                <w:sz w:val="22"/>
                <w:szCs w:val="22"/>
                <w:lang w:val="zh-TW"/>
              </w:rPr>
              <w:t>出入超</w:t>
            </w: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8A0333" w:rsidRPr="00B118E9" w:rsidRDefault="008A0333" w:rsidP="00BD6B4B">
            <w:pPr>
              <w:widowControl/>
              <w:spacing w:line="380" w:lineRule="exact"/>
              <w:rPr>
                <w:rFonts w:eastAsia="標楷體"/>
                <w:sz w:val="22"/>
                <w:szCs w:val="22"/>
              </w:rPr>
            </w:pPr>
          </w:p>
        </w:tc>
      </w:tr>
      <w:tr w:rsidR="008A0333" w:rsidRPr="00B118E9" w:rsidTr="00BD6B4B">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969"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682"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856" w:type="dxa"/>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金額</w:t>
            </w:r>
          </w:p>
        </w:tc>
        <w:tc>
          <w:tcPr>
            <w:tcW w:w="964" w:type="dxa"/>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年增率</w:t>
            </w:r>
          </w:p>
        </w:tc>
        <w:tc>
          <w:tcPr>
            <w:tcW w:w="909" w:type="dxa"/>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金額</w:t>
            </w:r>
          </w:p>
        </w:tc>
        <w:tc>
          <w:tcPr>
            <w:tcW w:w="870" w:type="dxa"/>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年增率</w:t>
            </w:r>
          </w:p>
        </w:tc>
        <w:tc>
          <w:tcPr>
            <w:tcW w:w="818"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shd w:val="clear" w:color="auto" w:fill="FFFF99"/>
              </w:rPr>
            </w:pP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8A0333" w:rsidRPr="00B118E9" w:rsidRDefault="008A0333" w:rsidP="00BD6B4B">
            <w:pPr>
              <w:widowControl/>
              <w:spacing w:line="380" w:lineRule="exact"/>
              <w:rPr>
                <w:rFonts w:eastAsia="標楷體"/>
                <w:sz w:val="22"/>
                <w:szCs w:val="22"/>
              </w:rPr>
            </w:pPr>
          </w:p>
        </w:tc>
      </w:tr>
      <w:tr w:rsidR="008A0333" w:rsidRPr="00B118E9" w:rsidTr="00BD6B4B">
        <w:trPr>
          <w:cantSplit/>
          <w:trHeight w:val="186"/>
        </w:trPr>
        <w:tc>
          <w:tcPr>
            <w:tcW w:w="879" w:type="dxa"/>
            <w:tcBorders>
              <w:top w:val="nil"/>
              <w:left w:val="nil"/>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2010</w:t>
            </w:r>
            <w:r w:rsidRPr="00B118E9">
              <w:rPr>
                <w:rFonts w:eastAsia="標楷體"/>
                <w:sz w:val="22"/>
              </w:rPr>
              <w:t>年</w:t>
            </w:r>
          </w:p>
        </w:tc>
        <w:tc>
          <w:tcPr>
            <w:tcW w:w="969" w:type="dxa"/>
            <w:tcBorders>
              <w:top w:val="nil"/>
              <w:left w:val="single" w:sz="6" w:space="0" w:color="auto"/>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6.5</w:t>
            </w:r>
          </w:p>
        </w:tc>
        <w:tc>
          <w:tcPr>
            <w:tcW w:w="682"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 xml:space="preserve">16.2 </w:t>
            </w:r>
          </w:p>
        </w:tc>
        <w:tc>
          <w:tcPr>
            <w:tcW w:w="856" w:type="dxa"/>
            <w:tcBorders>
              <w:top w:val="nil"/>
              <w:left w:val="single" w:sz="6" w:space="0" w:color="auto"/>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4,663.8</w:t>
            </w:r>
          </w:p>
        </w:tc>
        <w:tc>
          <w:tcPr>
            <w:tcW w:w="964" w:type="dxa"/>
            <w:tcBorders>
              <w:top w:val="nil"/>
              <w:left w:val="single" w:sz="6" w:space="0" w:color="auto"/>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28.3</w:t>
            </w:r>
          </w:p>
        </w:tc>
        <w:tc>
          <w:tcPr>
            <w:tcW w:w="909" w:type="dxa"/>
            <w:tcBorders>
              <w:top w:val="nil"/>
              <w:left w:val="single" w:sz="6" w:space="0" w:color="auto"/>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4,252.1</w:t>
            </w:r>
          </w:p>
        </w:tc>
        <w:tc>
          <w:tcPr>
            <w:tcW w:w="870" w:type="dxa"/>
            <w:tcBorders>
              <w:top w:val="nil"/>
              <w:left w:val="single" w:sz="6" w:space="0" w:color="auto"/>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31.6</w:t>
            </w:r>
          </w:p>
        </w:tc>
        <w:tc>
          <w:tcPr>
            <w:tcW w:w="818" w:type="dxa"/>
            <w:tcBorders>
              <w:top w:val="nil"/>
              <w:left w:val="single" w:sz="6" w:space="0" w:color="auto"/>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411.7</w:t>
            </w:r>
          </w:p>
        </w:tc>
        <w:tc>
          <w:tcPr>
            <w:tcW w:w="823" w:type="dxa"/>
            <w:tcBorders>
              <w:top w:val="nil"/>
              <w:left w:val="single" w:sz="6" w:space="0" w:color="auto"/>
              <w:bottom w:val="nil"/>
              <w:right w:val="single" w:sz="6" w:space="0" w:color="auto"/>
            </w:tcBorders>
            <w:vAlign w:val="bottom"/>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3.0</w:t>
            </w:r>
          </w:p>
        </w:tc>
        <w:tc>
          <w:tcPr>
            <w:tcW w:w="720" w:type="dxa"/>
            <w:tcBorders>
              <w:top w:val="nil"/>
              <w:left w:val="single" w:sz="6" w:space="0" w:color="auto"/>
              <w:bottom w:val="nil"/>
              <w:right w:val="nil"/>
            </w:tcBorders>
            <w:vAlign w:val="bottom"/>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3.7</w:t>
            </w:r>
          </w:p>
        </w:tc>
      </w:tr>
      <w:tr w:rsidR="008A0333" w:rsidRPr="00B118E9" w:rsidTr="00BD6B4B">
        <w:trPr>
          <w:cantSplit/>
        </w:trPr>
        <w:tc>
          <w:tcPr>
            <w:tcW w:w="879" w:type="dxa"/>
            <w:tcBorders>
              <w:top w:val="nil"/>
              <w:left w:val="nil"/>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2011</w:t>
            </w:r>
            <w:r w:rsidRPr="00B118E9">
              <w:rPr>
                <w:rFonts w:eastAsia="標楷體"/>
                <w:sz w:val="22"/>
              </w:rPr>
              <w:t>年</w:t>
            </w:r>
          </w:p>
        </w:tc>
        <w:tc>
          <w:tcPr>
            <w:tcW w:w="969" w:type="dxa"/>
            <w:tcBorders>
              <w:top w:val="nil"/>
              <w:left w:val="single" w:sz="6" w:space="0" w:color="auto"/>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3.7</w:t>
            </w:r>
          </w:p>
        </w:tc>
        <w:tc>
          <w:tcPr>
            <w:tcW w:w="682" w:type="dxa"/>
            <w:tcBorders>
              <w:top w:val="nil"/>
              <w:left w:val="single" w:sz="6" w:space="0" w:color="auto"/>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6.8</w:t>
            </w:r>
          </w:p>
        </w:tc>
        <w:tc>
          <w:tcPr>
            <w:tcW w:w="856" w:type="dxa"/>
            <w:tcBorders>
              <w:top w:val="nil"/>
              <w:left w:val="single" w:sz="6" w:space="0" w:color="auto"/>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5,565.1</w:t>
            </w:r>
          </w:p>
        </w:tc>
        <w:tc>
          <w:tcPr>
            <w:tcW w:w="964" w:type="dxa"/>
            <w:tcBorders>
              <w:top w:val="nil"/>
              <w:left w:val="single" w:sz="6" w:space="0" w:color="auto"/>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19.3</w:t>
            </w:r>
          </w:p>
        </w:tc>
        <w:tc>
          <w:tcPr>
            <w:tcW w:w="909" w:type="dxa"/>
            <w:tcBorders>
              <w:top w:val="nil"/>
              <w:left w:val="single" w:sz="6" w:space="0" w:color="auto"/>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5,243.8</w:t>
            </w:r>
          </w:p>
        </w:tc>
        <w:tc>
          <w:tcPr>
            <w:tcW w:w="870" w:type="dxa"/>
            <w:tcBorders>
              <w:top w:val="nil"/>
              <w:left w:val="single" w:sz="6" w:space="0" w:color="auto"/>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23.3</w:t>
            </w:r>
          </w:p>
        </w:tc>
        <w:tc>
          <w:tcPr>
            <w:tcW w:w="818" w:type="dxa"/>
            <w:tcBorders>
              <w:top w:val="nil"/>
              <w:left w:val="single" w:sz="6" w:space="0" w:color="auto"/>
              <w:bottom w:val="nil"/>
              <w:right w:val="single" w:sz="6" w:space="0" w:color="auto"/>
            </w:tcBorders>
            <w:vAlign w:val="bottom"/>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321.4</w:t>
            </w:r>
          </w:p>
        </w:tc>
        <w:tc>
          <w:tcPr>
            <w:tcW w:w="823" w:type="dxa"/>
            <w:tcBorders>
              <w:top w:val="nil"/>
              <w:left w:val="single" w:sz="6" w:space="0" w:color="auto"/>
              <w:bottom w:val="nil"/>
              <w:right w:val="single" w:sz="6" w:space="0" w:color="auto"/>
            </w:tcBorders>
            <w:vAlign w:val="bottom"/>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4.0</w:t>
            </w:r>
          </w:p>
        </w:tc>
        <w:tc>
          <w:tcPr>
            <w:tcW w:w="720" w:type="dxa"/>
            <w:tcBorders>
              <w:top w:val="nil"/>
              <w:left w:val="single" w:sz="6" w:space="0" w:color="auto"/>
              <w:bottom w:val="nil"/>
              <w:right w:val="nil"/>
            </w:tcBorders>
            <w:vAlign w:val="bottom"/>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3.4</w:t>
            </w:r>
          </w:p>
        </w:tc>
      </w:tr>
      <w:tr w:rsidR="008A0333" w:rsidRPr="00B118E9" w:rsidTr="00BD6B4B">
        <w:trPr>
          <w:cantSplit/>
        </w:trPr>
        <w:tc>
          <w:tcPr>
            <w:tcW w:w="879" w:type="dxa"/>
            <w:tcBorders>
              <w:top w:val="nil"/>
              <w:left w:val="nil"/>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2012</w:t>
            </w:r>
            <w:r w:rsidRPr="00B118E9">
              <w:rPr>
                <w:rFonts w:eastAsia="標楷體"/>
                <w:sz w:val="22"/>
              </w:rPr>
              <w:t>年</w:t>
            </w:r>
          </w:p>
        </w:tc>
        <w:tc>
          <w:tcPr>
            <w:tcW w:w="969" w:type="dxa"/>
            <w:tcBorders>
              <w:top w:val="nil"/>
              <w:left w:val="single" w:sz="6" w:space="0" w:color="auto"/>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2.3</w:t>
            </w:r>
          </w:p>
        </w:tc>
        <w:tc>
          <w:tcPr>
            <w:tcW w:w="682"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1.3</w:t>
            </w:r>
          </w:p>
        </w:tc>
        <w:tc>
          <w:tcPr>
            <w:tcW w:w="856" w:type="dxa"/>
            <w:tcBorders>
              <w:top w:val="nil"/>
              <w:left w:val="single" w:sz="6" w:space="0" w:color="auto"/>
              <w:bottom w:val="nil"/>
              <w:right w:val="single" w:sz="6" w:space="0" w:color="auto"/>
            </w:tcBorders>
            <w:vAlign w:val="bottom"/>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 xml:space="preserve">5,478.7 </w:t>
            </w:r>
          </w:p>
        </w:tc>
        <w:tc>
          <w:tcPr>
            <w:tcW w:w="964" w:type="dxa"/>
            <w:tcBorders>
              <w:top w:val="nil"/>
              <w:left w:val="single" w:sz="6" w:space="0" w:color="auto"/>
              <w:bottom w:val="nil"/>
              <w:right w:val="single" w:sz="6" w:space="0" w:color="auto"/>
            </w:tcBorders>
            <w:vAlign w:val="bottom"/>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 xml:space="preserve">-1.3 </w:t>
            </w:r>
          </w:p>
        </w:tc>
        <w:tc>
          <w:tcPr>
            <w:tcW w:w="909" w:type="dxa"/>
            <w:tcBorders>
              <w:top w:val="nil"/>
              <w:left w:val="single" w:sz="6" w:space="0" w:color="auto"/>
              <w:bottom w:val="nil"/>
              <w:right w:val="single" w:sz="6" w:space="0" w:color="auto"/>
            </w:tcBorders>
            <w:vAlign w:val="bottom"/>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5,195.8</w:t>
            </w:r>
          </w:p>
        </w:tc>
        <w:tc>
          <w:tcPr>
            <w:tcW w:w="870" w:type="dxa"/>
            <w:tcBorders>
              <w:top w:val="nil"/>
              <w:left w:val="single" w:sz="6" w:space="0" w:color="auto"/>
              <w:bottom w:val="nil"/>
              <w:right w:val="single" w:sz="6" w:space="0" w:color="auto"/>
            </w:tcBorders>
            <w:vAlign w:val="bottom"/>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-0.9</w:t>
            </w:r>
          </w:p>
        </w:tc>
        <w:tc>
          <w:tcPr>
            <w:tcW w:w="818" w:type="dxa"/>
            <w:tcBorders>
              <w:top w:val="nil"/>
              <w:left w:val="single" w:sz="6" w:space="0" w:color="auto"/>
              <w:bottom w:val="nil"/>
              <w:right w:val="single" w:sz="6" w:space="0" w:color="auto"/>
            </w:tcBorders>
            <w:vAlign w:val="bottom"/>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 xml:space="preserve">282.9 </w:t>
            </w:r>
          </w:p>
        </w:tc>
        <w:tc>
          <w:tcPr>
            <w:tcW w:w="823" w:type="dxa"/>
            <w:tcBorders>
              <w:top w:val="nil"/>
              <w:left w:val="single" w:sz="6" w:space="0" w:color="auto"/>
              <w:bottom w:val="nil"/>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2.2</w:t>
            </w:r>
          </w:p>
        </w:tc>
        <w:tc>
          <w:tcPr>
            <w:tcW w:w="720" w:type="dxa"/>
            <w:tcBorders>
              <w:top w:val="nil"/>
              <w:left w:val="single" w:sz="6" w:space="0" w:color="auto"/>
              <w:bottom w:val="nil"/>
              <w:right w:val="nil"/>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3.2</w:t>
            </w:r>
          </w:p>
        </w:tc>
      </w:tr>
      <w:tr w:rsidR="008A0333" w:rsidRPr="00B118E9" w:rsidTr="00BD6B4B">
        <w:trPr>
          <w:cantSplit/>
          <w:trHeight w:val="141"/>
        </w:trPr>
        <w:tc>
          <w:tcPr>
            <w:tcW w:w="879" w:type="dxa"/>
            <w:tcBorders>
              <w:top w:val="nil"/>
              <w:left w:val="nil"/>
              <w:bottom w:val="nil"/>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2013</w:t>
            </w:r>
            <w:r w:rsidRPr="00B118E9">
              <w:rPr>
                <w:rFonts w:eastAsia="標楷體"/>
                <w:sz w:val="22"/>
              </w:rPr>
              <w:t>年</w:t>
            </w:r>
          </w:p>
        </w:tc>
        <w:tc>
          <w:tcPr>
            <w:tcW w:w="96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3.0</w:t>
            </w:r>
          </w:p>
        </w:tc>
        <w:tc>
          <w:tcPr>
            <w:tcW w:w="68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0.7</w:t>
            </w:r>
          </w:p>
        </w:tc>
        <w:tc>
          <w:tcPr>
            <w:tcW w:w="856"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5,596.5</w:t>
            </w:r>
          </w:p>
        </w:tc>
        <w:tc>
          <w:tcPr>
            <w:tcW w:w="964"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2.1</w:t>
            </w:r>
          </w:p>
        </w:tc>
        <w:tc>
          <w:tcPr>
            <w:tcW w:w="90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5,155.6</w:t>
            </w:r>
          </w:p>
        </w:tc>
        <w:tc>
          <w:tcPr>
            <w:tcW w:w="870"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-0.8</w:t>
            </w:r>
          </w:p>
        </w:tc>
        <w:tc>
          <w:tcPr>
            <w:tcW w:w="818"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440.9</w:t>
            </w:r>
          </w:p>
        </w:tc>
        <w:tc>
          <w:tcPr>
            <w:tcW w:w="82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1.3</w:t>
            </w:r>
          </w:p>
        </w:tc>
        <w:tc>
          <w:tcPr>
            <w:tcW w:w="720"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3.1</w:t>
            </w:r>
          </w:p>
        </w:tc>
      </w:tr>
      <w:tr w:rsidR="008A0333" w:rsidRPr="00B118E9" w:rsidTr="00BD6B4B">
        <w:trPr>
          <w:cantSplit/>
          <w:trHeight w:val="141"/>
        </w:trPr>
        <w:tc>
          <w:tcPr>
            <w:tcW w:w="879" w:type="dxa"/>
            <w:tcBorders>
              <w:top w:val="nil"/>
              <w:left w:val="nil"/>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2014</w:t>
            </w:r>
            <w:r w:rsidRPr="00B118E9">
              <w:rPr>
                <w:rFonts w:eastAsia="標楷體"/>
                <w:sz w:val="22"/>
              </w:rPr>
              <w:t>年</w:t>
            </w:r>
          </w:p>
        </w:tc>
        <w:tc>
          <w:tcPr>
            <w:tcW w:w="96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3.3</w:t>
            </w:r>
          </w:p>
        </w:tc>
        <w:tc>
          <w:tcPr>
            <w:tcW w:w="68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0.0</w:t>
            </w:r>
          </w:p>
        </w:tc>
        <w:tc>
          <w:tcPr>
            <w:tcW w:w="856"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5,731</w:t>
            </w:r>
          </w:p>
        </w:tc>
        <w:tc>
          <w:tcPr>
            <w:tcW w:w="964"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2.4</w:t>
            </w:r>
          </w:p>
        </w:tc>
        <w:tc>
          <w:tcPr>
            <w:tcW w:w="909"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5,257</w:t>
            </w:r>
          </w:p>
        </w:tc>
        <w:tc>
          <w:tcPr>
            <w:tcW w:w="870"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2.0</w:t>
            </w:r>
          </w:p>
        </w:tc>
        <w:tc>
          <w:tcPr>
            <w:tcW w:w="818"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474</w:t>
            </w:r>
          </w:p>
        </w:tc>
        <w:tc>
          <w:tcPr>
            <w:tcW w:w="82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1.3</w:t>
            </w:r>
          </w:p>
        </w:tc>
        <w:tc>
          <w:tcPr>
            <w:tcW w:w="720"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3.5</w:t>
            </w:r>
          </w:p>
        </w:tc>
      </w:tr>
      <w:tr w:rsidR="008A0333" w:rsidRPr="00B118E9" w:rsidTr="00BD6B4B">
        <w:trPr>
          <w:cantSplit/>
          <w:trHeight w:val="141"/>
        </w:trPr>
        <w:tc>
          <w:tcPr>
            <w:tcW w:w="879" w:type="dxa"/>
            <w:tcBorders>
              <w:top w:val="nil"/>
              <w:left w:val="nil"/>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4</w:t>
            </w:r>
            <w:r w:rsidRPr="00B118E9">
              <w:rPr>
                <w:rFonts w:eastAsia="標楷體"/>
                <w:sz w:val="22"/>
              </w:rPr>
              <w:t>月</w:t>
            </w:r>
          </w:p>
        </w:tc>
        <w:tc>
          <w:tcPr>
            <w:tcW w:w="96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2.5</w:t>
            </w:r>
          </w:p>
        </w:tc>
        <w:tc>
          <w:tcPr>
            <w:tcW w:w="856"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503.2</w:t>
            </w:r>
          </w:p>
        </w:tc>
        <w:tc>
          <w:tcPr>
            <w:tcW w:w="964"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9.0</w:t>
            </w:r>
          </w:p>
        </w:tc>
        <w:tc>
          <w:tcPr>
            <w:tcW w:w="909"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458.5</w:t>
            </w:r>
          </w:p>
        </w:tc>
        <w:tc>
          <w:tcPr>
            <w:tcW w:w="870"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5.0</w:t>
            </w:r>
          </w:p>
        </w:tc>
        <w:tc>
          <w:tcPr>
            <w:tcW w:w="818"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44.6</w:t>
            </w:r>
          </w:p>
        </w:tc>
        <w:tc>
          <w:tcPr>
            <w:tcW w:w="82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1.5</w:t>
            </w:r>
          </w:p>
        </w:tc>
        <w:tc>
          <w:tcPr>
            <w:tcW w:w="720"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3.9</w:t>
            </w:r>
          </w:p>
        </w:tc>
      </w:tr>
      <w:tr w:rsidR="008A0333" w:rsidRPr="00B118E9" w:rsidTr="00BD6B4B">
        <w:trPr>
          <w:cantSplit/>
          <w:trHeight w:val="141"/>
        </w:trPr>
        <w:tc>
          <w:tcPr>
            <w:tcW w:w="879" w:type="dxa"/>
            <w:tcBorders>
              <w:top w:val="nil"/>
              <w:left w:val="nil"/>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5</w:t>
            </w:r>
            <w:r w:rsidRPr="00B118E9">
              <w:rPr>
                <w:rFonts w:eastAsia="標楷體"/>
                <w:sz w:val="22"/>
              </w:rPr>
              <w:t>月</w:t>
            </w:r>
          </w:p>
        </w:tc>
        <w:tc>
          <w:tcPr>
            <w:tcW w:w="96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-2.1</w:t>
            </w:r>
          </w:p>
        </w:tc>
        <w:tc>
          <w:tcPr>
            <w:tcW w:w="856"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478.8</w:t>
            </w:r>
          </w:p>
        </w:tc>
        <w:tc>
          <w:tcPr>
            <w:tcW w:w="964"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-0.9</w:t>
            </w:r>
          </w:p>
        </w:tc>
        <w:tc>
          <w:tcPr>
            <w:tcW w:w="909"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425.3</w:t>
            </w:r>
          </w:p>
        </w:tc>
        <w:tc>
          <w:tcPr>
            <w:tcW w:w="870"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0.3</w:t>
            </w:r>
          </w:p>
        </w:tc>
        <w:tc>
          <w:tcPr>
            <w:tcW w:w="818"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53.5</w:t>
            </w:r>
          </w:p>
        </w:tc>
        <w:tc>
          <w:tcPr>
            <w:tcW w:w="82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1.7</w:t>
            </w:r>
          </w:p>
        </w:tc>
        <w:tc>
          <w:tcPr>
            <w:tcW w:w="720"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3.6</w:t>
            </w:r>
          </w:p>
        </w:tc>
      </w:tr>
      <w:tr w:rsidR="008A0333" w:rsidRPr="00B118E9" w:rsidTr="00BD6B4B">
        <w:trPr>
          <w:cantSplit/>
          <w:trHeight w:val="141"/>
        </w:trPr>
        <w:tc>
          <w:tcPr>
            <w:tcW w:w="879" w:type="dxa"/>
            <w:tcBorders>
              <w:top w:val="nil"/>
              <w:left w:val="nil"/>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6</w:t>
            </w:r>
            <w:r w:rsidRPr="00B118E9">
              <w:rPr>
                <w:rFonts w:eastAsia="標楷體"/>
                <w:sz w:val="22"/>
              </w:rPr>
              <w:t>月</w:t>
            </w:r>
          </w:p>
        </w:tc>
        <w:tc>
          <w:tcPr>
            <w:tcW w:w="96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3.4(II)</w:t>
            </w:r>
          </w:p>
        </w:tc>
        <w:tc>
          <w:tcPr>
            <w:tcW w:w="68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0.5</w:t>
            </w:r>
          </w:p>
        </w:tc>
        <w:tc>
          <w:tcPr>
            <w:tcW w:w="856"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478.4</w:t>
            </w:r>
          </w:p>
        </w:tc>
        <w:tc>
          <w:tcPr>
            <w:tcW w:w="964"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2.5</w:t>
            </w:r>
          </w:p>
        </w:tc>
        <w:tc>
          <w:tcPr>
            <w:tcW w:w="909"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425.5</w:t>
            </w:r>
          </w:p>
        </w:tc>
        <w:tc>
          <w:tcPr>
            <w:tcW w:w="870"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4.5</w:t>
            </w:r>
          </w:p>
        </w:tc>
        <w:tc>
          <w:tcPr>
            <w:tcW w:w="818"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52.9</w:t>
            </w:r>
          </w:p>
        </w:tc>
        <w:tc>
          <w:tcPr>
            <w:tcW w:w="82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1.7</w:t>
            </w:r>
          </w:p>
        </w:tc>
        <w:tc>
          <w:tcPr>
            <w:tcW w:w="720"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3.5</w:t>
            </w:r>
          </w:p>
        </w:tc>
      </w:tr>
      <w:tr w:rsidR="008A0333" w:rsidRPr="00B118E9" w:rsidTr="00BD6B4B">
        <w:trPr>
          <w:cantSplit/>
          <w:trHeight w:val="141"/>
        </w:trPr>
        <w:tc>
          <w:tcPr>
            <w:tcW w:w="879" w:type="dxa"/>
            <w:tcBorders>
              <w:top w:val="nil"/>
              <w:left w:val="nil"/>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7</w:t>
            </w:r>
            <w:r w:rsidRPr="00B118E9">
              <w:rPr>
                <w:rFonts w:eastAsia="標楷體"/>
                <w:sz w:val="22"/>
              </w:rPr>
              <w:t>月</w:t>
            </w:r>
          </w:p>
        </w:tc>
        <w:tc>
          <w:tcPr>
            <w:tcW w:w="96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4.0</w:t>
            </w:r>
          </w:p>
        </w:tc>
        <w:tc>
          <w:tcPr>
            <w:tcW w:w="856"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484.2</w:t>
            </w:r>
          </w:p>
        </w:tc>
        <w:tc>
          <w:tcPr>
            <w:tcW w:w="964"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5.7</w:t>
            </w:r>
          </w:p>
        </w:tc>
        <w:tc>
          <w:tcPr>
            <w:tcW w:w="909"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459.0</w:t>
            </w:r>
          </w:p>
        </w:tc>
        <w:tc>
          <w:tcPr>
            <w:tcW w:w="870"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5.8</w:t>
            </w:r>
          </w:p>
        </w:tc>
        <w:tc>
          <w:tcPr>
            <w:tcW w:w="818"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25.2</w:t>
            </w:r>
          </w:p>
        </w:tc>
        <w:tc>
          <w:tcPr>
            <w:tcW w:w="82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1.6</w:t>
            </w:r>
          </w:p>
        </w:tc>
        <w:tc>
          <w:tcPr>
            <w:tcW w:w="720"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3.4</w:t>
            </w:r>
          </w:p>
        </w:tc>
      </w:tr>
      <w:tr w:rsidR="008A0333" w:rsidRPr="00B118E9" w:rsidTr="00BD6B4B">
        <w:trPr>
          <w:cantSplit/>
          <w:trHeight w:val="141"/>
        </w:trPr>
        <w:tc>
          <w:tcPr>
            <w:tcW w:w="879" w:type="dxa"/>
            <w:tcBorders>
              <w:top w:val="nil"/>
              <w:left w:val="nil"/>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8</w:t>
            </w:r>
            <w:r w:rsidRPr="00B118E9">
              <w:rPr>
                <w:rFonts w:eastAsia="標楷體"/>
                <w:sz w:val="22"/>
              </w:rPr>
              <w:t>月</w:t>
            </w:r>
          </w:p>
        </w:tc>
        <w:tc>
          <w:tcPr>
            <w:tcW w:w="96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-2.8</w:t>
            </w:r>
          </w:p>
        </w:tc>
        <w:tc>
          <w:tcPr>
            <w:tcW w:w="856"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462.8</w:t>
            </w:r>
          </w:p>
        </w:tc>
        <w:tc>
          <w:tcPr>
            <w:tcW w:w="964"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-0.1</w:t>
            </w:r>
          </w:p>
        </w:tc>
        <w:tc>
          <w:tcPr>
            <w:tcW w:w="909"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428.7</w:t>
            </w:r>
          </w:p>
        </w:tc>
        <w:tc>
          <w:tcPr>
            <w:tcW w:w="870"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3.1</w:t>
            </w:r>
          </w:p>
        </w:tc>
        <w:tc>
          <w:tcPr>
            <w:tcW w:w="818"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34.1</w:t>
            </w:r>
          </w:p>
        </w:tc>
        <w:tc>
          <w:tcPr>
            <w:tcW w:w="82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1.4</w:t>
            </w:r>
          </w:p>
        </w:tc>
        <w:tc>
          <w:tcPr>
            <w:tcW w:w="720"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3.3</w:t>
            </w:r>
          </w:p>
        </w:tc>
      </w:tr>
      <w:tr w:rsidR="008A0333" w:rsidRPr="00B118E9" w:rsidTr="00BD6B4B">
        <w:trPr>
          <w:cantSplit/>
          <w:trHeight w:val="141"/>
        </w:trPr>
        <w:tc>
          <w:tcPr>
            <w:tcW w:w="879" w:type="dxa"/>
            <w:tcBorders>
              <w:top w:val="nil"/>
              <w:left w:val="nil"/>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9</w:t>
            </w:r>
            <w:r w:rsidRPr="00B118E9">
              <w:rPr>
                <w:rFonts w:eastAsia="標楷體"/>
                <w:sz w:val="22"/>
              </w:rPr>
              <w:t>月</w:t>
            </w:r>
          </w:p>
        </w:tc>
        <w:tc>
          <w:tcPr>
            <w:tcW w:w="96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3.3(III)</w:t>
            </w:r>
          </w:p>
        </w:tc>
        <w:tc>
          <w:tcPr>
            <w:tcW w:w="68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1.9</w:t>
            </w:r>
          </w:p>
        </w:tc>
        <w:tc>
          <w:tcPr>
            <w:tcW w:w="856"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476.9</w:t>
            </w:r>
          </w:p>
        </w:tc>
        <w:tc>
          <w:tcPr>
            <w:tcW w:w="964"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6.8</w:t>
            </w:r>
          </w:p>
        </w:tc>
        <w:tc>
          <w:tcPr>
            <w:tcW w:w="909"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443.3</w:t>
            </w:r>
          </w:p>
        </w:tc>
        <w:tc>
          <w:tcPr>
            <w:tcW w:w="870"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8.0</w:t>
            </w:r>
          </w:p>
        </w:tc>
        <w:tc>
          <w:tcPr>
            <w:tcW w:w="818"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33.6</w:t>
            </w:r>
          </w:p>
        </w:tc>
        <w:tc>
          <w:tcPr>
            <w:tcW w:w="82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1.1</w:t>
            </w:r>
          </w:p>
        </w:tc>
        <w:tc>
          <w:tcPr>
            <w:tcW w:w="720"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3.2</w:t>
            </w:r>
          </w:p>
        </w:tc>
      </w:tr>
      <w:tr w:rsidR="008A0333" w:rsidRPr="00B118E9" w:rsidTr="00BD6B4B">
        <w:trPr>
          <w:cantSplit/>
          <w:trHeight w:val="141"/>
        </w:trPr>
        <w:tc>
          <w:tcPr>
            <w:tcW w:w="879" w:type="dxa"/>
            <w:tcBorders>
              <w:top w:val="nil"/>
              <w:left w:val="nil"/>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 xml:space="preserve">10 </w:t>
            </w:r>
            <w:r w:rsidRPr="00B118E9">
              <w:rPr>
                <w:rFonts w:eastAsia="標楷體"/>
                <w:sz w:val="22"/>
              </w:rPr>
              <w:t>月</w:t>
            </w:r>
          </w:p>
        </w:tc>
        <w:tc>
          <w:tcPr>
            <w:tcW w:w="96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-3.2</w:t>
            </w:r>
          </w:p>
        </w:tc>
        <w:tc>
          <w:tcPr>
            <w:tcW w:w="856"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517.6</w:t>
            </w:r>
          </w:p>
        </w:tc>
        <w:tc>
          <w:tcPr>
            <w:tcW w:w="964"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2.5</w:t>
            </w:r>
          </w:p>
        </w:tc>
        <w:tc>
          <w:tcPr>
            <w:tcW w:w="909"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442.6</w:t>
            </w:r>
          </w:p>
        </w:tc>
        <w:tc>
          <w:tcPr>
            <w:tcW w:w="870"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-3.0</w:t>
            </w:r>
          </w:p>
        </w:tc>
        <w:tc>
          <w:tcPr>
            <w:tcW w:w="818"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75.0</w:t>
            </w:r>
          </w:p>
        </w:tc>
        <w:tc>
          <w:tcPr>
            <w:tcW w:w="82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1.2</w:t>
            </w:r>
          </w:p>
        </w:tc>
        <w:tc>
          <w:tcPr>
            <w:tcW w:w="720"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3.2</w:t>
            </w:r>
          </w:p>
        </w:tc>
      </w:tr>
      <w:tr w:rsidR="008A0333" w:rsidRPr="00B118E9" w:rsidTr="00BD6B4B">
        <w:trPr>
          <w:cantSplit/>
          <w:trHeight w:val="141"/>
        </w:trPr>
        <w:tc>
          <w:tcPr>
            <w:tcW w:w="879" w:type="dxa"/>
            <w:tcBorders>
              <w:top w:val="nil"/>
              <w:left w:val="nil"/>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11</w:t>
            </w:r>
            <w:r w:rsidRPr="00B118E9">
              <w:rPr>
                <w:rFonts w:eastAsia="標楷體"/>
                <w:sz w:val="22"/>
              </w:rPr>
              <w:t>月</w:t>
            </w:r>
          </w:p>
        </w:tc>
        <w:tc>
          <w:tcPr>
            <w:tcW w:w="96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-3.5</w:t>
            </w:r>
          </w:p>
        </w:tc>
        <w:tc>
          <w:tcPr>
            <w:tcW w:w="856"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469.9</w:t>
            </w:r>
          </w:p>
        </w:tc>
        <w:tc>
          <w:tcPr>
            <w:tcW w:w="964"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-1.9</w:t>
            </w:r>
          </w:p>
        </w:tc>
        <w:tc>
          <w:tcPr>
            <w:tcW w:w="909"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413.8</w:t>
            </w:r>
          </w:p>
        </w:tc>
        <w:tc>
          <w:tcPr>
            <w:tcW w:w="870"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-4.0</w:t>
            </w:r>
          </w:p>
        </w:tc>
        <w:tc>
          <w:tcPr>
            <w:tcW w:w="818"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56.1</w:t>
            </w:r>
          </w:p>
        </w:tc>
        <w:tc>
          <w:tcPr>
            <w:tcW w:w="82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1.0</w:t>
            </w:r>
          </w:p>
        </w:tc>
        <w:tc>
          <w:tcPr>
            <w:tcW w:w="720"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3.1</w:t>
            </w:r>
          </w:p>
        </w:tc>
      </w:tr>
      <w:tr w:rsidR="008A0333" w:rsidRPr="00B118E9" w:rsidTr="00BD6B4B">
        <w:trPr>
          <w:cantSplit/>
          <w:trHeight w:val="141"/>
        </w:trPr>
        <w:tc>
          <w:tcPr>
            <w:tcW w:w="879" w:type="dxa"/>
            <w:tcBorders>
              <w:top w:val="nil"/>
              <w:left w:val="nil"/>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12</w:t>
            </w:r>
            <w:r w:rsidRPr="00B118E9">
              <w:rPr>
                <w:rFonts w:eastAsia="標楷體"/>
                <w:sz w:val="22"/>
              </w:rPr>
              <w:t>月</w:t>
            </w:r>
          </w:p>
        </w:tc>
        <w:tc>
          <w:tcPr>
            <w:tcW w:w="96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2.7(IV)</w:t>
            </w:r>
          </w:p>
        </w:tc>
        <w:tc>
          <w:tcPr>
            <w:tcW w:w="68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1.1</w:t>
            </w:r>
          </w:p>
        </w:tc>
        <w:tc>
          <w:tcPr>
            <w:tcW w:w="856"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497.4</w:t>
            </w:r>
          </w:p>
        </w:tc>
        <w:tc>
          <w:tcPr>
            <w:tcW w:w="964"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3.7</w:t>
            </w:r>
          </w:p>
        </w:tc>
        <w:tc>
          <w:tcPr>
            <w:tcW w:w="909"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439.5</w:t>
            </w:r>
          </w:p>
        </w:tc>
        <w:tc>
          <w:tcPr>
            <w:tcW w:w="870"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-0.9</w:t>
            </w:r>
          </w:p>
        </w:tc>
        <w:tc>
          <w:tcPr>
            <w:tcW w:w="818"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57.9</w:t>
            </w:r>
          </w:p>
        </w:tc>
        <w:tc>
          <w:tcPr>
            <w:tcW w:w="82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0.8</w:t>
            </w:r>
          </w:p>
        </w:tc>
        <w:tc>
          <w:tcPr>
            <w:tcW w:w="720"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3.4</w:t>
            </w:r>
          </w:p>
        </w:tc>
      </w:tr>
      <w:tr w:rsidR="008A0333" w:rsidRPr="00B118E9" w:rsidTr="00BD6B4B">
        <w:trPr>
          <w:cantSplit/>
          <w:trHeight w:val="141"/>
        </w:trPr>
        <w:tc>
          <w:tcPr>
            <w:tcW w:w="879" w:type="dxa"/>
            <w:tcBorders>
              <w:top w:val="nil"/>
              <w:left w:val="nil"/>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2015</w:t>
            </w:r>
            <w:r w:rsidRPr="00B118E9">
              <w:rPr>
                <w:rFonts w:eastAsia="標楷體"/>
                <w:sz w:val="22"/>
              </w:rPr>
              <w:t>年</w:t>
            </w:r>
          </w:p>
        </w:tc>
        <w:tc>
          <w:tcPr>
            <w:tcW w:w="96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p>
        </w:tc>
        <w:tc>
          <w:tcPr>
            <w:tcW w:w="856"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p>
        </w:tc>
        <w:tc>
          <w:tcPr>
            <w:tcW w:w="964"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p>
        </w:tc>
        <w:tc>
          <w:tcPr>
            <w:tcW w:w="909"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p>
        </w:tc>
        <w:tc>
          <w:tcPr>
            <w:tcW w:w="870"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p>
        </w:tc>
        <w:tc>
          <w:tcPr>
            <w:tcW w:w="818"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p>
        </w:tc>
        <w:tc>
          <w:tcPr>
            <w:tcW w:w="82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p>
        </w:tc>
        <w:tc>
          <w:tcPr>
            <w:tcW w:w="720"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p>
        </w:tc>
      </w:tr>
      <w:tr w:rsidR="008A0333" w:rsidRPr="00B118E9" w:rsidTr="00BD6B4B">
        <w:trPr>
          <w:cantSplit/>
          <w:trHeight w:val="141"/>
        </w:trPr>
        <w:tc>
          <w:tcPr>
            <w:tcW w:w="879" w:type="dxa"/>
            <w:tcBorders>
              <w:top w:val="nil"/>
              <w:left w:val="nil"/>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1</w:t>
            </w:r>
            <w:r w:rsidRPr="00B118E9">
              <w:rPr>
                <w:rFonts w:eastAsia="標楷體"/>
                <w:sz w:val="22"/>
              </w:rPr>
              <w:t>月</w:t>
            </w:r>
          </w:p>
        </w:tc>
        <w:tc>
          <w:tcPr>
            <w:tcW w:w="96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1.8</w:t>
            </w:r>
          </w:p>
        </w:tc>
        <w:tc>
          <w:tcPr>
            <w:tcW w:w="856"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453.7</w:t>
            </w:r>
          </w:p>
        </w:tc>
        <w:tc>
          <w:tcPr>
            <w:tcW w:w="964"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-0.4</w:t>
            </w:r>
          </w:p>
        </w:tc>
        <w:tc>
          <w:tcPr>
            <w:tcW w:w="909"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398.4</w:t>
            </w:r>
          </w:p>
        </w:tc>
        <w:tc>
          <w:tcPr>
            <w:tcW w:w="870"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-11.0</w:t>
            </w:r>
          </w:p>
        </w:tc>
        <w:tc>
          <w:tcPr>
            <w:tcW w:w="818"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55.3</w:t>
            </w:r>
          </w:p>
        </w:tc>
        <w:tc>
          <w:tcPr>
            <w:tcW w:w="82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0.8</w:t>
            </w:r>
          </w:p>
        </w:tc>
        <w:tc>
          <w:tcPr>
            <w:tcW w:w="720"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3.8</w:t>
            </w:r>
          </w:p>
        </w:tc>
      </w:tr>
      <w:tr w:rsidR="008A0333" w:rsidRPr="00B118E9" w:rsidTr="00BD6B4B">
        <w:trPr>
          <w:cantSplit/>
          <w:trHeight w:val="141"/>
        </w:trPr>
        <w:tc>
          <w:tcPr>
            <w:tcW w:w="879" w:type="dxa"/>
            <w:tcBorders>
              <w:top w:val="nil"/>
              <w:left w:val="nil"/>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w:t>
            </w:r>
            <w:r w:rsidRPr="00B118E9">
              <w:rPr>
                <w:rFonts w:eastAsia="標楷體"/>
                <w:sz w:val="22"/>
              </w:rPr>
              <w:t>月</w:t>
            </w:r>
          </w:p>
        </w:tc>
        <w:tc>
          <w:tcPr>
            <w:tcW w:w="96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2.4(I)</w:t>
            </w:r>
          </w:p>
        </w:tc>
        <w:tc>
          <w:tcPr>
            <w:tcW w:w="68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-5.0</w:t>
            </w:r>
          </w:p>
        </w:tc>
        <w:tc>
          <w:tcPr>
            <w:tcW w:w="856"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414.6</w:t>
            </w:r>
          </w:p>
        </w:tc>
        <w:tc>
          <w:tcPr>
            <w:tcW w:w="964"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-3.4</w:t>
            </w:r>
          </w:p>
        </w:tc>
        <w:tc>
          <w:tcPr>
            <w:tcW w:w="909"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338.0</w:t>
            </w:r>
          </w:p>
        </w:tc>
        <w:tc>
          <w:tcPr>
            <w:tcW w:w="870"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-19.6</w:t>
            </w:r>
          </w:p>
        </w:tc>
        <w:tc>
          <w:tcPr>
            <w:tcW w:w="818"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76.6</w:t>
            </w:r>
          </w:p>
        </w:tc>
        <w:tc>
          <w:tcPr>
            <w:tcW w:w="82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0.5</w:t>
            </w:r>
          </w:p>
        </w:tc>
        <w:tc>
          <w:tcPr>
            <w:tcW w:w="720"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4.6</w:t>
            </w:r>
          </w:p>
        </w:tc>
      </w:tr>
      <w:tr w:rsidR="008A0333" w:rsidRPr="00B118E9" w:rsidTr="00BD6B4B">
        <w:trPr>
          <w:cantSplit/>
          <w:trHeight w:val="141"/>
        </w:trPr>
        <w:tc>
          <w:tcPr>
            <w:tcW w:w="879" w:type="dxa"/>
            <w:tcBorders>
              <w:top w:val="nil"/>
              <w:left w:val="nil"/>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3</w:t>
            </w:r>
            <w:r w:rsidRPr="00B118E9">
              <w:rPr>
                <w:rFonts w:eastAsia="標楷體"/>
                <w:sz w:val="22"/>
              </w:rPr>
              <w:t>月</w:t>
            </w:r>
          </w:p>
        </w:tc>
        <w:tc>
          <w:tcPr>
            <w:tcW w:w="969" w:type="dxa"/>
            <w:tcBorders>
              <w:top w:val="nil"/>
              <w:left w:val="single" w:sz="6" w:space="0" w:color="auto"/>
              <w:bottom w:val="nil"/>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-0.1</w:t>
            </w:r>
          </w:p>
        </w:tc>
        <w:tc>
          <w:tcPr>
            <w:tcW w:w="856"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469.9</w:t>
            </w:r>
          </w:p>
        </w:tc>
        <w:tc>
          <w:tcPr>
            <w:tcW w:w="964"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-4.2</w:t>
            </w:r>
          </w:p>
        </w:tc>
        <w:tc>
          <w:tcPr>
            <w:tcW w:w="909"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386.0</w:t>
            </w:r>
          </w:p>
        </w:tc>
        <w:tc>
          <w:tcPr>
            <w:tcW w:w="870"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-15.3</w:t>
            </w:r>
          </w:p>
        </w:tc>
        <w:tc>
          <w:tcPr>
            <w:tcW w:w="818" w:type="dxa"/>
            <w:tcBorders>
              <w:top w:val="nil"/>
              <w:left w:val="single" w:sz="6" w:space="0" w:color="auto"/>
              <w:bottom w:val="nil"/>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83.9</w:t>
            </w:r>
          </w:p>
        </w:tc>
        <w:tc>
          <w:tcPr>
            <w:tcW w:w="823" w:type="dxa"/>
            <w:tcBorders>
              <w:top w:val="nil"/>
              <w:left w:val="single" w:sz="6" w:space="0" w:color="auto"/>
              <w:bottom w:val="nil"/>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0.4</w:t>
            </w:r>
          </w:p>
        </w:tc>
        <w:tc>
          <w:tcPr>
            <w:tcW w:w="720" w:type="dxa"/>
            <w:tcBorders>
              <w:top w:val="nil"/>
              <w:left w:val="single" w:sz="6" w:space="0" w:color="auto"/>
              <w:bottom w:val="nil"/>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4.0</w:t>
            </w:r>
          </w:p>
        </w:tc>
      </w:tr>
      <w:tr w:rsidR="008A0333" w:rsidRPr="00B118E9" w:rsidTr="00BD6B4B">
        <w:trPr>
          <w:cantSplit/>
          <w:trHeight w:val="141"/>
        </w:trPr>
        <w:tc>
          <w:tcPr>
            <w:tcW w:w="879" w:type="dxa"/>
            <w:tcBorders>
              <w:top w:val="nil"/>
              <w:left w:val="nil"/>
              <w:bottom w:val="single" w:sz="6" w:space="0" w:color="auto"/>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rPr>
              <w:t>4</w:t>
            </w:r>
            <w:r w:rsidRPr="00B118E9">
              <w:rPr>
                <w:rFonts w:eastAsia="標楷體"/>
                <w:sz w:val="22"/>
              </w:rPr>
              <w:t>月</w:t>
            </w:r>
          </w:p>
        </w:tc>
        <w:tc>
          <w:tcPr>
            <w:tcW w:w="969" w:type="dxa"/>
            <w:tcBorders>
              <w:top w:val="nil"/>
              <w:left w:val="single" w:sz="6" w:space="0" w:color="auto"/>
              <w:bottom w:val="single" w:sz="6" w:space="0" w:color="auto"/>
              <w:right w:val="single" w:sz="6" w:space="0" w:color="auto"/>
            </w:tcBorders>
          </w:tcPr>
          <w:p w:rsidR="008A0333" w:rsidRPr="00B118E9" w:rsidRDefault="008A0333" w:rsidP="00BD6B4B">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single" w:sz="6"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w:t>
            </w:r>
          </w:p>
        </w:tc>
        <w:tc>
          <w:tcPr>
            <w:tcW w:w="856" w:type="dxa"/>
            <w:tcBorders>
              <w:top w:val="nil"/>
              <w:left w:val="single" w:sz="6" w:space="0" w:color="auto"/>
              <w:bottom w:val="single" w:sz="6" w:space="0" w:color="auto"/>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462.2</w:t>
            </w:r>
          </w:p>
        </w:tc>
        <w:tc>
          <w:tcPr>
            <w:tcW w:w="964" w:type="dxa"/>
            <w:tcBorders>
              <w:top w:val="nil"/>
              <w:left w:val="single" w:sz="6" w:space="0" w:color="auto"/>
              <w:bottom w:val="single" w:sz="6" w:space="0" w:color="auto"/>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-8.1</w:t>
            </w:r>
          </w:p>
        </w:tc>
        <w:tc>
          <w:tcPr>
            <w:tcW w:w="909" w:type="dxa"/>
            <w:tcBorders>
              <w:top w:val="nil"/>
              <w:left w:val="single" w:sz="6" w:space="0" w:color="auto"/>
              <w:bottom w:val="single" w:sz="6" w:space="0" w:color="auto"/>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377.3</w:t>
            </w:r>
          </w:p>
        </w:tc>
        <w:tc>
          <w:tcPr>
            <w:tcW w:w="870" w:type="dxa"/>
            <w:tcBorders>
              <w:top w:val="nil"/>
              <w:left w:val="single" w:sz="6" w:space="0" w:color="auto"/>
              <w:bottom w:val="single" w:sz="6" w:space="0" w:color="auto"/>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-17.8</w:t>
            </w:r>
          </w:p>
        </w:tc>
        <w:tc>
          <w:tcPr>
            <w:tcW w:w="818" w:type="dxa"/>
            <w:tcBorders>
              <w:top w:val="nil"/>
              <w:left w:val="single" w:sz="6" w:space="0" w:color="auto"/>
              <w:bottom w:val="single" w:sz="6" w:space="0" w:color="auto"/>
              <w:right w:val="single" w:sz="6" w:space="0" w:color="auto"/>
            </w:tcBorders>
            <w:vAlign w:val="bottom"/>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84.9</w:t>
            </w:r>
          </w:p>
        </w:tc>
        <w:tc>
          <w:tcPr>
            <w:tcW w:w="823" w:type="dxa"/>
            <w:tcBorders>
              <w:top w:val="nil"/>
              <w:left w:val="single" w:sz="6" w:space="0" w:color="auto"/>
              <w:bottom w:val="single" w:sz="6" w:space="0" w:color="auto"/>
              <w:right w:val="single" w:sz="6" w:space="0" w:color="auto"/>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0.4</w:t>
            </w:r>
          </w:p>
        </w:tc>
        <w:tc>
          <w:tcPr>
            <w:tcW w:w="720" w:type="dxa"/>
            <w:tcBorders>
              <w:top w:val="nil"/>
              <w:left w:val="single" w:sz="6" w:space="0" w:color="auto"/>
              <w:bottom w:val="single" w:sz="6" w:space="0" w:color="auto"/>
              <w:right w:val="nil"/>
            </w:tcBorders>
            <w:vAlign w:val="center"/>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3.9</w:t>
            </w:r>
          </w:p>
        </w:tc>
      </w:tr>
    </w:tbl>
    <w:p w:rsidR="00812880" w:rsidRPr="00B118E9" w:rsidRDefault="00812880">
      <w:pPr>
        <w:widowControl/>
        <w:rPr>
          <w:rFonts w:eastAsia="標楷體"/>
          <w:b/>
          <w:bCs/>
          <w:sz w:val="40"/>
          <w:szCs w:val="36"/>
        </w:rPr>
      </w:pPr>
      <w:r w:rsidRPr="00B118E9">
        <w:rPr>
          <w:rFonts w:eastAsia="標楷體"/>
          <w:kern w:val="0"/>
          <w:sz w:val="22"/>
          <w:szCs w:val="22"/>
        </w:rPr>
        <w:t>資料來源：韓國知識經濟部、韓國企劃財政部、韓國銀行、韓國統計局。</w:t>
      </w:r>
    </w:p>
    <w:p w:rsidR="00812880" w:rsidRPr="00B118E9" w:rsidRDefault="00812880">
      <w:pPr>
        <w:widowControl/>
        <w:rPr>
          <w:rFonts w:eastAsia="標楷體"/>
          <w:b/>
          <w:bCs/>
          <w:color w:val="FF0000"/>
          <w:sz w:val="40"/>
          <w:szCs w:val="36"/>
        </w:rPr>
      </w:pPr>
      <w:r w:rsidRPr="00B118E9">
        <w:rPr>
          <w:rFonts w:eastAsia="標楷體"/>
          <w:b/>
          <w:bCs/>
          <w:color w:val="FF0000"/>
          <w:sz w:val="40"/>
          <w:szCs w:val="36"/>
        </w:rPr>
        <w:br w:type="page"/>
      </w:r>
    </w:p>
    <w:p w:rsidR="00B77830" w:rsidRPr="00B118E9" w:rsidRDefault="00B77830" w:rsidP="00B77830">
      <w:pPr>
        <w:pStyle w:val="k3a"/>
        <w:numPr>
          <w:ilvl w:val="3"/>
          <w:numId w:val="0"/>
        </w:numPr>
        <w:tabs>
          <w:tab w:val="left" w:pos="709"/>
        </w:tabs>
        <w:spacing w:before="180" w:line="300" w:lineRule="auto"/>
        <w:rPr>
          <w:b/>
          <w:bCs/>
          <w:szCs w:val="28"/>
        </w:rPr>
      </w:pPr>
      <w:r w:rsidRPr="00B118E9">
        <w:rPr>
          <w:b/>
          <w:bCs/>
          <w:szCs w:val="28"/>
        </w:rPr>
        <w:t>３、新加坡</w:t>
      </w:r>
    </w:p>
    <w:p w:rsidR="008A0333" w:rsidRPr="00B118E9" w:rsidRDefault="008A0333" w:rsidP="008A0333">
      <w:pPr>
        <w:numPr>
          <w:ilvl w:val="0"/>
          <w:numId w:val="10"/>
        </w:numPr>
        <w:snapToGrid w:val="0"/>
        <w:spacing w:beforeLines="50" w:before="180" w:line="300" w:lineRule="auto"/>
        <w:ind w:left="709" w:right="-227" w:hanging="567"/>
        <w:jc w:val="both"/>
        <w:rPr>
          <w:rFonts w:eastAsia="標楷體"/>
          <w:sz w:val="28"/>
          <w:szCs w:val="28"/>
        </w:rPr>
      </w:pPr>
      <w:r w:rsidRPr="00B118E9">
        <w:rPr>
          <w:rFonts w:eastAsia="標楷體"/>
          <w:sz w:val="28"/>
          <w:szCs w:val="28"/>
        </w:rPr>
        <w:t>國際貨幣基金</w:t>
      </w:r>
      <w:r w:rsidRPr="00B118E9">
        <w:rPr>
          <w:rFonts w:eastAsia="標楷體"/>
          <w:sz w:val="28"/>
          <w:szCs w:val="28"/>
        </w:rPr>
        <w:t>(IMF)2015</w:t>
      </w:r>
      <w:r w:rsidRPr="00B118E9">
        <w:rPr>
          <w:rFonts w:eastAsia="標楷體"/>
          <w:sz w:val="28"/>
          <w:szCs w:val="28"/>
        </w:rPr>
        <w:t>年</w:t>
      </w:r>
      <w:r w:rsidRPr="00B118E9">
        <w:rPr>
          <w:rFonts w:eastAsia="標楷體"/>
          <w:sz w:val="28"/>
          <w:szCs w:val="28"/>
        </w:rPr>
        <w:t>5</w:t>
      </w:r>
      <w:r w:rsidRPr="00B118E9">
        <w:rPr>
          <w:rFonts w:eastAsia="標楷體"/>
          <w:sz w:val="28"/>
          <w:szCs w:val="28"/>
        </w:rPr>
        <w:t>月</w:t>
      </w:r>
      <w:r w:rsidRPr="00B118E9">
        <w:rPr>
          <w:rFonts w:eastAsia="標楷體"/>
          <w:sz w:val="28"/>
          <w:szCs w:val="28"/>
        </w:rPr>
        <w:t>7</w:t>
      </w:r>
      <w:r w:rsidRPr="00B118E9">
        <w:rPr>
          <w:rFonts w:eastAsia="標楷體"/>
          <w:sz w:val="28"/>
          <w:szCs w:val="28"/>
        </w:rPr>
        <w:t>日發表亞太區「區域經濟展望」報告，預測新加坡</w:t>
      </w:r>
      <w:r w:rsidRPr="00B118E9">
        <w:rPr>
          <w:rFonts w:eastAsia="標楷體"/>
          <w:sz w:val="28"/>
          <w:szCs w:val="28"/>
        </w:rPr>
        <w:t>2015</w:t>
      </w:r>
      <w:r w:rsidRPr="00B118E9">
        <w:rPr>
          <w:rFonts w:eastAsia="標楷體"/>
          <w:sz w:val="28"/>
          <w:szCs w:val="28"/>
        </w:rPr>
        <w:t>及</w:t>
      </w:r>
      <w:r w:rsidRPr="00B118E9">
        <w:rPr>
          <w:rFonts w:eastAsia="標楷體"/>
          <w:sz w:val="28"/>
          <w:szCs w:val="28"/>
        </w:rPr>
        <w:t>2016</w:t>
      </w:r>
      <w:r w:rsidRPr="00B118E9">
        <w:rPr>
          <w:rFonts w:eastAsia="標楷體"/>
          <w:sz w:val="28"/>
          <w:szCs w:val="28"/>
        </w:rPr>
        <w:t>年經濟成長率</w:t>
      </w:r>
      <w:r w:rsidRPr="00B118E9">
        <w:rPr>
          <w:rFonts w:eastAsia="標楷體"/>
          <w:sz w:val="28"/>
          <w:szCs w:val="28"/>
        </w:rPr>
        <w:t>3.0%</w:t>
      </w:r>
      <w:r w:rsidRPr="00B118E9">
        <w:rPr>
          <w:rFonts w:eastAsia="標楷體"/>
          <w:sz w:val="28"/>
          <w:szCs w:val="28"/>
        </w:rPr>
        <w:t>，惟受到中國大陸經濟成長放緩及全球金融環境進一步緊縮影響，未來可能適度下調。另針對新加坡消費者物價指數截至</w:t>
      </w:r>
      <w:r w:rsidRPr="00B118E9">
        <w:rPr>
          <w:rFonts w:eastAsia="標楷體"/>
          <w:sz w:val="28"/>
          <w:szCs w:val="28"/>
        </w:rPr>
        <w:t>2015</w:t>
      </w:r>
      <w:r w:rsidRPr="00B118E9">
        <w:rPr>
          <w:rFonts w:eastAsia="標楷體"/>
          <w:sz w:val="28"/>
          <w:szCs w:val="28"/>
        </w:rPr>
        <w:t>年</w:t>
      </w:r>
      <w:r w:rsidRPr="00B118E9">
        <w:rPr>
          <w:rFonts w:eastAsia="標楷體"/>
          <w:sz w:val="28"/>
          <w:szCs w:val="28"/>
        </w:rPr>
        <w:t>3</w:t>
      </w:r>
      <w:r w:rsidRPr="00B118E9">
        <w:rPr>
          <w:rFonts w:eastAsia="標楷體"/>
          <w:sz w:val="28"/>
          <w:szCs w:val="28"/>
        </w:rPr>
        <w:t>月已連續</w:t>
      </w:r>
      <w:r w:rsidRPr="00B118E9">
        <w:rPr>
          <w:rFonts w:eastAsia="標楷體"/>
          <w:sz w:val="28"/>
          <w:szCs w:val="28"/>
        </w:rPr>
        <w:t>5</w:t>
      </w:r>
      <w:r w:rsidRPr="00B118E9">
        <w:rPr>
          <w:rFonts w:eastAsia="標楷體"/>
          <w:sz w:val="28"/>
          <w:szCs w:val="28"/>
        </w:rPr>
        <w:t>個月萎縮，</w:t>
      </w:r>
      <w:r w:rsidRPr="00B118E9">
        <w:rPr>
          <w:rFonts w:eastAsia="標楷體"/>
          <w:sz w:val="28"/>
          <w:szCs w:val="28"/>
        </w:rPr>
        <w:t>IMF</w:t>
      </w:r>
      <w:r w:rsidRPr="00B118E9">
        <w:rPr>
          <w:rFonts w:eastAsia="標楷體"/>
          <w:sz w:val="28"/>
          <w:szCs w:val="28"/>
        </w:rPr>
        <w:t>預測將於</w:t>
      </w:r>
      <w:r w:rsidRPr="00B118E9">
        <w:rPr>
          <w:rFonts w:eastAsia="標楷體"/>
          <w:sz w:val="28"/>
          <w:szCs w:val="28"/>
        </w:rPr>
        <w:t>2015</w:t>
      </w:r>
      <w:r w:rsidRPr="00B118E9">
        <w:rPr>
          <w:rFonts w:eastAsia="標楷體"/>
          <w:sz w:val="28"/>
          <w:szCs w:val="28"/>
        </w:rPr>
        <w:t>年年底前恢復成長。</w:t>
      </w:r>
    </w:p>
    <w:p w:rsidR="008A0333" w:rsidRPr="00B118E9" w:rsidRDefault="008A0333" w:rsidP="008A0333">
      <w:pPr>
        <w:numPr>
          <w:ilvl w:val="0"/>
          <w:numId w:val="10"/>
        </w:numPr>
        <w:snapToGrid w:val="0"/>
        <w:spacing w:beforeLines="50" w:before="180" w:line="300" w:lineRule="auto"/>
        <w:ind w:left="709" w:right="-227" w:hanging="567"/>
        <w:jc w:val="both"/>
        <w:rPr>
          <w:rFonts w:eastAsia="標楷體"/>
          <w:sz w:val="28"/>
          <w:szCs w:val="28"/>
        </w:rPr>
      </w:pPr>
      <w:r w:rsidRPr="00B118E9">
        <w:rPr>
          <w:rFonts w:eastAsia="標楷體"/>
          <w:sz w:val="28"/>
          <w:szCs w:val="28"/>
        </w:rPr>
        <w:t>新加坡</w:t>
      </w:r>
      <w:r w:rsidRPr="00B118E9">
        <w:rPr>
          <w:rFonts w:eastAsia="標楷體"/>
          <w:sz w:val="28"/>
          <w:szCs w:val="28"/>
        </w:rPr>
        <w:t>2015</w:t>
      </w:r>
      <w:r w:rsidRPr="00B118E9">
        <w:rPr>
          <w:rFonts w:eastAsia="標楷體"/>
          <w:sz w:val="28"/>
          <w:szCs w:val="28"/>
        </w:rPr>
        <w:t>年</w:t>
      </w:r>
      <w:r w:rsidRPr="00B118E9">
        <w:rPr>
          <w:rFonts w:eastAsia="標楷體"/>
          <w:sz w:val="28"/>
          <w:szCs w:val="28"/>
        </w:rPr>
        <w:t>4</w:t>
      </w:r>
      <w:r w:rsidRPr="00B118E9">
        <w:rPr>
          <w:rFonts w:eastAsia="標楷體"/>
          <w:sz w:val="28"/>
          <w:szCs w:val="28"/>
        </w:rPr>
        <w:t>月出口金額</w:t>
      </w:r>
      <w:r w:rsidRPr="00B118E9">
        <w:rPr>
          <w:rFonts w:eastAsia="標楷體"/>
          <w:sz w:val="28"/>
          <w:szCs w:val="28"/>
        </w:rPr>
        <w:t>418.9</w:t>
      </w:r>
      <w:r w:rsidRPr="00B118E9">
        <w:rPr>
          <w:rFonts w:eastAsia="標楷體"/>
          <w:sz w:val="28"/>
          <w:szCs w:val="28"/>
        </w:rPr>
        <w:t>億星元，較上年同月衰退</w:t>
      </w:r>
      <w:r w:rsidRPr="00B118E9">
        <w:rPr>
          <w:rFonts w:eastAsia="標楷體"/>
          <w:sz w:val="28"/>
          <w:szCs w:val="28"/>
        </w:rPr>
        <w:t>9.3%</w:t>
      </w:r>
      <w:r w:rsidRPr="00B118E9">
        <w:rPr>
          <w:rFonts w:eastAsia="標楷體"/>
          <w:sz w:val="28"/>
          <w:szCs w:val="28"/>
        </w:rPr>
        <w:t>，進口</w:t>
      </w:r>
      <w:r w:rsidRPr="00B118E9">
        <w:rPr>
          <w:rFonts w:eastAsia="標楷體"/>
          <w:sz w:val="28"/>
          <w:szCs w:val="28"/>
        </w:rPr>
        <w:t>359.8</w:t>
      </w:r>
      <w:r w:rsidRPr="00B118E9">
        <w:rPr>
          <w:rFonts w:eastAsia="標楷體"/>
          <w:sz w:val="28"/>
          <w:szCs w:val="28"/>
        </w:rPr>
        <w:t>億星元，</w:t>
      </w:r>
      <w:r w:rsidR="00F2495F">
        <w:rPr>
          <w:rFonts w:eastAsia="標楷體" w:hint="eastAsia"/>
          <w:sz w:val="28"/>
          <w:szCs w:val="28"/>
        </w:rPr>
        <w:t>大幅</w:t>
      </w:r>
      <w:r w:rsidRPr="00B118E9">
        <w:rPr>
          <w:rFonts w:eastAsia="標楷體"/>
          <w:sz w:val="28"/>
          <w:szCs w:val="28"/>
        </w:rPr>
        <w:t>衰退</w:t>
      </w:r>
      <w:r w:rsidRPr="00B118E9">
        <w:rPr>
          <w:rFonts w:eastAsia="標楷體"/>
          <w:sz w:val="28"/>
          <w:szCs w:val="28"/>
        </w:rPr>
        <w:t>14.2%</w:t>
      </w:r>
      <w:r w:rsidRPr="00B118E9">
        <w:rPr>
          <w:rFonts w:eastAsia="標楷體"/>
          <w:sz w:val="28"/>
          <w:szCs w:val="28"/>
        </w:rPr>
        <w:t>。其中國內非石油產品出口溫和成長</w:t>
      </w:r>
      <w:r w:rsidRPr="00B118E9">
        <w:rPr>
          <w:rFonts w:eastAsia="標楷體"/>
          <w:sz w:val="28"/>
          <w:szCs w:val="28"/>
        </w:rPr>
        <w:t>2.2%</w:t>
      </w:r>
      <w:r w:rsidRPr="00B118E9">
        <w:rPr>
          <w:rFonts w:eastAsia="標楷體"/>
          <w:sz w:val="28"/>
          <w:szCs w:val="28"/>
        </w:rPr>
        <w:t>，較上月減少</w:t>
      </w:r>
      <w:r w:rsidRPr="00B118E9">
        <w:rPr>
          <w:rFonts w:eastAsia="標楷體"/>
          <w:sz w:val="28"/>
          <w:szCs w:val="28"/>
        </w:rPr>
        <w:t>16.3</w:t>
      </w:r>
      <w:r w:rsidRPr="00B118E9">
        <w:rPr>
          <w:rFonts w:eastAsia="標楷體"/>
          <w:sz w:val="28"/>
          <w:szCs w:val="28"/>
        </w:rPr>
        <w:t>個百分點，主因係電子產品出口衰退</w:t>
      </w:r>
      <w:r w:rsidRPr="00B118E9">
        <w:rPr>
          <w:rFonts w:eastAsia="標楷體"/>
          <w:sz w:val="28"/>
          <w:szCs w:val="28"/>
        </w:rPr>
        <w:t>(-3.8%)</w:t>
      </w:r>
      <w:r w:rsidRPr="00B118E9">
        <w:rPr>
          <w:rFonts w:eastAsia="標楷體"/>
          <w:sz w:val="28"/>
          <w:szCs w:val="28"/>
        </w:rPr>
        <w:t>抵銷非電子產品出口成長</w:t>
      </w:r>
      <w:r w:rsidRPr="00B118E9">
        <w:rPr>
          <w:rFonts w:eastAsia="標楷體"/>
          <w:sz w:val="28"/>
          <w:szCs w:val="28"/>
        </w:rPr>
        <w:t>(4.7%)</w:t>
      </w:r>
      <w:r w:rsidRPr="00B118E9">
        <w:rPr>
          <w:rFonts w:eastAsia="標楷體"/>
          <w:sz w:val="28"/>
          <w:szCs w:val="28"/>
        </w:rPr>
        <w:t>；非石油產品十大出口國中除韓國</w:t>
      </w:r>
      <w:r w:rsidRPr="00B118E9">
        <w:rPr>
          <w:rFonts w:eastAsia="標楷體"/>
          <w:sz w:val="28"/>
          <w:szCs w:val="28"/>
        </w:rPr>
        <w:t>(30.6%)</w:t>
      </w:r>
      <w:r w:rsidRPr="00B118E9">
        <w:rPr>
          <w:rFonts w:eastAsia="標楷體"/>
          <w:sz w:val="28"/>
          <w:szCs w:val="28"/>
        </w:rPr>
        <w:t>及歐盟</w:t>
      </w:r>
      <w:r w:rsidRPr="00B118E9">
        <w:rPr>
          <w:rFonts w:eastAsia="標楷體"/>
          <w:sz w:val="28"/>
          <w:szCs w:val="28"/>
        </w:rPr>
        <w:t>(11.4%)</w:t>
      </w:r>
      <w:r w:rsidRPr="00B118E9">
        <w:rPr>
          <w:rFonts w:eastAsia="標楷體"/>
          <w:sz w:val="28"/>
          <w:szCs w:val="28"/>
        </w:rPr>
        <w:t>成長外，其餘各國皆衰退，尤以臺灣</w:t>
      </w:r>
      <w:r w:rsidRPr="00B118E9">
        <w:rPr>
          <w:rFonts w:eastAsia="標楷體"/>
          <w:sz w:val="28"/>
          <w:szCs w:val="28"/>
        </w:rPr>
        <w:t>(-15%)</w:t>
      </w:r>
      <w:r w:rsidRPr="00B118E9">
        <w:rPr>
          <w:rFonts w:eastAsia="標楷體"/>
          <w:sz w:val="28"/>
          <w:szCs w:val="28"/>
        </w:rPr>
        <w:t>衰退最為明顯。另</w:t>
      </w:r>
      <w:r w:rsidRPr="00B118E9">
        <w:rPr>
          <w:rFonts w:eastAsia="標楷體"/>
          <w:sz w:val="28"/>
          <w:szCs w:val="28"/>
        </w:rPr>
        <w:t>4</w:t>
      </w:r>
      <w:r w:rsidRPr="00B118E9">
        <w:rPr>
          <w:rFonts w:eastAsia="標楷體"/>
          <w:sz w:val="28"/>
          <w:szCs w:val="28"/>
        </w:rPr>
        <w:t>月份國內石油產品出口衰退</w:t>
      </w:r>
      <w:r w:rsidRPr="00B118E9">
        <w:rPr>
          <w:rFonts w:eastAsia="標楷體"/>
          <w:sz w:val="28"/>
          <w:szCs w:val="28"/>
        </w:rPr>
        <w:t>34.9%</w:t>
      </w:r>
      <w:r w:rsidRPr="00B118E9">
        <w:rPr>
          <w:rFonts w:eastAsia="標楷體"/>
          <w:sz w:val="28"/>
          <w:szCs w:val="28"/>
        </w:rPr>
        <w:t>，主要源自對馬來西亞</w:t>
      </w:r>
      <w:r w:rsidRPr="00B118E9">
        <w:rPr>
          <w:rFonts w:eastAsia="標楷體"/>
          <w:sz w:val="28"/>
          <w:szCs w:val="28"/>
        </w:rPr>
        <w:t>(-59.4%)</w:t>
      </w:r>
      <w:r w:rsidRPr="00B118E9">
        <w:rPr>
          <w:rFonts w:eastAsia="標楷體"/>
          <w:sz w:val="28"/>
          <w:szCs w:val="28"/>
        </w:rPr>
        <w:t>、澳洲</w:t>
      </w:r>
      <w:r w:rsidRPr="00B118E9">
        <w:rPr>
          <w:rFonts w:eastAsia="標楷體"/>
          <w:sz w:val="28"/>
          <w:szCs w:val="28"/>
        </w:rPr>
        <w:t>(-51.3%)</w:t>
      </w:r>
      <w:r w:rsidRPr="00B118E9">
        <w:rPr>
          <w:rFonts w:eastAsia="標楷體"/>
          <w:sz w:val="28"/>
          <w:szCs w:val="28"/>
        </w:rPr>
        <w:t>及印尼</w:t>
      </w:r>
      <w:r w:rsidRPr="00B118E9">
        <w:rPr>
          <w:rFonts w:eastAsia="標楷體"/>
          <w:sz w:val="28"/>
          <w:szCs w:val="28"/>
        </w:rPr>
        <w:t>(-22%)</w:t>
      </w:r>
      <w:r w:rsidRPr="00B118E9">
        <w:rPr>
          <w:rFonts w:eastAsia="標楷體"/>
          <w:sz w:val="28"/>
          <w:szCs w:val="28"/>
        </w:rPr>
        <w:t>的銷售下跌。</w:t>
      </w:r>
    </w:p>
    <w:p w:rsidR="008A0333" w:rsidRPr="00B118E9" w:rsidRDefault="008A0333" w:rsidP="008A0333">
      <w:pPr>
        <w:numPr>
          <w:ilvl w:val="0"/>
          <w:numId w:val="10"/>
        </w:numPr>
        <w:snapToGrid w:val="0"/>
        <w:spacing w:beforeLines="50" w:before="180" w:line="300" w:lineRule="auto"/>
        <w:ind w:left="709" w:right="-227" w:hanging="567"/>
        <w:jc w:val="both"/>
        <w:rPr>
          <w:rFonts w:eastAsia="標楷體"/>
          <w:sz w:val="28"/>
          <w:szCs w:val="28"/>
        </w:rPr>
      </w:pPr>
      <w:r w:rsidRPr="00B118E9">
        <w:rPr>
          <w:rFonts w:eastAsia="標楷體"/>
          <w:sz w:val="28"/>
          <w:szCs w:val="28"/>
        </w:rPr>
        <w:t>新加坡</w:t>
      </w:r>
      <w:r w:rsidRPr="00B118E9">
        <w:rPr>
          <w:rFonts w:eastAsia="標楷體"/>
          <w:sz w:val="28"/>
          <w:szCs w:val="28"/>
        </w:rPr>
        <w:t>2015</w:t>
      </w:r>
      <w:r w:rsidRPr="00B118E9">
        <w:rPr>
          <w:rFonts w:eastAsia="標楷體"/>
          <w:sz w:val="28"/>
          <w:szCs w:val="28"/>
        </w:rPr>
        <w:t>年</w:t>
      </w:r>
      <w:r w:rsidRPr="00B118E9">
        <w:rPr>
          <w:rFonts w:eastAsia="標楷體"/>
          <w:sz w:val="28"/>
          <w:szCs w:val="28"/>
        </w:rPr>
        <w:t>3</w:t>
      </w:r>
      <w:r w:rsidRPr="00B118E9">
        <w:rPr>
          <w:rFonts w:eastAsia="標楷體"/>
          <w:sz w:val="28"/>
          <w:szCs w:val="28"/>
        </w:rPr>
        <w:t>月工業指數下跌</w:t>
      </w:r>
      <w:r w:rsidRPr="00B118E9">
        <w:rPr>
          <w:rFonts w:eastAsia="標楷體"/>
          <w:sz w:val="28"/>
          <w:szCs w:val="28"/>
        </w:rPr>
        <w:t>5.5%</w:t>
      </w:r>
      <w:r w:rsidRPr="00B118E9">
        <w:rPr>
          <w:rFonts w:eastAsia="標楷體"/>
          <w:sz w:val="28"/>
          <w:szCs w:val="28"/>
        </w:rPr>
        <w:t>，其中除化學業</w:t>
      </w:r>
      <w:r w:rsidRPr="00B118E9">
        <w:rPr>
          <w:rFonts w:eastAsia="標楷體"/>
          <w:sz w:val="28"/>
          <w:szCs w:val="28"/>
        </w:rPr>
        <w:t>(7.8%)</w:t>
      </w:r>
      <w:r w:rsidRPr="00B118E9">
        <w:rPr>
          <w:rFonts w:eastAsia="標楷體"/>
          <w:sz w:val="28"/>
          <w:szCs w:val="28"/>
        </w:rPr>
        <w:t>及精密工業</w:t>
      </w:r>
      <w:r w:rsidRPr="00B118E9">
        <w:rPr>
          <w:rFonts w:eastAsia="標楷體"/>
          <w:sz w:val="28"/>
          <w:szCs w:val="28"/>
        </w:rPr>
        <w:t>(1.0%)</w:t>
      </w:r>
      <w:r w:rsidRPr="00B118E9">
        <w:rPr>
          <w:rFonts w:eastAsia="標楷體"/>
          <w:sz w:val="28"/>
          <w:szCs w:val="28"/>
        </w:rPr>
        <w:t>成長外，其餘一般製造業</w:t>
      </w:r>
      <w:r w:rsidRPr="00B118E9">
        <w:rPr>
          <w:rFonts w:eastAsia="標楷體"/>
          <w:sz w:val="28"/>
          <w:szCs w:val="28"/>
        </w:rPr>
        <w:t>(-0.8%)</w:t>
      </w:r>
      <w:r w:rsidRPr="00B118E9">
        <w:rPr>
          <w:rFonts w:eastAsia="標楷體"/>
          <w:sz w:val="28"/>
          <w:szCs w:val="28"/>
        </w:rPr>
        <w:t>、電子業</w:t>
      </w:r>
      <w:r w:rsidRPr="00B118E9">
        <w:rPr>
          <w:rFonts w:eastAsia="標楷體"/>
          <w:sz w:val="28"/>
          <w:szCs w:val="28"/>
        </w:rPr>
        <w:t>(-5.2%)</w:t>
      </w:r>
      <w:r w:rsidRPr="00B118E9">
        <w:rPr>
          <w:rFonts w:eastAsia="標楷體"/>
          <w:sz w:val="28"/>
          <w:szCs w:val="28"/>
        </w:rPr>
        <w:t>、生物醫藥</w:t>
      </w:r>
      <w:r w:rsidRPr="00B118E9">
        <w:rPr>
          <w:rFonts w:eastAsia="標楷體"/>
          <w:sz w:val="28"/>
          <w:szCs w:val="28"/>
        </w:rPr>
        <w:t>(-8.5%)</w:t>
      </w:r>
      <w:r w:rsidRPr="00B118E9">
        <w:rPr>
          <w:rFonts w:eastAsia="標楷體"/>
          <w:sz w:val="28"/>
          <w:szCs w:val="28"/>
        </w:rPr>
        <w:t>及運輸工業</w:t>
      </w:r>
      <w:r w:rsidRPr="00B118E9">
        <w:rPr>
          <w:rFonts w:eastAsia="標楷體"/>
          <w:sz w:val="28"/>
          <w:szCs w:val="28"/>
        </w:rPr>
        <w:t>(-15.6%)</w:t>
      </w:r>
      <w:r w:rsidRPr="00B118E9">
        <w:rPr>
          <w:rFonts w:eastAsia="標楷體"/>
          <w:sz w:val="28"/>
          <w:szCs w:val="28"/>
        </w:rPr>
        <w:t>皆衰退。依據新加坡採購與材料管理學院</w:t>
      </w:r>
      <w:r w:rsidRPr="00B118E9">
        <w:rPr>
          <w:rFonts w:eastAsia="標楷體"/>
          <w:sz w:val="28"/>
          <w:szCs w:val="28"/>
        </w:rPr>
        <w:t>(SIPMM)</w:t>
      </w:r>
      <w:r w:rsidRPr="00B118E9">
        <w:rPr>
          <w:rFonts w:eastAsia="標楷體"/>
          <w:sz w:val="28"/>
          <w:szCs w:val="28"/>
        </w:rPr>
        <w:t>資料顯示，新加坡</w:t>
      </w:r>
      <w:r w:rsidRPr="00B118E9">
        <w:rPr>
          <w:rFonts w:eastAsia="標楷體"/>
          <w:sz w:val="28"/>
          <w:szCs w:val="28"/>
        </w:rPr>
        <w:t>PMI</w:t>
      </w:r>
      <w:r w:rsidRPr="00B118E9">
        <w:rPr>
          <w:rFonts w:eastAsia="標楷體"/>
          <w:sz w:val="28"/>
          <w:szCs w:val="28"/>
        </w:rPr>
        <w:t>截至</w:t>
      </w:r>
      <w:r w:rsidRPr="00B118E9">
        <w:rPr>
          <w:rFonts w:eastAsia="標楷體"/>
          <w:sz w:val="28"/>
          <w:szCs w:val="28"/>
        </w:rPr>
        <w:t>2015</w:t>
      </w:r>
      <w:r w:rsidRPr="00B118E9">
        <w:rPr>
          <w:rFonts w:eastAsia="標楷體"/>
          <w:sz w:val="28"/>
          <w:szCs w:val="28"/>
        </w:rPr>
        <w:t>年</w:t>
      </w:r>
      <w:r w:rsidRPr="00B118E9">
        <w:rPr>
          <w:rFonts w:eastAsia="標楷體"/>
          <w:sz w:val="28"/>
          <w:szCs w:val="28"/>
        </w:rPr>
        <w:t>4</w:t>
      </w:r>
      <w:r w:rsidRPr="00B118E9">
        <w:rPr>
          <w:rFonts w:eastAsia="標楷體"/>
          <w:sz w:val="28"/>
          <w:szCs w:val="28"/>
        </w:rPr>
        <w:t>月已連續</w:t>
      </w:r>
      <w:r w:rsidRPr="00B118E9">
        <w:rPr>
          <w:rFonts w:eastAsia="標楷體"/>
          <w:sz w:val="28"/>
          <w:szCs w:val="28"/>
        </w:rPr>
        <w:t>5</w:t>
      </w:r>
      <w:r w:rsidRPr="00B118E9">
        <w:rPr>
          <w:rFonts w:eastAsia="標楷體"/>
          <w:sz w:val="28"/>
          <w:szCs w:val="28"/>
        </w:rPr>
        <w:t>個月萎縮，</w:t>
      </w:r>
      <w:r w:rsidRPr="00B118E9">
        <w:rPr>
          <w:rFonts w:eastAsia="標楷體"/>
          <w:sz w:val="28"/>
          <w:szCs w:val="28"/>
        </w:rPr>
        <w:t>4</w:t>
      </w:r>
      <w:r w:rsidRPr="00B118E9">
        <w:rPr>
          <w:rFonts w:eastAsia="標楷體"/>
          <w:sz w:val="28"/>
          <w:szCs w:val="28"/>
        </w:rPr>
        <w:t>月份</w:t>
      </w:r>
      <w:r w:rsidRPr="00B118E9">
        <w:rPr>
          <w:rFonts w:eastAsia="標楷體"/>
          <w:sz w:val="28"/>
          <w:szCs w:val="28"/>
        </w:rPr>
        <w:t>PMI 49.4</w:t>
      </w:r>
      <w:r w:rsidRPr="00B118E9">
        <w:rPr>
          <w:rFonts w:eastAsia="標楷體"/>
          <w:sz w:val="28"/>
          <w:szCs w:val="28"/>
        </w:rPr>
        <w:t>，較</w:t>
      </w:r>
      <w:r w:rsidRPr="00B118E9">
        <w:rPr>
          <w:rFonts w:eastAsia="標楷體"/>
          <w:sz w:val="28"/>
          <w:szCs w:val="28"/>
        </w:rPr>
        <w:t>3</w:t>
      </w:r>
      <w:r w:rsidRPr="00B118E9">
        <w:rPr>
          <w:rFonts w:eastAsia="標楷體"/>
          <w:sz w:val="28"/>
          <w:szCs w:val="28"/>
        </w:rPr>
        <w:t>月下跌</w:t>
      </w:r>
      <w:r w:rsidRPr="00B118E9">
        <w:rPr>
          <w:rFonts w:eastAsia="標楷體"/>
          <w:sz w:val="28"/>
          <w:szCs w:val="28"/>
        </w:rPr>
        <w:t>0.2</w:t>
      </w:r>
      <w:r w:rsidRPr="00B118E9">
        <w:rPr>
          <w:rFonts w:eastAsia="標楷體"/>
          <w:sz w:val="28"/>
          <w:szCs w:val="28"/>
        </w:rPr>
        <w:t>點，主因係訂單數持續下跌，顯示新加坡整體製造業依然疲弱。</w:t>
      </w:r>
    </w:p>
    <w:p w:rsidR="005E4927" w:rsidRPr="00B118E9" w:rsidRDefault="008A0333" w:rsidP="008A0333">
      <w:pPr>
        <w:numPr>
          <w:ilvl w:val="0"/>
          <w:numId w:val="10"/>
        </w:numPr>
        <w:snapToGrid w:val="0"/>
        <w:spacing w:beforeLines="50" w:before="180" w:line="300" w:lineRule="auto"/>
        <w:ind w:left="709" w:right="-227" w:hanging="567"/>
        <w:jc w:val="both"/>
        <w:rPr>
          <w:rFonts w:eastAsia="標楷體"/>
          <w:sz w:val="28"/>
          <w:szCs w:val="28"/>
        </w:rPr>
      </w:pPr>
      <w:r w:rsidRPr="00B118E9">
        <w:rPr>
          <w:rFonts w:eastAsia="標楷體"/>
          <w:sz w:val="28"/>
          <w:szCs w:val="28"/>
        </w:rPr>
        <w:t>新加坡與中國大陸於</w:t>
      </w:r>
      <w:r w:rsidRPr="00B118E9">
        <w:rPr>
          <w:rFonts w:eastAsia="標楷體"/>
          <w:sz w:val="28"/>
          <w:szCs w:val="28"/>
        </w:rPr>
        <w:t>2015</w:t>
      </w:r>
      <w:r w:rsidRPr="00B118E9">
        <w:rPr>
          <w:rFonts w:eastAsia="標楷體"/>
          <w:sz w:val="28"/>
          <w:szCs w:val="28"/>
        </w:rPr>
        <w:t>年</w:t>
      </w:r>
      <w:r w:rsidRPr="00B118E9">
        <w:rPr>
          <w:rFonts w:eastAsia="標楷體"/>
          <w:sz w:val="28"/>
          <w:szCs w:val="28"/>
        </w:rPr>
        <w:t>5</w:t>
      </w:r>
      <w:r w:rsidRPr="00B118E9">
        <w:rPr>
          <w:rFonts w:eastAsia="標楷體"/>
          <w:sz w:val="28"/>
          <w:szCs w:val="28"/>
        </w:rPr>
        <w:t>月</w:t>
      </w:r>
      <w:r w:rsidRPr="00B118E9">
        <w:rPr>
          <w:rFonts w:eastAsia="標楷體"/>
          <w:sz w:val="28"/>
          <w:szCs w:val="28"/>
        </w:rPr>
        <w:t>18</w:t>
      </w:r>
      <w:r w:rsidRPr="00B118E9">
        <w:rPr>
          <w:rFonts w:eastAsia="標楷體"/>
          <w:sz w:val="28"/>
          <w:szCs w:val="28"/>
        </w:rPr>
        <w:t>日共同簽署促進商標註冊合作備忘錄，新加坡智財局表示，目前新加坡主導東協智慧財產權合作工作小組，該備忘錄除將加強星中兩國商標與品牌交流，更可協助中國大陸企業在新加坡甚至東協區拓展業務，亦可使得新加坡當地或跨國企業的商標與品牌更易打入中國大陸市場。</w:t>
      </w:r>
      <w:r w:rsidR="005E4927" w:rsidRPr="00B118E9">
        <w:rPr>
          <w:rFonts w:eastAsia="標楷體"/>
          <w:b/>
          <w:color w:val="FF0000"/>
        </w:rPr>
        <w:br w:type="page"/>
      </w:r>
    </w:p>
    <w:p w:rsidR="00B77830" w:rsidRPr="00B118E9" w:rsidRDefault="00B77830" w:rsidP="00B77830">
      <w:pPr>
        <w:pStyle w:val="t-5"/>
        <w:ind w:leftChars="0" w:left="0" w:firstLineChars="0" w:firstLine="0"/>
        <w:jc w:val="center"/>
        <w:rPr>
          <w:b/>
          <w:color w:val="auto"/>
          <w:sz w:val="22"/>
        </w:rPr>
      </w:pPr>
      <w:r w:rsidRPr="00B118E9">
        <w:rPr>
          <w:b/>
          <w:color w:val="auto"/>
        </w:rPr>
        <w:t>表</w:t>
      </w:r>
      <w:r w:rsidRPr="00B118E9">
        <w:rPr>
          <w:b/>
          <w:color w:val="auto"/>
        </w:rPr>
        <w:t xml:space="preserve">1-3-3   </w:t>
      </w:r>
      <w:r w:rsidRPr="00B118E9">
        <w:rPr>
          <w:b/>
          <w:color w:val="auto"/>
        </w:rPr>
        <w:t>新加坡重要經濟指標</w:t>
      </w:r>
    </w:p>
    <w:p w:rsidR="00B77830" w:rsidRPr="00B118E9" w:rsidRDefault="00B77830" w:rsidP="00B77830">
      <w:pPr>
        <w:wordWrap w:val="0"/>
        <w:snapToGrid w:val="0"/>
        <w:ind w:rightChars="13" w:right="31"/>
        <w:jc w:val="right"/>
        <w:rPr>
          <w:rFonts w:eastAsia="標楷體"/>
          <w:sz w:val="22"/>
        </w:rPr>
      </w:pPr>
      <w:r w:rsidRPr="00B118E9">
        <w:rPr>
          <w:rFonts w:eastAsia="標楷體"/>
          <w:sz w:val="22"/>
        </w:rPr>
        <w:t xml:space="preserve">            </w:t>
      </w:r>
      <w:r w:rsidRPr="00B118E9">
        <w:rPr>
          <w:rFonts w:eastAsia="標楷體"/>
          <w:sz w:val="22"/>
        </w:rPr>
        <w:t>單位：億星元；</w:t>
      </w:r>
      <w:r w:rsidR="00B118E9" w:rsidRPr="00B118E9">
        <w:rPr>
          <w:rFonts w:eastAsia="標楷體"/>
          <w:sz w:val="22"/>
        </w:rPr>
        <w:t>%</w:t>
      </w:r>
    </w:p>
    <w:tbl>
      <w:tblPr>
        <w:tblW w:w="8304" w:type="dxa"/>
        <w:jc w:val="center"/>
        <w:shd w:val="clear" w:color="auto" w:fill="FFFF99"/>
        <w:tblLayout w:type="fixed"/>
        <w:tblCellMar>
          <w:left w:w="28" w:type="dxa"/>
          <w:right w:w="28" w:type="dxa"/>
        </w:tblCellMar>
        <w:tblLook w:val="04A0" w:firstRow="1" w:lastRow="0" w:firstColumn="1" w:lastColumn="0" w:noHBand="0" w:noVBand="1"/>
      </w:tblPr>
      <w:tblGrid>
        <w:gridCol w:w="895"/>
        <w:gridCol w:w="931"/>
        <w:gridCol w:w="671"/>
        <w:gridCol w:w="853"/>
        <w:gridCol w:w="810"/>
        <w:gridCol w:w="750"/>
        <w:gridCol w:w="7"/>
        <w:gridCol w:w="784"/>
        <w:gridCol w:w="896"/>
        <w:gridCol w:w="854"/>
        <w:gridCol w:w="853"/>
      </w:tblGrid>
      <w:tr w:rsidR="00B118E9" w:rsidRPr="00B118E9" w:rsidTr="00BD6B4B">
        <w:trPr>
          <w:cantSplit/>
          <w:tblHeader/>
          <w:jc w:val="center"/>
        </w:trPr>
        <w:tc>
          <w:tcPr>
            <w:tcW w:w="895" w:type="dxa"/>
            <w:vMerge w:val="restart"/>
            <w:tcBorders>
              <w:top w:val="single" w:sz="6" w:space="0" w:color="auto"/>
              <w:left w:val="nil"/>
              <w:bottom w:val="single" w:sz="4" w:space="0" w:color="auto"/>
              <w:right w:val="single" w:sz="6" w:space="0" w:color="auto"/>
            </w:tcBorders>
            <w:shd w:val="clear" w:color="auto" w:fill="auto"/>
            <w:vAlign w:val="center"/>
            <w:hideMark/>
          </w:tcPr>
          <w:p w:rsidR="00B118E9" w:rsidRPr="00B118E9" w:rsidRDefault="00B118E9" w:rsidP="00BD6B4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380" w:lineRule="exact"/>
              <w:ind w:right="-6"/>
              <w:jc w:val="center"/>
              <w:rPr>
                <w:rFonts w:eastAsia="標楷體"/>
                <w:sz w:val="22"/>
              </w:rPr>
            </w:pPr>
            <w:r w:rsidRPr="00B118E9">
              <w:rPr>
                <w:rFonts w:eastAsia="標楷體"/>
                <w:sz w:val="22"/>
              </w:rPr>
              <w:t>年</w:t>
            </w:r>
          </w:p>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w:t>
            </w:r>
            <w:r w:rsidRPr="00B118E9">
              <w:rPr>
                <w:rFonts w:eastAsia="標楷體"/>
                <w:sz w:val="22"/>
              </w:rPr>
              <w:t>月</w:t>
            </w:r>
            <w:r w:rsidRPr="00B118E9">
              <w:rPr>
                <w:rFonts w:eastAsia="標楷體"/>
                <w:sz w:val="22"/>
              </w:rPr>
              <w:t>)</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實質</w:t>
            </w:r>
          </w:p>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GDP</w:t>
            </w:r>
          </w:p>
        </w:tc>
        <w:tc>
          <w:tcPr>
            <w:tcW w:w="67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工業</w:t>
            </w:r>
          </w:p>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生產</w:t>
            </w:r>
          </w:p>
        </w:tc>
        <w:tc>
          <w:tcPr>
            <w:tcW w:w="4100"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貿</w:t>
            </w:r>
            <w:r w:rsidRPr="00B118E9">
              <w:rPr>
                <w:rFonts w:eastAsia="標楷體"/>
                <w:sz w:val="22"/>
              </w:rPr>
              <w:t xml:space="preserve">   </w:t>
            </w:r>
            <w:r w:rsidRPr="00B118E9">
              <w:rPr>
                <w:rFonts w:eastAsia="標楷體"/>
                <w:sz w:val="22"/>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消費者</w:t>
            </w:r>
          </w:p>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物價</w:t>
            </w:r>
          </w:p>
        </w:tc>
        <w:tc>
          <w:tcPr>
            <w:tcW w:w="853" w:type="dxa"/>
            <w:vMerge w:val="restart"/>
            <w:tcBorders>
              <w:top w:val="single" w:sz="6" w:space="0" w:color="auto"/>
              <w:left w:val="single" w:sz="6" w:space="0" w:color="auto"/>
              <w:bottom w:val="single" w:sz="6" w:space="0" w:color="auto"/>
              <w:right w:val="nil"/>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失業率</w:t>
            </w:r>
          </w:p>
        </w:tc>
      </w:tr>
      <w:tr w:rsidR="00B118E9" w:rsidRPr="00B118E9" w:rsidTr="00BD6B4B">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1663" w:type="dxa"/>
            <w:gridSpan w:val="2"/>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出口</w:t>
            </w:r>
          </w:p>
        </w:tc>
        <w:tc>
          <w:tcPr>
            <w:tcW w:w="1541" w:type="dxa"/>
            <w:gridSpan w:val="3"/>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118E9">
            <w:pPr>
              <w:autoSpaceDE w:val="0"/>
              <w:autoSpaceDN w:val="0"/>
              <w:adjustRightInd w:val="0"/>
              <w:snapToGrid w:val="0"/>
              <w:spacing w:beforeLines="30" w:before="108" w:line="380" w:lineRule="exact"/>
              <w:jc w:val="center"/>
              <w:rPr>
                <w:rFonts w:eastAsia="標楷體"/>
                <w:sz w:val="22"/>
              </w:rPr>
            </w:pPr>
            <w:r w:rsidRPr="00B118E9">
              <w:rPr>
                <w:rFonts w:eastAsia="標楷體"/>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B118E9" w:rsidRPr="00B118E9" w:rsidRDefault="00B118E9" w:rsidP="00BD6B4B">
            <w:pPr>
              <w:widowControl/>
              <w:spacing w:line="380" w:lineRule="exact"/>
              <w:rPr>
                <w:rFonts w:eastAsia="標楷體"/>
                <w:sz w:val="22"/>
              </w:rPr>
            </w:pPr>
          </w:p>
        </w:tc>
      </w:tr>
      <w:tr w:rsidR="00B118E9" w:rsidRPr="00B118E9" w:rsidTr="00BD6B4B">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年增率</w:t>
            </w:r>
          </w:p>
        </w:tc>
        <w:tc>
          <w:tcPr>
            <w:tcW w:w="757" w:type="dxa"/>
            <w:gridSpan w:val="2"/>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年增率</w:t>
            </w:r>
          </w:p>
        </w:tc>
        <w:tc>
          <w:tcPr>
            <w:tcW w:w="896"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B118E9" w:rsidRPr="00B118E9" w:rsidRDefault="00B118E9" w:rsidP="00BD6B4B">
            <w:pPr>
              <w:widowControl/>
              <w:spacing w:line="380" w:lineRule="exact"/>
              <w:rPr>
                <w:rFonts w:eastAsia="標楷體"/>
                <w:sz w:val="22"/>
              </w:rPr>
            </w:pPr>
          </w:p>
        </w:tc>
      </w:tr>
      <w:tr w:rsidR="00B118E9" w:rsidRPr="00B118E9" w:rsidTr="00BD6B4B">
        <w:trPr>
          <w:cantSplit/>
          <w:jc w:val="center"/>
        </w:trPr>
        <w:tc>
          <w:tcPr>
            <w:tcW w:w="895" w:type="dxa"/>
            <w:tcBorders>
              <w:top w:val="nil"/>
              <w:left w:val="nil"/>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2010</w:t>
            </w:r>
            <w:r w:rsidRPr="00B118E9">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14.5</w:t>
            </w:r>
          </w:p>
        </w:tc>
        <w:tc>
          <w:tcPr>
            <w:tcW w:w="671" w:type="dxa"/>
            <w:tcBorders>
              <w:top w:val="nil"/>
              <w:left w:val="single" w:sz="6" w:space="0" w:color="auto"/>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29.7</w:t>
            </w:r>
          </w:p>
        </w:tc>
        <w:tc>
          <w:tcPr>
            <w:tcW w:w="853" w:type="dxa"/>
            <w:tcBorders>
              <w:top w:val="nil"/>
              <w:left w:val="single" w:sz="6" w:space="0" w:color="auto"/>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4,788.4</w:t>
            </w:r>
          </w:p>
        </w:tc>
        <w:tc>
          <w:tcPr>
            <w:tcW w:w="810" w:type="dxa"/>
            <w:tcBorders>
              <w:top w:val="nil"/>
              <w:left w:val="single" w:sz="6" w:space="0" w:color="auto"/>
              <w:bottom w:val="nil"/>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22.4</w:t>
            </w:r>
          </w:p>
        </w:tc>
        <w:tc>
          <w:tcPr>
            <w:tcW w:w="750" w:type="dxa"/>
            <w:tcBorders>
              <w:top w:val="nil"/>
              <w:left w:val="single" w:sz="6" w:space="0" w:color="auto"/>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4,232.2</w:t>
            </w:r>
          </w:p>
        </w:tc>
        <w:tc>
          <w:tcPr>
            <w:tcW w:w="791" w:type="dxa"/>
            <w:gridSpan w:val="2"/>
            <w:tcBorders>
              <w:top w:val="nil"/>
              <w:left w:val="single" w:sz="6" w:space="0" w:color="auto"/>
              <w:bottom w:val="nil"/>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18.8</w:t>
            </w:r>
          </w:p>
        </w:tc>
        <w:tc>
          <w:tcPr>
            <w:tcW w:w="896" w:type="dxa"/>
            <w:tcBorders>
              <w:top w:val="nil"/>
              <w:left w:val="single" w:sz="6" w:space="0" w:color="auto"/>
              <w:bottom w:val="nil"/>
              <w:right w:val="single" w:sz="6" w:space="0" w:color="auto"/>
            </w:tcBorders>
            <w:shd w:val="clear" w:color="auto" w:fill="auto"/>
            <w:vAlign w:val="bottom"/>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556.2</w:t>
            </w:r>
          </w:p>
        </w:tc>
        <w:tc>
          <w:tcPr>
            <w:tcW w:w="854" w:type="dxa"/>
            <w:tcBorders>
              <w:top w:val="nil"/>
              <w:left w:val="single" w:sz="6" w:space="0" w:color="auto"/>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2.8</w:t>
            </w:r>
          </w:p>
        </w:tc>
        <w:tc>
          <w:tcPr>
            <w:tcW w:w="853" w:type="dxa"/>
            <w:tcBorders>
              <w:top w:val="nil"/>
              <w:left w:val="single" w:sz="6" w:space="0" w:color="auto"/>
              <w:bottom w:val="nil"/>
              <w:right w:val="nil"/>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2.2</w:t>
            </w:r>
          </w:p>
        </w:tc>
      </w:tr>
      <w:tr w:rsidR="00B118E9" w:rsidRPr="00B118E9" w:rsidTr="00BD6B4B">
        <w:trPr>
          <w:cantSplit/>
          <w:jc w:val="center"/>
        </w:trPr>
        <w:tc>
          <w:tcPr>
            <w:tcW w:w="895" w:type="dxa"/>
            <w:tcBorders>
              <w:top w:val="nil"/>
              <w:left w:val="nil"/>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2011</w:t>
            </w:r>
            <w:r w:rsidRPr="00B118E9">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4.9</w:t>
            </w:r>
          </w:p>
        </w:tc>
        <w:tc>
          <w:tcPr>
            <w:tcW w:w="671" w:type="dxa"/>
            <w:tcBorders>
              <w:top w:val="nil"/>
              <w:left w:val="single" w:sz="6" w:space="0" w:color="auto"/>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7.6</w:t>
            </w:r>
          </w:p>
        </w:tc>
        <w:tc>
          <w:tcPr>
            <w:tcW w:w="853" w:type="dxa"/>
            <w:tcBorders>
              <w:top w:val="nil"/>
              <w:left w:val="single" w:sz="6" w:space="0" w:color="auto"/>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5,147.4</w:t>
            </w:r>
          </w:p>
        </w:tc>
        <w:tc>
          <w:tcPr>
            <w:tcW w:w="810" w:type="dxa"/>
            <w:tcBorders>
              <w:top w:val="nil"/>
              <w:left w:val="single" w:sz="6" w:space="0" w:color="auto"/>
              <w:bottom w:val="nil"/>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7.5</w:t>
            </w:r>
          </w:p>
        </w:tc>
        <w:tc>
          <w:tcPr>
            <w:tcW w:w="750" w:type="dxa"/>
            <w:tcBorders>
              <w:top w:val="nil"/>
              <w:left w:val="single" w:sz="6" w:space="0" w:color="auto"/>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4,596.6</w:t>
            </w:r>
          </w:p>
        </w:tc>
        <w:tc>
          <w:tcPr>
            <w:tcW w:w="791" w:type="dxa"/>
            <w:gridSpan w:val="2"/>
            <w:tcBorders>
              <w:top w:val="nil"/>
              <w:left w:val="single" w:sz="6" w:space="0" w:color="auto"/>
              <w:bottom w:val="nil"/>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8.6</w:t>
            </w:r>
          </w:p>
        </w:tc>
        <w:tc>
          <w:tcPr>
            <w:tcW w:w="896" w:type="dxa"/>
            <w:tcBorders>
              <w:top w:val="nil"/>
              <w:left w:val="single" w:sz="6" w:space="0" w:color="auto"/>
              <w:bottom w:val="nil"/>
              <w:right w:val="single" w:sz="6" w:space="0" w:color="auto"/>
            </w:tcBorders>
            <w:shd w:val="clear" w:color="auto" w:fill="auto"/>
            <w:vAlign w:val="bottom"/>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550.8</w:t>
            </w:r>
          </w:p>
        </w:tc>
        <w:tc>
          <w:tcPr>
            <w:tcW w:w="854" w:type="dxa"/>
            <w:tcBorders>
              <w:top w:val="nil"/>
              <w:left w:val="single" w:sz="6" w:space="0" w:color="auto"/>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5.2</w:t>
            </w:r>
          </w:p>
        </w:tc>
        <w:tc>
          <w:tcPr>
            <w:tcW w:w="853" w:type="dxa"/>
            <w:tcBorders>
              <w:top w:val="nil"/>
              <w:left w:val="single" w:sz="6" w:space="0" w:color="auto"/>
              <w:bottom w:val="nil"/>
              <w:right w:val="nil"/>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2.0</w:t>
            </w:r>
          </w:p>
        </w:tc>
      </w:tr>
      <w:tr w:rsidR="00B118E9" w:rsidRPr="00B118E9" w:rsidTr="00BD6B4B">
        <w:trPr>
          <w:cantSplit/>
          <w:jc w:val="center"/>
        </w:trPr>
        <w:tc>
          <w:tcPr>
            <w:tcW w:w="895" w:type="dxa"/>
            <w:tcBorders>
              <w:top w:val="nil"/>
              <w:left w:val="nil"/>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2012</w:t>
            </w:r>
            <w:r w:rsidRPr="00B118E9">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1.3</w:t>
            </w:r>
          </w:p>
        </w:tc>
        <w:tc>
          <w:tcPr>
            <w:tcW w:w="671" w:type="dxa"/>
            <w:tcBorders>
              <w:top w:val="nil"/>
              <w:left w:val="single" w:sz="6" w:space="0" w:color="auto"/>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0.1</w:t>
            </w:r>
          </w:p>
        </w:tc>
        <w:tc>
          <w:tcPr>
            <w:tcW w:w="853" w:type="dxa"/>
            <w:tcBorders>
              <w:top w:val="nil"/>
              <w:left w:val="single" w:sz="6" w:space="0" w:color="auto"/>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5,103.3</w:t>
            </w:r>
          </w:p>
        </w:tc>
        <w:tc>
          <w:tcPr>
            <w:tcW w:w="810" w:type="dxa"/>
            <w:tcBorders>
              <w:top w:val="nil"/>
              <w:left w:val="single" w:sz="6" w:space="0" w:color="auto"/>
              <w:bottom w:val="nil"/>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-0.9</w:t>
            </w:r>
          </w:p>
        </w:tc>
        <w:tc>
          <w:tcPr>
            <w:tcW w:w="750" w:type="dxa"/>
            <w:tcBorders>
              <w:top w:val="nil"/>
              <w:left w:val="single" w:sz="6" w:space="0" w:color="auto"/>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rPr>
                <w:rFonts w:eastAsia="標楷體"/>
                <w:sz w:val="22"/>
              </w:rPr>
            </w:pPr>
            <w:r w:rsidRPr="00B118E9">
              <w:rPr>
                <w:rFonts w:eastAsia="標楷體"/>
                <w:sz w:val="22"/>
              </w:rPr>
              <w:t>4,745.5</w:t>
            </w:r>
          </w:p>
        </w:tc>
        <w:tc>
          <w:tcPr>
            <w:tcW w:w="791" w:type="dxa"/>
            <w:gridSpan w:val="2"/>
            <w:tcBorders>
              <w:top w:val="nil"/>
              <w:left w:val="single" w:sz="6" w:space="0" w:color="auto"/>
              <w:bottom w:val="nil"/>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3.2</w:t>
            </w:r>
          </w:p>
        </w:tc>
        <w:tc>
          <w:tcPr>
            <w:tcW w:w="896" w:type="dxa"/>
            <w:tcBorders>
              <w:top w:val="nil"/>
              <w:left w:val="single" w:sz="6" w:space="0" w:color="auto"/>
              <w:bottom w:val="nil"/>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357.8</w:t>
            </w:r>
          </w:p>
        </w:tc>
        <w:tc>
          <w:tcPr>
            <w:tcW w:w="854" w:type="dxa"/>
            <w:tcBorders>
              <w:top w:val="nil"/>
              <w:left w:val="single" w:sz="6" w:space="0" w:color="auto"/>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4.6</w:t>
            </w:r>
          </w:p>
        </w:tc>
        <w:tc>
          <w:tcPr>
            <w:tcW w:w="853" w:type="dxa"/>
            <w:tcBorders>
              <w:top w:val="nil"/>
              <w:left w:val="single" w:sz="6" w:space="0" w:color="auto"/>
              <w:bottom w:val="nil"/>
              <w:right w:val="nil"/>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2.0</w:t>
            </w:r>
          </w:p>
        </w:tc>
      </w:tr>
      <w:tr w:rsidR="00B118E9" w:rsidRPr="00B118E9" w:rsidTr="00BD6B4B">
        <w:trPr>
          <w:cantSplit/>
          <w:jc w:val="center"/>
        </w:trPr>
        <w:tc>
          <w:tcPr>
            <w:tcW w:w="895" w:type="dxa"/>
            <w:tcBorders>
              <w:top w:val="nil"/>
              <w:left w:val="nil"/>
              <w:bottom w:val="nil"/>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2013</w:t>
            </w:r>
            <w:r w:rsidRPr="00B118E9">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4.4</w:t>
            </w:r>
          </w:p>
        </w:tc>
        <w:tc>
          <w:tcPr>
            <w:tcW w:w="67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1.7</w:t>
            </w:r>
          </w:p>
        </w:tc>
        <w:tc>
          <w:tcPr>
            <w:tcW w:w="853"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5,133.9</w:t>
            </w:r>
          </w:p>
        </w:tc>
        <w:tc>
          <w:tcPr>
            <w:tcW w:w="810"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0.6</w:t>
            </w:r>
          </w:p>
        </w:tc>
        <w:tc>
          <w:tcPr>
            <w:tcW w:w="750"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4,667.6</w:t>
            </w:r>
          </w:p>
        </w:tc>
        <w:tc>
          <w:tcPr>
            <w:tcW w:w="791" w:type="dxa"/>
            <w:gridSpan w:val="2"/>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-1.6</w:t>
            </w:r>
          </w:p>
        </w:tc>
        <w:tc>
          <w:tcPr>
            <w:tcW w:w="896"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466.3</w:t>
            </w:r>
          </w:p>
        </w:tc>
        <w:tc>
          <w:tcPr>
            <w:tcW w:w="854"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2.4</w:t>
            </w:r>
          </w:p>
        </w:tc>
        <w:tc>
          <w:tcPr>
            <w:tcW w:w="853" w:type="dxa"/>
            <w:tcBorders>
              <w:top w:val="nil"/>
              <w:left w:val="single" w:sz="6" w:space="0" w:color="auto"/>
              <w:bottom w:val="nil"/>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1.9</w:t>
            </w:r>
          </w:p>
        </w:tc>
      </w:tr>
      <w:tr w:rsidR="00B118E9"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2014</w:t>
            </w:r>
            <w:r w:rsidRPr="00B118E9">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2.9</w:t>
            </w:r>
          </w:p>
        </w:tc>
        <w:tc>
          <w:tcPr>
            <w:tcW w:w="67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2.6</w:t>
            </w:r>
          </w:p>
        </w:tc>
        <w:tc>
          <w:tcPr>
            <w:tcW w:w="853"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5,189.2</w:t>
            </w:r>
          </w:p>
        </w:tc>
        <w:tc>
          <w:tcPr>
            <w:tcW w:w="810"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1.1</w:t>
            </w:r>
          </w:p>
        </w:tc>
        <w:tc>
          <w:tcPr>
            <w:tcW w:w="750"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4,637.8</w:t>
            </w:r>
          </w:p>
        </w:tc>
        <w:tc>
          <w:tcPr>
            <w:tcW w:w="791" w:type="dxa"/>
            <w:gridSpan w:val="2"/>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-0.6</w:t>
            </w:r>
          </w:p>
        </w:tc>
        <w:tc>
          <w:tcPr>
            <w:tcW w:w="896"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551.4</w:t>
            </w:r>
          </w:p>
        </w:tc>
        <w:tc>
          <w:tcPr>
            <w:tcW w:w="854"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1.0</w:t>
            </w:r>
          </w:p>
        </w:tc>
        <w:tc>
          <w:tcPr>
            <w:tcW w:w="853" w:type="dxa"/>
            <w:tcBorders>
              <w:top w:val="nil"/>
              <w:left w:val="single" w:sz="6" w:space="0" w:color="auto"/>
              <w:bottom w:val="nil"/>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vertAlign w:val="superscript"/>
              </w:rPr>
            </w:pPr>
            <w:r w:rsidRPr="00B118E9">
              <w:rPr>
                <w:rFonts w:eastAsia="標楷體"/>
                <w:sz w:val="22"/>
              </w:rPr>
              <w:t>2.0</w:t>
            </w:r>
          </w:p>
        </w:tc>
      </w:tr>
      <w:tr w:rsidR="00B118E9"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w:t>
            </w:r>
            <w:r w:rsidRPr="00B118E9">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5.3</w:t>
            </w:r>
          </w:p>
        </w:tc>
        <w:tc>
          <w:tcPr>
            <w:tcW w:w="853"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461.7</w:t>
            </w:r>
          </w:p>
        </w:tc>
        <w:tc>
          <w:tcPr>
            <w:tcW w:w="810"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5.6</w:t>
            </w:r>
          </w:p>
        </w:tc>
        <w:tc>
          <w:tcPr>
            <w:tcW w:w="750"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419.6</w:t>
            </w:r>
          </w:p>
        </w:tc>
        <w:tc>
          <w:tcPr>
            <w:tcW w:w="791" w:type="dxa"/>
            <w:gridSpan w:val="2"/>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7.9</w:t>
            </w:r>
          </w:p>
        </w:tc>
        <w:tc>
          <w:tcPr>
            <w:tcW w:w="896"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42.1</w:t>
            </w:r>
          </w:p>
        </w:tc>
        <w:tc>
          <w:tcPr>
            <w:tcW w:w="854"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2.5</w:t>
            </w:r>
          </w:p>
        </w:tc>
        <w:tc>
          <w:tcPr>
            <w:tcW w:w="853" w:type="dxa"/>
            <w:tcBorders>
              <w:top w:val="nil"/>
              <w:left w:val="single" w:sz="6" w:space="0" w:color="auto"/>
              <w:bottom w:val="nil"/>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r>
      <w:tr w:rsidR="00B118E9"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w:t>
            </w:r>
            <w:r w:rsidRPr="00B118E9">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-1.9</w:t>
            </w:r>
          </w:p>
        </w:tc>
        <w:tc>
          <w:tcPr>
            <w:tcW w:w="853"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436.1</w:t>
            </w:r>
          </w:p>
        </w:tc>
        <w:tc>
          <w:tcPr>
            <w:tcW w:w="810"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-1.2</w:t>
            </w:r>
          </w:p>
        </w:tc>
        <w:tc>
          <w:tcPr>
            <w:tcW w:w="750"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406.0</w:t>
            </w:r>
          </w:p>
        </w:tc>
        <w:tc>
          <w:tcPr>
            <w:tcW w:w="791" w:type="dxa"/>
            <w:gridSpan w:val="2"/>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2.1</w:t>
            </w:r>
          </w:p>
        </w:tc>
        <w:tc>
          <w:tcPr>
            <w:tcW w:w="896"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30.1</w:t>
            </w:r>
          </w:p>
        </w:tc>
        <w:tc>
          <w:tcPr>
            <w:tcW w:w="854"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2.7</w:t>
            </w:r>
          </w:p>
        </w:tc>
        <w:tc>
          <w:tcPr>
            <w:tcW w:w="853" w:type="dxa"/>
            <w:tcBorders>
              <w:top w:val="nil"/>
              <w:left w:val="single" w:sz="6" w:space="0" w:color="auto"/>
              <w:bottom w:val="nil"/>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r>
      <w:tr w:rsidR="00B118E9"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6</w:t>
            </w:r>
            <w:r w:rsidRPr="00B118E9">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2.3 (II)</w:t>
            </w:r>
          </w:p>
        </w:tc>
        <w:tc>
          <w:tcPr>
            <w:tcW w:w="67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0.7</w:t>
            </w:r>
          </w:p>
        </w:tc>
        <w:tc>
          <w:tcPr>
            <w:tcW w:w="853"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435.2</w:t>
            </w:r>
          </w:p>
        </w:tc>
        <w:tc>
          <w:tcPr>
            <w:tcW w:w="810"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4.0</w:t>
            </w:r>
          </w:p>
        </w:tc>
        <w:tc>
          <w:tcPr>
            <w:tcW w:w="750"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376.3</w:t>
            </w:r>
          </w:p>
        </w:tc>
        <w:tc>
          <w:tcPr>
            <w:tcW w:w="791" w:type="dxa"/>
            <w:gridSpan w:val="2"/>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0.9</w:t>
            </w:r>
          </w:p>
        </w:tc>
        <w:tc>
          <w:tcPr>
            <w:tcW w:w="896"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58.9</w:t>
            </w:r>
          </w:p>
        </w:tc>
        <w:tc>
          <w:tcPr>
            <w:tcW w:w="854"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1.8</w:t>
            </w:r>
          </w:p>
        </w:tc>
        <w:tc>
          <w:tcPr>
            <w:tcW w:w="853" w:type="dxa"/>
            <w:tcBorders>
              <w:top w:val="nil"/>
              <w:left w:val="single" w:sz="6" w:space="0" w:color="auto"/>
              <w:bottom w:val="nil"/>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2.0(II)</w:t>
            </w:r>
          </w:p>
        </w:tc>
      </w:tr>
      <w:tr w:rsidR="00B118E9"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7</w:t>
            </w:r>
            <w:r w:rsidRPr="00B118E9">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2.7</w:t>
            </w:r>
          </w:p>
        </w:tc>
        <w:tc>
          <w:tcPr>
            <w:tcW w:w="853"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436.8</w:t>
            </w:r>
          </w:p>
        </w:tc>
        <w:tc>
          <w:tcPr>
            <w:tcW w:w="810"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-1.6</w:t>
            </w:r>
          </w:p>
        </w:tc>
        <w:tc>
          <w:tcPr>
            <w:tcW w:w="750"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395.9</w:t>
            </w:r>
          </w:p>
        </w:tc>
        <w:tc>
          <w:tcPr>
            <w:tcW w:w="791" w:type="dxa"/>
            <w:gridSpan w:val="2"/>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-3.5</w:t>
            </w:r>
          </w:p>
        </w:tc>
        <w:tc>
          <w:tcPr>
            <w:tcW w:w="896"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40.9</w:t>
            </w:r>
          </w:p>
        </w:tc>
        <w:tc>
          <w:tcPr>
            <w:tcW w:w="854"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1.2</w:t>
            </w:r>
          </w:p>
        </w:tc>
        <w:tc>
          <w:tcPr>
            <w:tcW w:w="853" w:type="dxa"/>
            <w:tcBorders>
              <w:top w:val="nil"/>
              <w:left w:val="single" w:sz="6" w:space="0" w:color="auto"/>
              <w:bottom w:val="nil"/>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r>
      <w:tr w:rsidR="00B118E9"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8</w:t>
            </w:r>
            <w:r w:rsidRPr="00B118E9">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3.8</w:t>
            </w:r>
          </w:p>
        </w:tc>
        <w:tc>
          <w:tcPr>
            <w:tcW w:w="853"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428.5</w:t>
            </w:r>
          </w:p>
        </w:tc>
        <w:tc>
          <w:tcPr>
            <w:tcW w:w="810"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-1.2</w:t>
            </w:r>
          </w:p>
        </w:tc>
        <w:tc>
          <w:tcPr>
            <w:tcW w:w="750"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360.5</w:t>
            </w:r>
          </w:p>
        </w:tc>
        <w:tc>
          <w:tcPr>
            <w:tcW w:w="791" w:type="dxa"/>
            <w:gridSpan w:val="2"/>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-8.6</w:t>
            </w:r>
          </w:p>
        </w:tc>
        <w:tc>
          <w:tcPr>
            <w:tcW w:w="896"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68.0</w:t>
            </w:r>
          </w:p>
        </w:tc>
        <w:tc>
          <w:tcPr>
            <w:tcW w:w="854"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0.9</w:t>
            </w:r>
          </w:p>
        </w:tc>
        <w:tc>
          <w:tcPr>
            <w:tcW w:w="853" w:type="dxa"/>
            <w:tcBorders>
              <w:top w:val="nil"/>
              <w:left w:val="single" w:sz="6" w:space="0" w:color="auto"/>
              <w:bottom w:val="nil"/>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r>
      <w:tr w:rsidR="00B118E9"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9</w:t>
            </w:r>
            <w:r w:rsidRPr="00B118E9">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2.8(III)</w:t>
            </w:r>
          </w:p>
        </w:tc>
        <w:tc>
          <w:tcPr>
            <w:tcW w:w="67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-1.0</w:t>
            </w:r>
          </w:p>
        </w:tc>
        <w:tc>
          <w:tcPr>
            <w:tcW w:w="853"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443.2</w:t>
            </w:r>
          </w:p>
        </w:tc>
        <w:tc>
          <w:tcPr>
            <w:tcW w:w="810"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-1.6</w:t>
            </w:r>
          </w:p>
        </w:tc>
        <w:tc>
          <w:tcPr>
            <w:tcW w:w="750"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387.4</w:t>
            </w:r>
          </w:p>
        </w:tc>
        <w:tc>
          <w:tcPr>
            <w:tcW w:w="791" w:type="dxa"/>
            <w:gridSpan w:val="2"/>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-5.1</w:t>
            </w:r>
          </w:p>
        </w:tc>
        <w:tc>
          <w:tcPr>
            <w:tcW w:w="896"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55.8</w:t>
            </w:r>
          </w:p>
        </w:tc>
        <w:tc>
          <w:tcPr>
            <w:tcW w:w="854"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0.6</w:t>
            </w:r>
          </w:p>
        </w:tc>
        <w:tc>
          <w:tcPr>
            <w:tcW w:w="853" w:type="dxa"/>
            <w:tcBorders>
              <w:top w:val="nil"/>
              <w:left w:val="single" w:sz="6" w:space="0" w:color="auto"/>
              <w:bottom w:val="nil"/>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2.0(III)</w:t>
            </w:r>
          </w:p>
        </w:tc>
      </w:tr>
      <w:tr w:rsidR="00B118E9"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10</w:t>
            </w:r>
            <w:r w:rsidRPr="00B118E9">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-0.2</w:t>
            </w:r>
          </w:p>
        </w:tc>
        <w:tc>
          <w:tcPr>
            <w:tcW w:w="853"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443.0</w:t>
            </w:r>
          </w:p>
        </w:tc>
        <w:tc>
          <w:tcPr>
            <w:tcW w:w="810"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-7.0</w:t>
            </w:r>
          </w:p>
        </w:tc>
        <w:tc>
          <w:tcPr>
            <w:tcW w:w="750"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400.6</w:t>
            </w:r>
          </w:p>
        </w:tc>
        <w:tc>
          <w:tcPr>
            <w:tcW w:w="791" w:type="dxa"/>
            <w:gridSpan w:val="2"/>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-5.3</w:t>
            </w:r>
          </w:p>
        </w:tc>
        <w:tc>
          <w:tcPr>
            <w:tcW w:w="896"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42.4</w:t>
            </w:r>
          </w:p>
        </w:tc>
        <w:tc>
          <w:tcPr>
            <w:tcW w:w="854"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0.1</w:t>
            </w:r>
          </w:p>
        </w:tc>
        <w:tc>
          <w:tcPr>
            <w:tcW w:w="853" w:type="dxa"/>
            <w:tcBorders>
              <w:top w:val="nil"/>
              <w:left w:val="single" w:sz="6" w:space="0" w:color="auto"/>
              <w:bottom w:val="nil"/>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r>
      <w:tr w:rsidR="00B118E9"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11</w:t>
            </w:r>
            <w:r w:rsidRPr="00B118E9">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-2.1</w:t>
            </w:r>
          </w:p>
        </w:tc>
        <w:tc>
          <w:tcPr>
            <w:tcW w:w="853"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408.4</w:t>
            </w:r>
          </w:p>
        </w:tc>
        <w:tc>
          <w:tcPr>
            <w:tcW w:w="810"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-3.1</w:t>
            </w:r>
          </w:p>
        </w:tc>
        <w:tc>
          <w:tcPr>
            <w:tcW w:w="750"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342.5</w:t>
            </w:r>
          </w:p>
        </w:tc>
        <w:tc>
          <w:tcPr>
            <w:tcW w:w="791" w:type="dxa"/>
            <w:gridSpan w:val="2"/>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-11.1</w:t>
            </w:r>
          </w:p>
        </w:tc>
        <w:tc>
          <w:tcPr>
            <w:tcW w:w="896"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65.9</w:t>
            </w:r>
          </w:p>
        </w:tc>
        <w:tc>
          <w:tcPr>
            <w:tcW w:w="854"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-0.3</w:t>
            </w:r>
          </w:p>
        </w:tc>
        <w:tc>
          <w:tcPr>
            <w:tcW w:w="853" w:type="dxa"/>
            <w:tcBorders>
              <w:top w:val="nil"/>
              <w:left w:val="single" w:sz="6" w:space="0" w:color="auto"/>
              <w:bottom w:val="nil"/>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r>
      <w:tr w:rsidR="00B118E9"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12</w:t>
            </w:r>
            <w:r w:rsidRPr="00B118E9">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2.1(IV)</w:t>
            </w:r>
          </w:p>
        </w:tc>
        <w:tc>
          <w:tcPr>
            <w:tcW w:w="67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-1.9</w:t>
            </w:r>
          </w:p>
        </w:tc>
        <w:tc>
          <w:tcPr>
            <w:tcW w:w="853"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416.0</w:t>
            </w:r>
          </w:p>
        </w:tc>
        <w:tc>
          <w:tcPr>
            <w:tcW w:w="810"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-0.7</w:t>
            </w:r>
          </w:p>
        </w:tc>
        <w:tc>
          <w:tcPr>
            <w:tcW w:w="750"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371.4</w:t>
            </w:r>
          </w:p>
        </w:tc>
        <w:tc>
          <w:tcPr>
            <w:tcW w:w="791" w:type="dxa"/>
            <w:gridSpan w:val="2"/>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-1.4</w:t>
            </w:r>
          </w:p>
        </w:tc>
        <w:tc>
          <w:tcPr>
            <w:tcW w:w="896"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44.6</w:t>
            </w:r>
          </w:p>
        </w:tc>
        <w:tc>
          <w:tcPr>
            <w:tcW w:w="854"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-0.1</w:t>
            </w:r>
          </w:p>
        </w:tc>
        <w:tc>
          <w:tcPr>
            <w:tcW w:w="853" w:type="dxa"/>
            <w:tcBorders>
              <w:top w:val="nil"/>
              <w:left w:val="single" w:sz="6" w:space="0" w:color="auto"/>
              <w:bottom w:val="nil"/>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1.9(IV)</w:t>
            </w:r>
          </w:p>
        </w:tc>
      </w:tr>
      <w:tr w:rsidR="00B118E9"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2015</w:t>
            </w:r>
            <w:r w:rsidRPr="00B118E9">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853"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810"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rPr>
                <w:rFonts w:eastAsia="標楷體"/>
                <w:sz w:val="22"/>
              </w:rPr>
            </w:pPr>
          </w:p>
        </w:tc>
        <w:tc>
          <w:tcPr>
            <w:tcW w:w="750"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791" w:type="dxa"/>
            <w:gridSpan w:val="2"/>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896"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854"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853" w:type="dxa"/>
            <w:tcBorders>
              <w:top w:val="nil"/>
              <w:left w:val="single" w:sz="6" w:space="0" w:color="auto"/>
              <w:bottom w:val="nil"/>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r>
      <w:tr w:rsidR="00B118E9"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w:t>
            </w:r>
            <w:r w:rsidRPr="00B118E9">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1.3</w:t>
            </w:r>
          </w:p>
        </w:tc>
        <w:tc>
          <w:tcPr>
            <w:tcW w:w="853"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424.3</w:t>
            </w:r>
          </w:p>
        </w:tc>
        <w:tc>
          <w:tcPr>
            <w:tcW w:w="810"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-1.6</w:t>
            </w:r>
          </w:p>
        </w:tc>
        <w:tc>
          <w:tcPr>
            <w:tcW w:w="750"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339.4</w:t>
            </w:r>
          </w:p>
        </w:tc>
        <w:tc>
          <w:tcPr>
            <w:tcW w:w="791" w:type="dxa"/>
            <w:gridSpan w:val="2"/>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-13.4</w:t>
            </w:r>
          </w:p>
        </w:tc>
        <w:tc>
          <w:tcPr>
            <w:tcW w:w="896"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85.0</w:t>
            </w:r>
          </w:p>
        </w:tc>
        <w:tc>
          <w:tcPr>
            <w:tcW w:w="854"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-0.4</w:t>
            </w:r>
          </w:p>
        </w:tc>
        <w:tc>
          <w:tcPr>
            <w:tcW w:w="853" w:type="dxa"/>
            <w:tcBorders>
              <w:top w:val="nil"/>
              <w:left w:val="single" w:sz="6" w:space="0" w:color="auto"/>
              <w:bottom w:val="nil"/>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r>
      <w:tr w:rsidR="00B118E9"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w:t>
            </w:r>
            <w:r w:rsidRPr="00B118E9">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-3.3</w:t>
            </w:r>
          </w:p>
        </w:tc>
        <w:tc>
          <w:tcPr>
            <w:tcW w:w="853"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338.6</w:t>
            </w:r>
          </w:p>
        </w:tc>
        <w:tc>
          <w:tcPr>
            <w:tcW w:w="810"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-16.1</w:t>
            </w:r>
          </w:p>
        </w:tc>
        <w:tc>
          <w:tcPr>
            <w:tcW w:w="750"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286.8</w:t>
            </w:r>
          </w:p>
        </w:tc>
        <w:tc>
          <w:tcPr>
            <w:tcW w:w="791" w:type="dxa"/>
            <w:gridSpan w:val="2"/>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-20.5</w:t>
            </w:r>
          </w:p>
        </w:tc>
        <w:tc>
          <w:tcPr>
            <w:tcW w:w="896"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51.8</w:t>
            </w:r>
          </w:p>
        </w:tc>
        <w:tc>
          <w:tcPr>
            <w:tcW w:w="854"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-0.3</w:t>
            </w:r>
          </w:p>
        </w:tc>
        <w:tc>
          <w:tcPr>
            <w:tcW w:w="853" w:type="dxa"/>
            <w:tcBorders>
              <w:top w:val="nil"/>
              <w:left w:val="single" w:sz="6" w:space="0" w:color="auto"/>
              <w:bottom w:val="nil"/>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r>
      <w:tr w:rsidR="00B118E9"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w:t>
            </w:r>
            <w:r w:rsidRPr="00B118E9">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2.1(I)</w:t>
            </w:r>
          </w:p>
        </w:tc>
        <w:tc>
          <w:tcPr>
            <w:tcW w:w="671"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-5.5</w:t>
            </w:r>
          </w:p>
        </w:tc>
        <w:tc>
          <w:tcPr>
            <w:tcW w:w="853"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449.1</w:t>
            </w:r>
          </w:p>
        </w:tc>
        <w:tc>
          <w:tcPr>
            <w:tcW w:w="810"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0.7</w:t>
            </w:r>
          </w:p>
        </w:tc>
        <w:tc>
          <w:tcPr>
            <w:tcW w:w="750"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362.7</w:t>
            </w:r>
          </w:p>
        </w:tc>
        <w:tc>
          <w:tcPr>
            <w:tcW w:w="791" w:type="dxa"/>
            <w:gridSpan w:val="2"/>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-14.8</w:t>
            </w:r>
          </w:p>
        </w:tc>
        <w:tc>
          <w:tcPr>
            <w:tcW w:w="896" w:type="dxa"/>
            <w:tcBorders>
              <w:top w:val="nil"/>
              <w:left w:val="single" w:sz="6" w:space="0" w:color="auto"/>
              <w:bottom w:val="nil"/>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86.4</w:t>
            </w:r>
          </w:p>
        </w:tc>
        <w:tc>
          <w:tcPr>
            <w:tcW w:w="854" w:type="dxa"/>
            <w:tcBorders>
              <w:top w:val="nil"/>
              <w:left w:val="single" w:sz="6" w:space="0" w:color="auto"/>
              <w:bottom w:val="nil"/>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-0.3</w:t>
            </w:r>
          </w:p>
        </w:tc>
        <w:tc>
          <w:tcPr>
            <w:tcW w:w="853" w:type="dxa"/>
            <w:tcBorders>
              <w:top w:val="nil"/>
              <w:left w:val="single" w:sz="6" w:space="0" w:color="auto"/>
              <w:bottom w:val="nil"/>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1.8(I)</w:t>
            </w:r>
          </w:p>
        </w:tc>
      </w:tr>
      <w:tr w:rsidR="00B118E9" w:rsidRPr="00B118E9" w:rsidTr="00BD6B4B">
        <w:trPr>
          <w:cantSplit/>
          <w:trHeight w:val="283"/>
          <w:jc w:val="center"/>
        </w:trPr>
        <w:tc>
          <w:tcPr>
            <w:tcW w:w="895" w:type="dxa"/>
            <w:tcBorders>
              <w:top w:val="nil"/>
              <w:left w:val="nil"/>
              <w:bottom w:val="single" w:sz="4" w:space="0" w:color="auto"/>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w:t>
            </w:r>
            <w:r w:rsidRPr="00B118E9">
              <w:rPr>
                <w:rFonts w:eastAsia="標楷體"/>
                <w:sz w:val="22"/>
              </w:rPr>
              <w:t>月</w:t>
            </w:r>
          </w:p>
        </w:tc>
        <w:tc>
          <w:tcPr>
            <w:tcW w:w="931" w:type="dxa"/>
            <w:tcBorders>
              <w:top w:val="nil"/>
              <w:left w:val="single" w:sz="6" w:space="0" w:color="auto"/>
              <w:bottom w:val="single" w:sz="4" w:space="0" w:color="auto"/>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single" w:sz="4" w:space="0" w:color="auto"/>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w:t>
            </w:r>
          </w:p>
        </w:tc>
        <w:tc>
          <w:tcPr>
            <w:tcW w:w="853" w:type="dxa"/>
            <w:tcBorders>
              <w:top w:val="nil"/>
              <w:left w:val="single" w:sz="6" w:space="0" w:color="auto"/>
              <w:bottom w:val="single" w:sz="4" w:space="0" w:color="auto"/>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418.9</w:t>
            </w:r>
          </w:p>
        </w:tc>
        <w:tc>
          <w:tcPr>
            <w:tcW w:w="810" w:type="dxa"/>
            <w:tcBorders>
              <w:top w:val="nil"/>
              <w:left w:val="single" w:sz="6" w:space="0" w:color="auto"/>
              <w:bottom w:val="single" w:sz="4" w:space="0" w:color="auto"/>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-9.3</w:t>
            </w:r>
          </w:p>
        </w:tc>
        <w:tc>
          <w:tcPr>
            <w:tcW w:w="750" w:type="dxa"/>
            <w:tcBorders>
              <w:top w:val="nil"/>
              <w:left w:val="single" w:sz="6" w:space="0" w:color="auto"/>
              <w:bottom w:val="single" w:sz="4" w:space="0" w:color="auto"/>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359.8</w:t>
            </w:r>
          </w:p>
        </w:tc>
        <w:tc>
          <w:tcPr>
            <w:tcW w:w="791" w:type="dxa"/>
            <w:gridSpan w:val="2"/>
            <w:tcBorders>
              <w:top w:val="nil"/>
              <w:left w:val="single" w:sz="6" w:space="0" w:color="auto"/>
              <w:bottom w:val="single" w:sz="4" w:space="0" w:color="auto"/>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-14.2</w:t>
            </w:r>
          </w:p>
        </w:tc>
        <w:tc>
          <w:tcPr>
            <w:tcW w:w="896" w:type="dxa"/>
            <w:tcBorders>
              <w:top w:val="nil"/>
              <w:left w:val="single" w:sz="6" w:space="0" w:color="auto"/>
              <w:bottom w:val="single" w:sz="4" w:space="0" w:color="auto"/>
              <w:right w:val="single" w:sz="6" w:space="0" w:color="auto"/>
            </w:tcBorders>
            <w:shd w:val="clear" w:color="auto" w:fill="auto"/>
            <w:vAlign w:val="center"/>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59.1</w:t>
            </w:r>
          </w:p>
        </w:tc>
        <w:tc>
          <w:tcPr>
            <w:tcW w:w="854" w:type="dxa"/>
            <w:tcBorders>
              <w:top w:val="nil"/>
              <w:left w:val="single" w:sz="6" w:space="0" w:color="auto"/>
              <w:bottom w:val="single" w:sz="4" w:space="0" w:color="auto"/>
              <w:right w:val="single" w:sz="6" w:space="0" w:color="auto"/>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w:t>
            </w:r>
          </w:p>
        </w:tc>
        <w:tc>
          <w:tcPr>
            <w:tcW w:w="853" w:type="dxa"/>
            <w:tcBorders>
              <w:top w:val="nil"/>
              <w:left w:val="single" w:sz="6" w:space="0" w:color="auto"/>
              <w:bottom w:val="single" w:sz="4" w:space="0" w:color="auto"/>
              <w:right w:val="nil"/>
            </w:tcBorders>
            <w:shd w:val="clear" w:color="auto" w:fill="auto"/>
          </w:tcPr>
          <w:p w:rsidR="00B118E9" w:rsidRPr="00B118E9" w:rsidRDefault="00B118E9" w:rsidP="00BD6B4B">
            <w:pPr>
              <w:autoSpaceDE w:val="0"/>
              <w:autoSpaceDN w:val="0"/>
              <w:adjustRightInd w:val="0"/>
              <w:snapToGrid w:val="0"/>
              <w:spacing w:line="380" w:lineRule="exact"/>
              <w:jc w:val="center"/>
              <w:rPr>
                <w:rFonts w:eastAsia="標楷體"/>
                <w:sz w:val="22"/>
              </w:rPr>
            </w:pPr>
          </w:p>
        </w:tc>
      </w:tr>
    </w:tbl>
    <w:p w:rsidR="00153EA4" w:rsidRPr="00B118E9" w:rsidRDefault="00B77830">
      <w:pPr>
        <w:widowControl/>
        <w:rPr>
          <w:rFonts w:eastAsia="標楷體"/>
          <w:b/>
          <w:bCs/>
          <w:sz w:val="40"/>
          <w:szCs w:val="36"/>
        </w:rPr>
      </w:pPr>
      <w:r w:rsidRPr="00B118E9">
        <w:rPr>
          <w:rFonts w:eastAsia="標楷體"/>
          <w:sz w:val="22"/>
          <w:szCs w:val="22"/>
          <w:lang w:val="zh-TW"/>
        </w:rPr>
        <w:t>資料來源</w:t>
      </w:r>
      <w:r w:rsidRPr="00B118E9">
        <w:rPr>
          <w:rFonts w:eastAsia="標楷體"/>
          <w:sz w:val="22"/>
          <w:szCs w:val="22"/>
        </w:rPr>
        <w:t>：</w:t>
      </w:r>
      <w:r w:rsidRPr="00B118E9">
        <w:rPr>
          <w:rFonts w:eastAsia="標楷體"/>
          <w:kern w:val="0"/>
          <w:sz w:val="22"/>
          <w:szCs w:val="22"/>
        </w:rPr>
        <w:t>新加坡統計局。</w:t>
      </w:r>
      <w:r w:rsidR="00153EA4" w:rsidRPr="00B118E9">
        <w:rPr>
          <w:rFonts w:eastAsia="標楷體"/>
          <w:b/>
          <w:bCs/>
          <w:sz w:val="40"/>
          <w:szCs w:val="36"/>
        </w:rPr>
        <w:br w:type="page"/>
      </w:r>
    </w:p>
    <w:p w:rsidR="00153EA4" w:rsidRPr="00B118E9" w:rsidRDefault="00153EA4" w:rsidP="00A8137A">
      <w:pPr>
        <w:pStyle w:val="k3a"/>
        <w:numPr>
          <w:ilvl w:val="0"/>
          <w:numId w:val="11"/>
        </w:numPr>
        <w:tabs>
          <w:tab w:val="left" w:pos="540"/>
        </w:tabs>
        <w:spacing w:before="180" w:line="240" w:lineRule="atLeast"/>
        <w:ind w:leftChars="0" w:right="0" w:firstLineChars="0"/>
        <w:rPr>
          <w:b/>
          <w:szCs w:val="28"/>
        </w:rPr>
      </w:pPr>
      <w:r w:rsidRPr="00B118E9">
        <w:rPr>
          <w:b/>
          <w:szCs w:val="28"/>
        </w:rPr>
        <w:t>香港</w:t>
      </w:r>
    </w:p>
    <w:p w:rsidR="00153EA4" w:rsidRPr="00B118E9" w:rsidRDefault="00B118E9" w:rsidP="00B118E9">
      <w:pPr>
        <w:pStyle w:val="afffff"/>
        <w:numPr>
          <w:ilvl w:val="0"/>
          <w:numId w:val="13"/>
        </w:numPr>
        <w:snapToGrid w:val="0"/>
        <w:spacing w:before="180" w:line="300" w:lineRule="auto"/>
        <w:ind w:leftChars="0" w:right="-227" w:firstLineChars="0" w:hanging="554"/>
        <w:rPr>
          <w:rFonts w:ascii="Times New Roman" w:eastAsia="標楷體" w:hAnsi="Times New Roman"/>
          <w:sz w:val="28"/>
          <w:szCs w:val="28"/>
        </w:rPr>
      </w:pPr>
      <w:r w:rsidRPr="00B118E9">
        <w:rPr>
          <w:rFonts w:ascii="Times New Roman" w:eastAsia="標楷體" w:hAnsi="Times New Roman"/>
          <w:sz w:val="28"/>
          <w:szCs w:val="28"/>
        </w:rPr>
        <w:t>香港政府</w:t>
      </w:r>
      <w:r w:rsidRPr="00B118E9">
        <w:rPr>
          <w:rFonts w:ascii="Times New Roman" w:eastAsia="標楷體" w:hAnsi="Times New Roman"/>
          <w:sz w:val="28"/>
          <w:szCs w:val="28"/>
        </w:rPr>
        <w:t>2015</w:t>
      </w:r>
      <w:r w:rsidRPr="00B118E9">
        <w:rPr>
          <w:rFonts w:ascii="Times New Roman" w:eastAsia="標楷體" w:hAnsi="Times New Roman"/>
          <w:sz w:val="28"/>
          <w:szCs w:val="28"/>
        </w:rPr>
        <w:t>年</w:t>
      </w:r>
      <w:r w:rsidRPr="00B118E9">
        <w:rPr>
          <w:rFonts w:ascii="Times New Roman" w:eastAsia="標楷體" w:hAnsi="Times New Roman"/>
          <w:sz w:val="28"/>
          <w:szCs w:val="28"/>
        </w:rPr>
        <w:t>5</w:t>
      </w:r>
      <w:r w:rsidRPr="00B118E9">
        <w:rPr>
          <w:rFonts w:ascii="Times New Roman" w:eastAsia="標楷體" w:hAnsi="Times New Roman"/>
          <w:sz w:val="28"/>
          <w:szCs w:val="28"/>
        </w:rPr>
        <w:t>月</w:t>
      </w:r>
      <w:r w:rsidRPr="00B118E9">
        <w:rPr>
          <w:rFonts w:ascii="Times New Roman" w:eastAsia="標楷體" w:hAnsi="Times New Roman"/>
          <w:sz w:val="28"/>
          <w:szCs w:val="28"/>
        </w:rPr>
        <w:t>15</w:t>
      </w:r>
      <w:r w:rsidRPr="00B118E9">
        <w:rPr>
          <w:rFonts w:ascii="Times New Roman" w:eastAsia="標楷體" w:hAnsi="Times New Roman"/>
          <w:sz w:val="28"/>
          <w:szCs w:val="28"/>
        </w:rPr>
        <w:t>日發表《</w:t>
      </w:r>
      <w:r w:rsidRPr="00B118E9">
        <w:rPr>
          <w:rFonts w:ascii="Times New Roman" w:eastAsia="標楷體" w:hAnsi="Times New Roman"/>
          <w:sz w:val="28"/>
          <w:szCs w:val="28"/>
        </w:rPr>
        <w:t>2015</w:t>
      </w:r>
      <w:r w:rsidRPr="00B118E9">
        <w:rPr>
          <w:rFonts w:ascii="Times New Roman" w:eastAsia="標楷體" w:hAnsi="Times New Roman"/>
          <w:sz w:val="28"/>
          <w:szCs w:val="28"/>
        </w:rPr>
        <w:t>年第</w:t>
      </w:r>
      <w:r w:rsidRPr="00B118E9">
        <w:rPr>
          <w:rFonts w:ascii="Times New Roman" w:eastAsia="標楷體" w:hAnsi="Times New Roman"/>
          <w:sz w:val="28"/>
          <w:szCs w:val="28"/>
        </w:rPr>
        <w:t>1</w:t>
      </w:r>
      <w:r w:rsidRPr="00B118E9">
        <w:rPr>
          <w:rFonts w:ascii="Times New Roman" w:eastAsia="標楷體" w:hAnsi="Times New Roman"/>
          <w:sz w:val="28"/>
          <w:szCs w:val="28"/>
        </w:rPr>
        <w:t>季經濟報告》，公布第</w:t>
      </w:r>
      <w:r w:rsidRPr="00B118E9">
        <w:rPr>
          <w:rFonts w:ascii="Times New Roman" w:eastAsia="標楷體" w:hAnsi="Times New Roman"/>
          <w:sz w:val="28"/>
          <w:szCs w:val="28"/>
        </w:rPr>
        <w:t>1</w:t>
      </w:r>
      <w:r w:rsidRPr="00B118E9">
        <w:rPr>
          <w:rFonts w:ascii="Times New Roman" w:eastAsia="標楷體" w:hAnsi="Times New Roman"/>
          <w:sz w:val="28"/>
          <w:szCs w:val="28"/>
        </w:rPr>
        <w:t>季經濟成長率</w:t>
      </w:r>
      <w:r w:rsidRPr="00B118E9">
        <w:rPr>
          <w:rFonts w:ascii="Times New Roman" w:eastAsia="標楷體" w:hAnsi="Times New Roman"/>
          <w:sz w:val="28"/>
          <w:szCs w:val="28"/>
        </w:rPr>
        <w:t>2.1%</w:t>
      </w:r>
      <w:r w:rsidRPr="00B118E9">
        <w:rPr>
          <w:rFonts w:ascii="Times New Roman" w:eastAsia="標楷體" w:hAnsi="Times New Roman"/>
          <w:sz w:val="28"/>
          <w:szCs w:val="28"/>
        </w:rPr>
        <w:t>，較上季下跌</w:t>
      </w:r>
      <w:r w:rsidRPr="00B118E9">
        <w:rPr>
          <w:rFonts w:ascii="Times New Roman" w:eastAsia="標楷體" w:hAnsi="Times New Roman"/>
          <w:sz w:val="28"/>
          <w:szCs w:val="28"/>
        </w:rPr>
        <w:t>0.3</w:t>
      </w:r>
      <w:r w:rsidRPr="00B118E9">
        <w:rPr>
          <w:rFonts w:ascii="Times New Roman" w:eastAsia="標楷體" w:hAnsi="Times New Roman"/>
          <w:sz w:val="28"/>
          <w:szCs w:val="28"/>
        </w:rPr>
        <w:t>個百分點，主因係受先進市場復甦緩慢抑制全球貿易成長之影響，另外訪港旅客人次成長趨緩及旅遊消費表現不佳，導致服務輸出持續低迷。考量全球經濟持續溫和成長、主要國家央行政策互異、歐元區脆弱復甦及中國大陸經濟成長趨緩等因素，香港政府維持</w:t>
      </w:r>
      <w:r w:rsidRPr="00B118E9">
        <w:rPr>
          <w:rFonts w:ascii="Times New Roman" w:eastAsia="標楷體" w:hAnsi="Times New Roman"/>
          <w:sz w:val="28"/>
          <w:szCs w:val="28"/>
        </w:rPr>
        <w:t>2015</w:t>
      </w:r>
      <w:r w:rsidRPr="00B118E9">
        <w:rPr>
          <w:rFonts w:ascii="Times New Roman" w:eastAsia="標楷體" w:hAnsi="Times New Roman"/>
          <w:sz w:val="28"/>
          <w:szCs w:val="28"/>
        </w:rPr>
        <w:t>年經濟成長率預測為</w:t>
      </w:r>
      <w:r w:rsidRPr="00B118E9">
        <w:rPr>
          <w:rFonts w:ascii="Times New Roman" w:eastAsia="標楷體" w:hAnsi="Times New Roman"/>
          <w:sz w:val="28"/>
          <w:szCs w:val="28"/>
        </w:rPr>
        <w:t>1%</w:t>
      </w:r>
      <w:r w:rsidRPr="00B118E9">
        <w:rPr>
          <w:rFonts w:ascii="Times New Roman" w:eastAsia="標楷體" w:hAnsi="Times New Roman"/>
          <w:sz w:val="28"/>
          <w:szCs w:val="28"/>
        </w:rPr>
        <w:t>至</w:t>
      </w:r>
      <w:r w:rsidRPr="00B118E9">
        <w:rPr>
          <w:rFonts w:ascii="Times New Roman" w:eastAsia="標楷體" w:hAnsi="Times New Roman"/>
          <w:sz w:val="28"/>
          <w:szCs w:val="28"/>
        </w:rPr>
        <w:t>3%</w:t>
      </w:r>
      <w:r w:rsidRPr="00B118E9">
        <w:rPr>
          <w:rFonts w:ascii="Times New Roman" w:eastAsia="標楷體" w:hAnsi="Times New Roman"/>
          <w:sz w:val="28"/>
          <w:szCs w:val="28"/>
        </w:rPr>
        <w:t>，消費者物價上漲率則由</w:t>
      </w:r>
      <w:r w:rsidRPr="00B118E9">
        <w:rPr>
          <w:rFonts w:ascii="Times New Roman" w:eastAsia="標楷體" w:hAnsi="Times New Roman"/>
          <w:sz w:val="28"/>
          <w:szCs w:val="28"/>
        </w:rPr>
        <w:t>3.5%</w:t>
      </w:r>
      <w:r w:rsidRPr="00B118E9">
        <w:rPr>
          <w:rFonts w:ascii="Times New Roman" w:eastAsia="標楷體" w:hAnsi="Times New Roman"/>
          <w:sz w:val="28"/>
          <w:szCs w:val="28"/>
        </w:rPr>
        <w:t>下修至</w:t>
      </w:r>
      <w:r w:rsidRPr="00B118E9">
        <w:rPr>
          <w:rFonts w:ascii="Times New Roman" w:eastAsia="標楷體" w:hAnsi="Times New Roman"/>
          <w:sz w:val="28"/>
          <w:szCs w:val="28"/>
        </w:rPr>
        <w:t>3.2%</w:t>
      </w:r>
      <w:r w:rsidRPr="00B118E9">
        <w:rPr>
          <w:rFonts w:ascii="Times New Roman" w:eastAsia="標楷體" w:hAnsi="Times New Roman"/>
          <w:sz w:val="28"/>
          <w:szCs w:val="28"/>
        </w:rPr>
        <w:t>。</w:t>
      </w:r>
    </w:p>
    <w:p w:rsidR="00B118E9" w:rsidRPr="00B118E9" w:rsidRDefault="00B118E9" w:rsidP="00B118E9">
      <w:pPr>
        <w:pStyle w:val="afffff"/>
        <w:numPr>
          <w:ilvl w:val="0"/>
          <w:numId w:val="13"/>
        </w:numPr>
        <w:snapToGrid w:val="0"/>
        <w:spacing w:before="180" w:line="300" w:lineRule="auto"/>
        <w:ind w:leftChars="0" w:right="-227" w:firstLineChars="0" w:hanging="554"/>
        <w:rPr>
          <w:rFonts w:ascii="Times New Roman" w:eastAsia="標楷體" w:hAnsi="Times New Roman"/>
          <w:sz w:val="28"/>
          <w:szCs w:val="28"/>
        </w:rPr>
      </w:pPr>
      <w:r w:rsidRPr="00B118E9">
        <w:rPr>
          <w:rFonts w:ascii="Times New Roman" w:eastAsia="標楷體" w:hAnsi="Times New Roman"/>
          <w:sz w:val="28"/>
          <w:szCs w:val="28"/>
        </w:rPr>
        <w:t>香港</w:t>
      </w:r>
      <w:r w:rsidRPr="00B118E9">
        <w:rPr>
          <w:rFonts w:ascii="Times New Roman" w:eastAsia="標楷體" w:hAnsi="Times New Roman"/>
          <w:sz w:val="28"/>
          <w:szCs w:val="28"/>
        </w:rPr>
        <w:t>2015</w:t>
      </w:r>
      <w:r w:rsidRPr="00B118E9">
        <w:rPr>
          <w:rFonts w:ascii="Times New Roman" w:eastAsia="標楷體" w:hAnsi="Times New Roman"/>
          <w:sz w:val="28"/>
          <w:szCs w:val="28"/>
        </w:rPr>
        <w:t>年第</w:t>
      </w:r>
      <w:r w:rsidRPr="00B118E9">
        <w:rPr>
          <w:rFonts w:ascii="Times New Roman" w:eastAsia="標楷體" w:hAnsi="Times New Roman"/>
          <w:sz w:val="28"/>
          <w:szCs w:val="28"/>
        </w:rPr>
        <w:t>1</w:t>
      </w:r>
      <w:r w:rsidRPr="00B118E9">
        <w:rPr>
          <w:rFonts w:ascii="Times New Roman" w:eastAsia="標楷體" w:hAnsi="Times New Roman"/>
          <w:sz w:val="28"/>
          <w:szCs w:val="28"/>
        </w:rPr>
        <w:t>季貨品出口微幅成長</w:t>
      </w:r>
      <w:r w:rsidRPr="00B118E9">
        <w:rPr>
          <w:rFonts w:ascii="Times New Roman" w:eastAsia="標楷體" w:hAnsi="Times New Roman"/>
          <w:sz w:val="28"/>
          <w:szCs w:val="28"/>
        </w:rPr>
        <w:t>0.7%</w:t>
      </w:r>
      <w:r w:rsidRPr="00B118E9">
        <w:rPr>
          <w:rFonts w:ascii="Times New Roman" w:eastAsia="標楷體" w:hAnsi="Times New Roman"/>
          <w:sz w:val="28"/>
          <w:szCs w:val="28"/>
        </w:rPr>
        <w:t>，較上一季</w:t>
      </w:r>
      <w:r w:rsidRPr="00B118E9">
        <w:rPr>
          <w:rFonts w:ascii="Times New Roman" w:eastAsia="標楷體" w:hAnsi="Times New Roman"/>
          <w:sz w:val="28"/>
          <w:szCs w:val="28"/>
        </w:rPr>
        <w:t>(-0.8%)</w:t>
      </w:r>
      <w:r w:rsidRPr="00B118E9">
        <w:rPr>
          <w:rFonts w:ascii="Times New Roman" w:eastAsia="標楷體" w:hAnsi="Times New Roman"/>
          <w:sz w:val="28"/>
          <w:szCs w:val="28"/>
        </w:rPr>
        <w:t>增加</w:t>
      </w:r>
      <w:r w:rsidRPr="00B118E9">
        <w:rPr>
          <w:rFonts w:ascii="Times New Roman" w:eastAsia="標楷體" w:hAnsi="Times New Roman"/>
          <w:sz w:val="28"/>
          <w:szCs w:val="28"/>
        </w:rPr>
        <w:t>1.5</w:t>
      </w:r>
      <w:r w:rsidRPr="00B118E9">
        <w:rPr>
          <w:rFonts w:ascii="Times New Roman" w:eastAsia="標楷體" w:hAnsi="Times New Roman"/>
          <w:sz w:val="28"/>
          <w:szCs w:val="28"/>
        </w:rPr>
        <w:t>個百分點，主要受惠於輸往印度</w:t>
      </w:r>
      <w:r w:rsidRPr="00B118E9">
        <w:rPr>
          <w:rFonts w:ascii="Times New Roman" w:eastAsia="標楷體" w:hAnsi="Times New Roman"/>
          <w:sz w:val="28"/>
          <w:szCs w:val="28"/>
        </w:rPr>
        <w:t>(12.4%)</w:t>
      </w:r>
      <w:r w:rsidRPr="00B118E9">
        <w:rPr>
          <w:rFonts w:ascii="Times New Roman" w:eastAsia="標楷體" w:hAnsi="Times New Roman"/>
          <w:sz w:val="28"/>
          <w:szCs w:val="28"/>
        </w:rPr>
        <w:t>及美國</w:t>
      </w:r>
      <w:r w:rsidRPr="00B118E9">
        <w:rPr>
          <w:rFonts w:ascii="Times New Roman" w:eastAsia="標楷體" w:hAnsi="Times New Roman"/>
          <w:sz w:val="28"/>
          <w:szCs w:val="28"/>
        </w:rPr>
        <w:t>(3.3%)</w:t>
      </w:r>
      <w:r w:rsidRPr="00B118E9">
        <w:rPr>
          <w:rFonts w:ascii="Times New Roman" w:eastAsia="標楷體" w:hAnsi="Times New Roman"/>
          <w:sz w:val="28"/>
          <w:szCs w:val="28"/>
        </w:rPr>
        <w:t>成長。輸往亞洲部分除新加坡</w:t>
      </w:r>
      <w:r w:rsidRPr="00B118E9">
        <w:rPr>
          <w:rFonts w:ascii="Times New Roman" w:eastAsia="標楷體" w:hAnsi="Times New Roman"/>
          <w:sz w:val="28"/>
          <w:szCs w:val="28"/>
        </w:rPr>
        <w:t>(0.4%)</w:t>
      </w:r>
      <w:r w:rsidRPr="00B118E9">
        <w:rPr>
          <w:rFonts w:ascii="Times New Roman" w:eastAsia="標楷體" w:hAnsi="Times New Roman"/>
          <w:sz w:val="28"/>
          <w:szCs w:val="28"/>
        </w:rPr>
        <w:t>有微幅成長外，其餘中國大陸</w:t>
      </w:r>
      <w:r w:rsidRPr="00B118E9">
        <w:rPr>
          <w:rFonts w:ascii="Times New Roman" w:eastAsia="標楷體" w:hAnsi="Times New Roman"/>
          <w:sz w:val="28"/>
          <w:szCs w:val="28"/>
        </w:rPr>
        <w:t>(-0.2%)</w:t>
      </w:r>
      <w:r w:rsidRPr="00B118E9">
        <w:rPr>
          <w:rFonts w:ascii="Times New Roman" w:eastAsia="標楷體" w:hAnsi="Times New Roman"/>
          <w:sz w:val="28"/>
          <w:szCs w:val="28"/>
        </w:rPr>
        <w:t>、韓國</w:t>
      </w:r>
      <w:r w:rsidRPr="00B118E9">
        <w:rPr>
          <w:rFonts w:ascii="Times New Roman" w:eastAsia="標楷體" w:hAnsi="Times New Roman"/>
          <w:sz w:val="28"/>
          <w:szCs w:val="28"/>
        </w:rPr>
        <w:t>(-5.7%)</w:t>
      </w:r>
      <w:r w:rsidRPr="00B118E9">
        <w:rPr>
          <w:rFonts w:ascii="Times New Roman" w:eastAsia="標楷體" w:hAnsi="Times New Roman"/>
          <w:sz w:val="28"/>
          <w:szCs w:val="28"/>
        </w:rPr>
        <w:t>、日本</w:t>
      </w:r>
      <w:r w:rsidRPr="00B118E9">
        <w:rPr>
          <w:rFonts w:ascii="Times New Roman" w:eastAsia="標楷體" w:hAnsi="Times New Roman"/>
          <w:sz w:val="28"/>
          <w:szCs w:val="28"/>
        </w:rPr>
        <w:t>(-5.8%)</w:t>
      </w:r>
      <w:r w:rsidRPr="00B118E9">
        <w:rPr>
          <w:rFonts w:ascii="Times New Roman" w:eastAsia="標楷體" w:hAnsi="Times New Roman"/>
          <w:sz w:val="28"/>
          <w:szCs w:val="28"/>
        </w:rPr>
        <w:t>及臺灣</w:t>
      </w:r>
      <w:r w:rsidRPr="00B118E9">
        <w:rPr>
          <w:rFonts w:ascii="Times New Roman" w:eastAsia="標楷體" w:hAnsi="Times New Roman"/>
          <w:sz w:val="28"/>
          <w:szCs w:val="28"/>
        </w:rPr>
        <w:t>(-12.8)</w:t>
      </w:r>
      <w:r w:rsidRPr="00B118E9">
        <w:rPr>
          <w:rFonts w:ascii="Times New Roman" w:eastAsia="標楷體" w:hAnsi="Times New Roman"/>
          <w:sz w:val="28"/>
          <w:szCs w:val="28"/>
        </w:rPr>
        <w:t>皆衰退。輸往歐盟的跌幅則持續擴大，由上季</w:t>
      </w:r>
      <w:r w:rsidRPr="00B118E9">
        <w:rPr>
          <w:rFonts w:ascii="Times New Roman" w:eastAsia="標楷體" w:hAnsi="Times New Roman"/>
          <w:sz w:val="28"/>
          <w:szCs w:val="28"/>
        </w:rPr>
        <w:t>-2.3%</w:t>
      </w:r>
      <w:r w:rsidRPr="00B118E9">
        <w:rPr>
          <w:rFonts w:ascii="Times New Roman" w:eastAsia="標楷體" w:hAnsi="Times New Roman"/>
          <w:sz w:val="28"/>
          <w:szCs w:val="28"/>
        </w:rPr>
        <w:t>下跌至</w:t>
      </w:r>
      <w:r w:rsidRPr="00B118E9">
        <w:rPr>
          <w:rFonts w:ascii="Times New Roman" w:eastAsia="標楷體" w:hAnsi="Times New Roman"/>
          <w:sz w:val="28"/>
          <w:szCs w:val="28"/>
        </w:rPr>
        <w:t>-3.5%</w:t>
      </w:r>
      <w:r w:rsidRPr="00B118E9">
        <w:rPr>
          <w:rFonts w:ascii="Times New Roman" w:eastAsia="標楷體" w:hAnsi="Times New Roman"/>
          <w:sz w:val="28"/>
          <w:szCs w:val="28"/>
        </w:rPr>
        <w:t>。另</w:t>
      </w:r>
      <w:r w:rsidRPr="00B118E9">
        <w:rPr>
          <w:rFonts w:ascii="Times New Roman" w:eastAsia="標楷體" w:hAnsi="Times New Roman"/>
          <w:sz w:val="28"/>
          <w:szCs w:val="28"/>
        </w:rPr>
        <w:t>3</w:t>
      </w:r>
      <w:r w:rsidRPr="00B118E9">
        <w:rPr>
          <w:rFonts w:ascii="Times New Roman" w:eastAsia="標楷體" w:hAnsi="Times New Roman"/>
          <w:sz w:val="28"/>
          <w:szCs w:val="28"/>
        </w:rPr>
        <w:t>月出口金額</w:t>
      </w:r>
      <w:r w:rsidRPr="00B118E9">
        <w:rPr>
          <w:rFonts w:ascii="Times New Roman" w:eastAsia="標楷體" w:hAnsi="Times New Roman"/>
          <w:sz w:val="28"/>
          <w:szCs w:val="28"/>
        </w:rPr>
        <w:t>2,961</w:t>
      </w:r>
      <w:r w:rsidRPr="00B118E9">
        <w:rPr>
          <w:rFonts w:ascii="Times New Roman" w:eastAsia="標楷體" w:hAnsi="Times New Roman"/>
          <w:sz w:val="28"/>
          <w:szCs w:val="28"/>
        </w:rPr>
        <w:t>億港元，較上年同月衰退</w:t>
      </w:r>
      <w:r w:rsidRPr="00B118E9">
        <w:rPr>
          <w:rFonts w:ascii="Times New Roman" w:eastAsia="標楷體" w:hAnsi="Times New Roman"/>
          <w:sz w:val="28"/>
          <w:szCs w:val="28"/>
        </w:rPr>
        <w:t>1.8%</w:t>
      </w:r>
      <w:r w:rsidRPr="00B118E9">
        <w:rPr>
          <w:rFonts w:ascii="Times New Roman" w:eastAsia="標楷體" w:hAnsi="Times New Roman"/>
          <w:sz w:val="28"/>
          <w:szCs w:val="28"/>
        </w:rPr>
        <w:t>，進口金額</w:t>
      </w:r>
      <w:r w:rsidRPr="00B118E9">
        <w:rPr>
          <w:rFonts w:ascii="Times New Roman" w:eastAsia="標楷體" w:hAnsi="Times New Roman"/>
          <w:sz w:val="28"/>
          <w:szCs w:val="28"/>
        </w:rPr>
        <w:t>3,423</w:t>
      </w:r>
      <w:r w:rsidRPr="00B118E9">
        <w:rPr>
          <w:rFonts w:ascii="Times New Roman" w:eastAsia="標楷體" w:hAnsi="Times New Roman"/>
          <w:sz w:val="28"/>
          <w:szCs w:val="28"/>
        </w:rPr>
        <w:t>億港元，較上年同月衰退</w:t>
      </w:r>
      <w:r w:rsidRPr="00B118E9">
        <w:rPr>
          <w:rFonts w:ascii="Times New Roman" w:eastAsia="標楷體" w:hAnsi="Times New Roman"/>
          <w:sz w:val="28"/>
          <w:szCs w:val="28"/>
        </w:rPr>
        <w:t>2.7%</w:t>
      </w:r>
      <w:r w:rsidRPr="00B118E9">
        <w:rPr>
          <w:rFonts w:ascii="Times New Roman" w:eastAsia="標楷體" w:hAnsi="Times New Roman"/>
          <w:sz w:val="28"/>
          <w:szCs w:val="28"/>
        </w:rPr>
        <w:t>。</w:t>
      </w:r>
    </w:p>
    <w:p w:rsidR="00B118E9" w:rsidRPr="00B118E9" w:rsidRDefault="00B118E9" w:rsidP="00B118E9">
      <w:pPr>
        <w:pStyle w:val="afffff"/>
        <w:numPr>
          <w:ilvl w:val="0"/>
          <w:numId w:val="13"/>
        </w:numPr>
        <w:snapToGrid w:val="0"/>
        <w:spacing w:before="180" w:line="300" w:lineRule="auto"/>
        <w:ind w:leftChars="0" w:right="-227" w:firstLineChars="0" w:hanging="554"/>
        <w:rPr>
          <w:rFonts w:ascii="Times New Roman" w:eastAsia="標楷體" w:hAnsi="Times New Roman"/>
          <w:sz w:val="28"/>
          <w:szCs w:val="28"/>
        </w:rPr>
      </w:pPr>
      <w:r w:rsidRPr="00B118E9">
        <w:rPr>
          <w:rFonts w:ascii="Times New Roman" w:eastAsia="標楷體" w:hAnsi="Times New Roman"/>
          <w:sz w:val="28"/>
          <w:szCs w:val="28"/>
        </w:rPr>
        <w:t>香港</w:t>
      </w:r>
      <w:r w:rsidRPr="00B118E9">
        <w:rPr>
          <w:rFonts w:ascii="Times New Roman" w:eastAsia="標楷體" w:hAnsi="Times New Roman"/>
          <w:sz w:val="28"/>
          <w:szCs w:val="28"/>
        </w:rPr>
        <w:t>2015</w:t>
      </w:r>
      <w:r w:rsidRPr="00B118E9">
        <w:rPr>
          <w:rFonts w:ascii="Times New Roman" w:eastAsia="標楷體" w:hAnsi="Times New Roman"/>
          <w:sz w:val="28"/>
          <w:szCs w:val="28"/>
        </w:rPr>
        <w:t>年</w:t>
      </w:r>
      <w:r w:rsidRPr="00B118E9">
        <w:rPr>
          <w:rFonts w:ascii="Times New Roman" w:eastAsia="標楷體" w:hAnsi="Times New Roman"/>
          <w:sz w:val="28"/>
          <w:szCs w:val="28"/>
        </w:rPr>
        <w:t>3</w:t>
      </w:r>
      <w:r w:rsidRPr="00B118E9">
        <w:rPr>
          <w:rFonts w:ascii="Times New Roman" w:eastAsia="標楷體" w:hAnsi="Times New Roman"/>
          <w:sz w:val="28"/>
          <w:szCs w:val="28"/>
        </w:rPr>
        <w:t>月訪港旅客數</w:t>
      </w:r>
      <w:r w:rsidRPr="00B118E9">
        <w:rPr>
          <w:rFonts w:ascii="Times New Roman" w:eastAsia="標楷體" w:hAnsi="Times New Roman"/>
          <w:sz w:val="28"/>
          <w:szCs w:val="28"/>
        </w:rPr>
        <w:t>6</w:t>
      </w:r>
      <w:r w:rsidRPr="00B118E9">
        <w:rPr>
          <w:rFonts w:ascii="Times New Roman" w:eastAsia="標楷體" w:hAnsi="Times New Roman"/>
          <w:sz w:val="28"/>
          <w:szCs w:val="28"/>
        </w:rPr>
        <w:t>年來首度出現負成長，計</w:t>
      </w:r>
      <w:r w:rsidRPr="00B118E9">
        <w:rPr>
          <w:rFonts w:ascii="Times New Roman" w:eastAsia="標楷體" w:hAnsi="Times New Roman"/>
          <w:sz w:val="28"/>
          <w:szCs w:val="28"/>
        </w:rPr>
        <w:t>441</w:t>
      </w:r>
      <w:r w:rsidRPr="00B118E9">
        <w:rPr>
          <w:rFonts w:ascii="Times New Roman" w:eastAsia="標楷體" w:hAnsi="Times New Roman"/>
          <w:sz w:val="28"/>
          <w:szCs w:val="28"/>
        </w:rPr>
        <w:t>萬人次，較上年同月下跌</w:t>
      </w:r>
      <w:r w:rsidRPr="00B118E9">
        <w:rPr>
          <w:rFonts w:ascii="Times New Roman" w:eastAsia="標楷體" w:hAnsi="Times New Roman"/>
          <w:sz w:val="28"/>
          <w:szCs w:val="28"/>
        </w:rPr>
        <w:t>8.7%</w:t>
      </w:r>
      <w:r w:rsidRPr="00B118E9">
        <w:rPr>
          <w:rFonts w:ascii="Times New Roman" w:eastAsia="標楷體" w:hAnsi="Times New Roman"/>
          <w:sz w:val="28"/>
          <w:szCs w:val="28"/>
        </w:rPr>
        <w:t>，主因係反水貨客示威活動導致中國大陸旅客數</w:t>
      </w:r>
      <w:r w:rsidRPr="00B118E9">
        <w:rPr>
          <w:rFonts w:ascii="Times New Roman" w:eastAsia="標楷體" w:hAnsi="Times New Roman"/>
          <w:sz w:val="28"/>
          <w:szCs w:val="28"/>
        </w:rPr>
        <w:t>(-10%)</w:t>
      </w:r>
      <w:r w:rsidRPr="00B118E9">
        <w:rPr>
          <w:rFonts w:ascii="Times New Roman" w:eastAsia="標楷體" w:hAnsi="Times New Roman"/>
          <w:sz w:val="28"/>
          <w:szCs w:val="28"/>
        </w:rPr>
        <w:t>下跌，以及東南亞貨幣相對港幣貶值，印尼</w:t>
      </w:r>
      <w:r w:rsidRPr="00B118E9">
        <w:rPr>
          <w:rFonts w:ascii="Times New Roman" w:eastAsia="標楷體" w:hAnsi="Times New Roman"/>
          <w:sz w:val="28"/>
          <w:szCs w:val="28"/>
        </w:rPr>
        <w:t>(-33.1%)</w:t>
      </w:r>
      <w:r w:rsidRPr="00B118E9">
        <w:rPr>
          <w:rFonts w:ascii="Times New Roman" w:eastAsia="標楷體" w:hAnsi="Times New Roman"/>
          <w:sz w:val="28"/>
          <w:szCs w:val="28"/>
        </w:rPr>
        <w:t>、新加坡</w:t>
      </w:r>
      <w:r w:rsidRPr="00B118E9">
        <w:rPr>
          <w:rFonts w:ascii="Times New Roman" w:eastAsia="標楷體" w:hAnsi="Times New Roman"/>
          <w:sz w:val="28"/>
          <w:szCs w:val="28"/>
        </w:rPr>
        <w:t>(-27.8%)</w:t>
      </w:r>
      <w:r w:rsidRPr="00B118E9">
        <w:rPr>
          <w:rFonts w:ascii="Times New Roman" w:eastAsia="標楷體" w:hAnsi="Times New Roman"/>
          <w:sz w:val="28"/>
          <w:szCs w:val="28"/>
        </w:rPr>
        <w:t>及馬來西亞</w:t>
      </w:r>
      <w:r w:rsidRPr="00B118E9">
        <w:rPr>
          <w:rFonts w:ascii="Times New Roman" w:eastAsia="標楷體" w:hAnsi="Times New Roman"/>
          <w:sz w:val="28"/>
          <w:szCs w:val="28"/>
        </w:rPr>
        <w:t>(-13.5%)</w:t>
      </w:r>
      <w:r w:rsidRPr="00B118E9">
        <w:rPr>
          <w:rFonts w:ascii="Times New Roman" w:eastAsia="標楷體" w:hAnsi="Times New Roman"/>
          <w:sz w:val="28"/>
          <w:szCs w:val="28"/>
        </w:rPr>
        <w:t>旅客數皆有明顯下跌。另受惠春節旅客數成長，</w:t>
      </w:r>
      <w:r w:rsidRPr="00B118E9">
        <w:rPr>
          <w:rFonts w:ascii="Times New Roman" w:eastAsia="標楷體" w:hAnsi="Times New Roman"/>
          <w:sz w:val="28"/>
          <w:szCs w:val="28"/>
        </w:rPr>
        <w:t>2015</w:t>
      </w:r>
      <w:r w:rsidRPr="00B118E9">
        <w:rPr>
          <w:rFonts w:ascii="Times New Roman" w:eastAsia="標楷體" w:hAnsi="Times New Roman"/>
          <w:sz w:val="28"/>
          <w:szCs w:val="28"/>
        </w:rPr>
        <w:t>年第</w:t>
      </w:r>
      <w:r w:rsidRPr="00B118E9">
        <w:rPr>
          <w:rFonts w:ascii="Times New Roman" w:eastAsia="標楷體" w:hAnsi="Times New Roman"/>
          <w:sz w:val="28"/>
          <w:szCs w:val="28"/>
        </w:rPr>
        <w:t>1</w:t>
      </w:r>
      <w:r w:rsidRPr="00B118E9">
        <w:rPr>
          <w:rFonts w:ascii="Times New Roman" w:eastAsia="標楷體" w:hAnsi="Times New Roman"/>
          <w:sz w:val="28"/>
          <w:szCs w:val="28"/>
        </w:rPr>
        <w:t>季訪港旅客計</w:t>
      </w:r>
      <w:r w:rsidRPr="00B118E9">
        <w:rPr>
          <w:rFonts w:ascii="Times New Roman" w:eastAsia="標楷體" w:hAnsi="Times New Roman"/>
          <w:sz w:val="28"/>
          <w:szCs w:val="28"/>
        </w:rPr>
        <w:t>1,540</w:t>
      </w:r>
      <w:r w:rsidRPr="00B118E9">
        <w:rPr>
          <w:rFonts w:ascii="Times New Roman" w:eastAsia="標楷體" w:hAnsi="Times New Roman"/>
          <w:sz w:val="28"/>
          <w:szCs w:val="28"/>
        </w:rPr>
        <w:t>萬人次，較上年同季成長</w:t>
      </w:r>
      <w:r w:rsidRPr="00B118E9">
        <w:rPr>
          <w:rFonts w:ascii="Times New Roman" w:eastAsia="標楷體" w:hAnsi="Times New Roman"/>
          <w:sz w:val="28"/>
          <w:szCs w:val="28"/>
        </w:rPr>
        <w:t>4.9%</w:t>
      </w:r>
      <w:r w:rsidRPr="00B118E9">
        <w:rPr>
          <w:rFonts w:ascii="Times New Roman" w:eastAsia="標楷體" w:hAnsi="Times New Roman"/>
          <w:sz w:val="28"/>
          <w:szCs w:val="28"/>
        </w:rPr>
        <w:t>，惟係自</w:t>
      </w:r>
      <w:r w:rsidRPr="00B118E9">
        <w:rPr>
          <w:rFonts w:ascii="Times New Roman" w:eastAsia="標楷體" w:hAnsi="Times New Roman"/>
          <w:sz w:val="28"/>
          <w:szCs w:val="28"/>
        </w:rPr>
        <w:t>2009</w:t>
      </w:r>
      <w:r w:rsidRPr="00B118E9">
        <w:rPr>
          <w:rFonts w:ascii="Times New Roman" w:eastAsia="標楷體" w:hAnsi="Times New Roman"/>
          <w:sz w:val="28"/>
          <w:szCs w:val="28"/>
        </w:rPr>
        <w:t>年第</w:t>
      </w:r>
      <w:r w:rsidRPr="00B118E9">
        <w:rPr>
          <w:rFonts w:ascii="Times New Roman" w:eastAsia="標楷體" w:hAnsi="Times New Roman"/>
          <w:sz w:val="28"/>
          <w:szCs w:val="28"/>
        </w:rPr>
        <w:t>3</w:t>
      </w:r>
      <w:r w:rsidRPr="00B118E9">
        <w:rPr>
          <w:rFonts w:ascii="Times New Roman" w:eastAsia="標楷體" w:hAnsi="Times New Roman"/>
          <w:sz w:val="28"/>
          <w:szCs w:val="28"/>
        </w:rPr>
        <w:t>季受口蹄疫影響以來成長幅度最低。</w:t>
      </w:r>
    </w:p>
    <w:p w:rsidR="00B118E9" w:rsidRPr="00B118E9" w:rsidRDefault="00B118E9" w:rsidP="00B118E9">
      <w:pPr>
        <w:pStyle w:val="afffff"/>
        <w:numPr>
          <w:ilvl w:val="0"/>
          <w:numId w:val="13"/>
        </w:numPr>
        <w:snapToGrid w:val="0"/>
        <w:spacing w:before="180" w:line="300" w:lineRule="auto"/>
        <w:ind w:leftChars="0" w:right="-227" w:firstLineChars="0" w:hanging="554"/>
        <w:rPr>
          <w:rFonts w:ascii="Times New Roman" w:eastAsia="標楷體" w:hAnsi="Times New Roman"/>
          <w:sz w:val="28"/>
          <w:szCs w:val="28"/>
        </w:rPr>
      </w:pPr>
      <w:r w:rsidRPr="00B118E9">
        <w:rPr>
          <w:rFonts w:ascii="Times New Roman" w:eastAsia="標楷體" w:hAnsi="Times New Roman"/>
          <w:sz w:val="28"/>
          <w:szCs w:val="28"/>
        </w:rPr>
        <w:t>為解決香港勞動人口數下降之問題，香港入境處自</w:t>
      </w:r>
      <w:r w:rsidRPr="00B118E9">
        <w:rPr>
          <w:rFonts w:ascii="Times New Roman" w:eastAsia="標楷體" w:hAnsi="Times New Roman"/>
          <w:sz w:val="28"/>
          <w:szCs w:val="28"/>
        </w:rPr>
        <w:t>2015</w:t>
      </w:r>
      <w:r w:rsidRPr="00B118E9">
        <w:rPr>
          <w:rFonts w:ascii="Times New Roman" w:eastAsia="標楷體" w:hAnsi="Times New Roman"/>
          <w:sz w:val="28"/>
          <w:szCs w:val="28"/>
        </w:rPr>
        <w:t>年</w:t>
      </w:r>
      <w:r w:rsidRPr="00B118E9">
        <w:rPr>
          <w:rFonts w:ascii="Times New Roman" w:eastAsia="標楷體" w:hAnsi="Times New Roman"/>
          <w:sz w:val="28"/>
          <w:szCs w:val="28"/>
        </w:rPr>
        <w:t>5</w:t>
      </w:r>
      <w:r w:rsidRPr="00B118E9">
        <w:rPr>
          <w:rFonts w:ascii="Times New Roman" w:eastAsia="標楷體" w:hAnsi="Times New Roman"/>
          <w:sz w:val="28"/>
          <w:szCs w:val="28"/>
        </w:rPr>
        <w:t>月</w:t>
      </w:r>
      <w:r w:rsidRPr="00B118E9">
        <w:rPr>
          <w:rFonts w:ascii="Times New Roman" w:eastAsia="標楷體" w:hAnsi="Times New Roman"/>
          <w:sz w:val="28"/>
          <w:szCs w:val="28"/>
        </w:rPr>
        <w:t>4</w:t>
      </w:r>
      <w:r w:rsidRPr="00B118E9">
        <w:rPr>
          <w:rFonts w:ascii="Times New Roman" w:eastAsia="標楷體" w:hAnsi="Times New Roman"/>
          <w:sz w:val="28"/>
          <w:szCs w:val="28"/>
        </w:rPr>
        <w:t>日起試行「輸入中國籍香港永久性居民第二代計畫」及其他人才、專業人士和企業家入境許可優惠措施，以吸引移居海外中國大陸籍香港永久性居民第二代回香港就業；並調整「優秀人才入境計畫」下的計分制度，以吸引高學歷或具國際工作經驗人才赴香港就業。</w:t>
      </w:r>
    </w:p>
    <w:p w:rsidR="00153EA4" w:rsidRPr="00B118E9" w:rsidRDefault="00153EA4" w:rsidP="00153EA4">
      <w:pPr>
        <w:pStyle w:val="t-5"/>
        <w:spacing w:beforeLines="50" w:before="180"/>
        <w:ind w:leftChars="0" w:left="0" w:firstLineChars="0" w:firstLine="0"/>
        <w:jc w:val="center"/>
        <w:rPr>
          <w:color w:val="FF0000"/>
          <w:lang w:val="zh-TW"/>
        </w:rPr>
      </w:pPr>
      <w:r w:rsidRPr="00B118E9">
        <w:rPr>
          <w:color w:val="FF0000"/>
          <w:lang w:val="zh-TW"/>
        </w:rPr>
        <w:t xml:space="preserve">   </w:t>
      </w:r>
    </w:p>
    <w:p w:rsidR="00153EA4" w:rsidRPr="00B118E9" w:rsidRDefault="00153EA4" w:rsidP="00153EA4">
      <w:pPr>
        <w:pStyle w:val="t-5"/>
        <w:spacing w:beforeLines="50" w:before="180"/>
        <w:ind w:leftChars="0" w:left="0" w:firstLineChars="0" w:firstLine="0"/>
        <w:jc w:val="center"/>
        <w:rPr>
          <w:b/>
          <w:color w:val="auto"/>
          <w:szCs w:val="32"/>
          <w:lang w:val="zh-TW"/>
        </w:rPr>
      </w:pPr>
      <w:r w:rsidRPr="00B118E9">
        <w:rPr>
          <w:b/>
          <w:color w:val="auto"/>
          <w:szCs w:val="32"/>
          <w:lang w:val="zh-TW"/>
        </w:rPr>
        <w:t>表</w:t>
      </w:r>
      <w:r w:rsidRPr="00B118E9">
        <w:rPr>
          <w:b/>
          <w:color w:val="auto"/>
          <w:szCs w:val="32"/>
          <w:lang w:val="zh-TW"/>
        </w:rPr>
        <w:t xml:space="preserve">1-3-4   </w:t>
      </w:r>
      <w:r w:rsidRPr="00B118E9">
        <w:rPr>
          <w:b/>
          <w:color w:val="auto"/>
          <w:szCs w:val="32"/>
          <w:lang w:val="zh-TW"/>
        </w:rPr>
        <w:t>香港重要經濟指標</w:t>
      </w:r>
    </w:p>
    <w:p w:rsidR="00153EA4" w:rsidRPr="00B118E9" w:rsidRDefault="00153EA4" w:rsidP="00153EA4">
      <w:pPr>
        <w:snapToGrid w:val="0"/>
        <w:jc w:val="right"/>
        <w:rPr>
          <w:rFonts w:eastAsia="標楷體"/>
          <w:bCs/>
          <w:szCs w:val="28"/>
        </w:rPr>
      </w:pPr>
      <w:r w:rsidRPr="00B118E9">
        <w:rPr>
          <w:rFonts w:eastAsia="標楷體"/>
          <w:bCs/>
          <w:sz w:val="28"/>
          <w:szCs w:val="32"/>
          <w:lang w:val="zh-TW"/>
        </w:rPr>
        <w:t xml:space="preserve">        </w:t>
      </w:r>
      <w:r w:rsidRPr="00B118E9">
        <w:rPr>
          <w:rFonts w:eastAsia="標楷體"/>
          <w:bCs/>
          <w:sz w:val="28"/>
          <w:szCs w:val="32"/>
          <w:lang w:val="zh-TW"/>
        </w:rPr>
        <w:t xml:space="preserve">　</w:t>
      </w:r>
      <w:r w:rsidRPr="00B118E9">
        <w:rPr>
          <w:rFonts w:eastAsia="標楷體"/>
          <w:bCs/>
          <w:sz w:val="28"/>
          <w:szCs w:val="32"/>
          <w:lang w:val="zh-TW"/>
        </w:rPr>
        <w:t xml:space="preserve">  </w:t>
      </w:r>
      <w:r w:rsidRPr="00B118E9">
        <w:rPr>
          <w:rFonts w:eastAsia="標楷體"/>
          <w:bCs/>
          <w:szCs w:val="28"/>
          <w:lang w:val="zh-TW"/>
        </w:rPr>
        <w:t>單位：</w:t>
      </w:r>
      <w:r w:rsidRPr="00B118E9">
        <w:rPr>
          <w:rFonts w:eastAsia="標楷體"/>
          <w:bCs/>
          <w:szCs w:val="28"/>
          <w:lang w:val="zh-TW"/>
        </w:rPr>
        <w:t>10</w:t>
      </w:r>
      <w:r w:rsidRPr="00B118E9">
        <w:rPr>
          <w:rFonts w:eastAsia="標楷體"/>
          <w:bCs/>
          <w:szCs w:val="28"/>
          <w:lang w:val="zh-TW"/>
        </w:rPr>
        <w:t>億港元；</w:t>
      </w:r>
      <w:r w:rsidR="00B118E9">
        <w:rPr>
          <w:rFonts w:eastAsia="標楷體" w:hint="eastAsia"/>
          <w:bCs/>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B118E9" w:rsidRPr="003B6B9A" w:rsidTr="00BD6B4B">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年</w:t>
            </w:r>
            <w:r w:rsidRPr="003B6B9A">
              <w:rPr>
                <w:rFonts w:eastAsia="標楷體"/>
                <w:bCs/>
                <w:sz w:val="22"/>
                <w:szCs w:val="22"/>
              </w:rPr>
              <w:t>(</w:t>
            </w:r>
            <w:r w:rsidRPr="003B6B9A">
              <w:rPr>
                <w:rFonts w:eastAsia="標楷體" w:hint="eastAsia"/>
                <w:bCs/>
                <w:sz w:val="22"/>
                <w:szCs w:val="22"/>
                <w:lang w:val="zh-TW"/>
              </w:rPr>
              <w:t>月</w:t>
            </w:r>
            <w:r w:rsidRPr="003B6B9A">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實質</w:t>
            </w:r>
          </w:p>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工業</w:t>
            </w:r>
          </w:p>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0"/>
              </w:rPr>
            </w:pPr>
            <w:r w:rsidRPr="003B6B9A">
              <w:rPr>
                <w:rFonts w:eastAsia="標楷體" w:hint="eastAsia"/>
                <w:bCs/>
                <w:sz w:val="22"/>
                <w:szCs w:val="20"/>
              </w:rPr>
              <w:t>貿</w:t>
            </w:r>
            <w:r w:rsidRPr="003B6B9A">
              <w:rPr>
                <w:rFonts w:eastAsia="標楷體"/>
                <w:bCs/>
                <w:sz w:val="22"/>
                <w:szCs w:val="20"/>
              </w:rPr>
              <w:t xml:space="preserve">    </w:t>
            </w:r>
            <w:r w:rsidRPr="003B6B9A">
              <w:rPr>
                <w:rFonts w:eastAsia="標楷體" w:hint="eastAsia"/>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lang w:val="zh-TW"/>
              </w:rPr>
            </w:pPr>
            <w:r w:rsidRPr="003B6B9A">
              <w:rPr>
                <w:rFonts w:eastAsia="標楷體" w:hint="eastAsia"/>
                <w:bCs/>
                <w:sz w:val="22"/>
                <w:szCs w:val="22"/>
                <w:lang w:val="zh-TW"/>
              </w:rPr>
              <w:t>消費者</w:t>
            </w:r>
          </w:p>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失業率</w:t>
            </w:r>
          </w:p>
        </w:tc>
      </w:tr>
      <w:tr w:rsidR="00B118E9" w:rsidRPr="003B6B9A" w:rsidTr="00BD6B4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B118E9" w:rsidRPr="003B6B9A" w:rsidRDefault="00B118E9" w:rsidP="00B118E9">
            <w:pPr>
              <w:tabs>
                <w:tab w:val="left" w:pos="6840"/>
              </w:tabs>
              <w:autoSpaceDE w:val="0"/>
              <w:autoSpaceDN w:val="0"/>
              <w:adjustRightInd w:val="0"/>
              <w:snapToGrid w:val="0"/>
              <w:spacing w:beforeLines="30" w:before="108" w:line="240" w:lineRule="atLeast"/>
              <w:jc w:val="center"/>
              <w:rPr>
                <w:rFonts w:eastAsia="標楷體"/>
                <w:bCs/>
                <w:sz w:val="22"/>
              </w:rPr>
            </w:pPr>
            <w:r w:rsidRPr="003B6B9A">
              <w:rPr>
                <w:rFonts w:eastAsia="標楷體" w:hint="eastAsia"/>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B118E9" w:rsidRPr="003B6B9A" w:rsidRDefault="00B118E9" w:rsidP="00BD6B4B">
            <w:pPr>
              <w:widowControl/>
              <w:rPr>
                <w:rFonts w:eastAsia="標楷體"/>
                <w:bCs/>
                <w:sz w:val="22"/>
                <w:szCs w:val="22"/>
              </w:rPr>
            </w:pPr>
          </w:p>
        </w:tc>
      </w:tr>
      <w:tr w:rsidR="00B118E9" w:rsidRPr="003B6B9A" w:rsidTr="00BD6B4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B118E9" w:rsidRPr="003B6B9A" w:rsidRDefault="00B118E9" w:rsidP="00BD6B4B">
            <w:pPr>
              <w:widowControl/>
              <w:rPr>
                <w:rFonts w:eastAsia="標楷體"/>
                <w:bCs/>
                <w:sz w:val="22"/>
                <w:szCs w:val="22"/>
              </w:rPr>
            </w:pP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2010</w:t>
            </w:r>
            <w:r w:rsidRPr="003B6B9A">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6.8</w:t>
            </w: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3.5</w:t>
            </w: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3,031.0</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22.8</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3,364.8</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25.0</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-333.8</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2.4</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4.4</w:t>
            </w:r>
          </w:p>
        </w:tc>
      </w:tr>
      <w:tr w:rsidR="00B118E9" w:rsidRPr="003B6B9A" w:rsidTr="00BD6B4B">
        <w:trPr>
          <w:cantSplit/>
          <w:trHeight w:val="340"/>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2011</w:t>
            </w:r>
            <w:r w:rsidRPr="003B6B9A">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4.9</w:t>
            </w: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0.7</w:t>
            </w: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3,337.3</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10.1</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3,764.6</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11.9</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-427.3</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5.3</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3.4</w:t>
            </w: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2012</w:t>
            </w:r>
            <w:r w:rsidRPr="003B6B9A">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1.</w:t>
            </w:r>
            <w:r w:rsidRPr="003B6B9A">
              <w:rPr>
                <w:rFonts w:eastAsia="標楷體" w:hint="eastAsia"/>
                <w:sz w:val="22"/>
                <w:szCs w:val="22"/>
              </w:rPr>
              <w:t>7</w:t>
            </w: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-0.8</w:t>
            </w: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3,434.3</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2.9</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3,912.2</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-477.8</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4.1</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3.3</w:t>
            </w: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2013</w:t>
            </w:r>
            <w:r w:rsidRPr="003B6B9A">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w:t>
            </w:r>
            <w:r w:rsidRPr="003B6B9A">
              <w:rPr>
                <w:rFonts w:eastAsia="標楷體"/>
                <w:sz w:val="22"/>
                <w:szCs w:val="22"/>
              </w:rPr>
              <w:t>.</w:t>
            </w:r>
            <w:r w:rsidRPr="003B6B9A">
              <w:rPr>
                <w:rFonts w:eastAsia="標楷體" w:hint="eastAsia"/>
                <w:sz w:val="22"/>
                <w:szCs w:val="22"/>
              </w:rPr>
              <w:t>1</w:t>
            </w: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0.1</w:t>
            </w: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3,5</w:t>
            </w:r>
            <w:r w:rsidRPr="003B6B9A">
              <w:rPr>
                <w:rFonts w:eastAsia="標楷體" w:hint="eastAsia"/>
                <w:sz w:val="22"/>
                <w:szCs w:val="22"/>
              </w:rPr>
              <w:t>59</w:t>
            </w:r>
            <w:r w:rsidRPr="003B6B9A">
              <w:rPr>
                <w:rFonts w:eastAsia="標楷體"/>
                <w:sz w:val="22"/>
                <w:szCs w:val="22"/>
              </w:rPr>
              <w:t>.</w:t>
            </w:r>
            <w:r w:rsidRPr="003B6B9A">
              <w:rPr>
                <w:rFonts w:eastAsia="標楷體" w:hint="eastAsia"/>
                <w:sz w:val="22"/>
                <w:szCs w:val="22"/>
              </w:rPr>
              <w:t>7</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3.6</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4,06</w:t>
            </w:r>
            <w:r w:rsidRPr="003B6B9A">
              <w:rPr>
                <w:rFonts w:eastAsia="標楷體" w:hint="eastAsia"/>
                <w:sz w:val="22"/>
                <w:szCs w:val="22"/>
              </w:rPr>
              <w:t>0</w:t>
            </w:r>
            <w:r w:rsidRPr="003B6B9A">
              <w:rPr>
                <w:rFonts w:eastAsia="標楷體"/>
                <w:sz w:val="22"/>
                <w:szCs w:val="22"/>
              </w:rPr>
              <w:t>.</w:t>
            </w:r>
            <w:r w:rsidRPr="003B6B9A">
              <w:rPr>
                <w:rFonts w:eastAsia="標楷體" w:hint="eastAsia"/>
                <w:sz w:val="22"/>
                <w:szCs w:val="22"/>
              </w:rPr>
              <w:t>7</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3.8</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-50</w:t>
            </w:r>
            <w:r w:rsidRPr="003B6B9A">
              <w:rPr>
                <w:rFonts w:eastAsia="標楷體" w:hint="eastAsia"/>
                <w:sz w:val="22"/>
                <w:szCs w:val="22"/>
              </w:rPr>
              <w:t>1</w:t>
            </w:r>
            <w:r w:rsidRPr="003B6B9A">
              <w:rPr>
                <w:rFonts w:eastAsia="標楷體"/>
                <w:sz w:val="22"/>
                <w:szCs w:val="22"/>
              </w:rPr>
              <w:t>.</w:t>
            </w:r>
            <w:r w:rsidRPr="003B6B9A">
              <w:rPr>
                <w:rFonts w:eastAsia="標楷體" w:hint="eastAsia"/>
                <w:sz w:val="22"/>
                <w:szCs w:val="22"/>
              </w:rPr>
              <w:t>0</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4.3</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3.4</w:t>
            </w: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2014</w:t>
            </w:r>
            <w:r w:rsidRPr="003B6B9A">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2.5</w:t>
            </w: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-0.4</w:t>
            </w: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3,672.8</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3.2</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4,219.0</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3.9</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-546.3</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4.4</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3.2</w:t>
            </w: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4</w:t>
            </w:r>
            <w:r w:rsidRPr="003B6B9A">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285.7</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-1.6</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341.0</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2.4</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-55.3</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3.7</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3.2</w:t>
            </w: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5</w:t>
            </w:r>
            <w:r w:rsidRPr="003B6B9A">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306.0</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4.9</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348.3</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3.7</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-42.3</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3.7</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3.2</w:t>
            </w: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6</w:t>
            </w:r>
            <w:r w:rsidRPr="003B6B9A">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2</w:t>
            </w:r>
            <w:r w:rsidRPr="003B6B9A">
              <w:rPr>
                <w:rFonts w:eastAsia="標楷體"/>
                <w:sz w:val="22"/>
                <w:szCs w:val="22"/>
              </w:rPr>
              <w:t>.</w:t>
            </w:r>
            <w:r w:rsidRPr="003B6B9A">
              <w:rPr>
                <w:rFonts w:eastAsia="標楷體" w:hint="eastAsia"/>
                <w:sz w:val="22"/>
                <w:szCs w:val="22"/>
              </w:rPr>
              <w:t>0</w:t>
            </w:r>
            <w:r w:rsidRPr="003B6B9A">
              <w:rPr>
                <w:rFonts w:eastAsia="標楷體"/>
                <w:sz w:val="22"/>
                <w:szCs w:val="22"/>
              </w:rPr>
              <w:t>(II)</w:t>
            </w: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2.2(II)</w:t>
            </w: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309.2</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11.4</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352.3</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7.6</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-43.1</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3.6</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3.2</w:t>
            </w: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7</w:t>
            </w:r>
            <w:r w:rsidRPr="003B6B9A">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326.2</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6.8</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368.3</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7.5</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-42.1</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4.0</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3.3</w:t>
            </w: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8</w:t>
            </w:r>
            <w:r w:rsidRPr="003B6B9A">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327.2</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6.4</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358.8</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3.4</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-31.5</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3.9</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3.3</w:t>
            </w: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9</w:t>
            </w:r>
            <w:r w:rsidRPr="003B6B9A">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2.</w:t>
            </w:r>
            <w:r w:rsidRPr="003B6B9A">
              <w:rPr>
                <w:rFonts w:eastAsia="標楷體" w:hint="eastAsia"/>
                <w:sz w:val="22"/>
                <w:szCs w:val="22"/>
              </w:rPr>
              <w:t>9</w:t>
            </w:r>
            <w:r w:rsidRPr="003B6B9A">
              <w:rPr>
                <w:rFonts w:eastAsia="標楷體"/>
                <w:sz w:val="22"/>
                <w:szCs w:val="22"/>
              </w:rPr>
              <w:t>(III)</w:t>
            </w: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-1.7(III)</w:t>
            </w: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332.0</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4.5</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382.4</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6.3</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-50.</w:t>
            </w:r>
            <w:r w:rsidRPr="003B6B9A">
              <w:rPr>
                <w:rFonts w:eastAsia="標楷體" w:hint="eastAsia"/>
                <w:sz w:val="22"/>
                <w:szCs w:val="22"/>
              </w:rPr>
              <w:t>4</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6.6</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3.3</w:t>
            </w: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10</w:t>
            </w:r>
            <w:r w:rsidRPr="003B6B9A">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331.7</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2.7</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381.6</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5.6</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-49.8</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5.2</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sz w:val="22"/>
                <w:szCs w:val="22"/>
              </w:rPr>
              <w:t>3.3</w:t>
            </w: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11</w:t>
            </w:r>
            <w:r w:rsidRPr="003B6B9A">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326.8</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0.4</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379.0</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2.4</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-52.2</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5.1</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3.3</w:t>
            </w: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12</w:t>
            </w:r>
            <w:r w:rsidRPr="003B6B9A">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2.4(IV)</w:t>
            </w: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-3.7(IV)</w:t>
            </w: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312.8</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0.6</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372.0</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1.9</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-59.3</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4.9</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3.3</w:t>
            </w: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2015</w:t>
            </w:r>
            <w:r w:rsidRPr="003B6B9A">
              <w:rPr>
                <w:rFonts w:eastAsia="標楷體" w:hint="eastAsia"/>
                <w:sz w:val="22"/>
                <w:szCs w:val="22"/>
              </w:rPr>
              <w:t>年</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1</w:t>
            </w:r>
            <w:r w:rsidRPr="003B6B9A">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311.9</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2.8</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348.9</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7.9</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-37.0</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4.1</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3.3</w:t>
            </w: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2</w:t>
            </w:r>
            <w:r w:rsidRPr="003B6B9A">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228.3</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7.2</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264.2</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-0.9</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-35.9</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4.6</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3.2</w:t>
            </w:r>
          </w:p>
        </w:tc>
      </w:tr>
      <w:tr w:rsidR="00B118E9" w:rsidRPr="003B6B9A" w:rsidTr="00BD6B4B">
        <w:trPr>
          <w:cantSplit/>
        </w:trPr>
        <w:tc>
          <w:tcPr>
            <w:tcW w:w="1288" w:type="dxa"/>
            <w:tcBorders>
              <w:top w:val="nil"/>
              <w:left w:val="nil"/>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w:t>
            </w:r>
            <w:r w:rsidRPr="003B6B9A">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2.1(I)</w:t>
            </w:r>
          </w:p>
        </w:tc>
        <w:tc>
          <w:tcPr>
            <w:tcW w:w="84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w:t>
            </w:r>
          </w:p>
        </w:tc>
        <w:tc>
          <w:tcPr>
            <w:tcW w:w="84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296.1</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-1.8</w:t>
            </w:r>
          </w:p>
        </w:tc>
        <w:tc>
          <w:tcPr>
            <w:tcW w:w="853"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342.3</w:t>
            </w:r>
          </w:p>
        </w:tc>
        <w:tc>
          <w:tcPr>
            <w:tcW w:w="78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-2.7</w:t>
            </w:r>
          </w:p>
        </w:tc>
        <w:tc>
          <w:tcPr>
            <w:tcW w:w="910"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-46.2</w:t>
            </w:r>
          </w:p>
        </w:tc>
        <w:tc>
          <w:tcPr>
            <w:tcW w:w="854" w:type="dxa"/>
            <w:tcBorders>
              <w:top w:val="nil"/>
              <w:left w:val="single" w:sz="6" w:space="0" w:color="auto"/>
              <w:bottom w:val="nil"/>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4.5</w:t>
            </w:r>
          </w:p>
        </w:tc>
        <w:tc>
          <w:tcPr>
            <w:tcW w:w="835" w:type="dxa"/>
            <w:tcBorders>
              <w:top w:val="nil"/>
              <w:left w:val="single" w:sz="6" w:space="0" w:color="auto"/>
              <w:bottom w:val="nil"/>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3.2</w:t>
            </w:r>
          </w:p>
        </w:tc>
      </w:tr>
      <w:tr w:rsidR="00B118E9" w:rsidRPr="003B6B9A" w:rsidTr="00BD6B4B">
        <w:trPr>
          <w:cantSplit/>
        </w:trPr>
        <w:tc>
          <w:tcPr>
            <w:tcW w:w="1288" w:type="dxa"/>
            <w:tcBorders>
              <w:top w:val="nil"/>
              <w:left w:val="nil"/>
              <w:bottom w:val="single" w:sz="6" w:space="0" w:color="auto"/>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4</w:t>
            </w:r>
            <w:r w:rsidRPr="003B6B9A">
              <w:rPr>
                <w:rFonts w:eastAsia="標楷體" w:hint="eastAsia"/>
                <w:sz w:val="22"/>
                <w:szCs w:val="22"/>
              </w:rPr>
              <w:t>月</w:t>
            </w:r>
          </w:p>
        </w:tc>
        <w:tc>
          <w:tcPr>
            <w:tcW w:w="1008" w:type="dxa"/>
            <w:tcBorders>
              <w:top w:val="nil"/>
              <w:left w:val="single" w:sz="6" w:space="0" w:color="auto"/>
              <w:bottom w:val="single" w:sz="6" w:space="0" w:color="auto"/>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4" w:type="dxa"/>
            <w:tcBorders>
              <w:top w:val="nil"/>
              <w:left w:val="single" w:sz="6" w:space="0" w:color="auto"/>
              <w:bottom w:val="single" w:sz="6" w:space="0" w:color="auto"/>
              <w:right w:val="single" w:sz="6" w:space="0" w:color="auto"/>
            </w:tcBorders>
            <w:shd w:val="clear" w:color="auto" w:fill="auto"/>
          </w:tcPr>
          <w:p w:rsidR="00B118E9" w:rsidRPr="003B6B9A" w:rsidRDefault="00B118E9" w:rsidP="00BD6B4B">
            <w:pPr>
              <w:jc w:val="center"/>
              <w:rPr>
                <w:rFonts w:eastAsia="標楷體"/>
                <w:sz w:val="22"/>
                <w:szCs w:val="22"/>
              </w:rPr>
            </w:pPr>
          </w:p>
        </w:tc>
        <w:tc>
          <w:tcPr>
            <w:tcW w:w="840" w:type="dxa"/>
            <w:tcBorders>
              <w:top w:val="nil"/>
              <w:left w:val="single" w:sz="6" w:space="0" w:color="auto"/>
              <w:bottom w:val="single" w:sz="6" w:space="0" w:color="auto"/>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w:t>
            </w:r>
          </w:p>
        </w:tc>
        <w:tc>
          <w:tcPr>
            <w:tcW w:w="835" w:type="dxa"/>
            <w:tcBorders>
              <w:top w:val="nil"/>
              <w:left w:val="single" w:sz="6" w:space="0" w:color="auto"/>
              <w:bottom w:val="single" w:sz="6" w:space="0" w:color="auto"/>
              <w:right w:val="nil"/>
            </w:tcBorders>
            <w:shd w:val="clear" w:color="auto" w:fill="auto"/>
          </w:tcPr>
          <w:p w:rsidR="00B118E9" w:rsidRPr="003B6B9A" w:rsidRDefault="00B118E9" w:rsidP="00BD6B4B">
            <w:pPr>
              <w:jc w:val="center"/>
              <w:rPr>
                <w:rFonts w:eastAsia="標楷體"/>
                <w:sz w:val="22"/>
                <w:szCs w:val="22"/>
              </w:rPr>
            </w:pPr>
            <w:r w:rsidRPr="003B6B9A">
              <w:rPr>
                <w:rFonts w:eastAsia="標楷體" w:hint="eastAsia"/>
                <w:sz w:val="22"/>
                <w:szCs w:val="22"/>
              </w:rPr>
              <w:t>3.2</w:t>
            </w:r>
          </w:p>
        </w:tc>
      </w:tr>
    </w:tbl>
    <w:p w:rsidR="00153EA4" w:rsidRPr="00B118E9" w:rsidRDefault="00153EA4" w:rsidP="00153EA4">
      <w:pPr>
        <w:tabs>
          <w:tab w:val="left" w:pos="6840"/>
        </w:tabs>
        <w:autoSpaceDE w:val="0"/>
        <w:autoSpaceDN w:val="0"/>
        <w:adjustRightInd w:val="0"/>
        <w:snapToGrid w:val="0"/>
        <w:spacing w:line="300" w:lineRule="exact"/>
        <w:jc w:val="both"/>
        <w:rPr>
          <w:rFonts w:eastAsia="標楷體"/>
          <w:bCs/>
          <w:sz w:val="22"/>
          <w:lang w:val="zh-TW"/>
        </w:rPr>
      </w:pPr>
      <w:r w:rsidRPr="00B118E9">
        <w:rPr>
          <w:rFonts w:eastAsia="標楷體"/>
          <w:bCs/>
          <w:sz w:val="22"/>
          <w:lang w:val="zh-TW"/>
        </w:rPr>
        <w:t>註</w:t>
      </w:r>
      <w:r w:rsidRPr="00B118E9">
        <w:rPr>
          <w:rFonts w:eastAsia="標楷體"/>
          <w:bCs/>
          <w:sz w:val="22"/>
        </w:rPr>
        <w:t>：出口係</w:t>
      </w:r>
      <w:r w:rsidRPr="00B118E9">
        <w:rPr>
          <w:rFonts w:eastAsia="標楷體"/>
          <w:sz w:val="22"/>
        </w:rPr>
        <w:t>轉口與港產品出口合計</w:t>
      </w:r>
      <w:r w:rsidRPr="00B118E9">
        <w:rPr>
          <w:rFonts w:eastAsia="標楷體"/>
          <w:bCs/>
          <w:sz w:val="22"/>
          <w:lang w:val="zh-TW"/>
        </w:rPr>
        <w:t>。</w:t>
      </w:r>
    </w:p>
    <w:p w:rsidR="00153EA4" w:rsidRPr="00B118E9" w:rsidRDefault="00153EA4" w:rsidP="00153EA4">
      <w:pPr>
        <w:widowControl/>
        <w:rPr>
          <w:rFonts w:eastAsia="標楷體"/>
          <w:b/>
          <w:bCs/>
          <w:sz w:val="40"/>
          <w:szCs w:val="36"/>
        </w:rPr>
      </w:pPr>
      <w:r w:rsidRPr="00B118E9">
        <w:rPr>
          <w:rFonts w:eastAsia="標楷體"/>
          <w:bCs/>
          <w:sz w:val="22"/>
          <w:lang w:val="zh-TW"/>
        </w:rPr>
        <w:t>資料來源：香港政府統計處。</w:t>
      </w:r>
      <w:r w:rsidRPr="00B118E9">
        <w:rPr>
          <w:rFonts w:eastAsia="標楷體"/>
          <w:b/>
          <w:bCs/>
          <w:sz w:val="40"/>
          <w:szCs w:val="36"/>
        </w:rPr>
        <w:br w:type="page"/>
      </w:r>
    </w:p>
    <w:p w:rsidR="003F3F99" w:rsidRPr="00B118E9" w:rsidRDefault="003F3F99" w:rsidP="000B03F6">
      <w:pPr>
        <w:keepNext/>
        <w:adjustRightInd w:val="0"/>
        <w:snapToGrid w:val="0"/>
        <w:spacing w:line="300" w:lineRule="auto"/>
        <w:outlineLvl w:val="1"/>
        <w:rPr>
          <w:rFonts w:eastAsia="標楷體"/>
          <w:b/>
          <w:bCs/>
          <w:sz w:val="40"/>
          <w:szCs w:val="36"/>
        </w:rPr>
      </w:pPr>
      <w:bookmarkStart w:id="78" w:name="_Toc401923793"/>
      <w:bookmarkStart w:id="79" w:name="_Toc402171710"/>
      <w:bookmarkStart w:id="80" w:name="_Toc420680035"/>
      <w:r w:rsidRPr="00B118E9">
        <w:rPr>
          <w:rFonts w:eastAsia="標楷體"/>
          <w:b/>
          <w:bCs/>
          <w:sz w:val="40"/>
          <w:szCs w:val="36"/>
        </w:rPr>
        <w:t>二、國內經濟</w:t>
      </w:r>
      <w:bookmarkEnd w:id="45"/>
      <w:bookmarkEnd w:id="46"/>
      <w:bookmarkEnd w:id="47"/>
      <w:bookmarkEnd w:id="78"/>
      <w:bookmarkEnd w:id="79"/>
      <w:bookmarkEnd w:id="80"/>
    </w:p>
    <w:p w:rsidR="003F3F99" w:rsidRPr="001040FB" w:rsidRDefault="003F3F99" w:rsidP="003F3F99">
      <w:pPr>
        <w:keepNext/>
        <w:ind w:rightChars="-25" w:right="-60"/>
        <w:outlineLvl w:val="2"/>
        <w:rPr>
          <w:rFonts w:eastAsia="標楷體"/>
          <w:b/>
          <w:bCs/>
          <w:sz w:val="32"/>
          <w:szCs w:val="32"/>
        </w:rPr>
      </w:pPr>
      <w:bookmarkStart w:id="81" w:name="_Toc337122130"/>
      <w:bookmarkStart w:id="82" w:name="_Toc349916582"/>
      <w:bookmarkStart w:id="83" w:name="_Toc401923794"/>
      <w:bookmarkStart w:id="84" w:name="_Toc402171711"/>
      <w:bookmarkStart w:id="85" w:name="_Toc420680036"/>
      <w:r w:rsidRPr="001040FB">
        <w:rPr>
          <w:rFonts w:eastAsia="標楷體"/>
          <w:b/>
          <w:bCs/>
          <w:sz w:val="32"/>
          <w:szCs w:val="32"/>
        </w:rPr>
        <w:t>（一）總體情勢</w:t>
      </w:r>
      <w:bookmarkEnd w:id="81"/>
      <w:bookmarkEnd w:id="82"/>
      <w:bookmarkEnd w:id="83"/>
      <w:bookmarkEnd w:id="84"/>
      <w:bookmarkEnd w:id="85"/>
    </w:p>
    <w:p w:rsidR="003F3F99" w:rsidRPr="00B118E9" w:rsidRDefault="003F3F99" w:rsidP="003F3F99">
      <w:pPr>
        <w:tabs>
          <w:tab w:val="left" w:pos="540"/>
        </w:tabs>
        <w:spacing w:afterLines="50" w:after="180" w:line="400" w:lineRule="exact"/>
        <w:rPr>
          <w:rFonts w:eastAsia="標楷體"/>
          <w:b/>
          <w:bCs/>
          <w:sz w:val="28"/>
          <w:szCs w:val="28"/>
        </w:rPr>
      </w:pPr>
      <w:bookmarkStart w:id="86" w:name="_Toc337122131"/>
      <w:r w:rsidRPr="00B118E9">
        <w:rPr>
          <w:rFonts w:eastAsia="標楷體"/>
          <w:b/>
          <w:bCs/>
          <w:sz w:val="28"/>
          <w:szCs w:val="28"/>
        </w:rPr>
        <w:t>１、</w:t>
      </w:r>
      <w:r w:rsidR="009F76C4" w:rsidRPr="003B6B9A">
        <w:rPr>
          <w:rFonts w:eastAsia="標楷體"/>
          <w:b/>
          <w:bCs/>
          <w:sz w:val="28"/>
          <w:szCs w:val="28"/>
        </w:rPr>
        <w:t>104</w:t>
      </w:r>
      <w:r w:rsidR="009F76C4" w:rsidRPr="003B6B9A">
        <w:rPr>
          <w:rFonts w:eastAsia="標楷體"/>
          <w:b/>
          <w:bCs/>
          <w:sz w:val="28"/>
          <w:szCs w:val="28"/>
        </w:rPr>
        <w:t>年經濟成長率預估為</w:t>
      </w:r>
      <w:r w:rsidR="009F76C4" w:rsidRPr="003B6B9A">
        <w:rPr>
          <w:rFonts w:eastAsia="標楷體"/>
          <w:b/>
          <w:bCs/>
          <w:sz w:val="28"/>
          <w:szCs w:val="28"/>
        </w:rPr>
        <w:t>3.28%</w:t>
      </w:r>
    </w:p>
    <w:p w:rsidR="003F3F99" w:rsidRDefault="009F76C4" w:rsidP="00533177">
      <w:pPr>
        <w:widowControl/>
        <w:snapToGrid w:val="0"/>
        <w:spacing w:beforeLines="50" w:before="180" w:line="300" w:lineRule="auto"/>
        <w:ind w:rightChars="-59" w:right="-142" w:firstLineChars="202" w:firstLine="566"/>
        <w:jc w:val="both"/>
        <w:rPr>
          <w:rFonts w:eastAsia="標楷體"/>
          <w:sz w:val="28"/>
          <w:szCs w:val="28"/>
        </w:rPr>
      </w:pPr>
      <w:r w:rsidRPr="003B6B9A">
        <w:rPr>
          <w:rFonts w:eastAsia="標楷體" w:hint="eastAsia"/>
          <w:sz w:val="28"/>
          <w:szCs w:val="28"/>
        </w:rPr>
        <w:t>全球景氣復甦力道疲弱，加上兩岸產業及國際品牌競爭加劇，內外需求展望均轉趨審慎</w:t>
      </w:r>
      <w:r w:rsidRPr="003B6B9A">
        <w:rPr>
          <w:rFonts w:eastAsia="標楷體"/>
          <w:sz w:val="28"/>
          <w:szCs w:val="28"/>
        </w:rPr>
        <w:t>；國際油價及原物料價格走跌，有助國內物價平穩。行政院主計總處預測</w:t>
      </w:r>
      <w:r w:rsidRPr="003B6B9A">
        <w:rPr>
          <w:rFonts w:eastAsia="標楷體"/>
          <w:sz w:val="28"/>
          <w:szCs w:val="28"/>
        </w:rPr>
        <w:t>104</w:t>
      </w:r>
      <w:r w:rsidRPr="003B6B9A">
        <w:rPr>
          <w:rFonts w:eastAsia="標楷體"/>
          <w:sz w:val="28"/>
          <w:szCs w:val="28"/>
        </w:rPr>
        <w:t>年經濟成長</w:t>
      </w:r>
      <w:r w:rsidRPr="003B6B9A">
        <w:rPr>
          <w:rFonts w:eastAsia="標楷體"/>
          <w:sz w:val="28"/>
          <w:szCs w:val="28"/>
        </w:rPr>
        <w:t>3.28%</w:t>
      </w:r>
      <w:r w:rsidRPr="003B6B9A">
        <w:rPr>
          <w:rFonts w:eastAsia="標楷體"/>
          <w:sz w:val="28"/>
          <w:szCs w:val="28"/>
        </w:rPr>
        <w:t>，消費者物價指數微幅上漲</w:t>
      </w:r>
      <w:r w:rsidRPr="003B6B9A">
        <w:rPr>
          <w:rFonts w:eastAsia="標楷體"/>
          <w:sz w:val="28"/>
          <w:szCs w:val="28"/>
        </w:rPr>
        <w:t>0.13%</w:t>
      </w:r>
      <w:r w:rsidRPr="003B6B9A">
        <w:rPr>
          <w:rFonts w:eastAsia="標楷體"/>
          <w:sz w:val="28"/>
          <w:szCs w:val="28"/>
        </w:rPr>
        <w:t>。</w:t>
      </w:r>
    </w:p>
    <w:p w:rsidR="009F76C4" w:rsidRPr="003B6B9A" w:rsidRDefault="009F76C4" w:rsidP="009F76C4">
      <w:pPr>
        <w:spacing w:line="400" w:lineRule="exact"/>
        <w:ind w:firstLineChars="152" w:firstLine="426"/>
        <w:jc w:val="center"/>
        <w:rPr>
          <w:rFonts w:eastAsia="標楷體"/>
          <w:b/>
          <w:bCs/>
          <w:kern w:val="0"/>
          <w:sz w:val="28"/>
          <w:szCs w:val="28"/>
        </w:rPr>
      </w:pPr>
      <w:r w:rsidRPr="003B6B9A">
        <w:rPr>
          <w:rFonts w:eastAsia="標楷體"/>
          <w:b/>
          <w:bCs/>
          <w:kern w:val="0"/>
          <w:sz w:val="28"/>
          <w:szCs w:val="28"/>
        </w:rPr>
        <w:t>表</w:t>
      </w:r>
      <w:r w:rsidRPr="003B6B9A">
        <w:rPr>
          <w:rFonts w:eastAsia="標楷體"/>
          <w:b/>
          <w:bCs/>
          <w:kern w:val="0"/>
          <w:sz w:val="28"/>
          <w:szCs w:val="28"/>
        </w:rPr>
        <w:t xml:space="preserve"> 2-1-1 </w:t>
      </w:r>
      <w:r w:rsidRPr="003B6B9A">
        <w:rPr>
          <w:rFonts w:eastAsia="標楷體"/>
          <w:b/>
          <w:bCs/>
          <w:kern w:val="0"/>
          <w:sz w:val="28"/>
          <w:szCs w:val="28"/>
        </w:rPr>
        <w:t>國內外主要機構對我國</w:t>
      </w:r>
      <w:r w:rsidRPr="003B6B9A">
        <w:rPr>
          <w:rFonts w:eastAsia="標楷體"/>
          <w:b/>
          <w:sz w:val="28"/>
          <w:szCs w:val="28"/>
          <w:lang w:val="zh-TW"/>
        </w:rPr>
        <w:t>經濟</w:t>
      </w:r>
      <w:r w:rsidRPr="003B6B9A">
        <w:rPr>
          <w:rFonts w:eastAsia="標楷體"/>
          <w:b/>
          <w:bCs/>
          <w:kern w:val="0"/>
          <w:sz w:val="28"/>
          <w:szCs w:val="28"/>
        </w:rPr>
        <w:t>成長率預測</w:t>
      </w:r>
    </w:p>
    <w:p w:rsidR="009F76C4" w:rsidRPr="003B6B9A" w:rsidRDefault="009F76C4" w:rsidP="009F76C4">
      <w:pPr>
        <w:spacing w:line="400" w:lineRule="exact"/>
        <w:ind w:rightChars="200" w:right="480" w:firstLineChars="152" w:firstLine="426"/>
        <w:jc w:val="right"/>
        <w:rPr>
          <w:rFonts w:eastAsia="標楷體"/>
          <w:kern w:val="0"/>
        </w:rPr>
      </w:pPr>
      <w:r w:rsidRPr="003B6B9A">
        <w:rPr>
          <w:rFonts w:eastAsia="標楷體"/>
          <w:b/>
          <w:bCs/>
          <w:kern w:val="0"/>
          <w:sz w:val="28"/>
          <w:szCs w:val="28"/>
        </w:rPr>
        <w:t xml:space="preserve">　　</w:t>
      </w:r>
      <w:r w:rsidRPr="003B6B9A">
        <w:rPr>
          <w:rFonts w:eastAsia="標楷體"/>
          <w:b/>
          <w:bCs/>
          <w:kern w:val="0"/>
          <w:sz w:val="28"/>
          <w:szCs w:val="28"/>
        </w:rPr>
        <w:t xml:space="preserve"> </w:t>
      </w:r>
      <w:r w:rsidRPr="003B6B9A">
        <w:rPr>
          <w:rFonts w:eastAsia="標楷體"/>
          <w:kern w:val="0"/>
        </w:rPr>
        <w:t>單位：</w:t>
      </w:r>
      <w:r w:rsidRPr="003B6B9A">
        <w:rPr>
          <w:rFonts w:eastAsia="標楷體"/>
          <w:kern w:val="0"/>
        </w:rPr>
        <w:t>%</w:t>
      </w:r>
    </w:p>
    <w:tbl>
      <w:tblPr>
        <w:tblW w:w="7529" w:type="dxa"/>
        <w:jc w:val="center"/>
        <w:tblInd w:w="2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735"/>
        <w:gridCol w:w="1897"/>
        <w:gridCol w:w="1897"/>
      </w:tblGrid>
      <w:tr w:rsidR="009F76C4" w:rsidRPr="003B6B9A" w:rsidTr="00BD6B4B">
        <w:trPr>
          <w:cantSplit/>
          <w:trHeight w:val="386"/>
          <w:jc w:val="center"/>
        </w:trPr>
        <w:tc>
          <w:tcPr>
            <w:tcW w:w="3735" w:type="dxa"/>
            <w:tcBorders>
              <w:left w:val="single" w:sz="4" w:space="0" w:color="auto"/>
              <w:bottom w:val="single" w:sz="4" w:space="0" w:color="auto"/>
              <w:tl2br w:val="single" w:sz="4" w:space="0" w:color="auto"/>
            </w:tcBorders>
            <w:vAlign w:val="center"/>
          </w:tcPr>
          <w:p w:rsidR="009F76C4" w:rsidRPr="003B6B9A" w:rsidRDefault="009F76C4" w:rsidP="00BD6B4B">
            <w:pPr>
              <w:widowControl/>
              <w:snapToGrid w:val="0"/>
              <w:spacing w:line="220" w:lineRule="exact"/>
              <w:ind w:left="28"/>
              <w:jc w:val="right"/>
              <w:rPr>
                <w:rFonts w:eastAsia="標楷體"/>
                <w:kern w:val="0"/>
              </w:rPr>
            </w:pPr>
            <w:r w:rsidRPr="003B6B9A">
              <w:rPr>
                <w:rFonts w:eastAsia="標楷體"/>
                <w:kern w:val="0"/>
              </w:rPr>
              <w:t>年別</w:t>
            </w:r>
          </w:p>
          <w:p w:rsidR="009F76C4" w:rsidRPr="003B6B9A" w:rsidRDefault="009F76C4" w:rsidP="00BD6B4B">
            <w:pPr>
              <w:widowControl/>
              <w:snapToGrid w:val="0"/>
              <w:spacing w:line="220" w:lineRule="exact"/>
              <w:ind w:left="28"/>
              <w:jc w:val="both"/>
              <w:rPr>
                <w:rFonts w:eastAsia="標楷體"/>
                <w:kern w:val="0"/>
              </w:rPr>
            </w:pPr>
            <w:r w:rsidRPr="003B6B9A">
              <w:rPr>
                <w:rFonts w:eastAsia="標楷體"/>
                <w:kern w:val="0"/>
              </w:rPr>
              <w:t>預測機構</w:t>
            </w:r>
          </w:p>
        </w:tc>
        <w:tc>
          <w:tcPr>
            <w:tcW w:w="1897" w:type="dxa"/>
            <w:tcBorders>
              <w:bottom w:val="single" w:sz="4" w:space="0" w:color="auto"/>
            </w:tcBorders>
            <w:vAlign w:val="center"/>
          </w:tcPr>
          <w:p w:rsidR="009F76C4" w:rsidRPr="003B6B9A" w:rsidRDefault="009F76C4" w:rsidP="00BD6B4B">
            <w:pPr>
              <w:widowControl/>
              <w:snapToGrid w:val="0"/>
              <w:spacing w:line="220" w:lineRule="exact"/>
              <w:ind w:left="640" w:hanging="640"/>
              <w:jc w:val="center"/>
              <w:rPr>
                <w:rFonts w:eastAsia="標楷體"/>
                <w:kern w:val="0"/>
              </w:rPr>
            </w:pPr>
            <w:r w:rsidRPr="003B6B9A">
              <w:rPr>
                <w:rFonts w:eastAsia="標楷體"/>
                <w:kern w:val="0"/>
              </w:rPr>
              <w:t>2014(f)</w:t>
            </w:r>
          </w:p>
        </w:tc>
        <w:tc>
          <w:tcPr>
            <w:tcW w:w="1897" w:type="dxa"/>
            <w:tcBorders>
              <w:bottom w:val="single" w:sz="4" w:space="0" w:color="auto"/>
            </w:tcBorders>
            <w:vAlign w:val="center"/>
          </w:tcPr>
          <w:p w:rsidR="009F76C4" w:rsidRPr="003B6B9A" w:rsidRDefault="009F76C4" w:rsidP="00BD6B4B">
            <w:pPr>
              <w:widowControl/>
              <w:snapToGrid w:val="0"/>
              <w:spacing w:line="220" w:lineRule="exact"/>
              <w:ind w:left="640" w:hanging="640"/>
              <w:jc w:val="center"/>
              <w:rPr>
                <w:rFonts w:eastAsia="標楷體"/>
                <w:kern w:val="0"/>
              </w:rPr>
            </w:pPr>
            <w:r w:rsidRPr="003B6B9A">
              <w:rPr>
                <w:rFonts w:eastAsia="標楷體"/>
                <w:kern w:val="0"/>
              </w:rPr>
              <w:t>2015(f)</w:t>
            </w:r>
          </w:p>
        </w:tc>
      </w:tr>
      <w:tr w:rsidR="009F76C4"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rPr>
                <w:rFonts w:eastAsia="標楷體"/>
              </w:rPr>
            </w:pPr>
            <w:r w:rsidRPr="003B6B9A">
              <w:rPr>
                <w:rFonts w:eastAsia="標楷體"/>
              </w:rPr>
              <w:t>ADB (2015.3)</w:t>
            </w:r>
          </w:p>
        </w:tc>
        <w:tc>
          <w:tcPr>
            <w:tcW w:w="1897" w:type="dxa"/>
            <w:tcBorders>
              <w:top w:val="single" w:sz="4" w:space="0" w:color="auto"/>
              <w:left w:val="single" w:sz="4" w:space="0" w:color="auto"/>
              <w:bottom w:val="single" w:sz="4" w:space="0" w:color="auto"/>
              <w:right w:val="single" w:sz="4" w:space="0" w:color="auto"/>
            </w:tcBorders>
            <w:vAlign w:val="center"/>
          </w:tcPr>
          <w:p w:rsidR="009F76C4" w:rsidRPr="003B6B9A" w:rsidRDefault="009F76C4" w:rsidP="00BD6B4B">
            <w:pPr>
              <w:snapToGrid w:val="0"/>
              <w:spacing w:line="300" w:lineRule="exact"/>
              <w:jc w:val="center"/>
            </w:pPr>
            <w:r w:rsidRPr="003B6B9A">
              <w:t>3.7</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napToGrid w:val="0"/>
              <w:spacing w:line="300" w:lineRule="exact"/>
              <w:jc w:val="center"/>
            </w:pPr>
            <w:r w:rsidRPr="003B6B9A">
              <w:t>3.7</w:t>
            </w:r>
          </w:p>
        </w:tc>
      </w:tr>
      <w:tr w:rsidR="009F76C4"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rPr>
                <w:rFonts w:eastAsia="標楷體"/>
              </w:rPr>
            </w:pPr>
            <w:r w:rsidRPr="003B6B9A">
              <w:rPr>
                <w:rFonts w:eastAsia="標楷體"/>
              </w:rPr>
              <w:t>IMF (2015.</w:t>
            </w:r>
            <w:r w:rsidRPr="003B6B9A">
              <w:rPr>
                <w:rFonts w:eastAsia="標楷體" w:hint="eastAsia"/>
              </w:rPr>
              <w:t>5</w:t>
            </w:r>
            <w:r w:rsidRPr="003B6B9A">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661361" w:rsidP="00BD6B4B">
            <w:pPr>
              <w:spacing w:line="340" w:lineRule="exact"/>
              <w:jc w:val="center"/>
              <w:rPr>
                <w:rFonts w:eastAsia="標楷體"/>
              </w:rPr>
            </w:pPr>
            <w:r>
              <w:rPr>
                <w:rFonts w:eastAsia="標楷體" w:hint="eastAsia"/>
              </w:rPr>
              <w:t>3.7</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3.8</w:t>
            </w:r>
          </w:p>
        </w:tc>
      </w:tr>
      <w:tr w:rsidR="009F76C4" w:rsidRPr="003B6B9A" w:rsidTr="00BD6B4B">
        <w:trPr>
          <w:trHeight w:val="284"/>
          <w:jc w:val="center"/>
        </w:trPr>
        <w:tc>
          <w:tcPr>
            <w:tcW w:w="3735" w:type="dxa"/>
            <w:tcBorders>
              <w:top w:val="single" w:sz="4" w:space="0" w:color="auto"/>
              <w:left w:val="single" w:sz="4" w:space="0" w:color="auto"/>
              <w:bottom w:val="double" w:sz="4" w:space="0" w:color="auto"/>
              <w:right w:val="single" w:sz="4" w:space="0" w:color="auto"/>
            </w:tcBorders>
          </w:tcPr>
          <w:p w:rsidR="009F76C4" w:rsidRPr="003B6B9A" w:rsidRDefault="009F76C4" w:rsidP="00BD6B4B">
            <w:pPr>
              <w:spacing w:line="340" w:lineRule="exact"/>
              <w:rPr>
                <w:rFonts w:eastAsia="標楷體"/>
              </w:rPr>
            </w:pPr>
            <w:r w:rsidRPr="003B6B9A">
              <w:rPr>
                <w:rFonts w:eastAsia="標楷體"/>
              </w:rPr>
              <w:t>Global Insight (2015.5)</w:t>
            </w:r>
          </w:p>
        </w:tc>
        <w:tc>
          <w:tcPr>
            <w:tcW w:w="1897" w:type="dxa"/>
            <w:tcBorders>
              <w:top w:val="single" w:sz="4" w:space="0" w:color="auto"/>
              <w:left w:val="single" w:sz="4" w:space="0" w:color="auto"/>
              <w:bottom w:val="doub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3.7</w:t>
            </w:r>
          </w:p>
        </w:tc>
        <w:tc>
          <w:tcPr>
            <w:tcW w:w="1897" w:type="dxa"/>
            <w:tcBorders>
              <w:top w:val="single" w:sz="4" w:space="0" w:color="auto"/>
              <w:left w:val="single" w:sz="4" w:space="0" w:color="auto"/>
              <w:bottom w:val="doub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3.6</w:t>
            </w:r>
          </w:p>
        </w:tc>
      </w:tr>
      <w:tr w:rsidR="009F76C4"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rPr>
                <w:rFonts w:eastAsia="標楷體"/>
              </w:rPr>
            </w:pPr>
            <w:r w:rsidRPr="003B6B9A">
              <w:rPr>
                <w:rFonts w:eastAsia="標楷體"/>
              </w:rPr>
              <w:t>中央研究院</w:t>
            </w:r>
            <w:r w:rsidRPr="003B6B9A">
              <w:rPr>
                <w:rFonts w:eastAsia="標楷體"/>
              </w:rPr>
              <w:t xml:space="preserve"> (2014.12)</w:t>
            </w:r>
            <w:r w:rsidRPr="003B6B9A">
              <w:rPr>
                <w:rFonts w:eastAsia="標楷體"/>
              </w:rPr>
              <w:tab/>
            </w:r>
          </w:p>
        </w:tc>
        <w:tc>
          <w:tcPr>
            <w:tcW w:w="1897" w:type="dxa"/>
            <w:tcBorders>
              <w:top w:val="single" w:sz="4" w:space="0" w:color="auto"/>
              <w:left w:val="single" w:sz="4" w:space="0" w:color="auto"/>
              <w:bottom w:val="single" w:sz="4" w:space="0" w:color="auto"/>
              <w:right w:val="single" w:sz="4" w:space="0" w:color="auto"/>
            </w:tcBorders>
            <w:vAlign w:val="center"/>
          </w:tcPr>
          <w:p w:rsidR="009F76C4" w:rsidRPr="003B6B9A" w:rsidRDefault="009F76C4" w:rsidP="00BD6B4B">
            <w:pPr>
              <w:snapToGrid w:val="0"/>
              <w:spacing w:line="300" w:lineRule="exact"/>
              <w:jc w:val="center"/>
            </w:pPr>
            <w:r w:rsidRPr="003B6B9A">
              <w:t>3.42</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napToGrid w:val="0"/>
              <w:spacing w:line="300" w:lineRule="exact"/>
              <w:jc w:val="center"/>
            </w:pPr>
            <w:r w:rsidRPr="003B6B9A">
              <w:t>3.38</w:t>
            </w:r>
          </w:p>
        </w:tc>
      </w:tr>
      <w:tr w:rsidR="009F76C4"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rPr>
                <w:rFonts w:eastAsia="標楷體"/>
              </w:rPr>
            </w:pPr>
            <w:r w:rsidRPr="003B6B9A">
              <w:rPr>
                <w:rFonts w:eastAsia="標楷體"/>
              </w:rPr>
              <w:t>中華經濟研究院</w:t>
            </w:r>
            <w:r w:rsidRPr="003B6B9A">
              <w:rPr>
                <w:rFonts w:eastAsia="標楷體"/>
              </w:rPr>
              <w:t xml:space="preserve"> (2015.4)</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3.74</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3.56</w:t>
            </w:r>
          </w:p>
        </w:tc>
      </w:tr>
      <w:tr w:rsidR="009F76C4"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rPr>
                <w:rFonts w:eastAsia="標楷體"/>
              </w:rPr>
            </w:pPr>
            <w:r w:rsidRPr="003B6B9A">
              <w:rPr>
                <w:rFonts w:eastAsia="標楷體"/>
              </w:rPr>
              <w:t>台灣經濟研究院</w:t>
            </w:r>
            <w:r w:rsidRPr="003B6B9A">
              <w:rPr>
                <w:rFonts w:eastAsia="標楷體"/>
              </w:rPr>
              <w:t xml:space="preserve"> (2015.4)</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3.44</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3.70</w:t>
            </w:r>
          </w:p>
        </w:tc>
      </w:tr>
      <w:tr w:rsidR="009F76C4"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rPr>
                <w:rFonts w:eastAsia="標楷體"/>
              </w:rPr>
            </w:pPr>
            <w:r w:rsidRPr="003B6B9A">
              <w:rPr>
                <w:rFonts w:eastAsia="標楷體"/>
              </w:rPr>
              <w:t>行政院主計總處</w:t>
            </w:r>
            <w:r w:rsidRPr="003B6B9A">
              <w:rPr>
                <w:rFonts w:eastAsia="標楷體"/>
              </w:rPr>
              <w:t xml:space="preserve"> (2015.5)</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3.77</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3.28</w:t>
            </w:r>
          </w:p>
        </w:tc>
      </w:tr>
    </w:tbl>
    <w:p w:rsidR="009F76C4" w:rsidRPr="003B6B9A" w:rsidRDefault="009F76C4" w:rsidP="009F76C4">
      <w:pPr>
        <w:widowControl/>
        <w:snapToGrid w:val="0"/>
        <w:spacing w:line="260" w:lineRule="exact"/>
        <w:ind w:leftChars="150" w:left="360"/>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f</w:t>
      </w:r>
      <w:r w:rsidRPr="003B6B9A">
        <w:rPr>
          <w:rFonts w:eastAsia="標楷體"/>
          <w:kern w:val="0"/>
          <w:sz w:val="22"/>
          <w:szCs w:val="22"/>
        </w:rPr>
        <w:t>表預測值。</w:t>
      </w:r>
    </w:p>
    <w:p w:rsidR="009F76C4" w:rsidRPr="003B6B9A" w:rsidRDefault="009F76C4" w:rsidP="009F76C4">
      <w:pPr>
        <w:widowControl/>
        <w:snapToGrid w:val="0"/>
        <w:spacing w:line="260" w:lineRule="exact"/>
        <w:ind w:leftChars="150" w:left="360"/>
        <w:jc w:val="both"/>
        <w:rPr>
          <w:rFonts w:eastAsia="標楷體"/>
          <w:kern w:val="0"/>
          <w:sz w:val="22"/>
          <w:szCs w:val="22"/>
        </w:rPr>
      </w:pPr>
      <w:r w:rsidRPr="003B6B9A">
        <w:rPr>
          <w:rFonts w:eastAsia="標楷體"/>
          <w:kern w:val="0"/>
          <w:sz w:val="22"/>
          <w:szCs w:val="22"/>
        </w:rPr>
        <w:t>資料來源：各機構。</w:t>
      </w:r>
    </w:p>
    <w:p w:rsidR="009F76C4" w:rsidRPr="003B6B9A" w:rsidRDefault="009F76C4" w:rsidP="009F76C4">
      <w:pPr>
        <w:widowControl/>
        <w:snapToGrid w:val="0"/>
        <w:spacing w:line="260" w:lineRule="exact"/>
        <w:ind w:leftChars="150" w:left="360"/>
        <w:jc w:val="both"/>
        <w:rPr>
          <w:rFonts w:eastAsia="標楷體"/>
          <w:kern w:val="0"/>
        </w:rPr>
      </w:pPr>
    </w:p>
    <w:p w:rsidR="009F76C4" w:rsidRPr="003B6B9A" w:rsidRDefault="009F76C4" w:rsidP="009F76C4">
      <w:pPr>
        <w:spacing w:line="400" w:lineRule="exact"/>
        <w:jc w:val="center"/>
        <w:rPr>
          <w:rFonts w:eastAsia="標楷體"/>
          <w:b/>
          <w:sz w:val="28"/>
          <w:szCs w:val="28"/>
          <w:lang w:val="zh-TW"/>
        </w:rPr>
      </w:pPr>
      <w:r w:rsidRPr="003B6B9A">
        <w:rPr>
          <w:rFonts w:eastAsia="標楷體"/>
          <w:b/>
          <w:sz w:val="28"/>
          <w:szCs w:val="28"/>
          <w:lang w:val="zh-TW"/>
        </w:rPr>
        <w:t>表</w:t>
      </w:r>
      <w:r w:rsidRPr="003B6B9A">
        <w:rPr>
          <w:rFonts w:eastAsia="標楷體"/>
          <w:b/>
          <w:sz w:val="28"/>
          <w:szCs w:val="28"/>
          <w:lang w:val="zh-TW"/>
        </w:rPr>
        <w:t xml:space="preserve"> 2-1-2  103</w:t>
      </w:r>
      <w:r w:rsidRPr="003B6B9A">
        <w:rPr>
          <w:rFonts w:eastAsia="標楷體"/>
          <w:b/>
          <w:sz w:val="28"/>
          <w:szCs w:val="28"/>
          <w:lang w:val="zh-TW"/>
        </w:rPr>
        <w:t>及</w:t>
      </w:r>
      <w:r w:rsidRPr="003B6B9A">
        <w:rPr>
          <w:rFonts w:eastAsia="標楷體"/>
          <w:b/>
          <w:sz w:val="28"/>
          <w:szCs w:val="28"/>
          <w:lang w:val="zh-TW"/>
        </w:rPr>
        <w:t>104</w:t>
      </w:r>
      <w:r w:rsidRPr="003B6B9A">
        <w:rPr>
          <w:rFonts w:eastAsia="標楷體"/>
          <w:b/>
          <w:sz w:val="28"/>
          <w:szCs w:val="28"/>
          <w:lang w:val="zh-TW"/>
        </w:rPr>
        <w:t>年需求面經濟成長組成</w:t>
      </w:r>
    </w:p>
    <w:tbl>
      <w:tblPr>
        <w:tblW w:w="8649" w:type="dxa"/>
        <w:jc w:val="center"/>
        <w:tblCellMar>
          <w:left w:w="28" w:type="dxa"/>
          <w:right w:w="28" w:type="dxa"/>
        </w:tblCellMar>
        <w:tblLook w:val="0000" w:firstRow="0" w:lastRow="0" w:firstColumn="0" w:lastColumn="0" w:noHBand="0" w:noVBand="0"/>
      </w:tblPr>
      <w:tblGrid>
        <w:gridCol w:w="2581"/>
        <w:gridCol w:w="1555"/>
        <w:gridCol w:w="1476"/>
        <w:gridCol w:w="1571"/>
        <w:gridCol w:w="1466"/>
      </w:tblGrid>
      <w:tr w:rsidR="009F76C4" w:rsidRPr="003B6B9A" w:rsidTr="00BD6B4B">
        <w:trPr>
          <w:cantSplit/>
          <w:jc w:val="center"/>
        </w:trPr>
        <w:tc>
          <w:tcPr>
            <w:tcW w:w="2581" w:type="dxa"/>
            <w:tcBorders>
              <w:top w:val="single" w:sz="6" w:space="0" w:color="auto"/>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Cs w:val="20"/>
              </w:rPr>
            </w:pPr>
          </w:p>
        </w:tc>
        <w:tc>
          <w:tcPr>
            <w:tcW w:w="3031" w:type="dxa"/>
            <w:gridSpan w:val="2"/>
            <w:tcBorders>
              <w:top w:val="single" w:sz="6" w:space="0" w:color="auto"/>
              <w:bottom w:val="single" w:sz="6" w:space="0" w:color="auto"/>
              <w:right w:val="single" w:sz="6" w:space="0" w:color="auto"/>
            </w:tcBorders>
            <w:vAlign w:val="center"/>
          </w:tcPr>
          <w:p w:rsidR="009F76C4" w:rsidRPr="003B6B9A" w:rsidRDefault="009F76C4" w:rsidP="00BD6B4B">
            <w:pPr>
              <w:widowControl/>
              <w:adjustRightInd w:val="0"/>
              <w:snapToGrid w:val="0"/>
              <w:ind w:right="-142"/>
              <w:jc w:val="center"/>
              <w:rPr>
                <w:rFonts w:eastAsia="標楷體"/>
                <w:kern w:val="0"/>
                <w:szCs w:val="20"/>
              </w:rPr>
            </w:pPr>
            <w:r w:rsidRPr="003B6B9A">
              <w:rPr>
                <w:rFonts w:eastAsia="標楷體"/>
                <w:kern w:val="0"/>
                <w:szCs w:val="20"/>
              </w:rPr>
              <w:t>103</w:t>
            </w:r>
            <w:r w:rsidRPr="003B6B9A">
              <w:rPr>
                <w:rFonts w:eastAsia="標楷體"/>
                <w:kern w:val="0"/>
                <w:szCs w:val="20"/>
              </w:rPr>
              <w:t>年</w:t>
            </w:r>
          </w:p>
        </w:tc>
        <w:tc>
          <w:tcPr>
            <w:tcW w:w="3037" w:type="dxa"/>
            <w:gridSpan w:val="2"/>
            <w:tcBorders>
              <w:top w:val="single" w:sz="6" w:space="0" w:color="auto"/>
              <w:bottom w:val="single" w:sz="6" w:space="0" w:color="auto"/>
            </w:tcBorders>
            <w:vAlign w:val="center"/>
          </w:tcPr>
          <w:p w:rsidR="009F76C4" w:rsidRPr="003B6B9A" w:rsidRDefault="009F76C4" w:rsidP="00BD6B4B">
            <w:pPr>
              <w:widowControl/>
              <w:adjustRightInd w:val="0"/>
              <w:snapToGrid w:val="0"/>
              <w:ind w:right="-142"/>
              <w:jc w:val="center"/>
              <w:rPr>
                <w:rFonts w:eastAsia="標楷體"/>
                <w:kern w:val="0"/>
                <w:szCs w:val="20"/>
              </w:rPr>
            </w:pPr>
            <w:r w:rsidRPr="003B6B9A">
              <w:rPr>
                <w:rFonts w:eastAsia="標楷體"/>
                <w:kern w:val="0"/>
                <w:szCs w:val="20"/>
              </w:rPr>
              <w:t>104</w:t>
            </w:r>
            <w:r w:rsidRPr="003B6B9A">
              <w:rPr>
                <w:rFonts w:eastAsia="標楷體"/>
                <w:kern w:val="0"/>
                <w:szCs w:val="20"/>
              </w:rPr>
              <w:t>年</w:t>
            </w:r>
          </w:p>
        </w:tc>
      </w:tr>
      <w:tr w:rsidR="009F76C4" w:rsidRPr="003B6B9A" w:rsidTr="00BD6B4B">
        <w:trPr>
          <w:cantSplit/>
          <w:jc w:val="center"/>
        </w:trPr>
        <w:tc>
          <w:tcPr>
            <w:tcW w:w="2581" w:type="dxa"/>
            <w:tcBorders>
              <w:bottom w:val="single" w:sz="6" w:space="0" w:color="auto"/>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Cs w:val="20"/>
              </w:rPr>
            </w:pPr>
          </w:p>
        </w:tc>
        <w:tc>
          <w:tcPr>
            <w:tcW w:w="1555" w:type="dxa"/>
            <w:tcBorders>
              <w:top w:val="single" w:sz="6" w:space="0" w:color="auto"/>
              <w:left w:val="single" w:sz="6" w:space="0" w:color="auto"/>
              <w:bottom w:val="single" w:sz="6" w:space="0" w:color="auto"/>
              <w:right w:val="single" w:sz="6" w:space="0" w:color="auto"/>
            </w:tcBorders>
            <w:vAlign w:val="center"/>
          </w:tcPr>
          <w:p w:rsidR="009F76C4" w:rsidRPr="003B6B9A" w:rsidRDefault="009F76C4" w:rsidP="00BD6B4B">
            <w:pPr>
              <w:widowControl/>
              <w:adjustRightInd w:val="0"/>
              <w:snapToGrid w:val="0"/>
              <w:ind w:right="-29"/>
              <w:jc w:val="center"/>
              <w:rPr>
                <w:rFonts w:eastAsia="標楷體"/>
                <w:kern w:val="0"/>
                <w:sz w:val="22"/>
                <w:szCs w:val="20"/>
              </w:rPr>
            </w:pPr>
            <w:r w:rsidRPr="003B6B9A">
              <w:rPr>
                <w:rFonts w:eastAsia="標楷體"/>
                <w:kern w:val="0"/>
                <w:sz w:val="22"/>
                <w:szCs w:val="20"/>
              </w:rPr>
              <w:t>實質增加率</w:t>
            </w:r>
            <w:r w:rsidRPr="003B6B9A">
              <w:rPr>
                <w:rFonts w:eastAsia="標楷體"/>
                <w:kern w:val="0"/>
                <w:sz w:val="22"/>
                <w:szCs w:val="20"/>
              </w:rPr>
              <w:t>(%)</w:t>
            </w:r>
          </w:p>
        </w:tc>
        <w:tc>
          <w:tcPr>
            <w:tcW w:w="1476" w:type="dxa"/>
            <w:tcBorders>
              <w:top w:val="single" w:sz="6" w:space="0" w:color="auto"/>
              <w:left w:val="single" w:sz="6" w:space="0" w:color="auto"/>
              <w:bottom w:val="single" w:sz="6" w:space="0" w:color="auto"/>
              <w:right w:val="single" w:sz="6" w:space="0" w:color="auto"/>
            </w:tcBorders>
            <w:vAlign w:val="center"/>
          </w:tcPr>
          <w:p w:rsidR="009F76C4" w:rsidRPr="003B6B9A" w:rsidRDefault="009F76C4" w:rsidP="00BD6B4B">
            <w:pPr>
              <w:widowControl/>
              <w:adjustRightInd w:val="0"/>
              <w:snapToGrid w:val="0"/>
              <w:ind w:right="-28"/>
              <w:jc w:val="center"/>
              <w:rPr>
                <w:rFonts w:eastAsia="標楷體"/>
                <w:kern w:val="0"/>
                <w:sz w:val="22"/>
                <w:szCs w:val="20"/>
              </w:rPr>
            </w:pPr>
            <w:r w:rsidRPr="003B6B9A">
              <w:rPr>
                <w:rFonts w:eastAsia="標楷體"/>
                <w:kern w:val="0"/>
                <w:sz w:val="22"/>
                <w:szCs w:val="20"/>
              </w:rPr>
              <w:t>貢獻</w:t>
            </w:r>
            <w:r w:rsidRPr="003B6B9A">
              <w:rPr>
                <w:rFonts w:eastAsia="標楷體"/>
                <w:kern w:val="0"/>
                <w:sz w:val="22"/>
                <w:szCs w:val="20"/>
              </w:rPr>
              <w:t>(</w:t>
            </w:r>
            <w:r w:rsidRPr="003B6B9A">
              <w:rPr>
                <w:rFonts w:eastAsia="標楷體"/>
                <w:kern w:val="0"/>
                <w:sz w:val="22"/>
                <w:szCs w:val="20"/>
              </w:rPr>
              <w:t>百分點</w:t>
            </w:r>
            <w:r w:rsidRPr="003B6B9A">
              <w:rPr>
                <w:rFonts w:eastAsia="標楷體"/>
                <w:kern w:val="0"/>
                <w:sz w:val="22"/>
                <w:szCs w:val="20"/>
              </w:rPr>
              <w:t>)</w:t>
            </w:r>
          </w:p>
        </w:tc>
        <w:tc>
          <w:tcPr>
            <w:tcW w:w="1571" w:type="dxa"/>
            <w:tcBorders>
              <w:top w:val="single" w:sz="6" w:space="0" w:color="auto"/>
              <w:left w:val="single" w:sz="6" w:space="0" w:color="auto"/>
              <w:bottom w:val="single" w:sz="6" w:space="0" w:color="auto"/>
              <w:right w:val="single" w:sz="6" w:space="0" w:color="auto"/>
            </w:tcBorders>
            <w:vAlign w:val="center"/>
          </w:tcPr>
          <w:p w:rsidR="009F76C4" w:rsidRPr="003B6B9A" w:rsidRDefault="009F76C4" w:rsidP="00BD6B4B">
            <w:pPr>
              <w:widowControl/>
              <w:adjustRightInd w:val="0"/>
              <w:snapToGrid w:val="0"/>
              <w:ind w:right="-29"/>
              <w:jc w:val="center"/>
              <w:rPr>
                <w:rFonts w:eastAsia="標楷體"/>
                <w:kern w:val="0"/>
                <w:sz w:val="22"/>
                <w:szCs w:val="20"/>
              </w:rPr>
            </w:pPr>
            <w:r w:rsidRPr="003B6B9A">
              <w:rPr>
                <w:rFonts w:eastAsia="標楷體"/>
                <w:kern w:val="0"/>
                <w:sz w:val="22"/>
                <w:szCs w:val="20"/>
              </w:rPr>
              <w:t>實質增加率</w:t>
            </w:r>
            <w:r w:rsidRPr="003B6B9A">
              <w:rPr>
                <w:rFonts w:eastAsia="標楷體"/>
                <w:kern w:val="0"/>
                <w:sz w:val="22"/>
                <w:szCs w:val="20"/>
              </w:rPr>
              <w:t>(%)</w:t>
            </w:r>
          </w:p>
        </w:tc>
        <w:tc>
          <w:tcPr>
            <w:tcW w:w="1466" w:type="dxa"/>
            <w:tcBorders>
              <w:top w:val="single" w:sz="6" w:space="0" w:color="auto"/>
              <w:left w:val="single" w:sz="6" w:space="0" w:color="auto"/>
              <w:bottom w:val="single" w:sz="6" w:space="0" w:color="auto"/>
            </w:tcBorders>
            <w:vAlign w:val="center"/>
          </w:tcPr>
          <w:p w:rsidR="009F76C4" w:rsidRPr="003B6B9A" w:rsidRDefault="009F76C4" w:rsidP="00BD6B4B">
            <w:pPr>
              <w:widowControl/>
              <w:adjustRightInd w:val="0"/>
              <w:snapToGrid w:val="0"/>
              <w:ind w:right="-29"/>
              <w:jc w:val="center"/>
              <w:rPr>
                <w:rFonts w:eastAsia="標楷體"/>
                <w:kern w:val="0"/>
                <w:sz w:val="22"/>
                <w:szCs w:val="20"/>
              </w:rPr>
            </w:pPr>
            <w:r w:rsidRPr="003B6B9A">
              <w:rPr>
                <w:rFonts w:eastAsia="標楷體"/>
                <w:kern w:val="0"/>
                <w:sz w:val="22"/>
                <w:szCs w:val="20"/>
              </w:rPr>
              <w:t>貢獻</w:t>
            </w:r>
            <w:r w:rsidRPr="003B6B9A">
              <w:rPr>
                <w:rFonts w:eastAsia="標楷體"/>
                <w:kern w:val="0"/>
                <w:sz w:val="22"/>
                <w:szCs w:val="20"/>
              </w:rPr>
              <w:t>(</w:t>
            </w:r>
            <w:r w:rsidRPr="003B6B9A">
              <w:rPr>
                <w:rFonts w:eastAsia="標楷體"/>
                <w:kern w:val="0"/>
                <w:sz w:val="22"/>
                <w:szCs w:val="20"/>
              </w:rPr>
              <w:t>百分點</w:t>
            </w:r>
            <w:r w:rsidRPr="003B6B9A">
              <w:rPr>
                <w:rFonts w:eastAsia="標楷體"/>
                <w:kern w:val="0"/>
                <w:sz w:val="22"/>
                <w:szCs w:val="20"/>
              </w:rPr>
              <w:t>)</w:t>
            </w:r>
          </w:p>
        </w:tc>
      </w:tr>
      <w:tr w:rsidR="009F76C4" w:rsidRPr="003B6B9A" w:rsidTr="00BD6B4B">
        <w:trPr>
          <w:cantSplit/>
          <w:trHeight w:val="65"/>
          <w:jc w:val="center"/>
        </w:trPr>
        <w:tc>
          <w:tcPr>
            <w:tcW w:w="2581" w:type="dxa"/>
            <w:tcBorders>
              <w:top w:val="single" w:sz="6" w:space="0" w:color="auto"/>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GDP</w:t>
            </w:r>
          </w:p>
        </w:tc>
        <w:tc>
          <w:tcPr>
            <w:tcW w:w="1555" w:type="dxa"/>
            <w:tcBorders>
              <w:top w:val="single" w:sz="6" w:space="0" w:color="auto"/>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3.77</w:t>
            </w:r>
          </w:p>
        </w:tc>
        <w:tc>
          <w:tcPr>
            <w:tcW w:w="1476" w:type="dxa"/>
            <w:tcBorders>
              <w:top w:val="single" w:sz="6" w:space="0" w:color="auto"/>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3.77</w:t>
            </w:r>
          </w:p>
        </w:tc>
        <w:tc>
          <w:tcPr>
            <w:tcW w:w="1571" w:type="dxa"/>
            <w:tcBorders>
              <w:top w:val="single" w:sz="6" w:space="0" w:color="auto"/>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3.28</w:t>
            </w:r>
          </w:p>
        </w:tc>
        <w:tc>
          <w:tcPr>
            <w:tcW w:w="1466" w:type="dxa"/>
            <w:tcBorders>
              <w:top w:val="single" w:sz="6" w:space="0" w:color="auto"/>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3.28</w:t>
            </w:r>
          </w:p>
        </w:tc>
      </w:tr>
      <w:tr w:rsidR="009F76C4" w:rsidRPr="003B6B9A" w:rsidTr="00BD6B4B">
        <w:trPr>
          <w:cantSplit/>
          <w:trHeight w:val="80"/>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國內需求</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3.46</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3.14</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1.90</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1.70</w:t>
            </w:r>
          </w:p>
        </w:tc>
      </w:tr>
      <w:tr w:rsidR="009F76C4" w:rsidRPr="003B6B9A" w:rsidTr="00BD6B4B">
        <w:trPr>
          <w:cantSplit/>
          <w:trHeight w:val="229"/>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民間消費</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2.95</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1.60</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2.76</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1.47</w:t>
            </w:r>
          </w:p>
        </w:tc>
      </w:tr>
      <w:tr w:rsidR="009F76C4" w:rsidRPr="003B6B9A" w:rsidTr="00BD6B4B">
        <w:trPr>
          <w:cantSplit/>
          <w:trHeight w:val="108"/>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政府消費</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3.69</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0.54</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-1.24</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-0.18</w:t>
            </w:r>
          </w:p>
        </w:tc>
      </w:tr>
      <w:tr w:rsidR="009F76C4" w:rsidRPr="003B6B9A" w:rsidTr="00BD6B4B">
        <w:trPr>
          <w:cantSplit/>
          <w:trHeight w:val="254"/>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國內投資</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1.84</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0.41</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2.00</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0.43</w:t>
            </w:r>
          </w:p>
        </w:tc>
      </w:tr>
      <w:tr w:rsidR="009F76C4" w:rsidRPr="003B6B9A" w:rsidTr="00BD6B4B">
        <w:trPr>
          <w:cantSplit/>
          <w:trHeight w:val="254"/>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民間</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3.46</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0.61</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4.02</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0.70</w:t>
            </w:r>
          </w:p>
        </w:tc>
      </w:tr>
      <w:tr w:rsidR="009F76C4" w:rsidRPr="003B6B9A" w:rsidTr="00BD6B4B">
        <w:trPr>
          <w:cantSplit/>
          <w:trHeight w:val="254"/>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公營</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4.42</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0.06</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-10.98</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-0.14</w:t>
            </w:r>
          </w:p>
        </w:tc>
      </w:tr>
      <w:tr w:rsidR="009F76C4" w:rsidRPr="003B6B9A" w:rsidTr="00BD6B4B">
        <w:trPr>
          <w:cantSplit/>
          <w:trHeight w:val="254"/>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政府</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-8.04</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-0.26</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-4.37</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-0.12</w:t>
            </w:r>
          </w:p>
        </w:tc>
      </w:tr>
      <w:tr w:rsidR="009F76C4" w:rsidRPr="003B6B9A" w:rsidTr="00BD6B4B">
        <w:trPr>
          <w:cantSplit/>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國外淨需求</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0.63</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1.57</w:t>
            </w:r>
          </w:p>
        </w:tc>
      </w:tr>
      <w:tr w:rsidR="009F76C4" w:rsidRPr="003B6B9A" w:rsidTr="00BD6B4B">
        <w:trPr>
          <w:cantSplit/>
          <w:jc w:val="center"/>
        </w:trPr>
        <w:tc>
          <w:tcPr>
            <w:tcW w:w="2581" w:type="dxa"/>
            <w:tcBorders>
              <w:right w:val="single" w:sz="6" w:space="0" w:color="auto"/>
            </w:tcBorders>
            <w:vAlign w:val="center"/>
          </w:tcPr>
          <w:p w:rsidR="009F76C4" w:rsidRPr="003B6B9A" w:rsidRDefault="009F76C4" w:rsidP="00BD6B4B">
            <w:pPr>
              <w:widowControl/>
              <w:adjustRightInd w:val="0"/>
              <w:snapToGrid w:val="0"/>
              <w:jc w:val="both"/>
              <w:rPr>
                <w:rFonts w:eastAsia="標楷體"/>
                <w:kern w:val="0"/>
                <w:sz w:val="22"/>
              </w:rPr>
            </w:pPr>
            <w:r w:rsidRPr="003B6B9A">
              <w:rPr>
                <w:rFonts w:eastAsia="標楷體"/>
                <w:kern w:val="0"/>
                <w:sz w:val="22"/>
              </w:rPr>
              <w:t xml:space="preserve">  </w:t>
            </w:r>
            <w:r w:rsidRPr="003B6B9A">
              <w:rPr>
                <w:rFonts w:eastAsia="標楷體"/>
                <w:kern w:val="0"/>
                <w:sz w:val="22"/>
              </w:rPr>
              <w:t>輸出</w:t>
            </w:r>
            <w:r w:rsidRPr="003B6B9A">
              <w:rPr>
                <w:rFonts w:eastAsia="標楷體"/>
                <w:kern w:val="0"/>
                <w:sz w:val="22"/>
              </w:rPr>
              <w:t>(</w:t>
            </w:r>
            <w:r w:rsidRPr="003B6B9A">
              <w:rPr>
                <w:rFonts w:eastAsia="標楷體"/>
                <w:kern w:val="0"/>
                <w:sz w:val="22"/>
              </w:rPr>
              <w:t>含商品及勞務</w:t>
            </w:r>
            <w:r w:rsidRPr="003B6B9A">
              <w:rPr>
                <w:rFonts w:eastAsia="標楷體"/>
                <w:kern w:val="0"/>
                <w:sz w:val="22"/>
              </w:rPr>
              <w:t>)</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5.90</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4.10</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4.69</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3.29</w:t>
            </w:r>
          </w:p>
        </w:tc>
      </w:tr>
      <w:tr w:rsidR="009F76C4" w:rsidRPr="003B6B9A" w:rsidTr="00BD6B4B">
        <w:trPr>
          <w:cantSplit/>
          <w:jc w:val="center"/>
        </w:trPr>
        <w:tc>
          <w:tcPr>
            <w:tcW w:w="2581" w:type="dxa"/>
            <w:tcBorders>
              <w:bottom w:val="dashSmallGap" w:sz="4" w:space="0" w:color="auto"/>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減：輸入</w:t>
            </w:r>
            <w:r w:rsidRPr="003B6B9A">
              <w:rPr>
                <w:rFonts w:eastAsia="標楷體"/>
                <w:kern w:val="0"/>
                <w:sz w:val="22"/>
                <w:szCs w:val="20"/>
              </w:rPr>
              <w:t>(</w:t>
            </w:r>
            <w:r w:rsidRPr="003B6B9A">
              <w:rPr>
                <w:rFonts w:eastAsia="標楷體"/>
                <w:kern w:val="0"/>
                <w:sz w:val="22"/>
                <w:szCs w:val="20"/>
              </w:rPr>
              <w:t>含商品及勞務</w:t>
            </w:r>
            <w:r w:rsidRPr="003B6B9A">
              <w:rPr>
                <w:rFonts w:eastAsia="標楷體"/>
                <w:kern w:val="0"/>
                <w:sz w:val="22"/>
                <w:szCs w:val="20"/>
              </w:rPr>
              <w:t>)</w:t>
            </w:r>
          </w:p>
        </w:tc>
        <w:tc>
          <w:tcPr>
            <w:tcW w:w="1555" w:type="dxa"/>
            <w:tcBorders>
              <w:bottom w:val="dashSmallGap" w:sz="4" w:space="0" w:color="auto"/>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5.75</w:t>
            </w:r>
          </w:p>
        </w:tc>
        <w:tc>
          <w:tcPr>
            <w:tcW w:w="1476" w:type="dxa"/>
            <w:tcBorders>
              <w:bottom w:val="dashSmallGap" w:sz="4" w:space="0" w:color="auto"/>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3.47</w:t>
            </w:r>
          </w:p>
        </w:tc>
        <w:tc>
          <w:tcPr>
            <w:tcW w:w="1571" w:type="dxa"/>
            <w:tcBorders>
              <w:bottom w:val="dashSmallGap" w:sz="4" w:space="0" w:color="auto"/>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2.88</w:t>
            </w:r>
          </w:p>
        </w:tc>
        <w:tc>
          <w:tcPr>
            <w:tcW w:w="1466" w:type="dxa"/>
            <w:tcBorders>
              <w:left w:val="single" w:sz="6" w:space="0" w:color="auto"/>
              <w:bottom w:val="dashSmallGap" w:sz="4"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1.72</w:t>
            </w:r>
          </w:p>
        </w:tc>
      </w:tr>
      <w:tr w:rsidR="009F76C4" w:rsidRPr="003B6B9A" w:rsidTr="00BD6B4B">
        <w:trPr>
          <w:cantSplit/>
          <w:trHeight w:val="143"/>
          <w:jc w:val="center"/>
        </w:trPr>
        <w:tc>
          <w:tcPr>
            <w:tcW w:w="2581" w:type="dxa"/>
            <w:tcBorders>
              <w:right w:val="single" w:sz="6" w:space="0" w:color="auto"/>
            </w:tcBorders>
          </w:tcPr>
          <w:p w:rsidR="009F76C4" w:rsidRPr="003B6B9A" w:rsidRDefault="009F76C4" w:rsidP="00BD6B4B">
            <w:pPr>
              <w:widowControl/>
              <w:adjustRightInd w:val="0"/>
              <w:snapToGrid w:val="0"/>
              <w:rPr>
                <w:rFonts w:eastAsia="標楷體"/>
                <w:kern w:val="0"/>
                <w:sz w:val="22"/>
              </w:rPr>
            </w:pPr>
            <w:r w:rsidRPr="003B6B9A">
              <w:rPr>
                <w:rFonts w:eastAsia="標楷體"/>
                <w:kern w:val="0"/>
                <w:sz w:val="22"/>
              </w:rPr>
              <w:t>躉售物價</w:t>
            </w:r>
            <w:r w:rsidRPr="003B6B9A">
              <w:rPr>
                <w:rFonts w:eastAsia="標楷體" w:hint="eastAsia"/>
                <w:kern w:val="0"/>
                <w:sz w:val="22"/>
              </w:rPr>
              <w:t>(</w:t>
            </w:r>
            <w:r w:rsidRPr="003B6B9A">
              <w:rPr>
                <w:rFonts w:eastAsia="標楷體"/>
                <w:kern w:val="0"/>
                <w:sz w:val="22"/>
              </w:rPr>
              <w:t>WPI</w:t>
            </w:r>
            <w:r w:rsidRPr="003B6B9A">
              <w:rPr>
                <w:rFonts w:eastAsia="標楷體" w:hint="eastAsia"/>
                <w:kern w:val="0"/>
                <w:sz w:val="22"/>
              </w:rPr>
              <w:t>)</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-0.57</w:t>
            </w:r>
          </w:p>
        </w:tc>
        <w:tc>
          <w:tcPr>
            <w:tcW w:w="1476" w:type="dxa"/>
            <w:tcBorders>
              <w:right w:val="single" w:sz="6" w:space="0" w:color="auto"/>
            </w:tcBorders>
          </w:tcPr>
          <w:p w:rsidR="009F76C4" w:rsidRPr="003B6B9A" w:rsidRDefault="009F76C4" w:rsidP="00BD6B4B">
            <w:pPr>
              <w:snapToGrid w:val="0"/>
              <w:ind w:right="453"/>
              <w:jc w:val="right"/>
              <w:rPr>
                <w:rFonts w:eastAsia="標楷體"/>
              </w:rPr>
            </w:pPr>
            <w:r w:rsidRPr="003B6B9A">
              <w:rPr>
                <w:rFonts w:eastAsia="標楷體"/>
              </w:rPr>
              <w:t>-</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-6.42</w:t>
            </w:r>
          </w:p>
        </w:tc>
        <w:tc>
          <w:tcPr>
            <w:tcW w:w="1466" w:type="dxa"/>
            <w:tcBorders>
              <w:left w:val="single" w:sz="6" w:space="0" w:color="auto"/>
            </w:tcBorders>
          </w:tcPr>
          <w:p w:rsidR="009F76C4" w:rsidRPr="003B6B9A" w:rsidRDefault="009F76C4" w:rsidP="00BD6B4B">
            <w:pPr>
              <w:snapToGrid w:val="0"/>
              <w:ind w:right="372"/>
              <w:jc w:val="right"/>
              <w:rPr>
                <w:rFonts w:eastAsia="標楷體"/>
              </w:rPr>
            </w:pPr>
            <w:r w:rsidRPr="003B6B9A">
              <w:rPr>
                <w:rFonts w:eastAsia="標楷體"/>
              </w:rPr>
              <w:t>-</w:t>
            </w:r>
          </w:p>
        </w:tc>
      </w:tr>
      <w:tr w:rsidR="009F76C4" w:rsidRPr="003B6B9A" w:rsidTr="00BD6B4B">
        <w:trPr>
          <w:cantSplit/>
          <w:trHeight w:val="143"/>
          <w:jc w:val="center"/>
        </w:trPr>
        <w:tc>
          <w:tcPr>
            <w:tcW w:w="2581" w:type="dxa"/>
            <w:tcBorders>
              <w:bottom w:val="single" w:sz="6" w:space="0" w:color="auto"/>
              <w:right w:val="single" w:sz="6" w:space="0" w:color="auto"/>
            </w:tcBorders>
          </w:tcPr>
          <w:p w:rsidR="009F76C4" w:rsidRPr="003B6B9A" w:rsidRDefault="009F76C4" w:rsidP="00BD6B4B">
            <w:pPr>
              <w:widowControl/>
              <w:adjustRightInd w:val="0"/>
              <w:snapToGrid w:val="0"/>
              <w:rPr>
                <w:rFonts w:eastAsia="標楷體"/>
                <w:kern w:val="0"/>
                <w:sz w:val="22"/>
              </w:rPr>
            </w:pPr>
            <w:r w:rsidRPr="003B6B9A">
              <w:rPr>
                <w:rFonts w:eastAsia="標楷體"/>
                <w:kern w:val="0"/>
                <w:sz w:val="22"/>
              </w:rPr>
              <w:t>消費者物價</w:t>
            </w:r>
            <w:r w:rsidRPr="003B6B9A">
              <w:rPr>
                <w:rFonts w:eastAsia="標楷體" w:hint="eastAsia"/>
                <w:kern w:val="0"/>
                <w:sz w:val="22"/>
              </w:rPr>
              <w:t>(</w:t>
            </w:r>
            <w:r w:rsidRPr="003B6B9A">
              <w:rPr>
                <w:rFonts w:eastAsia="標楷體"/>
                <w:kern w:val="0"/>
                <w:sz w:val="22"/>
              </w:rPr>
              <w:t>CPI</w:t>
            </w:r>
            <w:r w:rsidRPr="003B6B9A">
              <w:rPr>
                <w:rFonts w:eastAsia="標楷體" w:hint="eastAsia"/>
                <w:kern w:val="0"/>
                <w:sz w:val="22"/>
              </w:rPr>
              <w:t>)</w:t>
            </w:r>
          </w:p>
        </w:tc>
        <w:tc>
          <w:tcPr>
            <w:tcW w:w="1555" w:type="dxa"/>
            <w:tcBorders>
              <w:bottom w:val="single" w:sz="6" w:space="0" w:color="auto"/>
              <w:right w:val="single" w:sz="6" w:space="0" w:color="auto"/>
            </w:tcBorders>
          </w:tcPr>
          <w:p w:rsidR="009F76C4" w:rsidRPr="003B6B9A" w:rsidRDefault="009F76C4" w:rsidP="00BD6B4B">
            <w:pPr>
              <w:snapToGrid w:val="0"/>
              <w:ind w:right="537"/>
              <w:jc w:val="right"/>
              <w:rPr>
                <w:rFonts w:eastAsia="標楷體"/>
              </w:rPr>
            </w:pPr>
            <w:r w:rsidRPr="003B6B9A">
              <w:rPr>
                <w:rFonts w:eastAsia="標楷體"/>
              </w:rPr>
              <w:t>1.20</w:t>
            </w:r>
          </w:p>
        </w:tc>
        <w:tc>
          <w:tcPr>
            <w:tcW w:w="1476" w:type="dxa"/>
            <w:tcBorders>
              <w:bottom w:val="single" w:sz="6" w:space="0" w:color="auto"/>
              <w:right w:val="single" w:sz="6" w:space="0" w:color="auto"/>
            </w:tcBorders>
          </w:tcPr>
          <w:p w:rsidR="009F76C4" w:rsidRPr="003B6B9A" w:rsidRDefault="009F76C4" w:rsidP="00BD6B4B">
            <w:pPr>
              <w:snapToGrid w:val="0"/>
              <w:ind w:right="453"/>
              <w:jc w:val="right"/>
              <w:rPr>
                <w:rFonts w:eastAsia="標楷體"/>
              </w:rPr>
            </w:pPr>
            <w:r w:rsidRPr="003B6B9A">
              <w:rPr>
                <w:rFonts w:eastAsia="標楷體"/>
              </w:rPr>
              <w:t>-</w:t>
            </w:r>
          </w:p>
        </w:tc>
        <w:tc>
          <w:tcPr>
            <w:tcW w:w="1571" w:type="dxa"/>
            <w:tcBorders>
              <w:bottom w:val="single" w:sz="6" w:space="0" w:color="auto"/>
              <w:right w:val="single" w:sz="6" w:space="0" w:color="auto"/>
            </w:tcBorders>
          </w:tcPr>
          <w:p w:rsidR="009F76C4" w:rsidRPr="003B6B9A" w:rsidRDefault="009F76C4" w:rsidP="00BD6B4B">
            <w:pPr>
              <w:snapToGrid w:val="0"/>
              <w:ind w:right="465"/>
              <w:jc w:val="right"/>
              <w:rPr>
                <w:rFonts w:eastAsia="標楷體"/>
              </w:rPr>
            </w:pPr>
            <w:r w:rsidRPr="003B6B9A">
              <w:rPr>
                <w:rFonts w:eastAsia="標楷體"/>
              </w:rPr>
              <w:t>0.13</w:t>
            </w:r>
          </w:p>
        </w:tc>
        <w:tc>
          <w:tcPr>
            <w:tcW w:w="1466" w:type="dxa"/>
            <w:tcBorders>
              <w:left w:val="single" w:sz="6" w:space="0" w:color="auto"/>
              <w:bottom w:val="single" w:sz="6" w:space="0" w:color="auto"/>
            </w:tcBorders>
          </w:tcPr>
          <w:p w:rsidR="009F76C4" w:rsidRPr="003B6B9A" w:rsidRDefault="009F76C4" w:rsidP="00BD6B4B">
            <w:pPr>
              <w:snapToGrid w:val="0"/>
              <w:ind w:right="372"/>
              <w:jc w:val="right"/>
              <w:rPr>
                <w:rFonts w:eastAsia="標楷體"/>
              </w:rPr>
            </w:pPr>
            <w:r w:rsidRPr="003B6B9A">
              <w:rPr>
                <w:rFonts w:eastAsia="標楷體"/>
              </w:rPr>
              <w:t>-</w:t>
            </w:r>
          </w:p>
        </w:tc>
      </w:tr>
    </w:tbl>
    <w:p w:rsidR="009F76C4" w:rsidRPr="003B6B9A" w:rsidRDefault="009F76C4" w:rsidP="009F76C4">
      <w:pPr>
        <w:ind w:left="1120" w:rightChars="-257" w:right="-617" w:hangingChars="509" w:hanging="1120"/>
        <w:rPr>
          <w:rFonts w:eastAsia="標楷體"/>
          <w:sz w:val="22"/>
          <w:szCs w:val="22"/>
        </w:rPr>
      </w:pPr>
      <w:r w:rsidRPr="003B6B9A">
        <w:rPr>
          <w:rFonts w:eastAsia="標楷體"/>
          <w:sz w:val="22"/>
          <w:szCs w:val="22"/>
        </w:rPr>
        <w:t>資料來源：行政院主計總處，國民所得統計及國內經濟情勢展望，</w:t>
      </w:r>
      <w:r w:rsidRPr="003B6B9A">
        <w:rPr>
          <w:rFonts w:eastAsia="標楷體"/>
          <w:sz w:val="22"/>
          <w:szCs w:val="22"/>
        </w:rPr>
        <w:t>104</w:t>
      </w:r>
      <w:r w:rsidRPr="003B6B9A">
        <w:rPr>
          <w:rFonts w:eastAsia="標楷體"/>
          <w:sz w:val="22"/>
          <w:szCs w:val="22"/>
        </w:rPr>
        <w:t>年</w:t>
      </w:r>
      <w:r w:rsidRPr="003B6B9A">
        <w:rPr>
          <w:rFonts w:eastAsia="標楷體"/>
          <w:sz w:val="22"/>
          <w:szCs w:val="22"/>
        </w:rPr>
        <w:t>5</w:t>
      </w:r>
      <w:r w:rsidRPr="003B6B9A">
        <w:rPr>
          <w:rFonts w:eastAsia="標楷體"/>
          <w:sz w:val="22"/>
          <w:szCs w:val="22"/>
        </w:rPr>
        <w:t>月</w:t>
      </w:r>
      <w:r w:rsidRPr="003B6B9A">
        <w:rPr>
          <w:rFonts w:eastAsia="標楷體"/>
          <w:sz w:val="22"/>
          <w:szCs w:val="22"/>
        </w:rPr>
        <w:t>22</w:t>
      </w:r>
      <w:r w:rsidRPr="003B6B9A">
        <w:rPr>
          <w:rFonts w:eastAsia="標楷體"/>
          <w:sz w:val="22"/>
          <w:szCs w:val="22"/>
        </w:rPr>
        <w:t>日。</w:t>
      </w:r>
    </w:p>
    <w:p w:rsidR="00A35E1A" w:rsidRPr="009F76C4" w:rsidRDefault="00A35E1A" w:rsidP="003F3F99">
      <w:pPr>
        <w:ind w:left="1120" w:rightChars="-257" w:right="-617" w:hangingChars="509" w:hanging="1120"/>
        <w:rPr>
          <w:rFonts w:eastAsia="標楷體"/>
          <w:color w:val="FF0000"/>
          <w:sz w:val="22"/>
          <w:szCs w:val="22"/>
        </w:rPr>
      </w:pPr>
    </w:p>
    <w:p w:rsidR="00C7157A" w:rsidRPr="00B118E9" w:rsidRDefault="00C7157A" w:rsidP="00C7157A">
      <w:pPr>
        <w:tabs>
          <w:tab w:val="left" w:pos="540"/>
        </w:tabs>
        <w:spacing w:afterLines="50" w:after="180" w:line="460" w:lineRule="exact"/>
        <w:ind w:left="533" w:hangingChars="190" w:hanging="533"/>
        <w:rPr>
          <w:rFonts w:eastAsia="標楷體"/>
          <w:b/>
          <w:bCs/>
          <w:sz w:val="28"/>
          <w:szCs w:val="28"/>
        </w:rPr>
      </w:pPr>
      <w:bookmarkStart w:id="87" w:name="_Toc349916583"/>
      <w:bookmarkEnd w:id="86"/>
      <w:r w:rsidRPr="00B118E9">
        <w:rPr>
          <w:rFonts w:eastAsia="標楷體"/>
          <w:b/>
          <w:bCs/>
          <w:sz w:val="28"/>
          <w:szCs w:val="28"/>
        </w:rPr>
        <w:t>２、</w:t>
      </w:r>
      <w:r w:rsidR="009F76C4" w:rsidRPr="003B6B9A">
        <w:rPr>
          <w:rFonts w:eastAsia="標楷體" w:hint="eastAsia"/>
          <w:b/>
          <w:bCs/>
          <w:sz w:val="28"/>
          <w:szCs w:val="28"/>
        </w:rPr>
        <w:t>104</w:t>
      </w:r>
      <w:r w:rsidR="009F76C4" w:rsidRPr="003B6B9A">
        <w:rPr>
          <w:rFonts w:eastAsia="標楷體" w:hint="eastAsia"/>
          <w:b/>
          <w:bCs/>
          <w:sz w:val="28"/>
          <w:szCs w:val="28"/>
        </w:rPr>
        <w:t>年</w:t>
      </w:r>
      <w:r w:rsidR="009F76C4" w:rsidRPr="003B6B9A">
        <w:rPr>
          <w:rFonts w:eastAsia="標楷體" w:hint="eastAsia"/>
          <w:b/>
          <w:bCs/>
          <w:sz w:val="28"/>
          <w:szCs w:val="28"/>
        </w:rPr>
        <w:t>4</w:t>
      </w:r>
      <w:r w:rsidR="009F76C4" w:rsidRPr="003B6B9A">
        <w:rPr>
          <w:rFonts w:eastAsia="標楷體" w:hint="eastAsia"/>
          <w:b/>
          <w:bCs/>
          <w:sz w:val="28"/>
          <w:szCs w:val="28"/>
        </w:rPr>
        <w:t>月景氣對策信號轉呈藍燈，領先指標及同時指標持續下跌，且跌幅逐漸擴大，國內景氣呈現轉弱跡象</w:t>
      </w:r>
    </w:p>
    <w:p w:rsidR="00C7157A" w:rsidRPr="00B118E9" w:rsidRDefault="00C7157A" w:rsidP="00C7157A">
      <w:pPr>
        <w:snapToGrid w:val="0"/>
        <w:spacing w:beforeLines="50" w:before="180" w:line="300" w:lineRule="auto"/>
        <w:ind w:rightChars="-59" w:right="-142"/>
        <w:jc w:val="both"/>
        <w:rPr>
          <w:rFonts w:eastAsia="標楷體"/>
          <w:sz w:val="28"/>
          <w:szCs w:val="28"/>
        </w:rPr>
      </w:pPr>
      <w:r w:rsidRPr="00B118E9">
        <w:rPr>
          <w:rFonts w:eastAsia="標楷體"/>
          <w:sz w:val="28"/>
          <w:szCs w:val="28"/>
        </w:rPr>
        <w:t xml:space="preserve"> (1) </w:t>
      </w:r>
      <w:r w:rsidRPr="00B118E9">
        <w:rPr>
          <w:rFonts w:eastAsia="標楷體"/>
          <w:sz w:val="28"/>
          <w:szCs w:val="28"/>
        </w:rPr>
        <w:t>領先指標</w:t>
      </w:r>
    </w:p>
    <w:p w:rsidR="00C7157A" w:rsidRPr="00B118E9" w:rsidRDefault="009F76C4" w:rsidP="00C7157A">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r w:rsidRPr="003B6B9A">
        <w:rPr>
          <w:rFonts w:eastAsia="標楷體" w:hint="eastAsia"/>
          <w:kern w:val="0"/>
          <w:sz w:val="28"/>
          <w:szCs w:val="28"/>
        </w:rPr>
        <w:t>104</w:t>
      </w:r>
      <w:r w:rsidRPr="003B6B9A">
        <w:rPr>
          <w:rFonts w:eastAsia="標楷體" w:hint="eastAsia"/>
          <w:kern w:val="0"/>
          <w:sz w:val="28"/>
          <w:szCs w:val="28"/>
        </w:rPr>
        <w:t>年</w:t>
      </w:r>
      <w:r w:rsidRPr="003B6B9A">
        <w:rPr>
          <w:rFonts w:eastAsia="標楷體" w:hint="eastAsia"/>
          <w:kern w:val="0"/>
          <w:sz w:val="28"/>
          <w:szCs w:val="28"/>
        </w:rPr>
        <w:t>4</w:t>
      </w:r>
      <w:r w:rsidRPr="003B6B9A">
        <w:rPr>
          <w:rFonts w:eastAsia="標楷體" w:hint="eastAsia"/>
          <w:kern w:val="0"/>
          <w:sz w:val="28"/>
          <w:szCs w:val="28"/>
        </w:rPr>
        <w:t>月不含趨勢之領先指標為</w:t>
      </w:r>
      <w:r w:rsidRPr="003B6B9A">
        <w:rPr>
          <w:rFonts w:eastAsia="標楷體"/>
          <w:kern w:val="0"/>
          <w:sz w:val="28"/>
          <w:szCs w:val="28"/>
        </w:rPr>
        <w:t>97.74</w:t>
      </w:r>
      <w:r w:rsidRPr="003B6B9A">
        <w:rPr>
          <w:rFonts w:eastAsia="標楷體" w:hint="eastAsia"/>
          <w:kern w:val="0"/>
          <w:sz w:val="28"/>
          <w:szCs w:val="28"/>
        </w:rPr>
        <w:t>，較上月下跌</w:t>
      </w:r>
      <w:r w:rsidRPr="003B6B9A">
        <w:rPr>
          <w:rFonts w:eastAsia="標楷體"/>
          <w:kern w:val="0"/>
          <w:sz w:val="28"/>
          <w:szCs w:val="28"/>
        </w:rPr>
        <w:t>0.58%</w:t>
      </w:r>
      <w:r w:rsidRPr="003B6B9A">
        <w:rPr>
          <w:rFonts w:eastAsia="標楷體" w:hint="eastAsia"/>
          <w:kern w:val="0"/>
          <w:sz w:val="28"/>
          <w:szCs w:val="28"/>
        </w:rPr>
        <w:t>，已連續</w:t>
      </w:r>
      <w:r w:rsidRPr="003B6B9A">
        <w:rPr>
          <w:rFonts w:eastAsia="標楷體"/>
          <w:kern w:val="0"/>
          <w:sz w:val="28"/>
          <w:szCs w:val="28"/>
        </w:rPr>
        <w:t>12</w:t>
      </w:r>
      <w:r w:rsidRPr="003B6B9A">
        <w:rPr>
          <w:rFonts w:eastAsia="標楷體" w:hint="eastAsia"/>
          <w:kern w:val="0"/>
          <w:sz w:val="28"/>
          <w:szCs w:val="28"/>
        </w:rPr>
        <w:t>個月下跌，且跌幅正逐漸擴大。</w:t>
      </w:r>
      <w:r w:rsidRPr="003B6B9A">
        <w:rPr>
          <w:rFonts w:eastAsia="標楷體" w:hint="eastAsia"/>
          <w:kern w:val="0"/>
          <w:sz w:val="28"/>
          <w:szCs w:val="28"/>
        </w:rPr>
        <w:t>7</w:t>
      </w:r>
      <w:r w:rsidRPr="003B6B9A">
        <w:rPr>
          <w:rFonts w:eastAsia="標楷體" w:hint="eastAsia"/>
          <w:kern w:val="0"/>
          <w:sz w:val="28"/>
          <w:szCs w:val="28"/>
        </w:rPr>
        <w:t>個構成項目經去除長期趨勢後，</w:t>
      </w:r>
      <w:r w:rsidRPr="003B6B9A">
        <w:rPr>
          <w:rFonts w:eastAsia="標楷體"/>
          <w:kern w:val="0"/>
          <w:sz w:val="28"/>
          <w:szCs w:val="28"/>
        </w:rPr>
        <w:t>3</w:t>
      </w:r>
      <w:r w:rsidRPr="003B6B9A">
        <w:rPr>
          <w:rFonts w:eastAsia="標楷體" w:hint="eastAsia"/>
          <w:kern w:val="0"/>
          <w:sz w:val="28"/>
          <w:szCs w:val="28"/>
        </w:rPr>
        <w:t>項較上月上升，分別為：</w:t>
      </w:r>
      <w:r w:rsidRPr="003B6B9A">
        <w:rPr>
          <w:rFonts w:eastAsia="標楷體"/>
          <w:kern w:val="0"/>
          <w:sz w:val="28"/>
          <w:szCs w:val="28"/>
        </w:rPr>
        <w:t>SEMI</w:t>
      </w:r>
      <w:r w:rsidRPr="003B6B9A">
        <w:rPr>
          <w:rFonts w:eastAsia="標楷體" w:hint="eastAsia"/>
          <w:kern w:val="0"/>
          <w:sz w:val="28"/>
          <w:szCs w:val="28"/>
        </w:rPr>
        <w:t>半導體接單出貨比、股價指數、實質貨幣總計數</w:t>
      </w:r>
      <w:r w:rsidRPr="003B6B9A">
        <w:rPr>
          <w:rFonts w:eastAsia="標楷體"/>
          <w:kern w:val="0"/>
          <w:sz w:val="28"/>
          <w:szCs w:val="28"/>
        </w:rPr>
        <w:t>M1B</w:t>
      </w:r>
      <w:r w:rsidRPr="003B6B9A">
        <w:rPr>
          <w:rFonts w:eastAsia="標楷體" w:hint="eastAsia"/>
          <w:kern w:val="0"/>
          <w:sz w:val="28"/>
          <w:szCs w:val="28"/>
        </w:rPr>
        <w:t>；其餘</w:t>
      </w:r>
      <w:r w:rsidRPr="003B6B9A">
        <w:rPr>
          <w:rFonts w:eastAsia="標楷體"/>
          <w:kern w:val="0"/>
          <w:sz w:val="28"/>
          <w:szCs w:val="28"/>
        </w:rPr>
        <w:t>4</w:t>
      </w:r>
      <w:r w:rsidRPr="003B6B9A">
        <w:rPr>
          <w:rFonts w:eastAsia="標楷體" w:hint="eastAsia"/>
          <w:kern w:val="0"/>
          <w:sz w:val="28"/>
          <w:szCs w:val="28"/>
        </w:rPr>
        <w:t>項：核發建照面積、外銷訂單指數、製造業營業氣候測驗點，以及工業及服務業受僱員工淨進入率則較上月下滑。</w:t>
      </w:r>
    </w:p>
    <w:p w:rsidR="00C7157A" w:rsidRPr="00B118E9" w:rsidRDefault="00C7157A" w:rsidP="00C7157A">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p>
    <w:p w:rsidR="00C7157A" w:rsidRPr="00B118E9" w:rsidRDefault="00C7157A" w:rsidP="00C7157A">
      <w:pPr>
        <w:widowControl/>
        <w:snapToGrid w:val="0"/>
        <w:spacing w:beforeLines="50" w:before="180" w:line="320" w:lineRule="exact"/>
        <w:ind w:rightChars="-59" w:right="-142"/>
        <w:jc w:val="center"/>
        <w:rPr>
          <w:rFonts w:eastAsia="標楷體"/>
          <w:b/>
          <w:kern w:val="0"/>
          <w:sz w:val="28"/>
          <w:szCs w:val="28"/>
        </w:rPr>
      </w:pPr>
      <w:r w:rsidRPr="00B118E9">
        <w:rPr>
          <w:rFonts w:eastAsia="標楷體"/>
          <w:b/>
          <w:kern w:val="0"/>
          <w:sz w:val="28"/>
          <w:szCs w:val="28"/>
        </w:rPr>
        <w:t>圖</w:t>
      </w:r>
      <w:r w:rsidRPr="00B118E9">
        <w:rPr>
          <w:rFonts w:eastAsia="標楷體"/>
          <w:b/>
          <w:kern w:val="0"/>
          <w:sz w:val="28"/>
          <w:szCs w:val="28"/>
        </w:rPr>
        <w:t>2-1-1</w:t>
      </w:r>
      <w:r w:rsidRPr="00B118E9">
        <w:rPr>
          <w:rFonts w:eastAsia="標楷體"/>
          <w:b/>
          <w:kern w:val="0"/>
          <w:sz w:val="28"/>
          <w:szCs w:val="28"/>
        </w:rPr>
        <w:t>景氣領先指標</w:t>
      </w:r>
    </w:p>
    <w:p w:rsidR="00C7157A" w:rsidRPr="00B118E9" w:rsidRDefault="009F76C4" w:rsidP="00C7157A">
      <w:pPr>
        <w:widowControl/>
        <w:topLinePunct/>
        <w:snapToGrid w:val="0"/>
        <w:spacing w:beforeLines="50" w:before="180" w:line="300" w:lineRule="auto"/>
        <w:ind w:rightChars="-59" w:right="-142"/>
        <w:rPr>
          <w:rFonts w:eastAsia="標楷體"/>
          <w:color w:val="FF0000"/>
          <w:kern w:val="0"/>
          <w:sz w:val="16"/>
          <w:szCs w:val="20"/>
        </w:rPr>
      </w:pPr>
      <w:r w:rsidRPr="003B6B9A">
        <w:rPr>
          <w:noProof/>
        </w:rPr>
        <w:drawing>
          <wp:inline distT="0" distB="0" distL="0" distR="0" wp14:anchorId="08A752DD" wp14:editId="1622923F">
            <wp:extent cx="5250180" cy="2555693"/>
            <wp:effectExtent l="0" t="0" r="26670" b="0"/>
            <wp:docPr id="491" name="圖表 49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00C7157A" w:rsidRPr="00B118E9">
        <w:rPr>
          <w:rFonts w:eastAsia="標楷體"/>
          <w:noProof/>
          <w:color w:val="FF0000"/>
          <w:kern w:val="0"/>
          <w:sz w:val="16"/>
          <w:szCs w:val="20"/>
        </w:rPr>
        <mc:AlternateContent>
          <mc:Choice Requires="wps">
            <w:drawing>
              <wp:anchor distT="0" distB="0" distL="114300" distR="114300" simplePos="0" relativeHeight="252072448" behindDoc="0" locked="0" layoutInCell="1" allowOverlap="1" wp14:anchorId="475149F0" wp14:editId="148E47DE">
                <wp:simplePos x="0" y="0"/>
                <wp:positionH relativeFrom="column">
                  <wp:posOffset>2704846</wp:posOffset>
                </wp:positionH>
                <wp:positionV relativeFrom="paragraph">
                  <wp:posOffset>1644650</wp:posOffset>
                </wp:positionV>
                <wp:extent cx="1344706" cy="301752"/>
                <wp:effectExtent l="0" t="0" r="0" b="3175"/>
                <wp:wrapNone/>
                <wp:docPr id="15"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4706" cy="301752"/>
                        </a:xfrm>
                        <a:prstGeom prst="rect">
                          <a:avLst/>
                        </a:prstGeom>
                        <a:noFill/>
                        <a:ln w="9525">
                          <a:noFill/>
                          <a:miter lim="800000"/>
                          <a:headEnd/>
                          <a:tailEnd/>
                        </a:ln>
                      </wps:spPr>
                      <wps:txbx>
                        <w:txbxContent>
                          <w:p w:rsidR="00C20D7B" w:rsidRPr="00166D08" w:rsidRDefault="00C20D7B" w:rsidP="00C7157A">
                            <w:pPr>
                              <w:rPr>
                                <w:rFonts w:ascii="標楷體" w:eastAsia="標楷體" w:hAnsi="標楷體"/>
                                <w:sz w:val="22"/>
                              </w:rPr>
                            </w:pPr>
                            <w:r w:rsidRPr="00166D08">
                              <w:rPr>
                                <w:rFonts w:ascii="標楷體" w:eastAsia="標楷體" w:hAnsi="標楷體" w:hint="eastAsia"/>
                                <w:sz w:val="22"/>
                              </w:rPr>
                              <w:t>與上月相較變動率</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2" o:spid="_x0000_s1031" type="#_x0000_t202" style="position:absolute;margin-left:213pt;margin-top:129.5pt;width:105.9pt;height:23.75pt;z-index:25207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" filled="f" stroked="f">
                <v:textbox>
                  <w:txbxContent>
                    <w:p w:rsidR="00C20D7B" w:rsidRPr="00166D08" w:rsidRDefault="00C20D7B" w:rsidP="00C7157A">
                      <w:pPr>
                        <w:rPr>
                          <w:rFonts w:ascii="標楷體" w:eastAsia="標楷體" w:hAnsi="標楷體"/>
                          <w:sz w:val="22"/>
                        </w:rPr>
                      </w:pPr>
                      <w:r w:rsidRPr="00166D08">
                        <w:rPr>
                          <w:rFonts w:ascii="標楷體" w:eastAsia="標楷體" w:hAnsi="標楷體" w:hint="eastAsia"/>
                          <w:sz w:val="22"/>
                        </w:rPr>
                        <w:t>與上月相較變動率</w:t>
                      </w:r>
                    </w:p>
                  </w:txbxContent>
                </v:textbox>
              </v:shape>
            </w:pict>
          </mc:Fallback>
        </mc:AlternateContent>
      </w:r>
    </w:p>
    <w:p w:rsidR="00C7157A" w:rsidRPr="00B118E9" w:rsidRDefault="00C7157A" w:rsidP="00C7157A">
      <w:pPr>
        <w:tabs>
          <w:tab w:val="left" w:pos="540"/>
          <w:tab w:val="left" w:pos="2300"/>
        </w:tabs>
        <w:spacing w:before="180" w:line="300" w:lineRule="auto"/>
        <w:rPr>
          <w:rFonts w:eastAsia="標楷體"/>
          <w:sz w:val="28"/>
          <w:szCs w:val="32"/>
        </w:rPr>
      </w:pPr>
      <w:r w:rsidRPr="00B118E9">
        <w:rPr>
          <w:rFonts w:eastAsia="標楷體"/>
          <w:sz w:val="28"/>
          <w:szCs w:val="32"/>
        </w:rPr>
        <w:t xml:space="preserve"> (2) </w:t>
      </w:r>
      <w:r w:rsidRPr="00B118E9">
        <w:rPr>
          <w:rFonts w:eastAsia="標楷體"/>
          <w:sz w:val="28"/>
          <w:szCs w:val="32"/>
        </w:rPr>
        <w:t>同時指標</w:t>
      </w:r>
    </w:p>
    <w:p w:rsidR="00C7157A" w:rsidRPr="00B118E9" w:rsidRDefault="009F76C4" w:rsidP="002C355D">
      <w:pPr>
        <w:widowControl/>
        <w:snapToGrid w:val="0"/>
        <w:spacing w:beforeLines="50" w:before="180" w:afterLines="50" w:after="180" w:line="300" w:lineRule="auto"/>
        <w:ind w:leftChars="118" w:left="283" w:rightChars="-59" w:right="-142" w:firstLineChars="202" w:firstLine="566"/>
        <w:jc w:val="both"/>
        <w:rPr>
          <w:rFonts w:eastAsia="標楷體"/>
          <w:kern w:val="0"/>
          <w:sz w:val="28"/>
          <w:szCs w:val="28"/>
        </w:rPr>
      </w:pPr>
      <w:r w:rsidRPr="003B6B9A">
        <w:rPr>
          <w:rFonts w:eastAsia="標楷體" w:hint="eastAsia"/>
          <w:kern w:val="0"/>
          <w:sz w:val="28"/>
          <w:szCs w:val="28"/>
        </w:rPr>
        <w:t>104</w:t>
      </w:r>
      <w:r w:rsidRPr="003B6B9A">
        <w:rPr>
          <w:rFonts w:eastAsia="標楷體" w:hint="eastAsia"/>
          <w:kern w:val="0"/>
          <w:sz w:val="28"/>
          <w:szCs w:val="28"/>
        </w:rPr>
        <w:t>年</w:t>
      </w:r>
      <w:r w:rsidRPr="003B6B9A">
        <w:rPr>
          <w:rFonts w:eastAsia="標楷體" w:hint="eastAsia"/>
          <w:kern w:val="0"/>
          <w:sz w:val="28"/>
          <w:szCs w:val="28"/>
        </w:rPr>
        <w:t>4</w:t>
      </w:r>
      <w:r w:rsidRPr="003B6B9A">
        <w:rPr>
          <w:rFonts w:eastAsia="標楷體" w:hint="eastAsia"/>
          <w:kern w:val="0"/>
          <w:sz w:val="28"/>
          <w:szCs w:val="28"/>
        </w:rPr>
        <w:t>月不含趨勢之同時指標為</w:t>
      </w:r>
      <w:r w:rsidRPr="003B6B9A">
        <w:rPr>
          <w:rFonts w:eastAsia="標楷體"/>
          <w:kern w:val="0"/>
          <w:sz w:val="28"/>
          <w:szCs w:val="28"/>
        </w:rPr>
        <w:t>99.29</w:t>
      </w:r>
      <w:r w:rsidRPr="003B6B9A">
        <w:rPr>
          <w:rFonts w:eastAsia="標楷體" w:hint="eastAsia"/>
          <w:kern w:val="0"/>
          <w:sz w:val="28"/>
          <w:szCs w:val="28"/>
        </w:rPr>
        <w:t>，較上月下跌</w:t>
      </w:r>
      <w:r w:rsidRPr="003B6B9A">
        <w:rPr>
          <w:rFonts w:eastAsia="標楷體"/>
          <w:kern w:val="0"/>
          <w:sz w:val="28"/>
          <w:szCs w:val="28"/>
        </w:rPr>
        <w:t>0.55</w:t>
      </w:r>
      <w:r w:rsidRPr="003B6B9A">
        <w:rPr>
          <w:rFonts w:eastAsia="標楷體" w:hint="eastAsia"/>
          <w:kern w:val="0"/>
          <w:sz w:val="28"/>
          <w:szCs w:val="28"/>
        </w:rPr>
        <w:t>%</w:t>
      </w:r>
      <w:r w:rsidRPr="003B6B9A">
        <w:rPr>
          <w:rFonts w:eastAsia="標楷體" w:hint="eastAsia"/>
          <w:kern w:val="0"/>
          <w:sz w:val="28"/>
          <w:szCs w:val="28"/>
        </w:rPr>
        <w:t>。</w:t>
      </w:r>
      <w:r w:rsidRPr="003B6B9A">
        <w:rPr>
          <w:rFonts w:eastAsia="標楷體" w:hint="eastAsia"/>
          <w:kern w:val="0"/>
          <w:sz w:val="28"/>
          <w:szCs w:val="28"/>
        </w:rPr>
        <w:t>7</w:t>
      </w:r>
      <w:r w:rsidRPr="003B6B9A">
        <w:rPr>
          <w:rFonts w:eastAsia="標楷體" w:hint="eastAsia"/>
          <w:kern w:val="0"/>
          <w:sz w:val="28"/>
          <w:szCs w:val="28"/>
        </w:rPr>
        <w:t>個構成項目經去除長期趨勢後，</w:t>
      </w:r>
      <w:r w:rsidRPr="003B6B9A">
        <w:rPr>
          <w:rFonts w:eastAsia="標楷體"/>
          <w:kern w:val="0"/>
          <w:sz w:val="28"/>
          <w:szCs w:val="28"/>
        </w:rPr>
        <w:t>2</w:t>
      </w:r>
      <w:r w:rsidRPr="003B6B9A">
        <w:rPr>
          <w:rFonts w:eastAsia="標楷體" w:hint="eastAsia"/>
          <w:kern w:val="0"/>
          <w:sz w:val="28"/>
          <w:szCs w:val="28"/>
        </w:rPr>
        <w:t>項較上月上升，分別為：電力（企業）總用電量、非農業部門就業人數；其餘</w:t>
      </w:r>
      <w:r w:rsidRPr="003B6B9A">
        <w:rPr>
          <w:rFonts w:eastAsia="標楷體"/>
          <w:kern w:val="0"/>
          <w:sz w:val="28"/>
          <w:szCs w:val="28"/>
        </w:rPr>
        <w:t>5</w:t>
      </w:r>
      <w:r w:rsidRPr="003B6B9A">
        <w:rPr>
          <w:rFonts w:eastAsia="標楷體" w:hint="eastAsia"/>
          <w:kern w:val="0"/>
          <w:sz w:val="28"/>
          <w:szCs w:val="28"/>
        </w:rPr>
        <w:t>項：工業生產指數、實質機械及電機設備進口值、實質海關出口值、商業營業額，以及製造業銷售量指數則較上月下滑。</w:t>
      </w:r>
    </w:p>
    <w:p w:rsidR="00C7157A" w:rsidRPr="00B118E9" w:rsidRDefault="00C7157A" w:rsidP="00C7157A">
      <w:pPr>
        <w:widowControl/>
        <w:snapToGrid w:val="0"/>
        <w:spacing w:beforeLines="50" w:before="180" w:afterLines="50" w:after="180" w:line="300" w:lineRule="auto"/>
        <w:ind w:rightChars="-59" w:right="-142"/>
        <w:jc w:val="both"/>
        <w:rPr>
          <w:rFonts w:eastAsia="標楷體"/>
          <w:color w:val="FF0000"/>
          <w:kern w:val="0"/>
          <w:sz w:val="28"/>
          <w:szCs w:val="28"/>
        </w:rPr>
      </w:pPr>
    </w:p>
    <w:p w:rsidR="00C7157A" w:rsidRPr="00B118E9" w:rsidRDefault="00C7157A" w:rsidP="00C7157A">
      <w:pPr>
        <w:widowControl/>
        <w:snapToGrid w:val="0"/>
        <w:spacing w:beforeLines="50" w:before="180"/>
        <w:ind w:rightChars="-59" w:right="-142"/>
        <w:jc w:val="center"/>
        <w:rPr>
          <w:rFonts w:eastAsia="標楷體"/>
          <w:b/>
          <w:noProof/>
          <w:kern w:val="0"/>
          <w:sz w:val="28"/>
          <w:szCs w:val="28"/>
        </w:rPr>
      </w:pPr>
      <w:r w:rsidRPr="00B118E9">
        <w:rPr>
          <w:rFonts w:eastAsia="標楷體"/>
          <w:b/>
          <w:noProof/>
          <w:kern w:val="0"/>
          <w:sz w:val="28"/>
          <w:szCs w:val="28"/>
        </w:rPr>
        <w:t>圖</w:t>
      </w:r>
      <w:r w:rsidRPr="00B118E9">
        <w:rPr>
          <w:rFonts w:eastAsia="標楷體"/>
          <w:b/>
          <w:noProof/>
          <w:kern w:val="0"/>
          <w:sz w:val="28"/>
          <w:szCs w:val="28"/>
        </w:rPr>
        <w:t>2-1-2</w:t>
      </w:r>
      <w:r w:rsidRPr="00B118E9">
        <w:rPr>
          <w:rFonts w:eastAsia="標楷體"/>
          <w:b/>
          <w:noProof/>
          <w:kern w:val="0"/>
          <w:sz w:val="28"/>
          <w:szCs w:val="28"/>
        </w:rPr>
        <w:t>景氣同時指標</w:t>
      </w:r>
    </w:p>
    <w:p w:rsidR="00C7157A" w:rsidRPr="00B118E9" w:rsidRDefault="009F76C4" w:rsidP="00C7157A">
      <w:pPr>
        <w:widowControl/>
        <w:snapToGrid w:val="0"/>
        <w:spacing w:beforeLines="50" w:before="180" w:afterLines="50" w:after="180" w:line="300" w:lineRule="auto"/>
        <w:ind w:rightChars="-59" w:right="-142"/>
        <w:jc w:val="both"/>
        <w:rPr>
          <w:rFonts w:eastAsia="標楷體"/>
          <w:noProof/>
          <w:color w:val="FF0000"/>
          <w:kern w:val="0"/>
          <w:sz w:val="28"/>
          <w:szCs w:val="20"/>
        </w:rPr>
      </w:pPr>
      <w:r w:rsidRPr="003B6B9A">
        <w:rPr>
          <w:noProof/>
        </w:rPr>
        <w:drawing>
          <wp:inline distT="0" distB="0" distL="0" distR="0" wp14:anchorId="3167D4A9" wp14:editId="77561608">
            <wp:extent cx="5278120" cy="2569210"/>
            <wp:effectExtent l="0" t="0" r="0" b="0"/>
            <wp:docPr id="492" name="圖表 49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00C7157A" w:rsidRPr="00B118E9">
        <w:rPr>
          <w:rFonts w:eastAsia="標楷體"/>
          <w:noProof/>
          <w:color w:val="FF0000"/>
        </w:rPr>
        <mc:AlternateContent>
          <mc:Choice Requires="wps">
            <w:drawing>
              <wp:anchor distT="0" distB="0" distL="114300" distR="114300" simplePos="0" relativeHeight="252073472" behindDoc="0" locked="0" layoutInCell="1" allowOverlap="1" wp14:anchorId="3C982B6A" wp14:editId="34C65AC0">
                <wp:simplePos x="0" y="0"/>
                <wp:positionH relativeFrom="column">
                  <wp:posOffset>2306320</wp:posOffset>
                </wp:positionH>
                <wp:positionV relativeFrom="paragraph">
                  <wp:posOffset>1731010</wp:posOffset>
                </wp:positionV>
                <wp:extent cx="1471930" cy="310515"/>
                <wp:effectExtent l="0" t="209550" r="13970" b="13335"/>
                <wp:wrapNone/>
                <wp:docPr id="16" name="圓角矩形圖說文字 1"/>
                <wp:cNvGraphicFramePr/>
                <a:graphic xmlns:a="http://schemas.openxmlformats.org/drawingml/2006/main">
                  <a:graphicData uri="http://schemas.microsoft.com/office/word/2010/wordprocessingShape">
                    <wps:wsp>
                      <wps:cNvSpPr/>
                      <wps:spPr>
                        <a:xfrm>
                          <a:off x="0" y="0"/>
                          <a:ext cx="1471930" cy="310515"/>
                        </a:xfrm>
                        <a:prstGeom prst="wedgeRoundRectCallout">
                          <a:avLst>
                            <a:gd name="adj1" fmla="val 45610"/>
                            <a:gd name="adj2" fmla="val -116288"/>
                            <a:gd name="adj3" fmla="val 16667"/>
                          </a:avLst>
                        </a:prstGeom>
                        <a:solidFill>
                          <a:sysClr val="window" lastClr="FFFFFF"/>
                        </a:solidFill>
                        <a:ln w="6350" cap="flat" cmpd="sng" algn="ctr">
                          <a:solidFill>
                            <a:sysClr val="windowText" lastClr="000000"/>
                          </a:solidFill>
                          <a:prstDash val="solid"/>
                        </a:ln>
                        <a:effectLst/>
                      </wps:spPr>
                      <wps:txbx>
                        <w:txbxContent>
                          <w:p w:rsidR="00C20D7B" w:rsidRPr="00912012" w:rsidRDefault="00C20D7B" w:rsidP="00C7157A">
                            <w:pPr>
                              <w:jc w:val="center"/>
                              <w:rPr>
                                <w:rFonts w:ascii="標楷體" w:eastAsia="標楷體" w:hAnsi="標楷體"/>
                              </w:rPr>
                            </w:pPr>
                            <w:r w:rsidRPr="00912012">
                              <w:rPr>
                                <w:rFonts w:ascii="標楷體" w:eastAsia="標楷體" w:hAnsi="標楷體" w:hint="eastAsia"/>
                              </w:rPr>
                              <w:t>與上月相較變動率</w:t>
                            </w:r>
                          </w:p>
                        </w:txbxContent>
                      </wps:txbx>
                      <wps:bodyPr vertOverflow="clip" wrap="square">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圓角矩形圖說文字 1" o:spid="_x0000_s1032" type="#_x0000_t62" style="position:absolute;left:0;text-align:left;margin-left:181.6pt;margin-top:136.3pt;width:115.9pt;height:24.45pt;z-index:252073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" adj="20652,-14318" fillcolor="window" strokecolor="windowText" strokeweight=".5pt">
                <v:textbox>
                  <w:txbxContent>
                    <w:p w:rsidR="00C20D7B" w:rsidRPr="00912012" w:rsidRDefault="00C20D7B" w:rsidP="00C7157A">
                      <w:pPr>
                        <w:jc w:val="center"/>
                        <w:rPr>
                          <w:rFonts w:ascii="標楷體" w:eastAsia="標楷體" w:hAnsi="標楷體"/>
                        </w:rPr>
                      </w:pPr>
                      <w:r w:rsidRPr="00912012">
                        <w:rPr>
                          <w:rFonts w:ascii="標楷體" w:eastAsia="標楷體" w:hAnsi="標楷體" w:hint="eastAsia"/>
                        </w:rPr>
                        <w:t>與上月相較變動率</w:t>
                      </w:r>
                    </w:p>
                  </w:txbxContent>
                </v:textbox>
              </v:shape>
            </w:pict>
          </mc:Fallback>
        </mc:AlternateContent>
      </w:r>
    </w:p>
    <w:p w:rsidR="00C7157A" w:rsidRPr="00B118E9" w:rsidRDefault="00C7157A" w:rsidP="00C7157A">
      <w:pPr>
        <w:tabs>
          <w:tab w:val="left" w:pos="540"/>
        </w:tabs>
        <w:snapToGrid w:val="0"/>
        <w:spacing w:before="180" w:line="300" w:lineRule="auto"/>
        <w:rPr>
          <w:rFonts w:eastAsia="標楷體"/>
          <w:sz w:val="28"/>
          <w:szCs w:val="28"/>
        </w:rPr>
      </w:pPr>
      <w:r w:rsidRPr="00B118E9">
        <w:rPr>
          <w:rFonts w:eastAsia="標楷體"/>
          <w:sz w:val="28"/>
          <w:szCs w:val="32"/>
        </w:rPr>
        <w:t xml:space="preserve">(3) </w:t>
      </w:r>
      <w:r w:rsidRPr="00B118E9">
        <w:rPr>
          <w:rFonts w:eastAsia="標楷體"/>
          <w:sz w:val="28"/>
          <w:szCs w:val="28"/>
        </w:rPr>
        <w:t>景氣對策信號</w:t>
      </w:r>
    </w:p>
    <w:p w:rsidR="00C7157A" w:rsidRPr="00B118E9" w:rsidRDefault="009F76C4" w:rsidP="00C7157A">
      <w:pPr>
        <w:widowControl/>
        <w:snapToGrid w:val="0"/>
        <w:spacing w:beforeLines="50" w:before="180" w:line="300" w:lineRule="auto"/>
        <w:ind w:leftChars="118" w:left="283" w:rightChars="-59" w:right="-142" w:firstLineChars="202" w:firstLine="566"/>
        <w:jc w:val="both"/>
        <w:rPr>
          <w:rFonts w:eastAsia="標楷體"/>
          <w:noProof/>
          <w:color w:val="FF0000"/>
          <w:kern w:val="0"/>
          <w:sz w:val="28"/>
          <w:szCs w:val="20"/>
        </w:rPr>
      </w:pPr>
      <w:r w:rsidRPr="003B6B9A">
        <w:rPr>
          <w:rFonts w:eastAsia="標楷體" w:hint="eastAsia"/>
          <w:noProof/>
          <w:kern w:val="0"/>
          <w:sz w:val="28"/>
          <w:szCs w:val="20"/>
        </w:rPr>
        <w:t>104</w:t>
      </w:r>
      <w:r w:rsidRPr="003B6B9A">
        <w:rPr>
          <w:rFonts w:eastAsia="標楷體" w:hint="eastAsia"/>
          <w:noProof/>
          <w:kern w:val="0"/>
          <w:sz w:val="28"/>
          <w:szCs w:val="20"/>
        </w:rPr>
        <w:t>年</w:t>
      </w:r>
      <w:r w:rsidRPr="003B6B9A">
        <w:rPr>
          <w:rFonts w:eastAsia="標楷體"/>
          <w:noProof/>
          <w:kern w:val="0"/>
          <w:sz w:val="28"/>
          <w:szCs w:val="20"/>
        </w:rPr>
        <w:t>4</w:t>
      </w:r>
      <w:r w:rsidRPr="003B6B9A">
        <w:rPr>
          <w:rFonts w:eastAsia="標楷體" w:hint="eastAsia"/>
          <w:noProof/>
          <w:kern w:val="0"/>
          <w:sz w:val="28"/>
          <w:szCs w:val="20"/>
        </w:rPr>
        <w:t>月景氣對策信號轉呈藍燈，綜合判斷分數</w:t>
      </w:r>
      <w:r w:rsidRPr="003B6B9A">
        <w:rPr>
          <w:rFonts w:eastAsia="標楷體"/>
          <w:noProof/>
          <w:kern w:val="0"/>
          <w:sz w:val="28"/>
          <w:szCs w:val="20"/>
        </w:rPr>
        <w:t>16</w:t>
      </w:r>
      <w:r w:rsidRPr="003B6B9A">
        <w:rPr>
          <w:rFonts w:eastAsia="標楷體" w:hint="eastAsia"/>
          <w:noProof/>
          <w:kern w:val="0"/>
          <w:sz w:val="28"/>
          <w:szCs w:val="20"/>
        </w:rPr>
        <w:t>分，較上月減少</w:t>
      </w:r>
      <w:r w:rsidRPr="003B6B9A">
        <w:rPr>
          <w:rFonts w:eastAsia="標楷體"/>
          <w:noProof/>
          <w:kern w:val="0"/>
          <w:sz w:val="28"/>
          <w:szCs w:val="20"/>
        </w:rPr>
        <w:t>6</w:t>
      </w:r>
      <w:r w:rsidRPr="003B6B9A">
        <w:rPr>
          <w:rFonts w:eastAsia="標楷體" w:hint="eastAsia"/>
          <w:noProof/>
          <w:kern w:val="0"/>
          <w:sz w:val="28"/>
          <w:szCs w:val="20"/>
        </w:rPr>
        <w:t>分。</w:t>
      </w:r>
      <w:r w:rsidRPr="003B6B9A">
        <w:rPr>
          <w:rFonts w:eastAsia="標楷體"/>
          <w:noProof/>
          <w:kern w:val="0"/>
          <w:sz w:val="28"/>
          <w:szCs w:val="20"/>
        </w:rPr>
        <w:t>9</w:t>
      </w:r>
      <w:r w:rsidRPr="003B6B9A">
        <w:rPr>
          <w:rFonts w:eastAsia="標楷體" w:hint="eastAsia"/>
          <w:noProof/>
          <w:kern w:val="0"/>
          <w:sz w:val="28"/>
          <w:szCs w:val="20"/>
        </w:rPr>
        <w:t>項構成項目中，工業生產指數、非農業部門就業人數、製造業營業氣候測驗點均由綠燈轉為黃藍燈，商業營業額由黃藍燈轉呈藍燈，分數各減少</w:t>
      </w:r>
      <w:r w:rsidRPr="003B6B9A">
        <w:rPr>
          <w:rFonts w:eastAsia="標楷體"/>
          <w:noProof/>
          <w:kern w:val="0"/>
          <w:sz w:val="28"/>
          <w:szCs w:val="20"/>
        </w:rPr>
        <w:t>1</w:t>
      </w:r>
      <w:r w:rsidRPr="003B6B9A">
        <w:rPr>
          <w:rFonts w:eastAsia="標楷體" w:hint="eastAsia"/>
          <w:noProof/>
          <w:kern w:val="0"/>
          <w:sz w:val="28"/>
          <w:szCs w:val="20"/>
        </w:rPr>
        <w:t>分；製造業銷售量指數則由綠燈轉為藍燈，分數減少</w:t>
      </w:r>
      <w:r w:rsidRPr="003B6B9A">
        <w:rPr>
          <w:rFonts w:eastAsia="標楷體"/>
          <w:noProof/>
          <w:kern w:val="0"/>
          <w:sz w:val="28"/>
          <w:szCs w:val="20"/>
        </w:rPr>
        <w:t>2</w:t>
      </w:r>
      <w:r w:rsidRPr="003B6B9A">
        <w:rPr>
          <w:rFonts w:eastAsia="標楷體" w:hint="eastAsia"/>
          <w:noProof/>
          <w:kern w:val="0"/>
          <w:sz w:val="28"/>
          <w:szCs w:val="20"/>
        </w:rPr>
        <w:t>分；其餘構成項目燈號維持不變。</w:t>
      </w:r>
    </w:p>
    <w:p w:rsidR="00C7157A" w:rsidRPr="00B118E9" w:rsidRDefault="00B4023F" w:rsidP="00B4023F">
      <w:pPr>
        <w:widowControl/>
        <w:tabs>
          <w:tab w:val="left" w:pos="1265"/>
          <w:tab w:val="center" w:pos="4139"/>
        </w:tabs>
        <w:topLinePunct/>
        <w:snapToGrid w:val="0"/>
        <w:spacing w:beforeLines="50" w:before="180" w:line="240" w:lineRule="atLeast"/>
        <w:ind w:right="34"/>
        <w:rPr>
          <w:rFonts w:eastAsia="標楷體"/>
          <w:b/>
          <w:noProof/>
          <w:kern w:val="0"/>
          <w:sz w:val="28"/>
          <w:szCs w:val="28"/>
        </w:rPr>
      </w:pPr>
      <w:r w:rsidRPr="00B118E9">
        <w:rPr>
          <w:rFonts w:eastAsia="標楷體"/>
          <w:b/>
          <w:noProof/>
          <w:color w:val="FF0000"/>
          <w:kern w:val="0"/>
          <w:sz w:val="28"/>
          <w:szCs w:val="28"/>
        </w:rPr>
        <w:tab/>
      </w:r>
      <w:r w:rsidRPr="00B118E9">
        <w:rPr>
          <w:rFonts w:eastAsia="標楷體"/>
          <w:b/>
          <w:noProof/>
          <w:color w:val="FF0000"/>
          <w:kern w:val="0"/>
          <w:sz w:val="28"/>
          <w:szCs w:val="28"/>
        </w:rPr>
        <w:tab/>
      </w:r>
      <w:r w:rsidR="00C7157A" w:rsidRPr="00B118E9">
        <w:rPr>
          <w:rFonts w:eastAsia="標楷體"/>
          <w:b/>
          <w:noProof/>
          <w:kern w:val="0"/>
          <w:sz w:val="28"/>
          <w:szCs w:val="28"/>
        </w:rPr>
        <w:t>圖</w:t>
      </w:r>
      <w:r w:rsidR="00C7157A" w:rsidRPr="00B118E9">
        <w:rPr>
          <w:rFonts w:eastAsia="標楷體"/>
          <w:b/>
          <w:noProof/>
          <w:kern w:val="0"/>
          <w:sz w:val="28"/>
          <w:szCs w:val="28"/>
        </w:rPr>
        <w:t xml:space="preserve">2-1-3  </w:t>
      </w:r>
      <w:r w:rsidR="00C7157A" w:rsidRPr="00B118E9">
        <w:rPr>
          <w:rFonts w:eastAsia="標楷體"/>
          <w:b/>
          <w:noProof/>
          <w:kern w:val="0"/>
          <w:sz w:val="28"/>
          <w:szCs w:val="28"/>
        </w:rPr>
        <w:t>一年來景氣對策信號</w:t>
      </w:r>
    </w:p>
    <w:p w:rsidR="003F3F99" w:rsidRPr="00B118E9" w:rsidRDefault="009F76C4" w:rsidP="003F3F99">
      <w:pPr>
        <w:widowControl/>
        <w:topLinePunct/>
        <w:snapToGrid w:val="0"/>
        <w:spacing w:beforeLines="50" w:before="180" w:line="240" w:lineRule="atLeast"/>
        <w:ind w:right="34"/>
        <w:rPr>
          <w:rFonts w:eastAsia="標楷體"/>
          <w:b/>
          <w:noProof/>
          <w:color w:val="FF0000"/>
          <w:kern w:val="0"/>
          <w:sz w:val="28"/>
          <w:szCs w:val="28"/>
        </w:rPr>
      </w:pPr>
      <w:r w:rsidRPr="003B6B9A">
        <w:rPr>
          <w:noProof/>
        </w:rPr>
        <w:drawing>
          <wp:inline distT="0" distB="0" distL="0" distR="0" wp14:anchorId="3894380A" wp14:editId="2936ABA1">
            <wp:extent cx="5278120" cy="3305810"/>
            <wp:effectExtent l="0" t="0" r="0" b="8890"/>
            <wp:docPr id="3" name="圖片 3" descr="N:\經濟處\經濟處資料限閱區\02_經濟景氣科\1.記者會及月報工作區(10109試編)\5.燈號\2.新聞稿圖\10404\1.中文-景氣燈號圖.jpg"/>
            <wp:cNvGraphicFramePr/>
            <a:graphic xmlns:a="http://schemas.openxmlformats.org/drawingml/2006/main">
              <a:graphicData uri="http://schemas.openxmlformats.org/drawingml/2006/picture">
                <pic:pic xmlns:pic="http://schemas.openxmlformats.org/drawingml/2006/picture">
                  <pic:nvPicPr>
                    <pic:cNvPr id="1" name="圖片 1" descr="N:\經濟處\經濟處資料限閱區\02_經濟景氣科\1.記者會及月報工作區(10109試編)\5.燈號\2.新聞稿圖\10404\1.中文-景氣燈號圖.jpg"/>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8120" cy="3305810"/>
                    </a:xfrm>
                    <a:prstGeom prst="rect">
                      <a:avLst/>
                    </a:prstGeom>
                    <a:noFill/>
                    <a:ln>
                      <a:noFill/>
                    </a:ln>
                  </pic:spPr>
                </pic:pic>
              </a:graphicData>
            </a:graphic>
          </wp:inline>
        </w:drawing>
      </w:r>
    </w:p>
    <w:p w:rsidR="003F3F99" w:rsidRPr="00B118E9" w:rsidRDefault="003F3F99" w:rsidP="003F3F99">
      <w:pPr>
        <w:keepNext/>
        <w:snapToGrid w:val="0"/>
        <w:spacing w:beforeLines="50" w:before="180" w:line="300" w:lineRule="auto"/>
        <w:ind w:rightChars="-25" w:right="-60"/>
        <w:outlineLvl w:val="2"/>
        <w:rPr>
          <w:rFonts w:eastAsia="標楷體"/>
          <w:b/>
          <w:bCs/>
          <w:sz w:val="32"/>
          <w:szCs w:val="32"/>
        </w:rPr>
      </w:pPr>
      <w:bookmarkStart w:id="88" w:name="_Toc401923795"/>
      <w:bookmarkStart w:id="89" w:name="_Toc402171712"/>
      <w:bookmarkStart w:id="90" w:name="_Toc420680037"/>
      <w:r w:rsidRPr="00B118E9">
        <w:rPr>
          <w:rFonts w:eastAsia="標楷體"/>
          <w:b/>
          <w:bCs/>
          <w:sz w:val="32"/>
          <w:szCs w:val="32"/>
        </w:rPr>
        <w:t>（二）工業生產</w:t>
      </w:r>
      <w:bookmarkEnd w:id="87"/>
      <w:bookmarkEnd w:id="88"/>
      <w:bookmarkEnd w:id="89"/>
      <w:bookmarkEnd w:id="90"/>
    </w:p>
    <w:p w:rsidR="003F3F99" w:rsidRPr="00B118E9" w:rsidRDefault="003F3F99" w:rsidP="003F3F99">
      <w:pPr>
        <w:tabs>
          <w:tab w:val="left" w:pos="540"/>
        </w:tabs>
        <w:spacing w:line="400" w:lineRule="exact"/>
        <w:rPr>
          <w:rFonts w:eastAsia="標楷體"/>
          <w:b/>
          <w:bCs/>
          <w:sz w:val="28"/>
          <w:szCs w:val="28"/>
        </w:rPr>
      </w:pPr>
      <w:bookmarkStart w:id="91" w:name="OLE_LINK5"/>
      <w:r w:rsidRPr="00B118E9">
        <w:rPr>
          <w:rFonts w:eastAsia="標楷體"/>
          <w:b/>
          <w:bCs/>
          <w:sz w:val="28"/>
          <w:szCs w:val="28"/>
        </w:rPr>
        <w:t>１、</w:t>
      </w:r>
      <w:r w:rsidR="00BD6B4B" w:rsidRPr="003B6B9A">
        <w:rPr>
          <w:rFonts w:eastAsia="標楷體" w:hint="eastAsia"/>
          <w:b/>
          <w:bCs/>
          <w:sz w:val="28"/>
          <w:szCs w:val="28"/>
        </w:rPr>
        <w:t>104</w:t>
      </w:r>
      <w:r w:rsidR="00BD6B4B" w:rsidRPr="003B6B9A">
        <w:rPr>
          <w:rFonts w:eastAsia="標楷體" w:hint="eastAsia"/>
          <w:b/>
          <w:bCs/>
          <w:sz w:val="28"/>
          <w:szCs w:val="28"/>
        </w:rPr>
        <w:t>年</w:t>
      </w:r>
      <w:r w:rsidR="00BD6B4B" w:rsidRPr="003B6B9A">
        <w:rPr>
          <w:rFonts w:eastAsia="標楷體" w:hint="eastAsia"/>
          <w:b/>
          <w:bCs/>
          <w:sz w:val="28"/>
          <w:szCs w:val="28"/>
        </w:rPr>
        <w:t>4</w:t>
      </w:r>
      <w:r w:rsidR="00BD6B4B" w:rsidRPr="003B6B9A">
        <w:rPr>
          <w:rFonts w:eastAsia="標楷體" w:hint="eastAsia"/>
          <w:b/>
          <w:bCs/>
          <w:sz w:val="28"/>
          <w:szCs w:val="28"/>
        </w:rPr>
        <w:t>月工業生產增加</w:t>
      </w:r>
      <w:r w:rsidR="00BD6B4B" w:rsidRPr="003B6B9A">
        <w:rPr>
          <w:rFonts w:eastAsia="標楷體" w:hint="eastAsia"/>
          <w:b/>
          <w:bCs/>
          <w:sz w:val="28"/>
          <w:szCs w:val="28"/>
        </w:rPr>
        <w:t>1.06%</w:t>
      </w:r>
    </w:p>
    <w:p w:rsidR="003F3F99" w:rsidRPr="00B118E9" w:rsidRDefault="00BD6B4B"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3B6B9A">
        <w:rPr>
          <w:rFonts w:eastAsia="標楷體"/>
          <w:kern w:val="0"/>
          <w:sz w:val="28"/>
          <w:szCs w:val="20"/>
        </w:rPr>
        <w:t>104</w:t>
      </w:r>
      <w:r w:rsidRPr="003B6B9A">
        <w:rPr>
          <w:rFonts w:eastAsia="標楷體"/>
          <w:kern w:val="0"/>
          <w:sz w:val="28"/>
          <w:szCs w:val="20"/>
        </w:rPr>
        <w:t>年</w:t>
      </w:r>
      <w:r w:rsidRPr="003B6B9A">
        <w:rPr>
          <w:rFonts w:eastAsia="標楷體" w:hint="eastAsia"/>
          <w:kern w:val="0"/>
          <w:sz w:val="28"/>
          <w:szCs w:val="20"/>
        </w:rPr>
        <w:t>4</w:t>
      </w:r>
      <w:r w:rsidRPr="003B6B9A">
        <w:rPr>
          <w:rFonts w:eastAsia="標楷體"/>
          <w:kern w:val="0"/>
          <w:sz w:val="28"/>
          <w:szCs w:val="20"/>
        </w:rPr>
        <w:t>月工業生產指數</w:t>
      </w:r>
      <w:r w:rsidRPr="003B6B9A">
        <w:rPr>
          <w:rFonts w:eastAsia="標楷體"/>
          <w:kern w:val="0"/>
          <w:sz w:val="28"/>
          <w:szCs w:val="20"/>
        </w:rPr>
        <w:t>106.37</w:t>
      </w:r>
      <w:r w:rsidRPr="003B6B9A">
        <w:rPr>
          <w:rFonts w:eastAsia="標楷體"/>
          <w:kern w:val="0"/>
          <w:sz w:val="28"/>
          <w:szCs w:val="20"/>
        </w:rPr>
        <w:t>，較上年同月增加</w:t>
      </w:r>
      <w:r w:rsidRPr="003B6B9A">
        <w:rPr>
          <w:rFonts w:eastAsia="標楷體" w:hint="eastAsia"/>
          <w:kern w:val="0"/>
          <w:sz w:val="28"/>
          <w:szCs w:val="20"/>
        </w:rPr>
        <w:t>1.06</w:t>
      </w:r>
      <w:r w:rsidRPr="003B6B9A">
        <w:rPr>
          <w:rFonts w:eastAsia="標楷體"/>
          <w:kern w:val="0"/>
          <w:sz w:val="28"/>
          <w:szCs w:val="20"/>
        </w:rPr>
        <w:t>%</w:t>
      </w:r>
      <w:r w:rsidRPr="003B6B9A">
        <w:rPr>
          <w:rFonts w:eastAsia="標楷體"/>
          <w:kern w:val="0"/>
          <w:sz w:val="28"/>
          <w:szCs w:val="20"/>
        </w:rPr>
        <w:t>，其中建築工程業及製造業分別增加</w:t>
      </w:r>
      <w:r w:rsidRPr="003B6B9A">
        <w:rPr>
          <w:rFonts w:eastAsia="標楷體" w:hint="eastAsia"/>
          <w:kern w:val="0"/>
          <w:sz w:val="28"/>
          <w:szCs w:val="20"/>
        </w:rPr>
        <w:t>21.16</w:t>
      </w:r>
      <w:r w:rsidRPr="003B6B9A">
        <w:rPr>
          <w:rFonts w:eastAsia="標楷體"/>
          <w:kern w:val="0"/>
          <w:sz w:val="28"/>
          <w:szCs w:val="20"/>
        </w:rPr>
        <w:t>%</w:t>
      </w:r>
      <w:r w:rsidRPr="003B6B9A">
        <w:rPr>
          <w:rFonts w:eastAsia="標楷體"/>
          <w:kern w:val="0"/>
          <w:sz w:val="28"/>
          <w:szCs w:val="20"/>
        </w:rPr>
        <w:t>、</w:t>
      </w:r>
      <w:r w:rsidRPr="003B6B9A">
        <w:rPr>
          <w:rFonts w:eastAsia="標楷體" w:hint="eastAsia"/>
          <w:kern w:val="0"/>
          <w:sz w:val="28"/>
          <w:szCs w:val="20"/>
        </w:rPr>
        <w:t>1.15</w:t>
      </w:r>
      <w:r w:rsidRPr="003B6B9A">
        <w:rPr>
          <w:rFonts w:eastAsia="標楷體"/>
          <w:kern w:val="0"/>
          <w:sz w:val="28"/>
          <w:szCs w:val="20"/>
        </w:rPr>
        <w:t>%</w:t>
      </w:r>
      <w:r w:rsidRPr="003B6B9A">
        <w:rPr>
          <w:rFonts w:eastAsia="標楷體"/>
          <w:kern w:val="0"/>
          <w:sz w:val="28"/>
          <w:szCs w:val="20"/>
        </w:rPr>
        <w:t>，電力及燃氣供應業、用水供應業、礦業及土石採取業則分別減少</w:t>
      </w:r>
      <w:r w:rsidRPr="003B6B9A">
        <w:rPr>
          <w:rFonts w:eastAsia="標楷體" w:hint="eastAsia"/>
          <w:kern w:val="0"/>
          <w:sz w:val="28"/>
          <w:szCs w:val="20"/>
        </w:rPr>
        <w:t>7.54</w:t>
      </w:r>
      <w:r w:rsidRPr="003B6B9A">
        <w:rPr>
          <w:rFonts w:eastAsia="標楷體"/>
          <w:kern w:val="0"/>
          <w:sz w:val="28"/>
          <w:szCs w:val="20"/>
        </w:rPr>
        <w:t>%</w:t>
      </w:r>
      <w:r w:rsidRPr="003B6B9A">
        <w:rPr>
          <w:rFonts w:eastAsia="標楷體"/>
          <w:kern w:val="0"/>
          <w:sz w:val="28"/>
          <w:szCs w:val="20"/>
        </w:rPr>
        <w:t>、</w:t>
      </w:r>
      <w:r w:rsidRPr="003B6B9A">
        <w:rPr>
          <w:rFonts w:eastAsia="標楷體" w:hint="eastAsia"/>
          <w:kern w:val="0"/>
          <w:sz w:val="28"/>
          <w:szCs w:val="20"/>
        </w:rPr>
        <w:t>5.81</w:t>
      </w:r>
      <w:r w:rsidRPr="003B6B9A">
        <w:rPr>
          <w:rFonts w:eastAsia="標楷體"/>
          <w:kern w:val="0"/>
          <w:sz w:val="28"/>
          <w:szCs w:val="20"/>
        </w:rPr>
        <w:t>%</w:t>
      </w:r>
      <w:r w:rsidRPr="003B6B9A">
        <w:rPr>
          <w:rFonts w:eastAsia="標楷體"/>
          <w:kern w:val="0"/>
          <w:sz w:val="28"/>
          <w:szCs w:val="20"/>
        </w:rPr>
        <w:t>、</w:t>
      </w:r>
      <w:r w:rsidRPr="003B6B9A">
        <w:rPr>
          <w:rFonts w:eastAsia="標楷體" w:hint="eastAsia"/>
          <w:kern w:val="0"/>
          <w:sz w:val="28"/>
          <w:szCs w:val="20"/>
        </w:rPr>
        <w:t>1.74</w:t>
      </w:r>
      <w:r w:rsidRPr="003B6B9A">
        <w:rPr>
          <w:rFonts w:eastAsia="標楷體"/>
          <w:kern w:val="0"/>
          <w:sz w:val="28"/>
          <w:szCs w:val="20"/>
        </w:rPr>
        <w:t>%</w:t>
      </w:r>
      <w:r w:rsidRPr="003B6B9A">
        <w:rPr>
          <w:rFonts w:eastAsia="標楷體"/>
          <w:kern w:val="0"/>
          <w:sz w:val="28"/>
          <w:szCs w:val="20"/>
        </w:rPr>
        <w:t>。累計</w:t>
      </w:r>
      <w:r w:rsidRPr="003B6B9A">
        <w:rPr>
          <w:rFonts w:eastAsia="標楷體"/>
          <w:kern w:val="0"/>
          <w:sz w:val="28"/>
          <w:szCs w:val="20"/>
        </w:rPr>
        <w:t>1</w:t>
      </w:r>
      <w:r w:rsidRPr="003B6B9A">
        <w:rPr>
          <w:rFonts w:eastAsia="標楷體"/>
          <w:kern w:val="0"/>
          <w:sz w:val="28"/>
          <w:szCs w:val="20"/>
        </w:rPr>
        <w:t>至</w:t>
      </w:r>
      <w:r w:rsidRPr="003B6B9A">
        <w:rPr>
          <w:rFonts w:eastAsia="標楷體" w:hint="eastAsia"/>
          <w:kern w:val="0"/>
          <w:sz w:val="28"/>
          <w:szCs w:val="20"/>
        </w:rPr>
        <w:t>4</w:t>
      </w:r>
      <w:r w:rsidRPr="003B6B9A">
        <w:rPr>
          <w:rFonts w:eastAsia="標楷體"/>
          <w:kern w:val="0"/>
          <w:sz w:val="28"/>
          <w:szCs w:val="20"/>
        </w:rPr>
        <w:t>月工業生產增加</w:t>
      </w:r>
      <w:r w:rsidRPr="003B6B9A">
        <w:rPr>
          <w:rFonts w:eastAsia="標楷體" w:hint="eastAsia"/>
          <w:kern w:val="0"/>
          <w:sz w:val="28"/>
          <w:szCs w:val="20"/>
        </w:rPr>
        <w:t>4.54</w:t>
      </w:r>
      <w:r w:rsidRPr="003B6B9A">
        <w:rPr>
          <w:rFonts w:eastAsia="標楷體"/>
          <w:kern w:val="0"/>
          <w:sz w:val="28"/>
          <w:szCs w:val="20"/>
        </w:rPr>
        <w:t>%</w:t>
      </w:r>
      <w:r w:rsidRPr="003B6B9A">
        <w:rPr>
          <w:rFonts w:eastAsia="標楷體"/>
          <w:kern w:val="0"/>
          <w:sz w:val="28"/>
          <w:szCs w:val="20"/>
        </w:rPr>
        <w:t>。</w:t>
      </w:r>
    </w:p>
    <w:p w:rsidR="003F3F99" w:rsidRPr="00B118E9" w:rsidRDefault="003F3F99" w:rsidP="003F3F99">
      <w:pPr>
        <w:widowControl/>
        <w:topLinePunct/>
        <w:snapToGrid w:val="0"/>
        <w:spacing w:beforeLines="30" w:before="108" w:line="300" w:lineRule="auto"/>
        <w:ind w:right="210"/>
        <w:jc w:val="both"/>
        <w:rPr>
          <w:rFonts w:eastAsia="標楷體"/>
          <w:kern w:val="0"/>
          <w:sz w:val="28"/>
          <w:szCs w:val="20"/>
        </w:rPr>
      </w:pPr>
      <w:r w:rsidRPr="00B118E9">
        <w:rPr>
          <w:rFonts w:eastAsia="標楷體"/>
          <w:b/>
          <w:bCs/>
          <w:kern w:val="0"/>
          <w:sz w:val="28"/>
          <w:szCs w:val="20"/>
        </w:rPr>
        <w:t xml:space="preserve">　　　　　　　　　表</w:t>
      </w:r>
      <w:r w:rsidRPr="00B118E9">
        <w:rPr>
          <w:rFonts w:eastAsia="標楷體"/>
          <w:b/>
          <w:bCs/>
          <w:kern w:val="0"/>
          <w:sz w:val="28"/>
          <w:szCs w:val="20"/>
        </w:rPr>
        <w:t xml:space="preserve">2-2-1  </w:t>
      </w:r>
      <w:r w:rsidRPr="00B118E9">
        <w:rPr>
          <w:rFonts w:eastAsia="標楷體"/>
          <w:b/>
          <w:bCs/>
          <w:kern w:val="0"/>
          <w:sz w:val="28"/>
          <w:szCs w:val="20"/>
        </w:rPr>
        <w:t>工業生產</w:t>
      </w:r>
      <w:r w:rsidRPr="00B118E9">
        <w:rPr>
          <w:rFonts w:eastAsia="標楷體"/>
          <w:b/>
          <w:bCs/>
          <w:snapToGrid w:val="0"/>
          <w:kern w:val="0"/>
          <w:sz w:val="28"/>
          <w:szCs w:val="20"/>
        </w:rPr>
        <w:t>年增率</w:t>
      </w:r>
      <w:r w:rsidRPr="00B118E9">
        <w:rPr>
          <w:rFonts w:eastAsia="標楷體"/>
          <w:kern w:val="0"/>
          <w:sz w:val="28"/>
          <w:szCs w:val="20"/>
        </w:rPr>
        <w:t xml:space="preserve">          </w:t>
      </w:r>
      <w:r w:rsidRPr="00B118E9">
        <w:rPr>
          <w:rFonts w:eastAsia="標楷體"/>
          <w:kern w:val="0"/>
          <w:szCs w:val="20"/>
        </w:rPr>
        <w:t>單位：</w:t>
      </w:r>
      <w:r w:rsidR="00BD6B4B">
        <w:rPr>
          <w:rFonts w:eastAsia="標楷體" w:hint="eastAsia"/>
          <w:kern w:val="0"/>
          <w:szCs w:val="20"/>
        </w:rPr>
        <w:t>%</w:t>
      </w:r>
    </w:p>
    <w:tbl>
      <w:tblPr>
        <w:tblW w:w="8499" w:type="dxa"/>
        <w:jc w:val="center"/>
        <w:tblInd w:w="64" w:type="dxa"/>
        <w:tblCellMar>
          <w:left w:w="0" w:type="dxa"/>
          <w:right w:w="0" w:type="dxa"/>
        </w:tblCellMar>
        <w:tblLook w:val="0000" w:firstRow="0" w:lastRow="0" w:firstColumn="0" w:lastColumn="0" w:noHBand="0" w:noVBand="0"/>
      </w:tblPr>
      <w:tblGrid>
        <w:gridCol w:w="1756"/>
        <w:gridCol w:w="1095"/>
        <w:gridCol w:w="1090"/>
        <w:gridCol w:w="1278"/>
        <w:gridCol w:w="1160"/>
        <w:gridCol w:w="1113"/>
        <w:gridCol w:w="1007"/>
      </w:tblGrid>
      <w:tr w:rsidR="00BD6B4B" w:rsidRPr="003B6B9A" w:rsidTr="00BD6B4B">
        <w:trPr>
          <w:cantSplit/>
          <w:trHeight w:val="181"/>
          <w:jc w:val="center"/>
        </w:trPr>
        <w:tc>
          <w:tcPr>
            <w:tcW w:w="1756" w:type="dxa"/>
            <w:vMerge w:val="restart"/>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60" w:lineRule="exact"/>
              <w:ind w:left="3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095" w:type="dxa"/>
            <w:vMerge w:val="restart"/>
            <w:tcBorders>
              <w:top w:val="single" w:sz="4" w:space="0" w:color="auto"/>
              <w:left w:val="single" w:sz="4" w:space="0" w:color="auto"/>
              <w:bottom w:val="single" w:sz="4" w:space="0" w:color="auto"/>
            </w:tcBorders>
            <w:tcMar>
              <w:top w:w="17" w:type="dxa"/>
              <w:left w:w="17" w:type="dxa"/>
              <w:bottom w:w="0" w:type="dxa"/>
              <w:right w:w="17" w:type="dxa"/>
            </w:tcMar>
          </w:tcPr>
          <w:p w:rsidR="00BD6B4B" w:rsidRPr="003B6B9A" w:rsidRDefault="00BD6B4B" w:rsidP="00BD6B4B">
            <w:pPr>
              <w:snapToGrid w:val="0"/>
              <w:spacing w:line="260" w:lineRule="exact"/>
              <w:ind w:left="28"/>
              <w:jc w:val="center"/>
              <w:rPr>
                <w:rFonts w:eastAsia="標楷體"/>
                <w:szCs w:val="28"/>
              </w:rPr>
            </w:pPr>
          </w:p>
          <w:p w:rsidR="00BD6B4B" w:rsidRPr="003B6B9A" w:rsidRDefault="00BD6B4B" w:rsidP="00BD6B4B">
            <w:pPr>
              <w:snapToGrid w:val="0"/>
              <w:spacing w:line="260" w:lineRule="exact"/>
              <w:ind w:left="28"/>
              <w:jc w:val="center"/>
              <w:rPr>
                <w:rFonts w:eastAsia="標楷體"/>
                <w:szCs w:val="28"/>
              </w:rPr>
            </w:pPr>
            <w:r w:rsidRPr="003B6B9A">
              <w:rPr>
                <w:rFonts w:eastAsia="標楷體"/>
                <w:szCs w:val="28"/>
              </w:rPr>
              <w:t>工業生產</w:t>
            </w:r>
          </w:p>
        </w:tc>
        <w:tc>
          <w:tcPr>
            <w:tcW w:w="1090" w:type="dxa"/>
            <w:tcBorders>
              <w:top w:val="single" w:sz="4" w:space="0" w:color="auto"/>
              <w:bottom w:val="single" w:sz="4" w:space="0" w:color="auto"/>
            </w:tcBorders>
            <w:tcMar>
              <w:top w:w="17" w:type="dxa"/>
              <w:left w:w="17" w:type="dxa"/>
              <w:bottom w:w="0" w:type="dxa"/>
              <w:right w:w="17" w:type="dxa"/>
            </w:tcMar>
          </w:tcPr>
          <w:p w:rsidR="00BD6B4B" w:rsidRPr="003B6B9A" w:rsidRDefault="00BD6B4B" w:rsidP="00BD6B4B">
            <w:pPr>
              <w:snapToGrid w:val="0"/>
              <w:spacing w:line="260" w:lineRule="exact"/>
              <w:ind w:left="28"/>
              <w:jc w:val="center"/>
              <w:rPr>
                <w:rFonts w:eastAsia="標楷體"/>
              </w:rPr>
            </w:pPr>
          </w:p>
        </w:tc>
        <w:tc>
          <w:tcPr>
            <w:tcW w:w="1278" w:type="dxa"/>
            <w:tcBorders>
              <w:top w:val="single" w:sz="4" w:space="0" w:color="auto"/>
              <w:bottom w:val="single" w:sz="4" w:space="0" w:color="auto"/>
            </w:tcBorders>
          </w:tcPr>
          <w:p w:rsidR="00BD6B4B" w:rsidRPr="003B6B9A" w:rsidRDefault="00BD6B4B" w:rsidP="00BD6B4B">
            <w:pPr>
              <w:snapToGrid w:val="0"/>
              <w:spacing w:line="260" w:lineRule="exact"/>
              <w:ind w:left="28"/>
              <w:jc w:val="center"/>
              <w:rPr>
                <w:rFonts w:eastAsia="標楷體"/>
              </w:rPr>
            </w:pPr>
          </w:p>
        </w:tc>
        <w:tc>
          <w:tcPr>
            <w:tcW w:w="1160" w:type="dxa"/>
            <w:tcBorders>
              <w:top w:val="single" w:sz="4" w:space="0" w:color="auto"/>
              <w:bottom w:val="single" w:sz="4" w:space="0" w:color="auto"/>
            </w:tcBorders>
          </w:tcPr>
          <w:p w:rsidR="00BD6B4B" w:rsidRPr="003B6B9A" w:rsidRDefault="00BD6B4B" w:rsidP="00BD6B4B">
            <w:pPr>
              <w:snapToGrid w:val="0"/>
              <w:spacing w:line="260" w:lineRule="exact"/>
              <w:ind w:left="28"/>
              <w:jc w:val="center"/>
              <w:rPr>
                <w:rFonts w:eastAsia="標楷體"/>
              </w:rPr>
            </w:pPr>
          </w:p>
        </w:tc>
        <w:tc>
          <w:tcPr>
            <w:tcW w:w="1113" w:type="dxa"/>
            <w:tcBorders>
              <w:top w:val="single" w:sz="4" w:space="0" w:color="auto"/>
              <w:bottom w:val="single" w:sz="4" w:space="0" w:color="auto"/>
            </w:tcBorders>
          </w:tcPr>
          <w:p w:rsidR="00BD6B4B" w:rsidRPr="003B6B9A" w:rsidRDefault="00BD6B4B" w:rsidP="00BD6B4B">
            <w:pPr>
              <w:snapToGrid w:val="0"/>
              <w:spacing w:line="260" w:lineRule="exact"/>
              <w:ind w:left="28"/>
              <w:jc w:val="center"/>
              <w:rPr>
                <w:rFonts w:eastAsia="標楷體"/>
              </w:rPr>
            </w:pPr>
          </w:p>
        </w:tc>
        <w:tc>
          <w:tcPr>
            <w:tcW w:w="1007" w:type="dxa"/>
            <w:tcBorders>
              <w:top w:val="single" w:sz="4" w:space="0" w:color="auto"/>
              <w:bottom w:val="single" w:sz="4" w:space="0" w:color="auto"/>
            </w:tcBorders>
          </w:tcPr>
          <w:p w:rsidR="00BD6B4B" w:rsidRPr="003B6B9A" w:rsidRDefault="00BD6B4B" w:rsidP="00BD6B4B">
            <w:pPr>
              <w:snapToGrid w:val="0"/>
              <w:spacing w:line="260" w:lineRule="exact"/>
              <w:ind w:left="28"/>
              <w:jc w:val="center"/>
              <w:rPr>
                <w:rFonts w:eastAsia="標楷體"/>
              </w:rPr>
            </w:pPr>
          </w:p>
        </w:tc>
      </w:tr>
      <w:tr w:rsidR="00BD6B4B" w:rsidRPr="003B6B9A" w:rsidTr="00BD6B4B">
        <w:trPr>
          <w:cantSplit/>
          <w:trHeight w:val="562"/>
          <w:jc w:val="center"/>
        </w:trPr>
        <w:tc>
          <w:tcPr>
            <w:tcW w:w="1756" w:type="dxa"/>
            <w:vMerge/>
            <w:tcBorders>
              <w:top w:val="single" w:sz="4" w:space="0" w:color="auto"/>
              <w:left w:val="nil"/>
              <w:bottom w:val="single" w:sz="4" w:space="0" w:color="auto"/>
              <w:right w:val="single" w:sz="4" w:space="0" w:color="auto"/>
            </w:tcBorders>
            <w:vAlign w:val="center"/>
          </w:tcPr>
          <w:p w:rsidR="00BD6B4B" w:rsidRPr="003B6B9A" w:rsidRDefault="00BD6B4B" w:rsidP="00BD6B4B">
            <w:pPr>
              <w:snapToGrid w:val="0"/>
              <w:spacing w:line="260" w:lineRule="exact"/>
              <w:ind w:left="30"/>
              <w:rPr>
                <w:rFonts w:eastAsia="標楷體"/>
              </w:rPr>
            </w:pPr>
          </w:p>
        </w:tc>
        <w:tc>
          <w:tcPr>
            <w:tcW w:w="1095" w:type="dxa"/>
            <w:vMerge/>
            <w:tcBorders>
              <w:top w:val="single" w:sz="4" w:space="0" w:color="auto"/>
              <w:left w:val="single" w:sz="4" w:space="0" w:color="auto"/>
              <w:bottom w:val="single" w:sz="4" w:space="0" w:color="auto"/>
              <w:right w:val="nil"/>
            </w:tcBorders>
            <w:vAlign w:val="center"/>
          </w:tcPr>
          <w:p w:rsidR="00BD6B4B" w:rsidRPr="003B6B9A" w:rsidRDefault="00BD6B4B" w:rsidP="00BD6B4B">
            <w:pPr>
              <w:snapToGrid w:val="0"/>
              <w:spacing w:line="260" w:lineRule="exact"/>
              <w:ind w:left="28"/>
              <w:rPr>
                <w:rFonts w:eastAsia="標楷體"/>
                <w:szCs w:val="28"/>
              </w:rPr>
            </w:pPr>
          </w:p>
        </w:tc>
        <w:tc>
          <w:tcPr>
            <w:tcW w:w="1090" w:type="dxa"/>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60" w:lineRule="exact"/>
              <w:ind w:left="28"/>
              <w:jc w:val="center"/>
              <w:rPr>
                <w:rFonts w:eastAsia="標楷體"/>
              </w:rPr>
            </w:pPr>
            <w:r w:rsidRPr="003B6B9A">
              <w:rPr>
                <w:rFonts w:eastAsia="標楷體"/>
              </w:rPr>
              <w:t>製造業</w:t>
            </w:r>
          </w:p>
        </w:tc>
        <w:tc>
          <w:tcPr>
            <w:tcW w:w="1278"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60" w:lineRule="exact"/>
              <w:ind w:left="28"/>
              <w:jc w:val="center"/>
              <w:rPr>
                <w:rFonts w:eastAsia="標楷體"/>
              </w:rPr>
            </w:pPr>
            <w:r w:rsidRPr="003B6B9A">
              <w:rPr>
                <w:rFonts w:eastAsia="標楷體"/>
              </w:rPr>
              <w:t>礦業及土石</w:t>
            </w:r>
          </w:p>
          <w:p w:rsidR="00BD6B4B" w:rsidRPr="003B6B9A" w:rsidRDefault="00BD6B4B" w:rsidP="00BD6B4B">
            <w:pPr>
              <w:snapToGrid w:val="0"/>
              <w:spacing w:line="260" w:lineRule="exact"/>
              <w:ind w:left="28"/>
              <w:jc w:val="center"/>
              <w:rPr>
                <w:rFonts w:eastAsia="標楷體"/>
              </w:rPr>
            </w:pPr>
            <w:r w:rsidRPr="003B6B9A">
              <w:rPr>
                <w:rFonts w:eastAsia="標楷體"/>
              </w:rPr>
              <w:t>採取業</w:t>
            </w:r>
          </w:p>
        </w:tc>
        <w:tc>
          <w:tcPr>
            <w:tcW w:w="1160"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60" w:lineRule="exact"/>
              <w:ind w:left="28"/>
              <w:jc w:val="center"/>
              <w:rPr>
                <w:rFonts w:eastAsia="標楷體"/>
              </w:rPr>
            </w:pPr>
            <w:r w:rsidRPr="003B6B9A">
              <w:rPr>
                <w:rFonts w:eastAsia="標楷體"/>
              </w:rPr>
              <w:t>電力及燃氣供應業</w:t>
            </w:r>
          </w:p>
        </w:tc>
        <w:tc>
          <w:tcPr>
            <w:tcW w:w="1113"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60" w:lineRule="exact"/>
              <w:ind w:left="28"/>
              <w:jc w:val="center"/>
              <w:rPr>
                <w:rFonts w:eastAsia="標楷體"/>
              </w:rPr>
            </w:pPr>
            <w:r w:rsidRPr="003B6B9A">
              <w:rPr>
                <w:rFonts w:eastAsia="標楷體"/>
              </w:rPr>
              <w:t>用水</w:t>
            </w:r>
          </w:p>
          <w:p w:rsidR="00BD6B4B" w:rsidRPr="003B6B9A" w:rsidRDefault="00BD6B4B" w:rsidP="00BD6B4B">
            <w:pPr>
              <w:snapToGrid w:val="0"/>
              <w:spacing w:line="260" w:lineRule="exact"/>
              <w:ind w:left="28"/>
              <w:jc w:val="center"/>
              <w:rPr>
                <w:rFonts w:eastAsia="標楷體"/>
              </w:rPr>
            </w:pPr>
            <w:r w:rsidRPr="003B6B9A">
              <w:rPr>
                <w:rFonts w:eastAsia="標楷體"/>
              </w:rPr>
              <w:t>供應業</w:t>
            </w:r>
          </w:p>
        </w:tc>
        <w:tc>
          <w:tcPr>
            <w:tcW w:w="1007" w:type="dxa"/>
            <w:tcBorders>
              <w:top w:val="single" w:sz="4" w:space="0" w:color="auto"/>
              <w:left w:val="single" w:sz="4" w:space="0" w:color="auto"/>
              <w:bottom w:val="single" w:sz="4" w:space="0" w:color="auto"/>
              <w:right w:val="nil"/>
            </w:tcBorders>
            <w:vAlign w:val="center"/>
          </w:tcPr>
          <w:p w:rsidR="00BD6B4B" w:rsidRPr="003B6B9A" w:rsidRDefault="00BD6B4B" w:rsidP="00BD6B4B">
            <w:pPr>
              <w:snapToGrid w:val="0"/>
              <w:spacing w:line="260" w:lineRule="exact"/>
              <w:ind w:left="28"/>
              <w:jc w:val="center"/>
              <w:rPr>
                <w:rFonts w:eastAsia="標楷體"/>
              </w:rPr>
            </w:pPr>
            <w:r w:rsidRPr="003B6B9A">
              <w:rPr>
                <w:rFonts w:eastAsia="標楷體"/>
              </w:rPr>
              <w:t>建築</w:t>
            </w:r>
          </w:p>
          <w:p w:rsidR="00BD6B4B" w:rsidRPr="003B6B9A" w:rsidRDefault="00BD6B4B" w:rsidP="00BD6B4B">
            <w:pPr>
              <w:snapToGrid w:val="0"/>
              <w:spacing w:line="260" w:lineRule="exact"/>
              <w:ind w:left="28"/>
              <w:jc w:val="center"/>
              <w:rPr>
                <w:rFonts w:eastAsia="標楷體"/>
              </w:rPr>
            </w:pPr>
            <w:r w:rsidRPr="003B6B9A">
              <w:rPr>
                <w:rFonts w:eastAsia="標楷體"/>
              </w:rPr>
              <w:t>工程業</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tcPr>
          <w:p w:rsidR="00BD6B4B" w:rsidRPr="003B6B9A" w:rsidRDefault="00BD6B4B" w:rsidP="00BD6B4B">
            <w:pPr>
              <w:snapToGrid w:val="0"/>
              <w:spacing w:line="380" w:lineRule="exact"/>
              <w:ind w:left="30"/>
              <w:jc w:val="both"/>
              <w:rPr>
                <w:rFonts w:eastAsia="標楷體"/>
                <w:b/>
                <w:bCs/>
              </w:rPr>
            </w:pPr>
            <w:r w:rsidRPr="003B6B9A">
              <w:rPr>
                <w:rFonts w:eastAsia="標楷體"/>
                <w:b/>
                <w:bCs/>
              </w:rPr>
              <w:t xml:space="preserve">  99</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BD6B4B" w:rsidRPr="003B6B9A" w:rsidRDefault="00BD6B4B" w:rsidP="00BD6B4B">
            <w:pPr>
              <w:snapToGrid w:val="0"/>
              <w:spacing w:line="380" w:lineRule="exact"/>
              <w:ind w:rightChars="100" w:right="240"/>
              <w:jc w:val="right"/>
              <w:rPr>
                <w:rFonts w:eastAsia="標楷體"/>
                <w:b/>
                <w:bCs/>
              </w:rPr>
            </w:pPr>
            <w:r w:rsidRPr="003B6B9A">
              <w:rPr>
                <w:rFonts w:eastAsia="標楷體"/>
                <w:b/>
                <w:bCs/>
              </w:rPr>
              <w:t>24.17</w:t>
            </w:r>
          </w:p>
        </w:tc>
        <w:tc>
          <w:tcPr>
            <w:tcW w:w="1090" w:type="dxa"/>
            <w:tcMar>
              <w:top w:w="17" w:type="dxa"/>
              <w:left w:w="17" w:type="dxa"/>
              <w:bottom w:w="0" w:type="dxa"/>
              <w:right w:w="17" w:type="dxa"/>
            </w:tcMar>
            <w:vAlign w:val="bottom"/>
          </w:tcPr>
          <w:p w:rsidR="00BD6B4B" w:rsidRPr="003B6B9A" w:rsidRDefault="00BD6B4B" w:rsidP="00BD6B4B">
            <w:pPr>
              <w:snapToGrid w:val="0"/>
              <w:spacing w:line="380" w:lineRule="exact"/>
              <w:ind w:rightChars="98" w:right="235"/>
              <w:jc w:val="right"/>
              <w:rPr>
                <w:rFonts w:eastAsia="標楷體"/>
                <w:b/>
                <w:bCs/>
              </w:rPr>
            </w:pPr>
            <w:r w:rsidRPr="003B6B9A">
              <w:rPr>
                <w:rFonts w:eastAsia="標楷體"/>
                <w:b/>
                <w:bCs/>
              </w:rPr>
              <w:t>26.47</w:t>
            </w:r>
          </w:p>
        </w:tc>
        <w:tc>
          <w:tcPr>
            <w:tcW w:w="1278" w:type="dxa"/>
            <w:tcMar>
              <w:top w:w="17" w:type="dxa"/>
              <w:left w:w="17" w:type="dxa"/>
              <w:bottom w:w="0" w:type="dxa"/>
              <w:right w:w="17" w:type="dxa"/>
            </w:tcMar>
            <w:vAlign w:val="bottom"/>
          </w:tcPr>
          <w:p w:rsidR="00BD6B4B" w:rsidRPr="003B6B9A" w:rsidRDefault="00BD6B4B" w:rsidP="00BD6B4B">
            <w:pPr>
              <w:snapToGrid w:val="0"/>
              <w:spacing w:line="380" w:lineRule="exact"/>
              <w:ind w:rightChars="120" w:right="288"/>
              <w:jc w:val="right"/>
              <w:rPr>
                <w:rFonts w:eastAsia="標楷體"/>
                <w:b/>
                <w:bCs/>
              </w:rPr>
            </w:pPr>
            <w:r w:rsidRPr="003B6B9A">
              <w:rPr>
                <w:rFonts w:eastAsia="標楷體"/>
                <w:b/>
                <w:bCs/>
              </w:rPr>
              <w:t>22.87</w:t>
            </w:r>
          </w:p>
        </w:tc>
        <w:tc>
          <w:tcPr>
            <w:tcW w:w="1160" w:type="dxa"/>
            <w:tcMar>
              <w:top w:w="17" w:type="dxa"/>
              <w:left w:w="17" w:type="dxa"/>
              <w:bottom w:w="0" w:type="dxa"/>
              <w:right w:w="17" w:type="dxa"/>
            </w:tcMar>
            <w:vAlign w:val="bottom"/>
          </w:tcPr>
          <w:p w:rsidR="00BD6B4B" w:rsidRPr="003B6B9A" w:rsidRDefault="00BD6B4B" w:rsidP="00BD6B4B">
            <w:pPr>
              <w:snapToGrid w:val="0"/>
              <w:spacing w:line="380" w:lineRule="exact"/>
              <w:ind w:rightChars="127" w:right="305"/>
              <w:jc w:val="right"/>
              <w:rPr>
                <w:rFonts w:eastAsia="標楷體"/>
                <w:b/>
                <w:bCs/>
              </w:rPr>
            </w:pPr>
            <w:r w:rsidRPr="003B6B9A">
              <w:rPr>
                <w:rFonts w:eastAsia="標楷體"/>
                <w:b/>
                <w:bCs/>
              </w:rPr>
              <w:t>2.47</w:t>
            </w:r>
          </w:p>
        </w:tc>
        <w:tc>
          <w:tcPr>
            <w:tcW w:w="1113" w:type="dxa"/>
            <w:tcMar>
              <w:top w:w="17" w:type="dxa"/>
              <w:left w:w="17" w:type="dxa"/>
              <w:bottom w:w="0" w:type="dxa"/>
              <w:right w:w="17" w:type="dxa"/>
            </w:tcMar>
            <w:vAlign w:val="bottom"/>
          </w:tcPr>
          <w:p w:rsidR="00BD6B4B" w:rsidRPr="003B6B9A" w:rsidRDefault="00BD6B4B" w:rsidP="00BD6B4B">
            <w:pPr>
              <w:snapToGrid w:val="0"/>
              <w:spacing w:line="380" w:lineRule="exact"/>
              <w:ind w:rightChars="107" w:right="257"/>
              <w:jc w:val="right"/>
              <w:rPr>
                <w:rFonts w:eastAsia="標楷體"/>
                <w:b/>
                <w:bCs/>
              </w:rPr>
            </w:pPr>
            <w:r w:rsidRPr="003B6B9A">
              <w:rPr>
                <w:rFonts w:eastAsia="標楷體"/>
                <w:b/>
                <w:bCs/>
              </w:rPr>
              <w:t>1.35</w:t>
            </w:r>
          </w:p>
        </w:tc>
        <w:tc>
          <w:tcPr>
            <w:tcW w:w="1007" w:type="dxa"/>
            <w:vAlign w:val="bottom"/>
          </w:tcPr>
          <w:p w:rsidR="00BD6B4B" w:rsidRPr="003B6B9A" w:rsidRDefault="00BD6B4B" w:rsidP="00BD6B4B">
            <w:pPr>
              <w:snapToGrid w:val="0"/>
              <w:spacing w:line="380" w:lineRule="exact"/>
              <w:ind w:rightChars="76" w:right="182"/>
              <w:jc w:val="right"/>
              <w:rPr>
                <w:rFonts w:eastAsia="標楷體"/>
                <w:b/>
                <w:bCs/>
              </w:rPr>
            </w:pPr>
            <w:r w:rsidRPr="003B6B9A">
              <w:rPr>
                <w:rFonts w:eastAsia="標楷體"/>
                <w:b/>
                <w:bCs/>
              </w:rPr>
              <w:t>-9.17</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tcPr>
          <w:p w:rsidR="00BD6B4B" w:rsidRPr="003B6B9A" w:rsidRDefault="00BD6B4B" w:rsidP="00BD6B4B">
            <w:pPr>
              <w:snapToGrid w:val="0"/>
              <w:spacing w:line="380" w:lineRule="exact"/>
              <w:rPr>
                <w:rFonts w:eastAsia="標楷體"/>
                <w:b/>
                <w:bCs/>
              </w:rPr>
            </w:pPr>
            <w:r w:rsidRPr="003B6B9A">
              <w:rPr>
                <w:rFonts w:eastAsia="標楷體"/>
                <w:b/>
                <w:bCs/>
              </w:rPr>
              <w:t xml:space="preserve"> 100</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BD6B4B" w:rsidRPr="003B6B9A" w:rsidRDefault="00BD6B4B" w:rsidP="00BD6B4B">
            <w:pPr>
              <w:snapToGrid w:val="0"/>
              <w:spacing w:line="380" w:lineRule="exact"/>
              <w:ind w:rightChars="100" w:right="240"/>
              <w:jc w:val="right"/>
              <w:rPr>
                <w:rFonts w:eastAsia="標楷體"/>
                <w:b/>
                <w:bCs/>
              </w:rPr>
            </w:pPr>
            <w:r w:rsidRPr="003B6B9A">
              <w:rPr>
                <w:rFonts w:eastAsia="標楷體"/>
                <w:b/>
                <w:bCs/>
              </w:rPr>
              <w:t>4.44</w:t>
            </w:r>
          </w:p>
        </w:tc>
        <w:tc>
          <w:tcPr>
            <w:tcW w:w="1090" w:type="dxa"/>
            <w:tcMar>
              <w:top w:w="17" w:type="dxa"/>
              <w:left w:w="17" w:type="dxa"/>
              <w:bottom w:w="0" w:type="dxa"/>
              <w:right w:w="17" w:type="dxa"/>
            </w:tcMar>
            <w:vAlign w:val="bottom"/>
          </w:tcPr>
          <w:p w:rsidR="00BD6B4B" w:rsidRPr="003B6B9A" w:rsidRDefault="00BD6B4B" w:rsidP="00BD6B4B">
            <w:pPr>
              <w:snapToGrid w:val="0"/>
              <w:spacing w:line="380" w:lineRule="exact"/>
              <w:ind w:rightChars="98" w:right="235"/>
              <w:jc w:val="right"/>
              <w:rPr>
                <w:rFonts w:eastAsia="標楷體"/>
                <w:b/>
                <w:bCs/>
              </w:rPr>
            </w:pPr>
            <w:r w:rsidRPr="003B6B9A">
              <w:rPr>
                <w:rFonts w:eastAsia="標楷體"/>
                <w:b/>
                <w:bCs/>
              </w:rPr>
              <w:t>4.69</w:t>
            </w:r>
          </w:p>
        </w:tc>
        <w:tc>
          <w:tcPr>
            <w:tcW w:w="1278" w:type="dxa"/>
            <w:tcMar>
              <w:top w:w="17" w:type="dxa"/>
              <w:left w:w="17" w:type="dxa"/>
              <w:bottom w:w="0" w:type="dxa"/>
              <w:right w:w="17" w:type="dxa"/>
            </w:tcMar>
            <w:vAlign w:val="bottom"/>
          </w:tcPr>
          <w:p w:rsidR="00BD6B4B" w:rsidRPr="003B6B9A" w:rsidRDefault="00BD6B4B" w:rsidP="00BD6B4B">
            <w:pPr>
              <w:snapToGrid w:val="0"/>
              <w:spacing w:line="380" w:lineRule="exact"/>
              <w:ind w:rightChars="120" w:right="288"/>
              <w:jc w:val="right"/>
              <w:rPr>
                <w:rFonts w:eastAsia="標楷體"/>
                <w:b/>
                <w:bCs/>
              </w:rPr>
            </w:pPr>
            <w:r w:rsidRPr="003B6B9A">
              <w:rPr>
                <w:rFonts w:eastAsia="標楷體"/>
                <w:b/>
                <w:bCs/>
              </w:rPr>
              <w:t>-7.12</w:t>
            </w:r>
          </w:p>
        </w:tc>
        <w:tc>
          <w:tcPr>
            <w:tcW w:w="1160" w:type="dxa"/>
            <w:tcMar>
              <w:top w:w="17" w:type="dxa"/>
              <w:left w:w="17" w:type="dxa"/>
              <w:bottom w:w="0" w:type="dxa"/>
              <w:right w:w="17" w:type="dxa"/>
            </w:tcMar>
            <w:vAlign w:val="bottom"/>
          </w:tcPr>
          <w:p w:rsidR="00BD6B4B" w:rsidRPr="003B6B9A" w:rsidRDefault="00BD6B4B" w:rsidP="00BD6B4B">
            <w:pPr>
              <w:snapToGrid w:val="0"/>
              <w:spacing w:line="380" w:lineRule="exact"/>
              <w:ind w:rightChars="127" w:right="305"/>
              <w:jc w:val="right"/>
              <w:rPr>
                <w:rFonts w:eastAsia="標楷體"/>
                <w:b/>
                <w:bCs/>
              </w:rPr>
            </w:pPr>
            <w:r w:rsidRPr="003B6B9A">
              <w:rPr>
                <w:rFonts w:eastAsia="標楷體"/>
                <w:b/>
                <w:bCs/>
              </w:rPr>
              <w:t>0.62</w:t>
            </w:r>
          </w:p>
        </w:tc>
        <w:tc>
          <w:tcPr>
            <w:tcW w:w="1113" w:type="dxa"/>
            <w:tcMar>
              <w:top w:w="17" w:type="dxa"/>
              <w:left w:w="17" w:type="dxa"/>
              <w:bottom w:w="0" w:type="dxa"/>
              <w:right w:w="17" w:type="dxa"/>
            </w:tcMar>
            <w:vAlign w:val="bottom"/>
          </w:tcPr>
          <w:p w:rsidR="00BD6B4B" w:rsidRPr="003B6B9A" w:rsidRDefault="00BD6B4B" w:rsidP="00BD6B4B">
            <w:pPr>
              <w:snapToGrid w:val="0"/>
              <w:spacing w:line="380" w:lineRule="exact"/>
              <w:ind w:rightChars="107" w:right="257"/>
              <w:jc w:val="right"/>
              <w:rPr>
                <w:rFonts w:eastAsia="標楷體"/>
                <w:b/>
                <w:bCs/>
              </w:rPr>
            </w:pPr>
            <w:r w:rsidRPr="003B6B9A">
              <w:rPr>
                <w:rFonts w:eastAsia="標楷體"/>
                <w:b/>
                <w:bCs/>
              </w:rPr>
              <w:t>0.20</w:t>
            </w:r>
          </w:p>
        </w:tc>
        <w:tc>
          <w:tcPr>
            <w:tcW w:w="1007" w:type="dxa"/>
            <w:vAlign w:val="bottom"/>
          </w:tcPr>
          <w:p w:rsidR="00BD6B4B" w:rsidRPr="003B6B9A" w:rsidRDefault="00BD6B4B" w:rsidP="00BD6B4B">
            <w:pPr>
              <w:snapToGrid w:val="0"/>
              <w:spacing w:line="380" w:lineRule="exact"/>
              <w:ind w:rightChars="76" w:right="182"/>
              <w:jc w:val="right"/>
              <w:rPr>
                <w:rFonts w:eastAsia="標楷體"/>
                <w:b/>
                <w:bCs/>
              </w:rPr>
            </w:pPr>
            <w:r w:rsidRPr="003B6B9A">
              <w:rPr>
                <w:rFonts w:eastAsia="標楷體"/>
                <w:b/>
                <w:bCs/>
              </w:rPr>
              <w:t>7.58</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80" w:lineRule="exact"/>
              <w:jc w:val="both"/>
              <w:rPr>
                <w:rFonts w:eastAsia="標楷體"/>
                <w:spacing w:val="-6"/>
              </w:rPr>
            </w:pPr>
            <w:r w:rsidRPr="003B6B9A">
              <w:rPr>
                <w:rFonts w:eastAsia="標楷體"/>
                <w:b/>
                <w:bCs/>
              </w:rPr>
              <w:t xml:space="preserve"> 101</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BD6B4B" w:rsidRPr="003B6B9A" w:rsidRDefault="00BD6B4B" w:rsidP="00BD6B4B">
            <w:pPr>
              <w:snapToGrid w:val="0"/>
              <w:spacing w:line="380" w:lineRule="exact"/>
              <w:ind w:rightChars="100" w:right="240"/>
              <w:jc w:val="right"/>
              <w:rPr>
                <w:rFonts w:eastAsia="標楷體"/>
                <w:b/>
                <w:bCs/>
              </w:rPr>
            </w:pPr>
            <w:r w:rsidRPr="003B6B9A">
              <w:rPr>
                <w:rFonts w:eastAsia="標楷體"/>
                <w:b/>
                <w:bCs/>
              </w:rPr>
              <w:t>-0.25</w:t>
            </w:r>
          </w:p>
        </w:tc>
        <w:tc>
          <w:tcPr>
            <w:tcW w:w="1090" w:type="dxa"/>
            <w:tcMar>
              <w:top w:w="17" w:type="dxa"/>
              <w:left w:w="17" w:type="dxa"/>
              <w:bottom w:w="0" w:type="dxa"/>
              <w:right w:w="17" w:type="dxa"/>
            </w:tcMar>
            <w:vAlign w:val="center"/>
          </w:tcPr>
          <w:p w:rsidR="00BD6B4B" w:rsidRPr="003B6B9A" w:rsidRDefault="00BD6B4B" w:rsidP="00BD6B4B">
            <w:pPr>
              <w:snapToGrid w:val="0"/>
              <w:spacing w:line="380" w:lineRule="exact"/>
              <w:ind w:rightChars="98" w:right="235"/>
              <w:jc w:val="right"/>
              <w:rPr>
                <w:rFonts w:eastAsia="標楷體"/>
                <w:b/>
                <w:bCs/>
              </w:rPr>
            </w:pPr>
            <w:r w:rsidRPr="003B6B9A">
              <w:rPr>
                <w:rFonts w:eastAsia="標楷體"/>
                <w:b/>
                <w:bCs/>
              </w:rPr>
              <w:t>-0.32</w:t>
            </w:r>
          </w:p>
        </w:tc>
        <w:tc>
          <w:tcPr>
            <w:tcW w:w="1278" w:type="dxa"/>
            <w:tcMar>
              <w:top w:w="17" w:type="dxa"/>
              <w:left w:w="17" w:type="dxa"/>
              <w:bottom w:w="0" w:type="dxa"/>
              <w:right w:w="17" w:type="dxa"/>
            </w:tcMar>
            <w:vAlign w:val="center"/>
          </w:tcPr>
          <w:p w:rsidR="00BD6B4B" w:rsidRPr="003B6B9A" w:rsidRDefault="00BD6B4B" w:rsidP="00BD6B4B">
            <w:pPr>
              <w:snapToGrid w:val="0"/>
              <w:spacing w:line="380" w:lineRule="exact"/>
              <w:ind w:rightChars="120" w:right="288"/>
              <w:jc w:val="right"/>
              <w:rPr>
                <w:rFonts w:eastAsia="標楷體"/>
                <w:b/>
                <w:bCs/>
              </w:rPr>
            </w:pPr>
            <w:r w:rsidRPr="003B6B9A">
              <w:rPr>
                <w:rFonts w:eastAsia="標楷體"/>
                <w:b/>
                <w:bCs/>
              </w:rPr>
              <w:t>-2.73</w:t>
            </w:r>
          </w:p>
        </w:tc>
        <w:tc>
          <w:tcPr>
            <w:tcW w:w="1160" w:type="dxa"/>
            <w:tcMar>
              <w:top w:w="17" w:type="dxa"/>
              <w:left w:w="17" w:type="dxa"/>
              <w:bottom w:w="0" w:type="dxa"/>
              <w:right w:w="17" w:type="dxa"/>
            </w:tcMar>
            <w:vAlign w:val="center"/>
          </w:tcPr>
          <w:p w:rsidR="00BD6B4B" w:rsidRPr="003B6B9A" w:rsidRDefault="00BD6B4B" w:rsidP="00BD6B4B">
            <w:pPr>
              <w:snapToGrid w:val="0"/>
              <w:spacing w:line="380" w:lineRule="exact"/>
              <w:ind w:rightChars="127" w:right="305"/>
              <w:jc w:val="right"/>
              <w:rPr>
                <w:rFonts w:eastAsia="標楷體"/>
                <w:b/>
                <w:bCs/>
              </w:rPr>
            </w:pPr>
            <w:r w:rsidRPr="003B6B9A">
              <w:rPr>
                <w:rFonts w:eastAsia="標楷體"/>
                <w:b/>
                <w:bCs/>
              </w:rPr>
              <w:t>-0.82</w:t>
            </w:r>
          </w:p>
        </w:tc>
        <w:tc>
          <w:tcPr>
            <w:tcW w:w="1113" w:type="dxa"/>
            <w:tcMar>
              <w:top w:w="17" w:type="dxa"/>
              <w:left w:w="17" w:type="dxa"/>
              <w:bottom w:w="0" w:type="dxa"/>
              <w:right w:w="17" w:type="dxa"/>
            </w:tcMar>
            <w:vAlign w:val="center"/>
          </w:tcPr>
          <w:p w:rsidR="00BD6B4B" w:rsidRPr="003B6B9A" w:rsidRDefault="00BD6B4B" w:rsidP="00BD6B4B">
            <w:pPr>
              <w:snapToGrid w:val="0"/>
              <w:spacing w:line="380" w:lineRule="exact"/>
              <w:ind w:rightChars="107" w:right="257"/>
              <w:jc w:val="right"/>
              <w:rPr>
                <w:rFonts w:eastAsia="標楷體"/>
                <w:b/>
                <w:bCs/>
              </w:rPr>
            </w:pPr>
            <w:r w:rsidRPr="003B6B9A">
              <w:rPr>
                <w:rFonts w:eastAsia="標楷體"/>
                <w:b/>
                <w:bCs/>
              </w:rPr>
              <w:t>-0.60</w:t>
            </w:r>
          </w:p>
        </w:tc>
        <w:tc>
          <w:tcPr>
            <w:tcW w:w="1007" w:type="dxa"/>
            <w:vAlign w:val="center"/>
          </w:tcPr>
          <w:p w:rsidR="00BD6B4B" w:rsidRPr="003B6B9A" w:rsidRDefault="00BD6B4B" w:rsidP="00BD6B4B">
            <w:pPr>
              <w:snapToGrid w:val="0"/>
              <w:spacing w:line="380" w:lineRule="exact"/>
              <w:ind w:rightChars="76" w:right="182"/>
              <w:jc w:val="right"/>
              <w:rPr>
                <w:rFonts w:eastAsia="標楷體"/>
                <w:b/>
                <w:bCs/>
              </w:rPr>
            </w:pPr>
            <w:r w:rsidRPr="003B6B9A">
              <w:rPr>
                <w:rFonts w:eastAsia="標楷體"/>
                <w:b/>
                <w:bCs/>
              </w:rPr>
              <w:t>7.12</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tcPr>
          <w:p w:rsidR="00BD6B4B" w:rsidRPr="003B6B9A" w:rsidRDefault="00BD6B4B" w:rsidP="00BD6B4B">
            <w:pPr>
              <w:snapToGrid w:val="0"/>
              <w:spacing w:line="380" w:lineRule="exact"/>
              <w:rPr>
                <w:rFonts w:eastAsia="標楷體"/>
                <w:b/>
                <w:bCs/>
              </w:rPr>
            </w:pPr>
            <w:r w:rsidRPr="003B6B9A">
              <w:rPr>
                <w:rFonts w:eastAsia="標楷體"/>
                <w:b/>
                <w:bCs/>
              </w:rPr>
              <w:t xml:space="preserve"> 102</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BD6B4B" w:rsidRPr="003B6B9A" w:rsidRDefault="00BD6B4B" w:rsidP="00BD6B4B">
            <w:pPr>
              <w:snapToGrid w:val="0"/>
              <w:spacing w:line="380" w:lineRule="exact"/>
              <w:ind w:rightChars="100" w:right="240"/>
              <w:jc w:val="right"/>
              <w:rPr>
                <w:rFonts w:eastAsia="標楷體"/>
                <w:b/>
              </w:rPr>
            </w:pPr>
            <w:r w:rsidRPr="003B6B9A">
              <w:rPr>
                <w:rFonts w:eastAsia="標楷體"/>
                <w:b/>
              </w:rPr>
              <w:t>0.65</w:t>
            </w:r>
          </w:p>
        </w:tc>
        <w:tc>
          <w:tcPr>
            <w:tcW w:w="1090" w:type="dxa"/>
            <w:tcMar>
              <w:top w:w="17" w:type="dxa"/>
              <w:left w:w="17" w:type="dxa"/>
              <w:bottom w:w="0" w:type="dxa"/>
              <w:right w:w="17" w:type="dxa"/>
            </w:tcMar>
            <w:vAlign w:val="center"/>
          </w:tcPr>
          <w:p w:rsidR="00BD6B4B" w:rsidRPr="003B6B9A" w:rsidRDefault="00BD6B4B" w:rsidP="00BD6B4B">
            <w:pPr>
              <w:snapToGrid w:val="0"/>
              <w:spacing w:line="380" w:lineRule="exact"/>
              <w:ind w:rightChars="98" w:right="235"/>
              <w:jc w:val="right"/>
              <w:rPr>
                <w:rFonts w:eastAsia="標楷體"/>
                <w:b/>
              </w:rPr>
            </w:pPr>
            <w:r w:rsidRPr="003B6B9A">
              <w:rPr>
                <w:rFonts w:eastAsia="標楷體"/>
                <w:b/>
              </w:rPr>
              <w:t>0.56</w:t>
            </w:r>
          </w:p>
        </w:tc>
        <w:tc>
          <w:tcPr>
            <w:tcW w:w="1278" w:type="dxa"/>
            <w:tcMar>
              <w:top w:w="17" w:type="dxa"/>
              <w:left w:w="17" w:type="dxa"/>
              <w:bottom w:w="0" w:type="dxa"/>
              <w:right w:w="17" w:type="dxa"/>
            </w:tcMar>
          </w:tcPr>
          <w:p w:rsidR="00BD6B4B" w:rsidRPr="003B6B9A" w:rsidRDefault="00BD6B4B" w:rsidP="00BD6B4B">
            <w:pPr>
              <w:snapToGrid w:val="0"/>
              <w:spacing w:line="380" w:lineRule="exact"/>
              <w:ind w:rightChars="120" w:right="288"/>
              <w:jc w:val="right"/>
              <w:rPr>
                <w:rFonts w:eastAsia="標楷體"/>
                <w:b/>
              </w:rPr>
            </w:pPr>
            <w:r w:rsidRPr="003B6B9A">
              <w:rPr>
                <w:rFonts w:eastAsia="標楷體"/>
                <w:b/>
              </w:rPr>
              <w:t>-5.08</w:t>
            </w:r>
          </w:p>
        </w:tc>
        <w:tc>
          <w:tcPr>
            <w:tcW w:w="1160" w:type="dxa"/>
            <w:tcMar>
              <w:top w:w="17" w:type="dxa"/>
              <w:left w:w="17" w:type="dxa"/>
              <w:bottom w:w="0" w:type="dxa"/>
              <w:right w:w="17" w:type="dxa"/>
            </w:tcMar>
          </w:tcPr>
          <w:p w:rsidR="00BD6B4B" w:rsidRPr="003B6B9A" w:rsidRDefault="00BD6B4B" w:rsidP="00BD6B4B">
            <w:pPr>
              <w:snapToGrid w:val="0"/>
              <w:spacing w:line="380" w:lineRule="exact"/>
              <w:ind w:rightChars="127" w:right="305"/>
              <w:jc w:val="right"/>
              <w:rPr>
                <w:rFonts w:eastAsia="標楷體"/>
                <w:b/>
              </w:rPr>
            </w:pPr>
            <w:r w:rsidRPr="003B6B9A">
              <w:rPr>
                <w:rFonts w:eastAsia="標楷體"/>
                <w:b/>
              </w:rPr>
              <w:t>2.10</w:t>
            </w:r>
          </w:p>
        </w:tc>
        <w:tc>
          <w:tcPr>
            <w:tcW w:w="1113" w:type="dxa"/>
            <w:tcMar>
              <w:top w:w="17" w:type="dxa"/>
              <w:left w:w="17" w:type="dxa"/>
              <w:bottom w:w="0" w:type="dxa"/>
              <w:right w:w="17" w:type="dxa"/>
            </w:tcMar>
          </w:tcPr>
          <w:p w:rsidR="00BD6B4B" w:rsidRPr="003B6B9A" w:rsidRDefault="00BD6B4B" w:rsidP="00BD6B4B">
            <w:pPr>
              <w:snapToGrid w:val="0"/>
              <w:spacing w:line="380" w:lineRule="exact"/>
              <w:ind w:rightChars="107" w:right="257"/>
              <w:jc w:val="right"/>
              <w:rPr>
                <w:rFonts w:eastAsia="標楷體"/>
                <w:b/>
              </w:rPr>
            </w:pPr>
            <w:r w:rsidRPr="003B6B9A">
              <w:rPr>
                <w:rFonts w:eastAsia="標楷體"/>
                <w:b/>
              </w:rPr>
              <w:t>0.70</w:t>
            </w:r>
          </w:p>
        </w:tc>
        <w:tc>
          <w:tcPr>
            <w:tcW w:w="1007" w:type="dxa"/>
          </w:tcPr>
          <w:p w:rsidR="00BD6B4B" w:rsidRPr="003B6B9A" w:rsidRDefault="00BD6B4B" w:rsidP="00BD6B4B">
            <w:pPr>
              <w:snapToGrid w:val="0"/>
              <w:spacing w:line="380" w:lineRule="exact"/>
              <w:ind w:rightChars="76" w:right="182"/>
              <w:jc w:val="right"/>
              <w:rPr>
                <w:rFonts w:eastAsia="標楷體"/>
                <w:b/>
                <w:bCs/>
              </w:rPr>
            </w:pPr>
            <w:r w:rsidRPr="003B6B9A">
              <w:rPr>
                <w:rFonts w:eastAsia="標楷體"/>
                <w:b/>
                <w:bCs/>
              </w:rPr>
              <w:t>3.69</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tcPr>
          <w:p w:rsidR="00BD6B4B" w:rsidRPr="003B6B9A" w:rsidRDefault="00BD6B4B" w:rsidP="00BD6B4B">
            <w:pPr>
              <w:snapToGrid w:val="0"/>
              <w:spacing w:line="380" w:lineRule="exact"/>
              <w:rPr>
                <w:rFonts w:eastAsia="標楷體"/>
                <w:b/>
                <w:bCs/>
              </w:rPr>
            </w:pPr>
            <w:r w:rsidRPr="003B6B9A">
              <w:rPr>
                <w:rFonts w:eastAsia="標楷體"/>
                <w:b/>
                <w:bCs/>
              </w:rPr>
              <w:t xml:space="preserve"> 103</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BD6B4B" w:rsidRPr="003B6B9A" w:rsidRDefault="00BD6B4B" w:rsidP="00BD6B4B">
            <w:pPr>
              <w:snapToGrid w:val="0"/>
              <w:spacing w:line="380" w:lineRule="exact"/>
              <w:ind w:rightChars="100" w:right="240"/>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37</w:t>
            </w:r>
          </w:p>
        </w:tc>
        <w:tc>
          <w:tcPr>
            <w:tcW w:w="1090" w:type="dxa"/>
            <w:tcMar>
              <w:top w:w="17" w:type="dxa"/>
              <w:left w:w="17" w:type="dxa"/>
              <w:bottom w:w="0" w:type="dxa"/>
              <w:right w:w="17" w:type="dxa"/>
            </w:tcMar>
            <w:vAlign w:val="center"/>
          </w:tcPr>
          <w:p w:rsidR="00BD6B4B" w:rsidRPr="003B6B9A" w:rsidRDefault="00BD6B4B" w:rsidP="00BD6B4B">
            <w:pPr>
              <w:snapToGrid w:val="0"/>
              <w:spacing w:line="380" w:lineRule="exact"/>
              <w:ind w:rightChars="98" w:right="235"/>
              <w:jc w:val="right"/>
              <w:rPr>
                <w:rFonts w:eastAsia="標楷體"/>
                <w:b/>
              </w:rPr>
            </w:pPr>
            <w:r w:rsidRPr="003B6B9A">
              <w:rPr>
                <w:rFonts w:eastAsia="標楷體"/>
                <w:b/>
              </w:rPr>
              <w:t>6.</w:t>
            </w:r>
            <w:r w:rsidRPr="003B6B9A">
              <w:rPr>
                <w:rFonts w:eastAsia="標楷體" w:hint="eastAsia"/>
                <w:b/>
              </w:rPr>
              <w:t>63</w:t>
            </w:r>
          </w:p>
        </w:tc>
        <w:tc>
          <w:tcPr>
            <w:tcW w:w="1278" w:type="dxa"/>
            <w:tcMar>
              <w:top w:w="17" w:type="dxa"/>
              <w:left w:w="17" w:type="dxa"/>
              <w:bottom w:w="0" w:type="dxa"/>
              <w:right w:w="17" w:type="dxa"/>
            </w:tcMar>
            <w:vAlign w:val="bottom"/>
          </w:tcPr>
          <w:p w:rsidR="00BD6B4B" w:rsidRPr="003B6B9A" w:rsidRDefault="00BD6B4B" w:rsidP="00BD6B4B">
            <w:pPr>
              <w:snapToGrid w:val="0"/>
              <w:spacing w:line="380" w:lineRule="exact"/>
              <w:ind w:rightChars="120" w:right="288"/>
              <w:jc w:val="right"/>
              <w:rPr>
                <w:rFonts w:eastAsia="標楷體"/>
                <w:b/>
              </w:rPr>
            </w:pPr>
            <w:r w:rsidRPr="003B6B9A">
              <w:rPr>
                <w:rFonts w:eastAsia="標楷體"/>
                <w:b/>
              </w:rPr>
              <w:t>-</w:t>
            </w:r>
            <w:r w:rsidRPr="003B6B9A">
              <w:rPr>
                <w:rFonts w:eastAsia="標楷體" w:hint="eastAsia"/>
                <w:b/>
              </w:rPr>
              <w:t>1</w:t>
            </w:r>
            <w:r w:rsidRPr="003B6B9A">
              <w:rPr>
                <w:rFonts w:eastAsia="標楷體"/>
                <w:b/>
              </w:rPr>
              <w:t>.</w:t>
            </w:r>
            <w:r w:rsidRPr="003B6B9A">
              <w:rPr>
                <w:rFonts w:eastAsia="標楷體" w:hint="eastAsia"/>
                <w:b/>
              </w:rPr>
              <w:t>77</w:t>
            </w:r>
          </w:p>
        </w:tc>
        <w:tc>
          <w:tcPr>
            <w:tcW w:w="1160" w:type="dxa"/>
            <w:tcMar>
              <w:top w:w="17" w:type="dxa"/>
              <w:left w:w="17" w:type="dxa"/>
              <w:bottom w:w="0" w:type="dxa"/>
              <w:right w:w="17" w:type="dxa"/>
            </w:tcMar>
            <w:vAlign w:val="bottom"/>
          </w:tcPr>
          <w:p w:rsidR="00BD6B4B" w:rsidRPr="003B6B9A" w:rsidRDefault="00BD6B4B" w:rsidP="00BD6B4B">
            <w:pPr>
              <w:snapToGrid w:val="0"/>
              <w:spacing w:line="380" w:lineRule="exact"/>
              <w:ind w:rightChars="127" w:right="305"/>
              <w:jc w:val="right"/>
              <w:rPr>
                <w:rFonts w:eastAsia="標楷體"/>
                <w:b/>
              </w:rPr>
            </w:pPr>
            <w:r w:rsidRPr="003B6B9A">
              <w:rPr>
                <w:rFonts w:eastAsia="標楷體" w:hint="eastAsia"/>
                <w:b/>
              </w:rPr>
              <w:t>1</w:t>
            </w:r>
            <w:r w:rsidRPr="003B6B9A">
              <w:rPr>
                <w:rFonts w:eastAsia="標楷體"/>
                <w:b/>
              </w:rPr>
              <w:t>.</w:t>
            </w:r>
            <w:r w:rsidRPr="003B6B9A">
              <w:rPr>
                <w:rFonts w:eastAsia="標楷體" w:hint="eastAsia"/>
                <w:b/>
              </w:rPr>
              <w:t>25</w:t>
            </w:r>
          </w:p>
        </w:tc>
        <w:tc>
          <w:tcPr>
            <w:tcW w:w="1113" w:type="dxa"/>
            <w:tcMar>
              <w:top w:w="17" w:type="dxa"/>
              <w:left w:w="17" w:type="dxa"/>
              <w:bottom w:w="0" w:type="dxa"/>
              <w:right w:w="17" w:type="dxa"/>
            </w:tcMar>
            <w:vAlign w:val="bottom"/>
          </w:tcPr>
          <w:p w:rsidR="00BD6B4B" w:rsidRPr="003B6B9A" w:rsidRDefault="00BD6B4B" w:rsidP="00BD6B4B">
            <w:pPr>
              <w:snapToGrid w:val="0"/>
              <w:spacing w:line="380" w:lineRule="exact"/>
              <w:ind w:rightChars="107" w:right="257"/>
              <w:jc w:val="right"/>
              <w:rPr>
                <w:rFonts w:eastAsia="標楷體"/>
                <w:b/>
              </w:rPr>
            </w:pPr>
            <w:r w:rsidRPr="003B6B9A">
              <w:rPr>
                <w:rFonts w:eastAsia="標楷體"/>
                <w:b/>
              </w:rPr>
              <w:t>0.</w:t>
            </w:r>
            <w:r w:rsidRPr="003B6B9A">
              <w:rPr>
                <w:rFonts w:eastAsia="標楷體" w:hint="eastAsia"/>
                <w:b/>
              </w:rPr>
              <w:t>51</w:t>
            </w:r>
          </w:p>
        </w:tc>
        <w:tc>
          <w:tcPr>
            <w:tcW w:w="1007" w:type="dxa"/>
            <w:vAlign w:val="bottom"/>
          </w:tcPr>
          <w:p w:rsidR="00BD6B4B" w:rsidRPr="003B6B9A" w:rsidRDefault="00BD6B4B" w:rsidP="00BD6B4B">
            <w:pPr>
              <w:tabs>
                <w:tab w:val="left" w:pos="913"/>
              </w:tabs>
              <w:snapToGrid w:val="0"/>
              <w:spacing w:line="380" w:lineRule="exact"/>
              <w:ind w:rightChars="76" w:right="182"/>
              <w:jc w:val="right"/>
              <w:rPr>
                <w:rFonts w:eastAsia="標楷體"/>
                <w:b/>
              </w:rPr>
            </w:pPr>
            <w:r w:rsidRPr="003B6B9A">
              <w:rPr>
                <w:rFonts w:eastAsia="標楷體"/>
                <w:b/>
              </w:rPr>
              <w:t>10.5</w:t>
            </w:r>
            <w:r w:rsidRPr="003B6B9A">
              <w:rPr>
                <w:rFonts w:eastAsia="標楷體" w:hint="eastAsia"/>
                <w:b/>
              </w:rPr>
              <w:t>6</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wordWrap w:val="0"/>
              <w:snapToGrid w:val="0"/>
              <w:spacing w:line="380" w:lineRule="exact"/>
              <w:ind w:left="28" w:right="284"/>
              <w:jc w:val="right"/>
              <w:rPr>
                <w:rFonts w:eastAsia="標楷體"/>
                <w:spacing w:val="-6"/>
              </w:rPr>
            </w:pPr>
            <w:r w:rsidRPr="003B6B9A">
              <w:rPr>
                <w:rFonts w:eastAsia="標楷體"/>
                <w:spacing w:val="-6"/>
              </w:rPr>
              <w:t>4</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BD6B4B" w:rsidRPr="003B6B9A" w:rsidRDefault="00BD6B4B" w:rsidP="00BD6B4B">
            <w:pPr>
              <w:snapToGrid w:val="0"/>
              <w:spacing w:line="380" w:lineRule="exact"/>
              <w:ind w:rightChars="100" w:right="240"/>
              <w:jc w:val="right"/>
              <w:rPr>
                <w:rFonts w:eastAsia="標楷體"/>
              </w:rPr>
            </w:pPr>
            <w:r w:rsidRPr="003B6B9A">
              <w:rPr>
                <w:rFonts w:eastAsia="標楷體"/>
              </w:rPr>
              <w:t>5.</w:t>
            </w:r>
            <w:r w:rsidRPr="003B6B9A">
              <w:rPr>
                <w:rFonts w:eastAsia="標楷體" w:hint="eastAsia"/>
              </w:rPr>
              <w:t>72</w:t>
            </w:r>
          </w:p>
        </w:tc>
        <w:tc>
          <w:tcPr>
            <w:tcW w:w="1090" w:type="dxa"/>
            <w:tcMar>
              <w:top w:w="17" w:type="dxa"/>
              <w:left w:w="17" w:type="dxa"/>
              <w:bottom w:w="0" w:type="dxa"/>
              <w:right w:w="17" w:type="dxa"/>
            </w:tcMar>
            <w:vAlign w:val="bottom"/>
          </w:tcPr>
          <w:p w:rsidR="00BD6B4B" w:rsidRPr="003B6B9A" w:rsidRDefault="00BD6B4B" w:rsidP="00BD6B4B">
            <w:pPr>
              <w:tabs>
                <w:tab w:val="left" w:pos="857"/>
              </w:tabs>
              <w:ind w:rightChars="98" w:right="235"/>
              <w:jc w:val="right"/>
              <w:rPr>
                <w:rFonts w:ascii="新細明體" w:hAnsi="新細明體" w:cs="新細明體"/>
              </w:rPr>
            </w:pPr>
            <w:r w:rsidRPr="003B6B9A">
              <w:rPr>
                <w:rFonts w:hint="eastAsia"/>
              </w:rPr>
              <w:t>6.09</w:t>
            </w:r>
          </w:p>
        </w:tc>
        <w:tc>
          <w:tcPr>
            <w:tcW w:w="1278" w:type="dxa"/>
            <w:tcMar>
              <w:top w:w="17" w:type="dxa"/>
              <w:left w:w="17" w:type="dxa"/>
              <w:bottom w:w="0" w:type="dxa"/>
              <w:right w:w="17" w:type="dxa"/>
            </w:tcMar>
            <w:vAlign w:val="bottom"/>
          </w:tcPr>
          <w:p w:rsidR="00BD6B4B" w:rsidRPr="003B6B9A" w:rsidRDefault="00BD6B4B" w:rsidP="00BD6B4B">
            <w:pPr>
              <w:ind w:rightChars="120" w:right="288"/>
              <w:jc w:val="right"/>
              <w:rPr>
                <w:rFonts w:ascii="新細明體" w:hAnsi="新細明體" w:cs="新細明體"/>
              </w:rPr>
            </w:pPr>
            <w:r w:rsidRPr="003B6B9A">
              <w:rPr>
                <w:rFonts w:hint="eastAsia"/>
              </w:rPr>
              <w:t>0.53</w:t>
            </w:r>
          </w:p>
        </w:tc>
        <w:tc>
          <w:tcPr>
            <w:tcW w:w="1160" w:type="dxa"/>
            <w:tcMar>
              <w:top w:w="17" w:type="dxa"/>
              <w:left w:w="17" w:type="dxa"/>
              <w:bottom w:w="0" w:type="dxa"/>
              <w:right w:w="17" w:type="dxa"/>
            </w:tcMar>
            <w:vAlign w:val="bottom"/>
          </w:tcPr>
          <w:p w:rsidR="00BD6B4B" w:rsidRPr="003B6B9A" w:rsidRDefault="00BD6B4B" w:rsidP="00BD6B4B">
            <w:pPr>
              <w:ind w:rightChars="127" w:right="305"/>
              <w:jc w:val="right"/>
              <w:rPr>
                <w:rFonts w:ascii="新細明體" w:hAnsi="新細明體" w:cs="新細明體"/>
              </w:rPr>
            </w:pPr>
            <w:r w:rsidRPr="003B6B9A">
              <w:rPr>
                <w:rFonts w:hint="eastAsia"/>
              </w:rPr>
              <w:t>-8.67</w:t>
            </w:r>
          </w:p>
        </w:tc>
        <w:tc>
          <w:tcPr>
            <w:tcW w:w="1113" w:type="dxa"/>
            <w:tcMar>
              <w:top w:w="17" w:type="dxa"/>
              <w:left w:w="17" w:type="dxa"/>
              <w:bottom w:w="0" w:type="dxa"/>
              <w:right w:w="17" w:type="dxa"/>
            </w:tcMar>
            <w:vAlign w:val="bottom"/>
          </w:tcPr>
          <w:p w:rsidR="00BD6B4B" w:rsidRPr="003B6B9A" w:rsidRDefault="00BD6B4B" w:rsidP="00BD6B4B">
            <w:pPr>
              <w:ind w:rightChars="107" w:right="257"/>
              <w:jc w:val="right"/>
              <w:rPr>
                <w:rFonts w:ascii="新細明體" w:hAnsi="新細明體" w:cs="新細明體"/>
              </w:rPr>
            </w:pPr>
            <w:r w:rsidRPr="003B6B9A">
              <w:rPr>
                <w:rFonts w:hint="eastAsia"/>
              </w:rPr>
              <w:t>-0.02</w:t>
            </w:r>
          </w:p>
        </w:tc>
        <w:tc>
          <w:tcPr>
            <w:tcW w:w="1007" w:type="dxa"/>
            <w:vAlign w:val="bottom"/>
          </w:tcPr>
          <w:p w:rsidR="00BD6B4B" w:rsidRPr="003B6B9A" w:rsidRDefault="00BD6B4B" w:rsidP="00BD6B4B">
            <w:pPr>
              <w:ind w:rightChars="76" w:right="182"/>
              <w:jc w:val="right"/>
              <w:rPr>
                <w:rFonts w:ascii="新細明體" w:hAnsi="新細明體" w:cs="新細明體"/>
              </w:rPr>
            </w:pPr>
            <w:r w:rsidRPr="003B6B9A">
              <w:rPr>
                <w:rFonts w:hint="eastAsia"/>
              </w:rPr>
              <w:t>37.42</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wordWrap w:val="0"/>
              <w:snapToGrid w:val="0"/>
              <w:spacing w:line="380" w:lineRule="exact"/>
              <w:ind w:left="28" w:right="284"/>
              <w:jc w:val="right"/>
              <w:rPr>
                <w:rFonts w:eastAsia="標楷體"/>
                <w:spacing w:val="-6"/>
              </w:rPr>
            </w:pPr>
            <w:r w:rsidRPr="003B6B9A">
              <w:rPr>
                <w:rFonts w:eastAsia="標楷體"/>
                <w:spacing w:val="-6"/>
              </w:rPr>
              <w:t>5</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BD6B4B" w:rsidRPr="003B6B9A" w:rsidRDefault="00BD6B4B" w:rsidP="00BD6B4B">
            <w:pPr>
              <w:snapToGrid w:val="0"/>
              <w:spacing w:line="380" w:lineRule="exact"/>
              <w:ind w:rightChars="100" w:right="240"/>
              <w:jc w:val="right"/>
              <w:rPr>
                <w:rFonts w:eastAsia="標楷體"/>
              </w:rPr>
            </w:pPr>
            <w:r w:rsidRPr="003B6B9A">
              <w:rPr>
                <w:rFonts w:eastAsia="標楷體"/>
              </w:rPr>
              <w:t>5.</w:t>
            </w:r>
            <w:r w:rsidRPr="003B6B9A">
              <w:rPr>
                <w:rFonts w:eastAsia="標楷體" w:hint="eastAsia"/>
              </w:rPr>
              <w:t>82</w:t>
            </w:r>
          </w:p>
        </w:tc>
        <w:tc>
          <w:tcPr>
            <w:tcW w:w="1090" w:type="dxa"/>
            <w:tcMar>
              <w:top w:w="17" w:type="dxa"/>
              <w:left w:w="17" w:type="dxa"/>
              <w:bottom w:w="0" w:type="dxa"/>
              <w:right w:w="17" w:type="dxa"/>
            </w:tcMar>
            <w:vAlign w:val="bottom"/>
          </w:tcPr>
          <w:p w:rsidR="00BD6B4B" w:rsidRPr="003B6B9A" w:rsidRDefault="00BD6B4B" w:rsidP="00BD6B4B">
            <w:pPr>
              <w:tabs>
                <w:tab w:val="left" w:pos="857"/>
              </w:tabs>
              <w:ind w:rightChars="98" w:right="235"/>
              <w:jc w:val="right"/>
              <w:rPr>
                <w:rFonts w:ascii="新細明體" w:hAnsi="新細明體" w:cs="新細明體"/>
              </w:rPr>
            </w:pPr>
            <w:r w:rsidRPr="003B6B9A">
              <w:rPr>
                <w:rFonts w:hint="eastAsia"/>
              </w:rPr>
              <w:t>5.95</w:t>
            </w:r>
          </w:p>
        </w:tc>
        <w:tc>
          <w:tcPr>
            <w:tcW w:w="1278" w:type="dxa"/>
            <w:tcMar>
              <w:top w:w="17" w:type="dxa"/>
              <w:left w:w="17" w:type="dxa"/>
              <w:bottom w:w="0" w:type="dxa"/>
              <w:right w:w="17" w:type="dxa"/>
            </w:tcMar>
            <w:vAlign w:val="bottom"/>
          </w:tcPr>
          <w:p w:rsidR="00BD6B4B" w:rsidRPr="003B6B9A" w:rsidRDefault="00BD6B4B" w:rsidP="00BD6B4B">
            <w:pPr>
              <w:ind w:rightChars="120" w:right="288"/>
              <w:jc w:val="right"/>
              <w:rPr>
                <w:rFonts w:ascii="新細明體" w:hAnsi="新細明體" w:cs="新細明體"/>
              </w:rPr>
            </w:pPr>
            <w:r w:rsidRPr="003B6B9A">
              <w:rPr>
                <w:rFonts w:hint="eastAsia"/>
              </w:rPr>
              <w:t>-3.25</w:t>
            </w:r>
          </w:p>
        </w:tc>
        <w:tc>
          <w:tcPr>
            <w:tcW w:w="1160" w:type="dxa"/>
            <w:tcMar>
              <w:top w:w="17" w:type="dxa"/>
              <w:left w:w="17" w:type="dxa"/>
              <w:bottom w:w="0" w:type="dxa"/>
              <w:right w:w="17" w:type="dxa"/>
            </w:tcMar>
            <w:vAlign w:val="bottom"/>
          </w:tcPr>
          <w:p w:rsidR="00BD6B4B" w:rsidRPr="003B6B9A" w:rsidRDefault="00BD6B4B" w:rsidP="00BD6B4B">
            <w:pPr>
              <w:ind w:rightChars="127" w:right="305"/>
              <w:jc w:val="right"/>
              <w:rPr>
                <w:rFonts w:ascii="新細明體" w:hAnsi="新細明體" w:cs="新細明體"/>
              </w:rPr>
            </w:pPr>
            <w:r w:rsidRPr="003B6B9A">
              <w:rPr>
                <w:rFonts w:hint="eastAsia"/>
              </w:rPr>
              <w:t>-3.05</w:t>
            </w:r>
          </w:p>
        </w:tc>
        <w:tc>
          <w:tcPr>
            <w:tcW w:w="1113" w:type="dxa"/>
            <w:tcMar>
              <w:top w:w="17" w:type="dxa"/>
              <w:left w:w="17" w:type="dxa"/>
              <w:bottom w:w="0" w:type="dxa"/>
              <w:right w:w="17" w:type="dxa"/>
            </w:tcMar>
            <w:vAlign w:val="bottom"/>
          </w:tcPr>
          <w:p w:rsidR="00BD6B4B" w:rsidRPr="003B6B9A" w:rsidRDefault="00BD6B4B" w:rsidP="00BD6B4B">
            <w:pPr>
              <w:ind w:rightChars="107" w:right="257"/>
              <w:jc w:val="right"/>
              <w:rPr>
                <w:rFonts w:ascii="新細明體" w:hAnsi="新細明體" w:cs="新細明體"/>
              </w:rPr>
            </w:pPr>
            <w:r w:rsidRPr="003B6B9A">
              <w:rPr>
                <w:rFonts w:hint="eastAsia"/>
              </w:rPr>
              <w:t>-0.30</w:t>
            </w:r>
          </w:p>
        </w:tc>
        <w:tc>
          <w:tcPr>
            <w:tcW w:w="1007" w:type="dxa"/>
            <w:vAlign w:val="bottom"/>
          </w:tcPr>
          <w:p w:rsidR="00BD6B4B" w:rsidRPr="003B6B9A" w:rsidRDefault="00BD6B4B" w:rsidP="00BD6B4B">
            <w:pPr>
              <w:ind w:rightChars="76" w:right="182"/>
              <w:jc w:val="right"/>
              <w:rPr>
                <w:rFonts w:ascii="新細明體" w:hAnsi="新細明體" w:cs="新細明體"/>
              </w:rPr>
            </w:pPr>
            <w:r w:rsidRPr="003B6B9A">
              <w:rPr>
                <w:rFonts w:hint="eastAsia"/>
              </w:rPr>
              <w:t>30.39</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wordWrap w:val="0"/>
              <w:snapToGrid w:val="0"/>
              <w:spacing w:line="380" w:lineRule="exact"/>
              <w:ind w:left="28" w:right="284"/>
              <w:jc w:val="right"/>
              <w:rPr>
                <w:rFonts w:eastAsia="標楷體"/>
                <w:spacing w:val="-6"/>
              </w:rPr>
            </w:pPr>
            <w:r w:rsidRPr="003B6B9A">
              <w:rPr>
                <w:rFonts w:eastAsia="標楷體"/>
                <w:spacing w:val="-6"/>
              </w:rPr>
              <w:t>6</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BD6B4B" w:rsidRPr="003B6B9A" w:rsidRDefault="00BD6B4B" w:rsidP="00BD6B4B">
            <w:pPr>
              <w:snapToGrid w:val="0"/>
              <w:spacing w:line="380" w:lineRule="exact"/>
              <w:ind w:rightChars="100" w:right="240"/>
              <w:jc w:val="right"/>
              <w:rPr>
                <w:rFonts w:eastAsia="標楷體"/>
              </w:rPr>
            </w:pPr>
            <w:r w:rsidRPr="003B6B9A">
              <w:rPr>
                <w:rFonts w:eastAsia="標楷體"/>
              </w:rPr>
              <w:t>8.</w:t>
            </w:r>
            <w:r w:rsidRPr="003B6B9A">
              <w:rPr>
                <w:rFonts w:eastAsia="標楷體" w:hint="eastAsia"/>
              </w:rPr>
              <w:t>57</w:t>
            </w:r>
          </w:p>
        </w:tc>
        <w:tc>
          <w:tcPr>
            <w:tcW w:w="1090" w:type="dxa"/>
            <w:tcMar>
              <w:top w:w="17" w:type="dxa"/>
              <w:left w:w="17" w:type="dxa"/>
              <w:bottom w:w="0" w:type="dxa"/>
              <w:right w:w="17" w:type="dxa"/>
            </w:tcMar>
            <w:vAlign w:val="bottom"/>
          </w:tcPr>
          <w:p w:rsidR="00BD6B4B" w:rsidRPr="003B6B9A" w:rsidRDefault="00BD6B4B" w:rsidP="00BD6B4B">
            <w:pPr>
              <w:tabs>
                <w:tab w:val="left" w:pos="857"/>
              </w:tabs>
              <w:ind w:rightChars="98" w:right="235"/>
              <w:jc w:val="right"/>
              <w:rPr>
                <w:rFonts w:ascii="新細明體" w:hAnsi="新細明體" w:cs="新細明體"/>
              </w:rPr>
            </w:pPr>
            <w:r w:rsidRPr="003B6B9A">
              <w:rPr>
                <w:rFonts w:hint="eastAsia"/>
              </w:rPr>
              <w:t>8.82</w:t>
            </w:r>
          </w:p>
        </w:tc>
        <w:tc>
          <w:tcPr>
            <w:tcW w:w="1278" w:type="dxa"/>
            <w:tcMar>
              <w:top w:w="17" w:type="dxa"/>
              <w:left w:w="17" w:type="dxa"/>
              <w:bottom w:w="0" w:type="dxa"/>
              <w:right w:w="17" w:type="dxa"/>
            </w:tcMar>
            <w:vAlign w:val="bottom"/>
          </w:tcPr>
          <w:p w:rsidR="00BD6B4B" w:rsidRPr="003B6B9A" w:rsidRDefault="00BD6B4B" w:rsidP="00BD6B4B">
            <w:pPr>
              <w:ind w:rightChars="120" w:right="288"/>
              <w:jc w:val="right"/>
              <w:rPr>
                <w:rFonts w:ascii="新細明體" w:hAnsi="新細明體" w:cs="新細明體"/>
              </w:rPr>
            </w:pPr>
            <w:r w:rsidRPr="003B6B9A">
              <w:rPr>
                <w:rFonts w:hint="eastAsia"/>
              </w:rPr>
              <w:t>-13.85</w:t>
            </w:r>
          </w:p>
        </w:tc>
        <w:tc>
          <w:tcPr>
            <w:tcW w:w="1160" w:type="dxa"/>
            <w:tcMar>
              <w:top w:w="17" w:type="dxa"/>
              <w:left w:w="17" w:type="dxa"/>
              <w:bottom w:w="0" w:type="dxa"/>
              <w:right w:w="17" w:type="dxa"/>
            </w:tcMar>
            <w:vAlign w:val="bottom"/>
          </w:tcPr>
          <w:p w:rsidR="00BD6B4B" w:rsidRPr="003B6B9A" w:rsidRDefault="00BD6B4B" w:rsidP="00BD6B4B">
            <w:pPr>
              <w:ind w:rightChars="127" w:right="305"/>
              <w:jc w:val="right"/>
              <w:rPr>
                <w:rFonts w:ascii="新細明體" w:hAnsi="新細明體" w:cs="新細明體"/>
              </w:rPr>
            </w:pPr>
            <w:r w:rsidRPr="003B6B9A">
              <w:rPr>
                <w:rFonts w:hint="eastAsia"/>
              </w:rPr>
              <w:t>8.96</w:t>
            </w:r>
          </w:p>
        </w:tc>
        <w:tc>
          <w:tcPr>
            <w:tcW w:w="1113" w:type="dxa"/>
            <w:tcMar>
              <w:top w:w="17" w:type="dxa"/>
              <w:left w:w="17" w:type="dxa"/>
              <w:bottom w:w="0" w:type="dxa"/>
              <w:right w:w="17" w:type="dxa"/>
            </w:tcMar>
            <w:vAlign w:val="bottom"/>
          </w:tcPr>
          <w:p w:rsidR="00BD6B4B" w:rsidRPr="003B6B9A" w:rsidRDefault="00BD6B4B" w:rsidP="00BD6B4B">
            <w:pPr>
              <w:ind w:rightChars="107" w:right="257"/>
              <w:jc w:val="right"/>
              <w:rPr>
                <w:rFonts w:ascii="新細明體" w:hAnsi="新細明體" w:cs="新細明體"/>
              </w:rPr>
            </w:pPr>
            <w:r w:rsidRPr="003B6B9A">
              <w:rPr>
                <w:rFonts w:hint="eastAsia"/>
              </w:rPr>
              <w:t>0.81</w:t>
            </w:r>
          </w:p>
        </w:tc>
        <w:tc>
          <w:tcPr>
            <w:tcW w:w="1007" w:type="dxa"/>
            <w:vAlign w:val="bottom"/>
          </w:tcPr>
          <w:p w:rsidR="00BD6B4B" w:rsidRPr="003B6B9A" w:rsidRDefault="00BD6B4B" w:rsidP="00BD6B4B">
            <w:pPr>
              <w:ind w:rightChars="76" w:right="182"/>
              <w:jc w:val="right"/>
              <w:rPr>
                <w:rFonts w:ascii="新細明體" w:hAnsi="新細明體" w:cs="新細明體"/>
              </w:rPr>
            </w:pPr>
            <w:r w:rsidRPr="003B6B9A">
              <w:rPr>
                <w:rFonts w:hint="eastAsia"/>
              </w:rPr>
              <w:t>3.33</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wordWrap w:val="0"/>
              <w:snapToGrid w:val="0"/>
              <w:spacing w:line="380" w:lineRule="exact"/>
              <w:ind w:left="28" w:right="284"/>
              <w:jc w:val="right"/>
              <w:rPr>
                <w:rFonts w:eastAsia="標楷體"/>
                <w:spacing w:val="-6"/>
              </w:rPr>
            </w:pPr>
            <w:r w:rsidRPr="003B6B9A">
              <w:rPr>
                <w:rFonts w:eastAsia="標楷體"/>
                <w:spacing w:val="-6"/>
              </w:rPr>
              <w:t>7</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BD6B4B" w:rsidRPr="003B6B9A" w:rsidRDefault="00BD6B4B" w:rsidP="00BD6B4B">
            <w:pPr>
              <w:snapToGrid w:val="0"/>
              <w:spacing w:line="380" w:lineRule="exact"/>
              <w:ind w:rightChars="100" w:right="240"/>
              <w:jc w:val="right"/>
              <w:rPr>
                <w:rFonts w:eastAsia="標楷體"/>
              </w:rPr>
            </w:pPr>
            <w:r w:rsidRPr="003B6B9A">
              <w:rPr>
                <w:rFonts w:eastAsia="標楷體"/>
              </w:rPr>
              <w:t>6.</w:t>
            </w:r>
            <w:r w:rsidRPr="003B6B9A">
              <w:rPr>
                <w:rFonts w:eastAsia="標楷體" w:hint="eastAsia"/>
              </w:rPr>
              <w:t>33</w:t>
            </w:r>
          </w:p>
        </w:tc>
        <w:tc>
          <w:tcPr>
            <w:tcW w:w="1090" w:type="dxa"/>
            <w:tcMar>
              <w:top w:w="17" w:type="dxa"/>
              <w:left w:w="17" w:type="dxa"/>
              <w:bottom w:w="0" w:type="dxa"/>
              <w:right w:w="17" w:type="dxa"/>
            </w:tcMar>
            <w:vAlign w:val="bottom"/>
          </w:tcPr>
          <w:p w:rsidR="00BD6B4B" w:rsidRPr="003B6B9A" w:rsidRDefault="00BD6B4B" w:rsidP="00BD6B4B">
            <w:pPr>
              <w:tabs>
                <w:tab w:val="left" w:pos="857"/>
              </w:tabs>
              <w:ind w:rightChars="98" w:right="235"/>
              <w:jc w:val="right"/>
              <w:rPr>
                <w:rFonts w:ascii="新細明體" w:hAnsi="新細明體" w:cs="新細明體"/>
              </w:rPr>
            </w:pPr>
            <w:r w:rsidRPr="003B6B9A">
              <w:rPr>
                <w:rFonts w:hint="eastAsia"/>
              </w:rPr>
              <w:t>6.95</w:t>
            </w:r>
          </w:p>
        </w:tc>
        <w:tc>
          <w:tcPr>
            <w:tcW w:w="1278" w:type="dxa"/>
            <w:tcMar>
              <w:top w:w="17" w:type="dxa"/>
              <w:left w:w="17" w:type="dxa"/>
              <w:bottom w:w="0" w:type="dxa"/>
              <w:right w:w="17" w:type="dxa"/>
            </w:tcMar>
            <w:vAlign w:val="bottom"/>
          </w:tcPr>
          <w:p w:rsidR="00BD6B4B" w:rsidRPr="003B6B9A" w:rsidRDefault="00BD6B4B" w:rsidP="00BD6B4B">
            <w:pPr>
              <w:ind w:rightChars="120" w:right="288"/>
              <w:jc w:val="right"/>
              <w:rPr>
                <w:rFonts w:ascii="新細明體" w:hAnsi="新細明體" w:cs="新細明體"/>
              </w:rPr>
            </w:pPr>
            <w:r w:rsidRPr="003B6B9A">
              <w:rPr>
                <w:rFonts w:hint="eastAsia"/>
              </w:rPr>
              <w:t>-1.31</w:t>
            </w:r>
          </w:p>
        </w:tc>
        <w:tc>
          <w:tcPr>
            <w:tcW w:w="1160" w:type="dxa"/>
            <w:tcMar>
              <w:top w:w="17" w:type="dxa"/>
              <w:left w:w="17" w:type="dxa"/>
              <w:bottom w:w="0" w:type="dxa"/>
              <w:right w:w="17" w:type="dxa"/>
            </w:tcMar>
            <w:vAlign w:val="bottom"/>
          </w:tcPr>
          <w:p w:rsidR="00BD6B4B" w:rsidRPr="003B6B9A" w:rsidRDefault="00BD6B4B" w:rsidP="00BD6B4B">
            <w:pPr>
              <w:ind w:rightChars="127" w:right="305"/>
              <w:jc w:val="right"/>
              <w:rPr>
                <w:rFonts w:ascii="新細明體" w:hAnsi="新細明體" w:cs="新細明體"/>
              </w:rPr>
            </w:pPr>
            <w:r w:rsidRPr="003B6B9A">
              <w:rPr>
                <w:rFonts w:hint="eastAsia"/>
              </w:rPr>
              <w:t>5.94</w:t>
            </w:r>
          </w:p>
        </w:tc>
        <w:tc>
          <w:tcPr>
            <w:tcW w:w="1113" w:type="dxa"/>
            <w:tcMar>
              <w:top w:w="17" w:type="dxa"/>
              <w:left w:w="17" w:type="dxa"/>
              <w:bottom w:w="0" w:type="dxa"/>
              <w:right w:w="17" w:type="dxa"/>
            </w:tcMar>
            <w:vAlign w:val="bottom"/>
          </w:tcPr>
          <w:p w:rsidR="00BD6B4B" w:rsidRPr="003B6B9A" w:rsidRDefault="00BD6B4B" w:rsidP="00BD6B4B">
            <w:pPr>
              <w:ind w:rightChars="107" w:right="257"/>
              <w:jc w:val="right"/>
              <w:rPr>
                <w:rFonts w:ascii="新細明體" w:hAnsi="新細明體" w:cs="新細明體"/>
              </w:rPr>
            </w:pPr>
            <w:r w:rsidRPr="003B6B9A">
              <w:rPr>
                <w:rFonts w:hint="eastAsia"/>
              </w:rPr>
              <w:t>0.34</w:t>
            </w:r>
          </w:p>
        </w:tc>
        <w:tc>
          <w:tcPr>
            <w:tcW w:w="1007" w:type="dxa"/>
            <w:vAlign w:val="bottom"/>
          </w:tcPr>
          <w:p w:rsidR="00BD6B4B" w:rsidRPr="003B6B9A" w:rsidRDefault="00BD6B4B" w:rsidP="00BD6B4B">
            <w:pPr>
              <w:ind w:rightChars="76" w:right="182"/>
              <w:jc w:val="right"/>
              <w:rPr>
                <w:rFonts w:ascii="新細明體" w:hAnsi="新細明體" w:cs="新細明體"/>
              </w:rPr>
            </w:pPr>
            <w:r w:rsidRPr="003B6B9A">
              <w:rPr>
                <w:rFonts w:hint="eastAsia"/>
              </w:rPr>
              <w:t>-18.39</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wordWrap w:val="0"/>
              <w:snapToGrid w:val="0"/>
              <w:spacing w:line="380" w:lineRule="exact"/>
              <w:ind w:left="28" w:right="284"/>
              <w:jc w:val="right"/>
              <w:rPr>
                <w:rFonts w:eastAsia="標楷體"/>
                <w:spacing w:val="-6"/>
              </w:rPr>
            </w:pPr>
            <w:r w:rsidRPr="003B6B9A">
              <w:rPr>
                <w:rFonts w:eastAsia="標楷體"/>
                <w:spacing w:val="-6"/>
              </w:rPr>
              <w:t>8</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BD6B4B" w:rsidRPr="003B6B9A" w:rsidRDefault="00BD6B4B" w:rsidP="00BD6B4B">
            <w:pPr>
              <w:snapToGrid w:val="0"/>
              <w:spacing w:line="380" w:lineRule="exact"/>
              <w:ind w:rightChars="100" w:right="240"/>
              <w:jc w:val="right"/>
              <w:rPr>
                <w:rFonts w:eastAsia="標楷體"/>
              </w:rPr>
            </w:pPr>
            <w:r w:rsidRPr="003B6B9A">
              <w:rPr>
                <w:rFonts w:eastAsia="標楷體"/>
              </w:rPr>
              <w:t>6.8</w:t>
            </w:r>
            <w:r w:rsidRPr="003B6B9A">
              <w:rPr>
                <w:rFonts w:eastAsia="標楷體" w:hint="eastAsia"/>
              </w:rPr>
              <w:t>8</w:t>
            </w:r>
          </w:p>
        </w:tc>
        <w:tc>
          <w:tcPr>
            <w:tcW w:w="1090" w:type="dxa"/>
            <w:tcMar>
              <w:top w:w="17" w:type="dxa"/>
              <w:left w:w="17" w:type="dxa"/>
              <w:bottom w:w="0" w:type="dxa"/>
              <w:right w:w="17" w:type="dxa"/>
            </w:tcMar>
            <w:vAlign w:val="bottom"/>
          </w:tcPr>
          <w:p w:rsidR="00BD6B4B" w:rsidRPr="003B6B9A" w:rsidRDefault="00BD6B4B" w:rsidP="00BD6B4B">
            <w:pPr>
              <w:tabs>
                <w:tab w:val="left" w:pos="857"/>
              </w:tabs>
              <w:ind w:rightChars="98" w:right="235"/>
              <w:jc w:val="right"/>
              <w:rPr>
                <w:rFonts w:ascii="新細明體" w:hAnsi="新細明體" w:cs="新細明體"/>
              </w:rPr>
            </w:pPr>
            <w:r w:rsidRPr="003B6B9A">
              <w:rPr>
                <w:rFonts w:hint="eastAsia"/>
              </w:rPr>
              <w:t>7.02</w:t>
            </w:r>
          </w:p>
        </w:tc>
        <w:tc>
          <w:tcPr>
            <w:tcW w:w="1278" w:type="dxa"/>
            <w:tcMar>
              <w:top w:w="17" w:type="dxa"/>
              <w:left w:w="17" w:type="dxa"/>
              <w:bottom w:w="0" w:type="dxa"/>
              <w:right w:w="17" w:type="dxa"/>
            </w:tcMar>
            <w:vAlign w:val="bottom"/>
          </w:tcPr>
          <w:p w:rsidR="00BD6B4B" w:rsidRPr="003B6B9A" w:rsidRDefault="00BD6B4B" w:rsidP="00BD6B4B">
            <w:pPr>
              <w:ind w:rightChars="120" w:right="288"/>
              <w:jc w:val="right"/>
              <w:rPr>
                <w:rFonts w:ascii="新細明體" w:hAnsi="新細明體" w:cs="新細明體"/>
              </w:rPr>
            </w:pPr>
            <w:r w:rsidRPr="003B6B9A">
              <w:rPr>
                <w:rFonts w:hint="eastAsia"/>
              </w:rPr>
              <w:t>9.10</w:t>
            </w:r>
          </w:p>
        </w:tc>
        <w:tc>
          <w:tcPr>
            <w:tcW w:w="1160" w:type="dxa"/>
            <w:tcMar>
              <w:top w:w="17" w:type="dxa"/>
              <w:left w:w="17" w:type="dxa"/>
              <w:bottom w:w="0" w:type="dxa"/>
              <w:right w:w="17" w:type="dxa"/>
            </w:tcMar>
            <w:vAlign w:val="bottom"/>
          </w:tcPr>
          <w:p w:rsidR="00BD6B4B" w:rsidRPr="003B6B9A" w:rsidRDefault="00BD6B4B" w:rsidP="00BD6B4B">
            <w:pPr>
              <w:ind w:rightChars="127" w:right="305"/>
              <w:jc w:val="right"/>
              <w:rPr>
                <w:rFonts w:ascii="新細明體" w:hAnsi="新細明體" w:cs="新細明體"/>
              </w:rPr>
            </w:pPr>
            <w:r w:rsidRPr="003B6B9A">
              <w:rPr>
                <w:rFonts w:hint="eastAsia"/>
              </w:rPr>
              <w:t>0.68</w:t>
            </w:r>
          </w:p>
        </w:tc>
        <w:tc>
          <w:tcPr>
            <w:tcW w:w="1113" w:type="dxa"/>
            <w:tcMar>
              <w:top w:w="17" w:type="dxa"/>
              <w:left w:w="17" w:type="dxa"/>
              <w:bottom w:w="0" w:type="dxa"/>
              <w:right w:w="17" w:type="dxa"/>
            </w:tcMar>
            <w:vAlign w:val="bottom"/>
          </w:tcPr>
          <w:p w:rsidR="00BD6B4B" w:rsidRPr="003B6B9A" w:rsidRDefault="00BD6B4B" w:rsidP="00BD6B4B">
            <w:pPr>
              <w:ind w:rightChars="107" w:right="257"/>
              <w:jc w:val="right"/>
              <w:rPr>
                <w:rFonts w:ascii="新細明體" w:hAnsi="新細明體" w:cs="新細明體"/>
              </w:rPr>
            </w:pPr>
            <w:r w:rsidRPr="003B6B9A">
              <w:rPr>
                <w:rFonts w:hint="eastAsia"/>
              </w:rPr>
              <w:t>0.64</w:t>
            </w:r>
          </w:p>
        </w:tc>
        <w:tc>
          <w:tcPr>
            <w:tcW w:w="1007" w:type="dxa"/>
            <w:vAlign w:val="bottom"/>
          </w:tcPr>
          <w:p w:rsidR="00BD6B4B" w:rsidRPr="003B6B9A" w:rsidRDefault="00BD6B4B" w:rsidP="00BD6B4B">
            <w:pPr>
              <w:ind w:rightChars="76" w:right="182"/>
              <w:jc w:val="right"/>
              <w:rPr>
                <w:rFonts w:ascii="新細明體" w:hAnsi="新細明體" w:cs="新細明體"/>
              </w:rPr>
            </w:pPr>
            <w:r w:rsidRPr="003B6B9A">
              <w:rPr>
                <w:rFonts w:hint="eastAsia"/>
              </w:rPr>
              <w:t>21.01</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wordWrap w:val="0"/>
              <w:snapToGrid w:val="0"/>
              <w:spacing w:line="380" w:lineRule="exact"/>
              <w:ind w:left="28" w:right="284"/>
              <w:jc w:val="right"/>
              <w:rPr>
                <w:rFonts w:eastAsia="標楷體"/>
                <w:spacing w:val="-6"/>
              </w:rPr>
            </w:pPr>
            <w:r w:rsidRPr="003B6B9A">
              <w:rPr>
                <w:rFonts w:eastAsia="標楷體"/>
                <w:spacing w:val="-6"/>
              </w:rPr>
              <w:t>9</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BD6B4B" w:rsidRPr="003B6B9A" w:rsidRDefault="00BD6B4B" w:rsidP="00BD6B4B">
            <w:pPr>
              <w:snapToGrid w:val="0"/>
              <w:spacing w:line="380" w:lineRule="exact"/>
              <w:ind w:rightChars="100" w:right="240"/>
              <w:jc w:val="right"/>
              <w:rPr>
                <w:rFonts w:eastAsia="標楷體"/>
              </w:rPr>
            </w:pPr>
            <w:r w:rsidRPr="003B6B9A">
              <w:rPr>
                <w:rFonts w:eastAsia="標楷體" w:hint="eastAsia"/>
              </w:rPr>
              <w:t>9</w:t>
            </w:r>
            <w:r w:rsidRPr="003B6B9A">
              <w:rPr>
                <w:rFonts w:eastAsia="標楷體"/>
              </w:rPr>
              <w:t>.</w:t>
            </w:r>
            <w:r w:rsidRPr="003B6B9A">
              <w:rPr>
                <w:rFonts w:eastAsia="標楷體" w:hint="eastAsia"/>
              </w:rPr>
              <w:t>94</w:t>
            </w:r>
          </w:p>
        </w:tc>
        <w:tc>
          <w:tcPr>
            <w:tcW w:w="1090" w:type="dxa"/>
            <w:tcMar>
              <w:top w:w="17" w:type="dxa"/>
              <w:left w:w="17" w:type="dxa"/>
              <w:bottom w:w="0" w:type="dxa"/>
              <w:right w:w="17" w:type="dxa"/>
            </w:tcMar>
            <w:vAlign w:val="bottom"/>
          </w:tcPr>
          <w:p w:rsidR="00BD6B4B" w:rsidRPr="003B6B9A" w:rsidRDefault="00BD6B4B" w:rsidP="00BD6B4B">
            <w:pPr>
              <w:tabs>
                <w:tab w:val="left" w:pos="857"/>
              </w:tabs>
              <w:ind w:rightChars="98" w:right="235"/>
              <w:jc w:val="right"/>
              <w:rPr>
                <w:rFonts w:ascii="新細明體" w:hAnsi="新細明體" w:cs="新細明體"/>
              </w:rPr>
            </w:pPr>
            <w:r w:rsidRPr="003B6B9A">
              <w:rPr>
                <w:rFonts w:hint="eastAsia"/>
              </w:rPr>
              <w:t>10.59</w:t>
            </w:r>
          </w:p>
        </w:tc>
        <w:tc>
          <w:tcPr>
            <w:tcW w:w="1278" w:type="dxa"/>
            <w:tcMar>
              <w:top w:w="17" w:type="dxa"/>
              <w:left w:w="17" w:type="dxa"/>
              <w:bottom w:w="0" w:type="dxa"/>
              <w:right w:w="17" w:type="dxa"/>
            </w:tcMar>
            <w:vAlign w:val="bottom"/>
          </w:tcPr>
          <w:p w:rsidR="00BD6B4B" w:rsidRPr="003B6B9A" w:rsidRDefault="00BD6B4B" w:rsidP="00BD6B4B">
            <w:pPr>
              <w:ind w:rightChars="120" w:right="288"/>
              <w:jc w:val="right"/>
              <w:rPr>
                <w:rFonts w:ascii="新細明體" w:hAnsi="新細明體" w:cs="新細明體"/>
              </w:rPr>
            </w:pPr>
            <w:r w:rsidRPr="003B6B9A">
              <w:rPr>
                <w:rFonts w:hint="eastAsia"/>
              </w:rPr>
              <w:t>11.00</w:t>
            </w:r>
          </w:p>
        </w:tc>
        <w:tc>
          <w:tcPr>
            <w:tcW w:w="1160" w:type="dxa"/>
            <w:tcMar>
              <w:top w:w="17" w:type="dxa"/>
              <w:left w:w="17" w:type="dxa"/>
              <w:bottom w:w="0" w:type="dxa"/>
              <w:right w:w="17" w:type="dxa"/>
            </w:tcMar>
            <w:vAlign w:val="bottom"/>
          </w:tcPr>
          <w:p w:rsidR="00BD6B4B" w:rsidRPr="003B6B9A" w:rsidRDefault="00BD6B4B" w:rsidP="00BD6B4B">
            <w:pPr>
              <w:ind w:rightChars="127" w:right="305"/>
              <w:jc w:val="right"/>
              <w:rPr>
                <w:rFonts w:ascii="新細明體" w:hAnsi="新細明體" w:cs="新細明體"/>
              </w:rPr>
            </w:pPr>
            <w:r w:rsidRPr="003B6B9A">
              <w:rPr>
                <w:rFonts w:hint="eastAsia"/>
              </w:rPr>
              <w:t>-4.99</w:t>
            </w:r>
          </w:p>
        </w:tc>
        <w:tc>
          <w:tcPr>
            <w:tcW w:w="1113" w:type="dxa"/>
            <w:tcMar>
              <w:top w:w="17" w:type="dxa"/>
              <w:left w:w="17" w:type="dxa"/>
              <w:bottom w:w="0" w:type="dxa"/>
              <w:right w:w="17" w:type="dxa"/>
            </w:tcMar>
            <w:vAlign w:val="bottom"/>
          </w:tcPr>
          <w:p w:rsidR="00BD6B4B" w:rsidRPr="003B6B9A" w:rsidRDefault="00BD6B4B" w:rsidP="00BD6B4B">
            <w:pPr>
              <w:ind w:rightChars="107" w:right="257"/>
              <w:jc w:val="right"/>
              <w:rPr>
                <w:rFonts w:ascii="新細明體" w:hAnsi="新細明體" w:cs="新細明體"/>
              </w:rPr>
            </w:pPr>
            <w:r w:rsidRPr="003B6B9A">
              <w:rPr>
                <w:rFonts w:hint="eastAsia"/>
              </w:rPr>
              <w:t>2.70</w:t>
            </w:r>
          </w:p>
        </w:tc>
        <w:tc>
          <w:tcPr>
            <w:tcW w:w="1007" w:type="dxa"/>
            <w:vAlign w:val="bottom"/>
          </w:tcPr>
          <w:p w:rsidR="00BD6B4B" w:rsidRPr="003B6B9A" w:rsidRDefault="00BD6B4B" w:rsidP="00BD6B4B">
            <w:pPr>
              <w:ind w:rightChars="76" w:right="182"/>
              <w:jc w:val="right"/>
              <w:rPr>
                <w:rFonts w:ascii="新細明體" w:hAnsi="新細明體" w:cs="新細明體"/>
              </w:rPr>
            </w:pPr>
            <w:r w:rsidRPr="003B6B9A">
              <w:rPr>
                <w:rFonts w:hint="eastAsia"/>
              </w:rPr>
              <w:t>22.39</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wordWrap w:val="0"/>
              <w:snapToGrid w:val="0"/>
              <w:spacing w:line="380" w:lineRule="exact"/>
              <w:ind w:left="28" w:right="284"/>
              <w:jc w:val="right"/>
              <w:rPr>
                <w:rFonts w:eastAsia="標楷體"/>
                <w:spacing w:val="-6"/>
              </w:rPr>
            </w:pPr>
            <w:r w:rsidRPr="003B6B9A">
              <w:rPr>
                <w:rFonts w:eastAsia="標楷體"/>
                <w:spacing w:val="-6"/>
              </w:rPr>
              <w:t>10</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BD6B4B" w:rsidRPr="003B6B9A" w:rsidRDefault="00BD6B4B" w:rsidP="00BD6B4B">
            <w:pPr>
              <w:snapToGrid w:val="0"/>
              <w:spacing w:line="380" w:lineRule="exact"/>
              <w:ind w:rightChars="100" w:right="240"/>
              <w:jc w:val="right"/>
              <w:rPr>
                <w:rFonts w:eastAsia="標楷體"/>
              </w:rPr>
            </w:pPr>
            <w:r w:rsidRPr="003B6B9A">
              <w:rPr>
                <w:rFonts w:eastAsia="標楷體" w:hint="eastAsia"/>
              </w:rPr>
              <w:t>9</w:t>
            </w:r>
            <w:r w:rsidRPr="003B6B9A">
              <w:rPr>
                <w:rFonts w:eastAsia="標楷體"/>
              </w:rPr>
              <w:t>.</w:t>
            </w:r>
            <w:r w:rsidRPr="003B6B9A">
              <w:rPr>
                <w:rFonts w:eastAsia="標楷體" w:hint="eastAsia"/>
              </w:rPr>
              <w:t>20</w:t>
            </w:r>
          </w:p>
        </w:tc>
        <w:tc>
          <w:tcPr>
            <w:tcW w:w="1090" w:type="dxa"/>
            <w:tcMar>
              <w:top w:w="17" w:type="dxa"/>
              <w:left w:w="17" w:type="dxa"/>
              <w:bottom w:w="0" w:type="dxa"/>
              <w:right w:w="17" w:type="dxa"/>
            </w:tcMar>
            <w:vAlign w:val="bottom"/>
          </w:tcPr>
          <w:p w:rsidR="00BD6B4B" w:rsidRPr="003B6B9A" w:rsidRDefault="00BD6B4B" w:rsidP="00BD6B4B">
            <w:pPr>
              <w:tabs>
                <w:tab w:val="left" w:pos="857"/>
              </w:tabs>
              <w:ind w:rightChars="98" w:right="235"/>
              <w:jc w:val="right"/>
              <w:rPr>
                <w:rFonts w:ascii="新細明體" w:hAnsi="新細明體" w:cs="新細明體"/>
              </w:rPr>
            </w:pPr>
            <w:r w:rsidRPr="003B6B9A">
              <w:rPr>
                <w:rFonts w:hint="eastAsia"/>
              </w:rPr>
              <w:t>9.22</w:t>
            </w:r>
          </w:p>
        </w:tc>
        <w:tc>
          <w:tcPr>
            <w:tcW w:w="1278" w:type="dxa"/>
            <w:tcMar>
              <w:top w:w="17" w:type="dxa"/>
              <w:left w:w="17" w:type="dxa"/>
              <w:bottom w:w="0" w:type="dxa"/>
              <w:right w:w="17" w:type="dxa"/>
            </w:tcMar>
            <w:vAlign w:val="bottom"/>
          </w:tcPr>
          <w:p w:rsidR="00BD6B4B" w:rsidRPr="003B6B9A" w:rsidRDefault="00BD6B4B" w:rsidP="00BD6B4B">
            <w:pPr>
              <w:ind w:rightChars="120" w:right="288"/>
              <w:jc w:val="right"/>
              <w:rPr>
                <w:rFonts w:ascii="新細明體" w:hAnsi="新細明體" w:cs="新細明體"/>
              </w:rPr>
            </w:pPr>
            <w:r w:rsidRPr="003B6B9A">
              <w:rPr>
                <w:rFonts w:hint="eastAsia"/>
              </w:rPr>
              <w:t>13.16</w:t>
            </w:r>
          </w:p>
        </w:tc>
        <w:tc>
          <w:tcPr>
            <w:tcW w:w="1160" w:type="dxa"/>
            <w:tcMar>
              <w:top w:w="17" w:type="dxa"/>
              <w:left w:w="17" w:type="dxa"/>
              <w:bottom w:w="0" w:type="dxa"/>
              <w:right w:w="17" w:type="dxa"/>
            </w:tcMar>
            <w:vAlign w:val="bottom"/>
          </w:tcPr>
          <w:p w:rsidR="00BD6B4B" w:rsidRPr="003B6B9A" w:rsidRDefault="00BD6B4B" w:rsidP="00BD6B4B">
            <w:pPr>
              <w:ind w:rightChars="127" w:right="305"/>
              <w:jc w:val="right"/>
              <w:rPr>
                <w:rFonts w:ascii="新細明體" w:hAnsi="新細明體" w:cs="新細明體"/>
              </w:rPr>
            </w:pPr>
            <w:r w:rsidRPr="003B6B9A">
              <w:rPr>
                <w:rFonts w:hint="eastAsia"/>
              </w:rPr>
              <w:t>-2.76</w:t>
            </w:r>
          </w:p>
        </w:tc>
        <w:tc>
          <w:tcPr>
            <w:tcW w:w="1113" w:type="dxa"/>
            <w:tcMar>
              <w:top w:w="17" w:type="dxa"/>
              <w:left w:w="17" w:type="dxa"/>
              <w:bottom w:w="0" w:type="dxa"/>
              <w:right w:w="17" w:type="dxa"/>
            </w:tcMar>
            <w:vAlign w:val="bottom"/>
          </w:tcPr>
          <w:p w:rsidR="00BD6B4B" w:rsidRPr="003B6B9A" w:rsidRDefault="00BD6B4B" w:rsidP="00BD6B4B">
            <w:pPr>
              <w:ind w:rightChars="107" w:right="257"/>
              <w:jc w:val="right"/>
              <w:rPr>
                <w:rFonts w:ascii="新細明體" w:hAnsi="新細明體" w:cs="新細明體"/>
              </w:rPr>
            </w:pPr>
            <w:r w:rsidRPr="003B6B9A">
              <w:rPr>
                <w:rFonts w:hint="eastAsia"/>
              </w:rPr>
              <w:t>2.64</w:t>
            </w:r>
          </w:p>
        </w:tc>
        <w:tc>
          <w:tcPr>
            <w:tcW w:w="1007" w:type="dxa"/>
            <w:vAlign w:val="bottom"/>
          </w:tcPr>
          <w:p w:rsidR="00BD6B4B" w:rsidRPr="003B6B9A" w:rsidRDefault="00BD6B4B" w:rsidP="00BD6B4B">
            <w:pPr>
              <w:ind w:rightChars="76" w:right="182"/>
              <w:jc w:val="right"/>
              <w:rPr>
                <w:rFonts w:ascii="新細明體" w:hAnsi="新細明體" w:cs="新細明體"/>
              </w:rPr>
            </w:pPr>
            <w:r w:rsidRPr="003B6B9A">
              <w:rPr>
                <w:rFonts w:hint="eastAsia"/>
              </w:rPr>
              <w:t>35.34</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D6B4B" w:rsidRPr="003B6B9A" w:rsidRDefault="00BD6B4B" w:rsidP="00BD6B4B">
            <w:pPr>
              <w:snapToGrid w:val="0"/>
              <w:spacing w:line="380" w:lineRule="exact"/>
              <w:ind w:rightChars="100" w:right="240"/>
              <w:jc w:val="right"/>
              <w:rPr>
                <w:rFonts w:eastAsia="標楷體"/>
              </w:rPr>
            </w:pPr>
            <w:r w:rsidRPr="003B6B9A">
              <w:rPr>
                <w:rFonts w:eastAsia="標楷體"/>
              </w:rPr>
              <w:t>6.</w:t>
            </w:r>
            <w:r w:rsidRPr="003B6B9A">
              <w:rPr>
                <w:rFonts w:eastAsia="標楷體" w:hint="eastAsia"/>
              </w:rPr>
              <w:t>79</w:t>
            </w:r>
          </w:p>
        </w:tc>
        <w:tc>
          <w:tcPr>
            <w:tcW w:w="1090" w:type="dxa"/>
            <w:tcMar>
              <w:top w:w="17" w:type="dxa"/>
              <w:left w:w="17" w:type="dxa"/>
              <w:bottom w:w="0" w:type="dxa"/>
              <w:right w:w="17" w:type="dxa"/>
            </w:tcMar>
            <w:vAlign w:val="bottom"/>
          </w:tcPr>
          <w:p w:rsidR="00BD6B4B" w:rsidRPr="003B6B9A" w:rsidRDefault="00BD6B4B" w:rsidP="00BD6B4B">
            <w:pPr>
              <w:tabs>
                <w:tab w:val="left" w:pos="857"/>
              </w:tabs>
              <w:ind w:rightChars="98" w:right="235"/>
              <w:jc w:val="right"/>
              <w:rPr>
                <w:rFonts w:ascii="新細明體" w:hAnsi="新細明體" w:cs="新細明體"/>
              </w:rPr>
            </w:pPr>
            <w:r w:rsidRPr="003B6B9A">
              <w:rPr>
                <w:rFonts w:hint="eastAsia"/>
              </w:rPr>
              <w:t>6.85</w:t>
            </w:r>
          </w:p>
        </w:tc>
        <w:tc>
          <w:tcPr>
            <w:tcW w:w="1278" w:type="dxa"/>
            <w:tcMar>
              <w:top w:w="17" w:type="dxa"/>
              <w:left w:w="17" w:type="dxa"/>
              <w:bottom w:w="0" w:type="dxa"/>
              <w:right w:w="17" w:type="dxa"/>
            </w:tcMar>
            <w:vAlign w:val="bottom"/>
          </w:tcPr>
          <w:p w:rsidR="00BD6B4B" w:rsidRPr="003B6B9A" w:rsidRDefault="00BD6B4B" w:rsidP="00BD6B4B">
            <w:pPr>
              <w:ind w:rightChars="120" w:right="288"/>
              <w:jc w:val="right"/>
              <w:rPr>
                <w:rFonts w:ascii="新細明體" w:hAnsi="新細明體" w:cs="新細明體"/>
              </w:rPr>
            </w:pPr>
            <w:r w:rsidRPr="003B6B9A">
              <w:rPr>
                <w:rFonts w:hint="eastAsia"/>
              </w:rPr>
              <w:t>1.30</w:t>
            </w:r>
          </w:p>
        </w:tc>
        <w:tc>
          <w:tcPr>
            <w:tcW w:w="1160" w:type="dxa"/>
            <w:tcMar>
              <w:top w:w="17" w:type="dxa"/>
              <w:left w:w="17" w:type="dxa"/>
              <w:bottom w:w="0" w:type="dxa"/>
              <w:right w:w="17" w:type="dxa"/>
            </w:tcMar>
            <w:vAlign w:val="bottom"/>
          </w:tcPr>
          <w:p w:rsidR="00BD6B4B" w:rsidRPr="003B6B9A" w:rsidRDefault="00BD6B4B" w:rsidP="00BD6B4B">
            <w:pPr>
              <w:ind w:rightChars="127" w:right="305"/>
              <w:jc w:val="right"/>
              <w:rPr>
                <w:rFonts w:ascii="新細明體" w:hAnsi="新細明體" w:cs="新細明體"/>
              </w:rPr>
            </w:pPr>
            <w:r w:rsidRPr="003B6B9A">
              <w:rPr>
                <w:rFonts w:hint="eastAsia"/>
              </w:rPr>
              <w:t>9.43</w:t>
            </w:r>
          </w:p>
        </w:tc>
        <w:tc>
          <w:tcPr>
            <w:tcW w:w="1113" w:type="dxa"/>
            <w:tcMar>
              <w:top w:w="17" w:type="dxa"/>
              <w:left w:w="17" w:type="dxa"/>
              <w:bottom w:w="0" w:type="dxa"/>
              <w:right w:w="17" w:type="dxa"/>
            </w:tcMar>
            <w:vAlign w:val="bottom"/>
          </w:tcPr>
          <w:p w:rsidR="00BD6B4B" w:rsidRPr="003B6B9A" w:rsidRDefault="00BD6B4B" w:rsidP="00BD6B4B">
            <w:pPr>
              <w:ind w:rightChars="107" w:right="257"/>
              <w:jc w:val="right"/>
              <w:rPr>
                <w:rFonts w:ascii="新細明體" w:hAnsi="新細明體" w:cs="新細明體"/>
              </w:rPr>
            </w:pPr>
            <w:r w:rsidRPr="003B6B9A">
              <w:rPr>
                <w:rFonts w:hint="eastAsia"/>
              </w:rPr>
              <w:t>1.41</w:t>
            </w:r>
          </w:p>
        </w:tc>
        <w:tc>
          <w:tcPr>
            <w:tcW w:w="1007" w:type="dxa"/>
            <w:vAlign w:val="bottom"/>
          </w:tcPr>
          <w:p w:rsidR="00BD6B4B" w:rsidRPr="003B6B9A" w:rsidRDefault="00BD6B4B" w:rsidP="00BD6B4B">
            <w:pPr>
              <w:ind w:rightChars="76" w:right="182"/>
              <w:jc w:val="right"/>
              <w:rPr>
                <w:rFonts w:ascii="新細明體" w:hAnsi="新細明體" w:cs="新細明體"/>
              </w:rPr>
            </w:pPr>
            <w:r w:rsidRPr="003B6B9A">
              <w:rPr>
                <w:rFonts w:hint="eastAsia"/>
              </w:rPr>
              <w:t>1.39</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D6B4B" w:rsidRPr="003B6B9A" w:rsidRDefault="00BD6B4B" w:rsidP="00BD6B4B">
            <w:pPr>
              <w:snapToGrid w:val="0"/>
              <w:spacing w:line="380" w:lineRule="exact"/>
              <w:ind w:rightChars="100" w:right="240"/>
              <w:jc w:val="right"/>
              <w:rPr>
                <w:rFonts w:eastAsia="標楷體"/>
              </w:rPr>
            </w:pPr>
            <w:r w:rsidRPr="003B6B9A">
              <w:rPr>
                <w:rFonts w:eastAsia="標楷體"/>
              </w:rPr>
              <w:t>7.</w:t>
            </w:r>
            <w:r w:rsidRPr="003B6B9A">
              <w:rPr>
                <w:rFonts w:eastAsia="標楷體" w:hint="eastAsia"/>
              </w:rPr>
              <w:t>76</w:t>
            </w:r>
          </w:p>
        </w:tc>
        <w:tc>
          <w:tcPr>
            <w:tcW w:w="1090" w:type="dxa"/>
            <w:tcMar>
              <w:top w:w="17" w:type="dxa"/>
              <w:left w:w="17" w:type="dxa"/>
              <w:bottom w:w="0" w:type="dxa"/>
              <w:right w:w="17" w:type="dxa"/>
            </w:tcMar>
            <w:vAlign w:val="bottom"/>
          </w:tcPr>
          <w:p w:rsidR="00BD6B4B" w:rsidRPr="003B6B9A" w:rsidRDefault="00BD6B4B" w:rsidP="00BD6B4B">
            <w:pPr>
              <w:tabs>
                <w:tab w:val="left" w:pos="857"/>
              </w:tabs>
              <w:ind w:rightChars="98" w:right="235"/>
              <w:jc w:val="right"/>
              <w:rPr>
                <w:rFonts w:ascii="新細明體" w:hAnsi="新細明體" w:cs="新細明體"/>
              </w:rPr>
            </w:pPr>
            <w:r w:rsidRPr="003B6B9A">
              <w:rPr>
                <w:rFonts w:hint="eastAsia"/>
              </w:rPr>
              <w:t>7.76</w:t>
            </w:r>
          </w:p>
        </w:tc>
        <w:tc>
          <w:tcPr>
            <w:tcW w:w="1278" w:type="dxa"/>
            <w:tcMar>
              <w:top w:w="17" w:type="dxa"/>
              <w:left w:w="17" w:type="dxa"/>
              <w:bottom w:w="0" w:type="dxa"/>
              <w:right w:w="17" w:type="dxa"/>
            </w:tcMar>
            <w:vAlign w:val="bottom"/>
          </w:tcPr>
          <w:p w:rsidR="00BD6B4B" w:rsidRPr="003B6B9A" w:rsidRDefault="00BD6B4B" w:rsidP="00BD6B4B">
            <w:pPr>
              <w:ind w:rightChars="120" w:right="288"/>
              <w:jc w:val="right"/>
              <w:rPr>
                <w:rFonts w:ascii="新細明體" w:hAnsi="新細明體" w:cs="新細明體"/>
              </w:rPr>
            </w:pPr>
            <w:r w:rsidRPr="003B6B9A">
              <w:rPr>
                <w:rFonts w:hint="eastAsia"/>
              </w:rPr>
              <w:t>6.14</w:t>
            </w:r>
          </w:p>
        </w:tc>
        <w:tc>
          <w:tcPr>
            <w:tcW w:w="1160" w:type="dxa"/>
            <w:tcMar>
              <w:top w:w="17" w:type="dxa"/>
              <w:left w:w="17" w:type="dxa"/>
              <w:bottom w:w="0" w:type="dxa"/>
              <w:right w:w="17" w:type="dxa"/>
            </w:tcMar>
            <w:vAlign w:val="bottom"/>
          </w:tcPr>
          <w:p w:rsidR="00BD6B4B" w:rsidRPr="003B6B9A" w:rsidRDefault="00BD6B4B" w:rsidP="00BD6B4B">
            <w:pPr>
              <w:ind w:rightChars="127" w:right="305"/>
              <w:jc w:val="right"/>
              <w:rPr>
                <w:rFonts w:ascii="新細明體" w:hAnsi="新細明體" w:cs="新細明體"/>
              </w:rPr>
            </w:pPr>
            <w:r w:rsidRPr="003B6B9A">
              <w:rPr>
                <w:rFonts w:hint="eastAsia"/>
              </w:rPr>
              <w:t>3.03</w:t>
            </w:r>
          </w:p>
        </w:tc>
        <w:tc>
          <w:tcPr>
            <w:tcW w:w="1113" w:type="dxa"/>
            <w:tcMar>
              <w:top w:w="17" w:type="dxa"/>
              <w:left w:w="17" w:type="dxa"/>
              <w:bottom w:w="0" w:type="dxa"/>
              <w:right w:w="17" w:type="dxa"/>
            </w:tcMar>
            <w:vAlign w:val="bottom"/>
          </w:tcPr>
          <w:p w:rsidR="00BD6B4B" w:rsidRPr="003B6B9A" w:rsidRDefault="00BD6B4B" w:rsidP="00BD6B4B">
            <w:pPr>
              <w:ind w:rightChars="107" w:right="257"/>
              <w:jc w:val="right"/>
              <w:rPr>
                <w:rFonts w:ascii="新細明體" w:hAnsi="新細明體" w:cs="新細明體"/>
              </w:rPr>
            </w:pPr>
            <w:r w:rsidRPr="003B6B9A">
              <w:rPr>
                <w:rFonts w:hint="eastAsia"/>
              </w:rPr>
              <w:t>1.07</w:t>
            </w:r>
          </w:p>
        </w:tc>
        <w:tc>
          <w:tcPr>
            <w:tcW w:w="1007" w:type="dxa"/>
            <w:vAlign w:val="bottom"/>
          </w:tcPr>
          <w:p w:rsidR="00BD6B4B" w:rsidRPr="003B6B9A" w:rsidRDefault="00BD6B4B" w:rsidP="00BD6B4B">
            <w:pPr>
              <w:ind w:rightChars="76" w:right="182"/>
              <w:jc w:val="right"/>
              <w:rPr>
                <w:rFonts w:ascii="新細明體" w:hAnsi="新細明體" w:cs="新細明體"/>
              </w:rPr>
            </w:pPr>
            <w:r w:rsidRPr="003B6B9A">
              <w:rPr>
                <w:rFonts w:hint="eastAsia"/>
              </w:rPr>
              <w:t>19.94</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tcPr>
          <w:p w:rsidR="00BD6B4B" w:rsidRPr="003B6B9A" w:rsidRDefault="00BD6B4B" w:rsidP="00BD6B4B">
            <w:pPr>
              <w:snapToGrid w:val="0"/>
              <w:spacing w:line="380" w:lineRule="exac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1~4</w:t>
            </w:r>
            <w:r w:rsidRPr="003B6B9A">
              <w:rPr>
                <w:rFonts w:eastAsia="標楷體" w:hint="eastAsia"/>
                <w:b/>
                <w:bCs/>
              </w:rPr>
              <w:t>月</w:t>
            </w:r>
          </w:p>
        </w:tc>
        <w:tc>
          <w:tcPr>
            <w:tcW w:w="1095" w:type="dxa"/>
            <w:tcBorders>
              <w:left w:val="single" w:sz="4" w:space="0" w:color="auto"/>
            </w:tcBorders>
            <w:tcMar>
              <w:top w:w="17" w:type="dxa"/>
              <w:left w:w="17" w:type="dxa"/>
              <w:bottom w:w="0" w:type="dxa"/>
              <w:right w:w="17" w:type="dxa"/>
            </w:tcMar>
          </w:tcPr>
          <w:p w:rsidR="00BD6B4B" w:rsidRPr="003B6B9A" w:rsidRDefault="00BD6B4B" w:rsidP="00BD6B4B">
            <w:pPr>
              <w:snapToGrid w:val="0"/>
              <w:spacing w:line="380" w:lineRule="exact"/>
              <w:ind w:rightChars="100" w:right="240"/>
              <w:jc w:val="right"/>
              <w:rPr>
                <w:rFonts w:eastAsia="標楷體"/>
                <w:b/>
              </w:rPr>
            </w:pPr>
            <w:r w:rsidRPr="003B6B9A">
              <w:rPr>
                <w:rFonts w:eastAsia="標楷體" w:hint="eastAsia"/>
                <w:b/>
              </w:rPr>
              <w:t>4.54</w:t>
            </w:r>
          </w:p>
        </w:tc>
        <w:tc>
          <w:tcPr>
            <w:tcW w:w="1090" w:type="dxa"/>
            <w:tcMar>
              <w:top w:w="17" w:type="dxa"/>
              <w:left w:w="17" w:type="dxa"/>
              <w:bottom w:w="0" w:type="dxa"/>
              <w:right w:w="17" w:type="dxa"/>
            </w:tcMar>
          </w:tcPr>
          <w:p w:rsidR="00BD6B4B" w:rsidRPr="003B6B9A" w:rsidRDefault="00BD6B4B" w:rsidP="00BD6B4B">
            <w:pPr>
              <w:snapToGrid w:val="0"/>
              <w:spacing w:line="380" w:lineRule="exact"/>
              <w:ind w:rightChars="98" w:right="235"/>
              <w:jc w:val="right"/>
              <w:rPr>
                <w:rFonts w:eastAsia="標楷體"/>
                <w:b/>
              </w:rPr>
            </w:pPr>
            <w:r w:rsidRPr="003B6B9A">
              <w:rPr>
                <w:rFonts w:eastAsia="標楷體" w:hint="eastAsia"/>
                <w:b/>
              </w:rPr>
              <w:t>5.11</w:t>
            </w:r>
          </w:p>
        </w:tc>
        <w:tc>
          <w:tcPr>
            <w:tcW w:w="1278" w:type="dxa"/>
            <w:tcMar>
              <w:top w:w="17" w:type="dxa"/>
              <w:left w:w="17" w:type="dxa"/>
              <w:bottom w:w="0" w:type="dxa"/>
              <w:right w:w="17" w:type="dxa"/>
            </w:tcMar>
          </w:tcPr>
          <w:p w:rsidR="00BD6B4B" w:rsidRPr="003B6B9A" w:rsidRDefault="00BD6B4B" w:rsidP="00BD6B4B">
            <w:pPr>
              <w:snapToGrid w:val="0"/>
              <w:spacing w:line="380" w:lineRule="exact"/>
              <w:ind w:rightChars="120" w:right="288"/>
              <w:jc w:val="right"/>
              <w:rPr>
                <w:rFonts w:eastAsia="標楷體"/>
                <w:b/>
              </w:rPr>
            </w:pPr>
            <w:r w:rsidRPr="003B6B9A">
              <w:rPr>
                <w:rFonts w:eastAsia="標楷體" w:hint="eastAsia"/>
                <w:b/>
              </w:rPr>
              <w:t>0.39</w:t>
            </w:r>
          </w:p>
        </w:tc>
        <w:tc>
          <w:tcPr>
            <w:tcW w:w="1160" w:type="dxa"/>
            <w:tcMar>
              <w:top w:w="17" w:type="dxa"/>
              <w:left w:w="17" w:type="dxa"/>
              <w:bottom w:w="0" w:type="dxa"/>
              <w:right w:w="17" w:type="dxa"/>
            </w:tcMar>
          </w:tcPr>
          <w:p w:rsidR="00BD6B4B" w:rsidRPr="003B6B9A" w:rsidRDefault="00BD6B4B" w:rsidP="00BD6B4B">
            <w:pPr>
              <w:snapToGrid w:val="0"/>
              <w:spacing w:line="380" w:lineRule="exact"/>
              <w:ind w:rightChars="127" w:right="305"/>
              <w:jc w:val="right"/>
              <w:rPr>
                <w:rFonts w:eastAsia="標楷體"/>
                <w:b/>
              </w:rPr>
            </w:pPr>
            <w:r w:rsidRPr="003B6B9A">
              <w:rPr>
                <w:rFonts w:eastAsia="標楷體" w:hint="eastAsia"/>
                <w:b/>
              </w:rPr>
              <w:t>-6.87</w:t>
            </w:r>
          </w:p>
        </w:tc>
        <w:tc>
          <w:tcPr>
            <w:tcW w:w="1113" w:type="dxa"/>
            <w:tcMar>
              <w:top w:w="17" w:type="dxa"/>
              <w:left w:w="17" w:type="dxa"/>
              <w:bottom w:w="0" w:type="dxa"/>
              <w:right w:w="17" w:type="dxa"/>
            </w:tcMar>
            <w:vAlign w:val="bottom"/>
          </w:tcPr>
          <w:p w:rsidR="00BD6B4B" w:rsidRPr="003B6B9A" w:rsidRDefault="00BD6B4B" w:rsidP="00BD6B4B">
            <w:pPr>
              <w:snapToGrid w:val="0"/>
              <w:spacing w:line="380" w:lineRule="exact"/>
              <w:ind w:rightChars="107" w:right="257"/>
              <w:jc w:val="right"/>
              <w:rPr>
                <w:rFonts w:eastAsia="標楷體"/>
                <w:b/>
              </w:rPr>
            </w:pPr>
            <w:r w:rsidRPr="003B6B9A">
              <w:rPr>
                <w:rFonts w:eastAsia="標楷體" w:hint="eastAsia"/>
                <w:b/>
              </w:rPr>
              <w:t>-1.53</w:t>
            </w:r>
          </w:p>
        </w:tc>
        <w:tc>
          <w:tcPr>
            <w:tcW w:w="1007" w:type="dxa"/>
          </w:tcPr>
          <w:p w:rsidR="00BD6B4B" w:rsidRPr="003B6B9A" w:rsidRDefault="00BD6B4B" w:rsidP="00BD6B4B">
            <w:pPr>
              <w:tabs>
                <w:tab w:val="left" w:pos="913"/>
              </w:tabs>
              <w:snapToGrid w:val="0"/>
              <w:spacing w:line="380" w:lineRule="exact"/>
              <w:ind w:rightChars="76" w:right="182"/>
              <w:jc w:val="right"/>
              <w:rPr>
                <w:rFonts w:eastAsia="標楷體"/>
                <w:b/>
              </w:rPr>
            </w:pPr>
            <w:r w:rsidRPr="003B6B9A">
              <w:rPr>
                <w:rFonts w:eastAsia="標楷體" w:hint="eastAsia"/>
                <w:b/>
              </w:rPr>
              <w:t>6.84</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D6B4B" w:rsidRPr="003B6B9A" w:rsidRDefault="00BD6B4B" w:rsidP="00BD6B4B">
            <w:pPr>
              <w:snapToGrid w:val="0"/>
              <w:spacing w:line="380" w:lineRule="exact"/>
              <w:ind w:rightChars="100" w:right="240"/>
              <w:jc w:val="right"/>
              <w:rPr>
                <w:rFonts w:eastAsia="標楷體"/>
              </w:rPr>
            </w:pPr>
            <w:r w:rsidRPr="003B6B9A">
              <w:rPr>
                <w:rFonts w:eastAsia="標楷體" w:hint="eastAsia"/>
              </w:rPr>
              <w:t>7.58</w:t>
            </w:r>
          </w:p>
        </w:tc>
        <w:tc>
          <w:tcPr>
            <w:tcW w:w="1090" w:type="dxa"/>
            <w:tcMar>
              <w:top w:w="17" w:type="dxa"/>
              <w:left w:w="17" w:type="dxa"/>
              <w:bottom w:w="0" w:type="dxa"/>
              <w:right w:w="17" w:type="dxa"/>
            </w:tcMar>
          </w:tcPr>
          <w:p w:rsidR="00BD6B4B" w:rsidRPr="003B6B9A" w:rsidRDefault="00BD6B4B" w:rsidP="00BD6B4B">
            <w:pPr>
              <w:snapToGrid w:val="0"/>
              <w:spacing w:line="380" w:lineRule="exact"/>
              <w:ind w:rightChars="98" w:right="235"/>
              <w:jc w:val="right"/>
              <w:rPr>
                <w:rFonts w:eastAsia="標楷體"/>
              </w:rPr>
            </w:pPr>
            <w:r w:rsidRPr="003B6B9A">
              <w:rPr>
                <w:rFonts w:eastAsia="標楷體" w:hint="eastAsia"/>
              </w:rPr>
              <w:t>9.08</w:t>
            </w:r>
          </w:p>
        </w:tc>
        <w:tc>
          <w:tcPr>
            <w:tcW w:w="1278" w:type="dxa"/>
            <w:tcMar>
              <w:top w:w="17" w:type="dxa"/>
              <w:left w:w="17" w:type="dxa"/>
              <w:bottom w:w="0" w:type="dxa"/>
              <w:right w:w="17" w:type="dxa"/>
            </w:tcMar>
          </w:tcPr>
          <w:p w:rsidR="00BD6B4B" w:rsidRPr="003B6B9A" w:rsidRDefault="00BD6B4B" w:rsidP="00BD6B4B">
            <w:pPr>
              <w:snapToGrid w:val="0"/>
              <w:spacing w:line="380" w:lineRule="exact"/>
              <w:ind w:rightChars="120" w:right="288"/>
              <w:jc w:val="right"/>
              <w:rPr>
                <w:rFonts w:eastAsia="標楷體"/>
              </w:rPr>
            </w:pPr>
            <w:r w:rsidRPr="003B6B9A">
              <w:rPr>
                <w:rFonts w:eastAsia="標楷體" w:hint="eastAsia"/>
              </w:rPr>
              <w:t>5.15</w:t>
            </w:r>
          </w:p>
        </w:tc>
        <w:tc>
          <w:tcPr>
            <w:tcW w:w="1160" w:type="dxa"/>
            <w:tcMar>
              <w:top w:w="17" w:type="dxa"/>
              <w:left w:w="17" w:type="dxa"/>
              <w:bottom w:w="0" w:type="dxa"/>
              <w:right w:w="17" w:type="dxa"/>
            </w:tcMar>
          </w:tcPr>
          <w:p w:rsidR="00BD6B4B" w:rsidRPr="003B6B9A" w:rsidRDefault="00BD6B4B" w:rsidP="00BD6B4B">
            <w:pPr>
              <w:snapToGrid w:val="0"/>
              <w:spacing w:line="380" w:lineRule="exact"/>
              <w:ind w:rightChars="127" w:right="305"/>
              <w:jc w:val="right"/>
              <w:rPr>
                <w:rFonts w:eastAsia="標楷體"/>
              </w:rPr>
            </w:pPr>
            <w:r w:rsidRPr="003B6B9A">
              <w:rPr>
                <w:rFonts w:eastAsia="標楷體" w:hint="eastAsia"/>
              </w:rPr>
              <w:t>-6.16</w:t>
            </w:r>
          </w:p>
        </w:tc>
        <w:tc>
          <w:tcPr>
            <w:tcW w:w="1113" w:type="dxa"/>
            <w:tcMar>
              <w:top w:w="17" w:type="dxa"/>
              <w:left w:w="17" w:type="dxa"/>
              <w:bottom w:w="0" w:type="dxa"/>
              <w:right w:w="17" w:type="dxa"/>
            </w:tcMar>
            <w:vAlign w:val="bottom"/>
          </w:tcPr>
          <w:p w:rsidR="00BD6B4B" w:rsidRPr="003B6B9A" w:rsidRDefault="00BD6B4B" w:rsidP="00BD6B4B">
            <w:pPr>
              <w:snapToGrid w:val="0"/>
              <w:spacing w:line="380" w:lineRule="exact"/>
              <w:ind w:rightChars="107" w:right="257"/>
              <w:jc w:val="right"/>
              <w:rPr>
                <w:rFonts w:eastAsia="標楷體"/>
              </w:rPr>
            </w:pPr>
            <w:r w:rsidRPr="003B6B9A">
              <w:rPr>
                <w:rFonts w:eastAsia="標楷體" w:hint="eastAsia"/>
              </w:rPr>
              <w:t>0.52</w:t>
            </w:r>
          </w:p>
        </w:tc>
        <w:tc>
          <w:tcPr>
            <w:tcW w:w="1007" w:type="dxa"/>
          </w:tcPr>
          <w:p w:rsidR="00BD6B4B" w:rsidRPr="003B6B9A" w:rsidRDefault="00BD6B4B" w:rsidP="00BD6B4B">
            <w:pPr>
              <w:tabs>
                <w:tab w:val="left" w:pos="824"/>
              </w:tabs>
              <w:snapToGrid w:val="0"/>
              <w:spacing w:line="380" w:lineRule="exact"/>
              <w:ind w:rightChars="76" w:right="182"/>
              <w:jc w:val="right"/>
              <w:rPr>
                <w:rFonts w:eastAsia="標楷體"/>
              </w:rPr>
            </w:pPr>
            <w:r w:rsidRPr="003B6B9A">
              <w:rPr>
                <w:rFonts w:eastAsia="標楷體" w:hint="eastAsia"/>
              </w:rPr>
              <w:t>-28.19</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80" w:lineRule="exact"/>
              <w:ind w:left="28" w:right="284"/>
              <w:jc w:val="right"/>
              <w:rPr>
                <w:rFonts w:eastAsia="標楷體"/>
                <w:spacing w:val="-6"/>
              </w:rPr>
            </w:pPr>
            <w:r w:rsidRPr="003B6B9A">
              <w:rPr>
                <w:rFonts w:eastAsia="標楷體"/>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D6B4B" w:rsidRPr="003B6B9A" w:rsidRDefault="00BD6B4B" w:rsidP="00BD6B4B">
            <w:pPr>
              <w:snapToGrid w:val="0"/>
              <w:spacing w:line="380" w:lineRule="exact"/>
              <w:ind w:rightChars="100" w:right="240"/>
              <w:jc w:val="right"/>
              <w:rPr>
                <w:rFonts w:eastAsia="標楷體"/>
              </w:rPr>
            </w:pPr>
            <w:r w:rsidRPr="003B6B9A">
              <w:rPr>
                <w:rFonts w:eastAsia="標楷體" w:hint="eastAsia"/>
              </w:rPr>
              <w:t>2.72</w:t>
            </w:r>
          </w:p>
        </w:tc>
        <w:tc>
          <w:tcPr>
            <w:tcW w:w="1090" w:type="dxa"/>
            <w:tcMar>
              <w:top w:w="17" w:type="dxa"/>
              <w:left w:w="17" w:type="dxa"/>
              <w:bottom w:w="0" w:type="dxa"/>
              <w:right w:w="17" w:type="dxa"/>
            </w:tcMar>
          </w:tcPr>
          <w:p w:rsidR="00BD6B4B" w:rsidRPr="003B6B9A" w:rsidRDefault="00BD6B4B" w:rsidP="00BD6B4B">
            <w:pPr>
              <w:snapToGrid w:val="0"/>
              <w:spacing w:line="380" w:lineRule="exact"/>
              <w:ind w:rightChars="98" w:right="235"/>
              <w:jc w:val="right"/>
              <w:rPr>
                <w:rFonts w:eastAsia="標楷體"/>
              </w:rPr>
            </w:pPr>
            <w:r w:rsidRPr="003B6B9A">
              <w:rPr>
                <w:rFonts w:eastAsia="標楷體" w:hint="eastAsia"/>
              </w:rPr>
              <w:t>2.89</w:t>
            </w:r>
          </w:p>
        </w:tc>
        <w:tc>
          <w:tcPr>
            <w:tcW w:w="1278" w:type="dxa"/>
            <w:tcMar>
              <w:top w:w="17" w:type="dxa"/>
              <w:left w:w="17" w:type="dxa"/>
              <w:bottom w:w="0" w:type="dxa"/>
              <w:right w:w="17" w:type="dxa"/>
            </w:tcMar>
          </w:tcPr>
          <w:p w:rsidR="00BD6B4B" w:rsidRPr="003B6B9A" w:rsidRDefault="00BD6B4B" w:rsidP="00BD6B4B">
            <w:pPr>
              <w:snapToGrid w:val="0"/>
              <w:spacing w:line="380" w:lineRule="exact"/>
              <w:ind w:rightChars="120" w:right="288"/>
              <w:jc w:val="right"/>
              <w:rPr>
                <w:rFonts w:eastAsia="標楷體"/>
              </w:rPr>
            </w:pPr>
            <w:r w:rsidRPr="003B6B9A">
              <w:rPr>
                <w:rFonts w:eastAsia="標楷體" w:hint="eastAsia"/>
              </w:rPr>
              <w:t>9.27</w:t>
            </w:r>
          </w:p>
        </w:tc>
        <w:tc>
          <w:tcPr>
            <w:tcW w:w="1160" w:type="dxa"/>
            <w:tcMar>
              <w:top w:w="17" w:type="dxa"/>
              <w:left w:w="17" w:type="dxa"/>
              <w:bottom w:w="0" w:type="dxa"/>
              <w:right w:w="17" w:type="dxa"/>
            </w:tcMar>
          </w:tcPr>
          <w:p w:rsidR="00BD6B4B" w:rsidRPr="003B6B9A" w:rsidRDefault="00BD6B4B" w:rsidP="00BD6B4B">
            <w:pPr>
              <w:snapToGrid w:val="0"/>
              <w:spacing w:line="380" w:lineRule="exact"/>
              <w:ind w:rightChars="127" w:right="305"/>
              <w:jc w:val="right"/>
              <w:rPr>
                <w:rFonts w:eastAsia="標楷體"/>
              </w:rPr>
            </w:pPr>
            <w:r w:rsidRPr="003B6B9A">
              <w:rPr>
                <w:rFonts w:eastAsia="標楷體" w:hint="eastAsia"/>
              </w:rPr>
              <w:t>-9.88</w:t>
            </w:r>
          </w:p>
        </w:tc>
        <w:tc>
          <w:tcPr>
            <w:tcW w:w="1113" w:type="dxa"/>
            <w:tcMar>
              <w:top w:w="17" w:type="dxa"/>
              <w:left w:w="17" w:type="dxa"/>
              <w:bottom w:w="0" w:type="dxa"/>
              <w:right w:w="17" w:type="dxa"/>
            </w:tcMar>
            <w:vAlign w:val="bottom"/>
          </w:tcPr>
          <w:p w:rsidR="00BD6B4B" w:rsidRPr="003B6B9A" w:rsidRDefault="00BD6B4B" w:rsidP="00BD6B4B">
            <w:pPr>
              <w:snapToGrid w:val="0"/>
              <w:spacing w:line="380" w:lineRule="exact"/>
              <w:ind w:rightChars="107" w:right="257"/>
              <w:jc w:val="right"/>
              <w:rPr>
                <w:rFonts w:eastAsia="標楷體"/>
              </w:rPr>
            </w:pPr>
            <w:r w:rsidRPr="003B6B9A">
              <w:rPr>
                <w:rFonts w:eastAsia="標楷體" w:hint="eastAsia"/>
              </w:rPr>
              <w:t>2.18</w:t>
            </w:r>
          </w:p>
        </w:tc>
        <w:tc>
          <w:tcPr>
            <w:tcW w:w="1007" w:type="dxa"/>
          </w:tcPr>
          <w:p w:rsidR="00BD6B4B" w:rsidRPr="003B6B9A" w:rsidRDefault="00BD6B4B" w:rsidP="00BD6B4B">
            <w:pPr>
              <w:tabs>
                <w:tab w:val="left" w:pos="913"/>
              </w:tabs>
              <w:snapToGrid w:val="0"/>
              <w:spacing w:line="380" w:lineRule="exact"/>
              <w:ind w:rightChars="76" w:right="182"/>
              <w:jc w:val="right"/>
              <w:rPr>
                <w:rFonts w:eastAsia="標楷體"/>
              </w:rPr>
            </w:pPr>
            <w:r w:rsidRPr="003B6B9A">
              <w:rPr>
                <w:rFonts w:eastAsia="標楷體" w:hint="eastAsia"/>
              </w:rPr>
              <w:t>41.96</w:t>
            </w:r>
          </w:p>
        </w:tc>
      </w:tr>
      <w:tr w:rsidR="00BD6B4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8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BD6B4B" w:rsidRPr="003B6B9A" w:rsidRDefault="00BD6B4B" w:rsidP="00BD6B4B">
            <w:pPr>
              <w:snapToGrid w:val="0"/>
              <w:spacing w:line="380" w:lineRule="exact"/>
              <w:ind w:rightChars="100" w:right="240"/>
              <w:jc w:val="right"/>
              <w:rPr>
                <w:rFonts w:eastAsia="標楷體"/>
              </w:rPr>
            </w:pPr>
            <w:r w:rsidRPr="003B6B9A">
              <w:rPr>
                <w:rFonts w:eastAsia="標楷體" w:hint="eastAsia"/>
              </w:rPr>
              <w:t>6.65</w:t>
            </w:r>
          </w:p>
        </w:tc>
        <w:tc>
          <w:tcPr>
            <w:tcW w:w="1090" w:type="dxa"/>
            <w:tcMar>
              <w:top w:w="17" w:type="dxa"/>
              <w:left w:w="17" w:type="dxa"/>
              <w:bottom w:w="0" w:type="dxa"/>
              <w:right w:w="17" w:type="dxa"/>
            </w:tcMar>
          </w:tcPr>
          <w:p w:rsidR="00BD6B4B" w:rsidRPr="003B6B9A" w:rsidRDefault="00BD6B4B" w:rsidP="00BD6B4B">
            <w:pPr>
              <w:snapToGrid w:val="0"/>
              <w:spacing w:line="380" w:lineRule="exact"/>
              <w:ind w:rightChars="98" w:right="235"/>
              <w:jc w:val="right"/>
              <w:rPr>
                <w:rFonts w:eastAsia="標楷體"/>
              </w:rPr>
            </w:pPr>
            <w:r w:rsidRPr="003B6B9A">
              <w:rPr>
                <w:rFonts w:eastAsia="標楷體" w:hint="eastAsia"/>
              </w:rPr>
              <w:t>7.17</w:t>
            </w:r>
          </w:p>
        </w:tc>
        <w:tc>
          <w:tcPr>
            <w:tcW w:w="1278" w:type="dxa"/>
            <w:tcMar>
              <w:top w:w="17" w:type="dxa"/>
              <w:left w:w="17" w:type="dxa"/>
              <w:bottom w:w="0" w:type="dxa"/>
              <w:right w:w="17" w:type="dxa"/>
            </w:tcMar>
          </w:tcPr>
          <w:p w:rsidR="00BD6B4B" w:rsidRPr="003B6B9A" w:rsidRDefault="00BD6B4B" w:rsidP="00BD6B4B">
            <w:pPr>
              <w:snapToGrid w:val="0"/>
              <w:spacing w:line="380" w:lineRule="exact"/>
              <w:ind w:rightChars="120" w:right="288"/>
              <w:jc w:val="right"/>
              <w:rPr>
                <w:rFonts w:eastAsia="標楷體"/>
              </w:rPr>
            </w:pPr>
            <w:r w:rsidRPr="003B6B9A">
              <w:rPr>
                <w:rFonts w:eastAsia="標楷體" w:hint="eastAsia"/>
              </w:rPr>
              <w:t>-8.62</w:t>
            </w:r>
          </w:p>
        </w:tc>
        <w:tc>
          <w:tcPr>
            <w:tcW w:w="1160" w:type="dxa"/>
            <w:tcMar>
              <w:top w:w="17" w:type="dxa"/>
              <w:left w:w="17" w:type="dxa"/>
              <w:bottom w:w="0" w:type="dxa"/>
              <w:right w:w="17" w:type="dxa"/>
            </w:tcMar>
          </w:tcPr>
          <w:p w:rsidR="00BD6B4B" w:rsidRPr="003B6B9A" w:rsidRDefault="00BD6B4B" w:rsidP="00BD6B4B">
            <w:pPr>
              <w:snapToGrid w:val="0"/>
              <w:spacing w:line="380" w:lineRule="exact"/>
              <w:ind w:rightChars="127" w:right="305"/>
              <w:jc w:val="right"/>
              <w:rPr>
                <w:rFonts w:eastAsia="標楷體"/>
              </w:rPr>
            </w:pPr>
            <w:r w:rsidRPr="003B6B9A">
              <w:rPr>
                <w:rFonts w:eastAsia="標楷體" w:hint="eastAsia"/>
              </w:rPr>
              <w:t>-4.10</w:t>
            </w:r>
          </w:p>
        </w:tc>
        <w:tc>
          <w:tcPr>
            <w:tcW w:w="1113" w:type="dxa"/>
            <w:tcMar>
              <w:top w:w="17" w:type="dxa"/>
              <w:left w:w="17" w:type="dxa"/>
              <w:bottom w:w="0" w:type="dxa"/>
              <w:right w:w="17" w:type="dxa"/>
            </w:tcMar>
            <w:vAlign w:val="bottom"/>
          </w:tcPr>
          <w:p w:rsidR="00BD6B4B" w:rsidRPr="003B6B9A" w:rsidRDefault="00BD6B4B" w:rsidP="00BD6B4B">
            <w:pPr>
              <w:snapToGrid w:val="0"/>
              <w:spacing w:line="380" w:lineRule="exact"/>
              <w:ind w:rightChars="107" w:right="257"/>
              <w:jc w:val="right"/>
              <w:rPr>
                <w:rFonts w:eastAsia="標楷體"/>
              </w:rPr>
            </w:pPr>
            <w:r w:rsidRPr="003B6B9A">
              <w:rPr>
                <w:rFonts w:eastAsia="標楷體" w:hint="eastAsia"/>
              </w:rPr>
              <w:t>-2.76</w:t>
            </w:r>
          </w:p>
        </w:tc>
        <w:tc>
          <w:tcPr>
            <w:tcW w:w="1007" w:type="dxa"/>
          </w:tcPr>
          <w:p w:rsidR="00BD6B4B" w:rsidRPr="003B6B9A" w:rsidRDefault="00BD6B4B" w:rsidP="00BD6B4B">
            <w:pPr>
              <w:tabs>
                <w:tab w:val="left" w:pos="913"/>
              </w:tabs>
              <w:snapToGrid w:val="0"/>
              <w:spacing w:line="380" w:lineRule="exact"/>
              <w:ind w:rightChars="76" w:right="182"/>
              <w:jc w:val="right"/>
              <w:rPr>
                <w:rFonts w:eastAsia="標楷體"/>
              </w:rPr>
            </w:pPr>
            <w:r w:rsidRPr="003B6B9A">
              <w:rPr>
                <w:rFonts w:eastAsia="標楷體" w:hint="eastAsia"/>
              </w:rPr>
              <w:t>15.06</w:t>
            </w:r>
          </w:p>
        </w:tc>
      </w:tr>
      <w:tr w:rsidR="00BD6B4B" w:rsidRPr="003B6B9A" w:rsidTr="00BD6B4B">
        <w:trPr>
          <w:trHeight w:val="300"/>
          <w:jc w:val="center"/>
        </w:trPr>
        <w:tc>
          <w:tcPr>
            <w:tcW w:w="1756" w:type="dxa"/>
            <w:tcBorders>
              <w:left w:val="nil"/>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8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095" w:type="dxa"/>
            <w:tcBorders>
              <w:left w:val="single" w:sz="4" w:space="0" w:color="auto"/>
              <w:bottom w:val="single" w:sz="4" w:space="0" w:color="auto"/>
            </w:tcBorders>
            <w:tcMar>
              <w:top w:w="17" w:type="dxa"/>
              <w:left w:w="17" w:type="dxa"/>
              <w:bottom w:w="0" w:type="dxa"/>
              <w:right w:w="17" w:type="dxa"/>
            </w:tcMar>
          </w:tcPr>
          <w:p w:rsidR="00BD6B4B" w:rsidRPr="003B6B9A" w:rsidRDefault="00BD6B4B" w:rsidP="00BD6B4B">
            <w:pPr>
              <w:snapToGrid w:val="0"/>
              <w:spacing w:line="380" w:lineRule="exact"/>
              <w:ind w:rightChars="100" w:right="240"/>
              <w:jc w:val="right"/>
              <w:rPr>
                <w:rFonts w:eastAsia="標楷體"/>
              </w:rPr>
            </w:pPr>
            <w:r w:rsidRPr="003B6B9A">
              <w:rPr>
                <w:rFonts w:eastAsia="標楷體" w:hint="eastAsia"/>
              </w:rPr>
              <w:t>1.06</w:t>
            </w:r>
          </w:p>
        </w:tc>
        <w:tc>
          <w:tcPr>
            <w:tcW w:w="1090" w:type="dxa"/>
            <w:tcBorders>
              <w:bottom w:val="single" w:sz="4" w:space="0" w:color="auto"/>
            </w:tcBorders>
            <w:tcMar>
              <w:top w:w="17" w:type="dxa"/>
              <w:left w:w="17" w:type="dxa"/>
              <w:bottom w:w="0" w:type="dxa"/>
              <w:right w:w="17" w:type="dxa"/>
            </w:tcMar>
          </w:tcPr>
          <w:p w:rsidR="00BD6B4B" w:rsidRPr="003B6B9A" w:rsidRDefault="00BD6B4B" w:rsidP="00BD6B4B">
            <w:pPr>
              <w:snapToGrid w:val="0"/>
              <w:spacing w:line="380" w:lineRule="exact"/>
              <w:ind w:rightChars="98" w:right="235"/>
              <w:jc w:val="right"/>
              <w:rPr>
                <w:rFonts w:eastAsia="標楷體"/>
              </w:rPr>
            </w:pPr>
            <w:r w:rsidRPr="003B6B9A">
              <w:rPr>
                <w:rFonts w:eastAsia="標楷體" w:hint="eastAsia"/>
              </w:rPr>
              <w:t>1.15</w:t>
            </w:r>
          </w:p>
        </w:tc>
        <w:tc>
          <w:tcPr>
            <w:tcW w:w="1278" w:type="dxa"/>
            <w:tcBorders>
              <w:bottom w:val="single" w:sz="4" w:space="0" w:color="auto"/>
            </w:tcBorders>
            <w:tcMar>
              <w:top w:w="17" w:type="dxa"/>
              <w:left w:w="17" w:type="dxa"/>
              <w:bottom w:w="0" w:type="dxa"/>
              <w:right w:w="17" w:type="dxa"/>
            </w:tcMar>
          </w:tcPr>
          <w:p w:rsidR="00BD6B4B" w:rsidRPr="003B6B9A" w:rsidRDefault="00BD6B4B" w:rsidP="00BD6B4B">
            <w:pPr>
              <w:snapToGrid w:val="0"/>
              <w:spacing w:line="380" w:lineRule="exact"/>
              <w:ind w:rightChars="120" w:right="288"/>
              <w:jc w:val="right"/>
              <w:rPr>
                <w:rFonts w:eastAsia="標楷體"/>
              </w:rPr>
            </w:pPr>
            <w:r w:rsidRPr="003B6B9A">
              <w:rPr>
                <w:rFonts w:eastAsia="標楷體" w:hint="eastAsia"/>
              </w:rPr>
              <w:t>-1.74</w:t>
            </w:r>
          </w:p>
        </w:tc>
        <w:tc>
          <w:tcPr>
            <w:tcW w:w="1160" w:type="dxa"/>
            <w:tcBorders>
              <w:bottom w:val="single" w:sz="4" w:space="0" w:color="auto"/>
            </w:tcBorders>
            <w:tcMar>
              <w:top w:w="17" w:type="dxa"/>
              <w:left w:w="17" w:type="dxa"/>
              <w:bottom w:w="0" w:type="dxa"/>
              <w:right w:w="17" w:type="dxa"/>
            </w:tcMar>
          </w:tcPr>
          <w:p w:rsidR="00BD6B4B" w:rsidRPr="003B6B9A" w:rsidRDefault="00BD6B4B" w:rsidP="00BD6B4B">
            <w:pPr>
              <w:snapToGrid w:val="0"/>
              <w:spacing w:line="380" w:lineRule="exact"/>
              <w:ind w:rightChars="127" w:right="305"/>
              <w:jc w:val="right"/>
              <w:rPr>
                <w:rFonts w:eastAsia="標楷體"/>
              </w:rPr>
            </w:pPr>
            <w:r w:rsidRPr="003B6B9A">
              <w:rPr>
                <w:rFonts w:eastAsia="標楷體" w:hint="eastAsia"/>
              </w:rPr>
              <w:t>-7.54</w:t>
            </w:r>
          </w:p>
        </w:tc>
        <w:tc>
          <w:tcPr>
            <w:tcW w:w="1113" w:type="dxa"/>
            <w:tcBorders>
              <w:bottom w:val="single" w:sz="4" w:space="0" w:color="auto"/>
            </w:tcBorders>
            <w:tcMar>
              <w:top w:w="17" w:type="dxa"/>
              <w:left w:w="17" w:type="dxa"/>
              <w:bottom w:w="0" w:type="dxa"/>
              <w:right w:w="17" w:type="dxa"/>
            </w:tcMar>
            <w:vAlign w:val="bottom"/>
          </w:tcPr>
          <w:p w:rsidR="00BD6B4B" w:rsidRPr="003B6B9A" w:rsidRDefault="00BD6B4B" w:rsidP="00BD6B4B">
            <w:pPr>
              <w:snapToGrid w:val="0"/>
              <w:spacing w:line="380" w:lineRule="exact"/>
              <w:ind w:rightChars="107" w:right="257"/>
              <w:jc w:val="right"/>
              <w:rPr>
                <w:rFonts w:eastAsia="標楷體"/>
              </w:rPr>
            </w:pPr>
            <w:r w:rsidRPr="003B6B9A">
              <w:rPr>
                <w:rFonts w:eastAsia="標楷體" w:hint="eastAsia"/>
              </w:rPr>
              <w:t>-5.81</w:t>
            </w:r>
          </w:p>
        </w:tc>
        <w:tc>
          <w:tcPr>
            <w:tcW w:w="1007" w:type="dxa"/>
            <w:tcBorders>
              <w:bottom w:val="single" w:sz="4" w:space="0" w:color="auto"/>
            </w:tcBorders>
          </w:tcPr>
          <w:p w:rsidR="00BD6B4B" w:rsidRPr="003B6B9A" w:rsidRDefault="00BD6B4B" w:rsidP="00BD6B4B">
            <w:pPr>
              <w:tabs>
                <w:tab w:val="left" w:pos="913"/>
              </w:tabs>
              <w:snapToGrid w:val="0"/>
              <w:spacing w:line="380" w:lineRule="exact"/>
              <w:ind w:rightChars="76" w:right="182"/>
              <w:jc w:val="right"/>
              <w:rPr>
                <w:rFonts w:eastAsia="標楷體"/>
              </w:rPr>
            </w:pPr>
            <w:r w:rsidRPr="003B6B9A">
              <w:rPr>
                <w:rFonts w:eastAsia="標楷體" w:hint="eastAsia"/>
              </w:rPr>
              <w:t>21.16</w:t>
            </w:r>
          </w:p>
        </w:tc>
      </w:tr>
    </w:tbl>
    <w:p w:rsidR="003F3F99" w:rsidRPr="00B118E9" w:rsidRDefault="003F3F99" w:rsidP="003F3F99">
      <w:pPr>
        <w:snapToGrid w:val="0"/>
        <w:spacing w:line="240" w:lineRule="atLeast"/>
        <w:ind w:right="-142"/>
        <w:jc w:val="both"/>
        <w:rPr>
          <w:rFonts w:eastAsia="標楷體"/>
          <w:sz w:val="22"/>
          <w:szCs w:val="22"/>
        </w:rPr>
      </w:pPr>
      <w:r w:rsidRPr="00B118E9">
        <w:rPr>
          <w:rFonts w:eastAsia="標楷體"/>
          <w:sz w:val="22"/>
          <w:szCs w:val="22"/>
        </w:rPr>
        <w:t>資料來源：經濟部統計處。</w:t>
      </w:r>
    </w:p>
    <w:p w:rsidR="003F3F99" w:rsidRPr="00B118E9"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bookmarkEnd w:id="91"/>
    <w:p w:rsidR="003F3F99" w:rsidRPr="00B118E9" w:rsidRDefault="003F3F99" w:rsidP="003F3F99">
      <w:pPr>
        <w:snapToGrid w:val="0"/>
        <w:spacing w:line="240" w:lineRule="atLeast"/>
        <w:ind w:right="-142"/>
        <w:jc w:val="both"/>
        <w:rPr>
          <w:rFonts w:eastAsia="標楷體"/>
          <w:noProof/>
          <w:color w:val="FF0000"/>
        </w:rPr>
      </w:pPr>
    </w:p>
    <w:p w:rsidR="003F3F99" w:rsidRPr="00B118E9" w:rsidRDefault="00BD6B4B" w:rsidP="003F3F99">
      <w:pPr>
        <w:snapToGrid w:val="0"/>
        <w:spacing w:line="240" w:lineRule="atLeast"/>
        <w:ind w:right="-142"/>
        <w:jc w:val="both"/>
        <w:rPr>
          <w:rFonts w:eastAsia="標楷體"/>
          <w:noProof/>
          <w:color w:val="FF0000"/>
        </w:rPr>
      </w:pPr>
      <w:r w:rsidRPr="003B6B9A">
        <w:rPr>
          <w:rFonts w:eastAsia="標楷體"/>
          <w:noProof/>
        </w:rPr>
        <w:drawing>
          <wp:anchor distT="0" distB="0" distL="114300" distR="114300" simplePos="0" relativeHeight="252123648" behindDoc="0" locked="0" layoutInCell="1" allowOverlap="1" wp14:anchorId="28497572" wp14:editId="252B57E7">
            <wp:simplePos x="0" y="0"/>
            <wp:positionH relativeFrom="column">
              <wp:posOffset>64135</wp:posOffset>
            </wp:positionH>
            <wp:positionV relativeFrom="paragraph">
              <wp:posOffset>377825</wp:posOffset>
            </wp:positionV>
            <wp:extent cx="6400800" cy="2009775"/>
            <wp:effectExtent l="0" t="0" r="0" b="0"/>
            <wp:wrapTopAndBottom/>
            <wp:docPr id="494" name="圖表 49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p>
    <w:p w:rsidR="003F3F99" w:rsidRPr="00B118E9" w:rsidRDefault="003F3F99" w:rsidP="003F3F99">
      <w:pPr>
        <w:tabs>
          <w:tab w:val="left" w:pos="540"/>
        </w:tabs>
        <w:rPr>
          <w:rFonts w:eastAsia="標楷體"/>
          <w:b/>
          <w:bCs/>
          <w:sz w:val="28"/>
          <w:szCs w:val="28"/>
        </w:rPr>
      </w:pPr>
      <w:r w:rsidRPr="00B118E9">
        <w:rPr>
          <w:rFonts w:eastAsia="標楷體"/>
          <w:b/>
          <w:bCs/>
          <w:sz w:val="28"/>
          <w:szCs w:val="28"/>
        </w:rPr>
        <w:t>２、</w:t>
      </w:r>
      <w:r w:rsidR="00BD6B4B" w:rsidRPr="003B6B9A">
        <w:rPr>
          <w:rFonts w:eastAsia="標楷體"/>
          <w:b/>
          <w:bCs/>
          <w:sz w:val="28"/>
          <w:szCs w:val="28"/>
        </w:rPr>
        <w:t>104</w:t>
      </w:r>
      <w:r w:rsidR="00BD6B4B" w:rsidRPr="003B6B9A">
        <w:rPr>
          <w:rFonts w:eastAsia="標楷體"/>
          <w:b/>
          <w:bCs/>
          <w:sz w:val="28"/>
          <w:szCs w:val="28"/>
        </w:rPr>
        <w:t>年</w:t>
      </w:r>
      <w:r w:rsidR="00BD6B4B" w:rsidRPr="003B6B9A">
        <w:rPr>
          <w:rFonts w:eastAsia="標楷體" w:hint="eastAsia"/>
          <w:b/>
          <w:bCs/>
          <w:sz w:val="28"/>
          <w:szCs w:val="28"/>
        </w:rPr>
        <w:t>4</w:t>
      </w:r>
      <w:r w:rsidR="00BD6B4B" w:rsidRPr="003B6B9A">
        <w:rPr>
          <w:rFonts w:eastAsia="標楷體"/>
          <w:b/>
          <w:bCs/>
          <w:sz w:val="28"/>
          <w:szCs w:val="28"/>
        </w:rPr>
        <w:t>月製造業生產增加</w:t>
      </w:r>
      <w:r w:rsidR="00BD6B4B" w:rsidRPr="003B6B9A">
        <w:rPr>
          <w:rFonts w:eastAsia="標楷體" w:hint="eastAsia"/>
          <w:b/>
          <w:bCs/>
          <w:sz w:val="28"/>
          <w:szCs w:val="28"/>
        </w:rPr>
        <w:t>1.15</w:t>
      </w:r>
      <w:r w:rsidR="00BD6B4B" w:rsidRPr="003B6B9A">
        <w:rPr>
          <w:rFonts w:eastAsia="標楷體"/>
          <w:b/>
          <w:bCs/>
          <w:sz w:val="28"/>
          <w:szCs w:val="28"/>
        </w:rPr>
        <w:t>%</w:t>
      </w:r>
    </w:p>
    <w:p w:rsidR="003F3F99" w:rsidRDefault="00BD6B4B" w:rsidP="008A1EF5">
      <w:pPr>
        <w:widowControl/>
        <w:topLinePunct/>
        <w:snapToGrid w:val="0"/>
        <w:spacing w:line="300" w:lineRule="auto"/>
        <w:ind w:rightChars="-59" w:right="-142" w:firstLineChars="202" w:firstLine="566"/>
        <w:jc w:val="both"/>
        <w:rPr>
          <w:rFonts w:eastAsia="標楷體"/>
          <w:kern w:val="0"/>
          <w:sz w:val="28"/>
          <w:szCs w:val="20"/>
        </w:rPr>
      </w:pPr>
      <w:r w:rsidRPr="003B6B9A">
        <w:rPr>
          <w:rFonts w:eastAsia="標楷體"/>
          <w:kern w:val="0"/>
          <w:sz w:val="28"/>
          <w:szCs w:val="20"/>
        </w:rPr>
        <w:t>104</w:t>
      </w:r>
      <w:r w:rsidRPr="003B6B9A">
        <w:rPr>
          <w:rFonts w:eastAsia="標楷體"/>
          <w:kern w:val="0"/>
          <w:sz w:val="28"/>
          <w:szCs w:val="20"/>
        </w:rPr>
        <w:t>年</w:t>
      </w:r>
      <w:r w:rsidRPr="003B6B9A">
        <w:rPr>
          <w:rFonts w:eastAsia="標楷體" w:hint="eastAsia"/>
          <w:kern w:val="0"/>
          <w:sz w:val="28"/>
          <w:szCs w:val="20"/>
        </w:rPr>
        <w:t>4</w:t>
      </w:r>
      <w:r w:rsidRPr="003B6B9A">
        <w:rPr>
          <w:rFonts w:eastAsia="標楷體"/>
          <w:kern w:val="0"/>
          <w:sz w:val="28"/>
          <w:szCs w:val="20"/>
        </w:rPr>
        <w:t>月製造業生產較上年同月增加</w:t>
      </w:r>
      <w:r w:rsidRPr="003B6B9A">
        <w:rPr>
          <w:rFonts w:eastAsia="標楷體" w:hint="eastAsia"/>
          <w:bCs/>
          <w:kern w:val="0"/>
          <w:sz w:val="28"/>
          <w:szCs w:val="20"/>
        </w:rPr>
        <w:t>1.15</w:t>
      </w:r>
      <w:r w:rsidRPr="003B6B9A">
        <w:rPr>
          <w:rFonts w:eastAsia="標楷體"/>
          <w:kern w:val="0"/>
          <w:sz w:val="28"/>
          <w:szCs w:val="20"/>
        </w:rPr>
        <w:t>%</w:t>
      </w:r>
      <w:r w:rsidRPr="003B6B9A">
        <w:rPr>
          <w:rFonts w:eastAsia="標楷體"/>
          <w:kern w:val="0"/>
          <w:sz w:val="28"/>
          <w:szCs w:val="20"/>
        </w:rPr>
        <w:t>，其中化學工業</w:t>
      </w:r>
      <w:r w:rsidRPr="003B6B9A">
        <w:rPr>
          <w:rFonts w:eastAsia="標楷體" w:hint="eastAsia"/>
          <w:kern w:val="0"/>
          <w:sz w:val="28"/>
          <w:szCs w:val="20"/>
        </w:rPr>
        <w:t>、</w:t>
      </w:r>
      <w:r w:rsidRPr="003B6B9A">
        <w:rPr>
          <w:rFonts w:eastAsia="標楷體"/>
          <w:kern w:val="0"/>
          <w:sz w:val="28"/>
          <w:szCs w:val="20"/>
        </w:rPr>
        <w:t>資訊電子工業分別增加</w:t>
      </w:r>
      <w:r w:rsidRPr="003B6B9A">
        <w:rPr>
          <w:rFonts w:eastAsia="標楷體" w:hint="eastAsia"/>
          <w:kern w:val="0"/>
          <w:sz w:val="28"/>
          <w:szCs w:val="20"/>
        </w:rPr>
        <w:t>3.44</w:t>
      </w:r>
      <w:r w:rsidRPr="003B6B9A">
        <w:rPr>
          <w:rFonts w:eastAsia="標楷體"/>
          <w:kern w:val="0"/>
          <w:sz w:val="28"/>
          <w:szCs w:val="20"/>
        </w:rPr>
        <w:t>%</w:t>
      </w:r>
      <w:r w:rsidRPr="003B6B9A">
        <w:rPr>
          <w:rFonts w:eastAsia="標楷體"/>
          <w:kern w:val="0"/>
          <w:sz w:val="28"/>
          <w:szCs w:val="20"/>
        </w:rPr>
        <w:t>、</w:t>
      </w:r>
      <w:r w:rsidRPr="003B6B9A">
        <w:rPr>
          <w:rFonts w:eastAsia="標楷體" w:hint="eastAsia"/>
          <w:kern w:val="0"/>
          <w:sz w:val="28"/>
          <w:szCs w:val="20"/>
        </w:rPr>
        <w:t>2.00</w:t>
      </w:r>
      <w:r w:rsidRPr="003B6B9A">
        <w:rPr>
          <w:rFonts w:eastAsia="標楷體"/>
          <w:kern w:val="0"/>
          <w:sz w:val="28"/>
          <w:szCs w:val="20"/>
        </w:rPr>
        <w:t>%</w:t>
      </w:r>
      <w:r w:rsidRPr="003B6B9A">
        <w:rPr>
          <w:rFonts w:eastAsia="標楷體" w:hint="eastAsia"/>
          <w:kern w:val="0"/>
          <w:sz w:val="28"/>
          <w:szCs w:val="20"/>
        </w:rPr>
        <w:t>，民生工業及</w:t>
      </w:r>
      <w:r w:rsidRPr="003B6B9A">
        <w:rPr>
          <w:rFonts w:eastAsia="標楷體"/>
          <w:kern w:val="0"/>
          <w:sz w:val="28"/>
          <w:szCs w:val="20"/>
        </w:rPr>
        <w:t>金屬機電工業</w:t>
      </w:r>
      <w:r w:rsidRPr="003B6B9A">
        <w:rPr>
          <w:rFonts w:eastAsia="標楷體" w:hint="eastAsia"/>
          <w:kern w:val="0"/>
          <w:sz w:val="28"/>
          <w:szCs w:val="20"/>
        </w:rPr>
        <w:t>則</w:t>
      </w:r>
      <w:r w:rsidRPr="003B6B9A">
        <w:rPr>
          <w:rFonts w:eastAsia="標楷體"/>
          <w:kern w:val="0"/>
          <w:sz w:val="28"/>
          <w:szCs w:val="20"/>
        </w:rPr>
        <w:t>分別</w:t>
      </w:r>
      <w:r w:rsidRPr="003B6B9A">
        <w:rPr>
          <w:rFonts w:eastAsia="標楷體" w:hint="eastAsia"/>
          <w:kern w:val="0"/>
          <w:sz w:val="28"/>
          <w:szCs w:val="20"/>
        </w:rPr>
        <w:t>減少</w:t>
      </w:r>
      <w:r w:rsidRPr="003B6B9A">
        <w:rPr>
          <w:rFonts w:eastAsia="標楷體" w:hint="eastAsia"/>
          <w:kern w:val="0"/>
          <w:sz w:val="28"/>
          <w:szCs w:val="20"/>
        </w:rPr>
        <w:t>2.4</w:t>
      </w:r>
      <w:r w:rsidRPr="003B6B9A">
        <w:rPr>
          <w:rFonts w:eastAsia="標楷體"/>
          <w:kern w:val="0"/>
          <w:sz w:val="28"/>
          <w:szCs w:val="20"/>
        </w:rPr>
        <w:t>%</w:t>
      </w:r>
      <w:r w:rsidRPr="003B6B9A">
        <w:rPr>
          <w:rFonts w:eastAsia="標楷體" w:hint="eastAsia"/>
          <w:kern w:val="0"/>
          <w:sz w:val="28"/>
          <w:szCs w:val="20"/>
        </w:rPr>
        <w:t>及</w:t>
      </w:r>
      <w:r w:rsidRPr="003B6B9A">
        <w:rPr>
          <w:rFonts w:eastAsia="標楷體" w:hint="eastAsia"/>
          <w:kern w:val="0"/>
          <w:sz w:val="28"/>
          <w:szCs w:val="20"/>
        </w:rPr>
        <w:t>0.72</w:t>
      </w:r>
      <w:r w:rsidRPr="003B6B9A">
        <w:rPr>
          <w:rFonts w:eastAsia="標楷體"/>
          <w:kern w:val="0"/>
          <w:sz w:val="28"/>
          <w:szCs w:val="20"/>
        </w:rPr>
        <w:t>%</w:t>
      </w:r>
      <w:r w:rsidRPr="003B6B9A">
        <w:rPr>
          <w:rFonts w:eastAsia="標楷體"/>
          <w:kern w:val="0"/>
          <w:sz w:val="28"/>
          <w:szCs w:val="20"/>
        </w:rPr>
        <w:t>。累計</w:t>
      </w:r>
      <w:r w:rsidRPr="003B6B9A">
        <w:rPr>
          <w:rFonts w:eastAsia="標楷體"/>
          <w:kern w:val="0"/>
          <w:sz w:val="28"/>
          <w:szCs w:val="20"/>
        </w:rPr>
        <w:t>1</w:t>
      </w:r>
      <w:r w:rsidRPr="003B6B9A">
        <w:rPr>
          <w:rFonts w:eastAsia="標楷體"/>
          <w:kern w:val="0"/>
          <w:sz w:val="28"/>
          <w:szCs w:val="20"/>
        </w:rPr>
        <w:t>至</w:t>
      </w:r>
      <w:r w:rsidRPr="003B6B9A">
        <w:rPr>
          <w:rFonts w:eastAsia="標楷體" w:hint="eastAsia"/>
          <w:kern w:val="0"/>
          <w:sz w:val="28"/>
          <w:szCs w:val="20"/>
        </w:rPr>
        <w:t>4</w:t>
      </w:r>
      <w:r w:rsidRPr="003B6B9A">
        <w:rPr>
          <w:rFonts w:eastAsia="標楷體"/>
          <w:kern w:val="0"/>
          <w:sz w:val="28"/>
          <w:szCs w:val="20"/>
        </w:rPr>
        <w:t>月製造業生產增加</w:t>
      </w:r>
      <w:r w:rsidRPr="003B6B9A">
        <w:rPr>
          <w:rFonts w:eastAsia="標楷體" w:hint="eastAsia"/>
          <w:kern w:val="0"/>
          <w:sz w:val="28"/>
          <w:szCs w:val="20"/>
        </w:rPr>
        <w:t>5.11</w:t>
      </w:r>
      <w:r w:rsidRPr="003B6B9A">
        <w:rPr>
          <w:rFonts w:eastAsia="標楷體"/>
          <w:kern w:val="0"/>
          <w:sz w:val="28"/>
          <w:szCs w:val="20"/>
        </w:rPr>
        <w:t>%</w:t>
      </w:r>
      <w:r w:rsidRPr="003B6B9A">
        <w:rPr>
          <w:rFonts w:eastAsia="標楷體"/>
          <w:kern w:val="0"/>
          <w:sz w:val="28"/>
          <w:szCs w:val="20"/>
        </w:rPr>
        <w:t>。</w:t>
      </w:r>
    </w:p>
    <w:p w:rsidR="00BD6B4B" w:rsidRPr="00B118E9" w:rsidRDefault="00BD6B4B" w:rsidP="008A1EF5">
      <w:pPr>
        <w:widowControl/>
        <w:topLinePunct/>
        <w:snapToGrid w:val="0"/>
        <w:spacing w:line="300" w:lineRule="auto"/>
        <w:ind w:rightChars="-59" w:right="-142" w:firstLineChars="202" w:firstLine="566"/>
        <w:jc w:val="both"/>
        <w:rPr>
          <w:rFonts w:eastAsia="標楷體"/>
          <w:kern w:val="0"/>
          <w:sz w:val="28"/>
          <w:szCs w:val="20"/>
        </w:rPr>
      </w:pPr>
    </w:p>
    <w:p w:rsidR="003F3F99" w:rsidRPr="00B118E9" w:rsidRDefault="003F3F99" w:rsidP="003F3F99">
      <w:pPr>
        <w:snapToGrid w:val="0"/>
        <w:spacing w:line="300" w:lineRule="auto"/>
        <w:ind w:right="91"/>
        <w:jc w:val="center"/>
        <w:rPr>
          <w:rFonts w:eastAsia="標楷體"/>
          <w:sz w:val="28"/>
        </w:rPr>
      </w:pPr>
      <w:r w:rsidRPr="00B118E9">
        <w:rPr>
          <w:rFonts w:eastAsia="標楷體"/>
          <w:b/>
          <w:bCs/>
          <w:sz w:val="28"/>
        </w:rPr>
        <w:t xml:space="preserve">　　　　　　表</w:t>
      </w:r>
      <w:r w:rsidRPr="00B118E9">
        <w:rPr>
          <w:rFonts w:eastAsia="標楷體"/>
          <w:b/>
          <w:bCs/>
          <w:sz w:val="28"/>
        </w:rPr>
        <w:t xml:space="preserve">2-2-2   </w:t>
      </w:r>
      <w:r w:rsidRPr="00B118E9">
        <w:rPr>
          <w:rFonts w:eastAsia="標楷體"/>
          <w:b/>
          <w:bCs/>
          <w:sz w:val="28"/>
        </w:rPr>
        <w:t>製造業生產年增率</w:t>
      </w:r>
      <w:r w:rsidRPr="00B118E9">
        <w:rPr>
          <w:rFonts w:eastAsia="標楷體"/>
          <w:sz w:val="28"/>
        </w:rPr>
        <w:t xml:space="preserve">          </w:t>
      </w:r>
      <w:r w:rsidRPr="00B118E9">
        <w:rPr>
          <w:rFonts w:eastAsia="標楷體"/>
        </w:rPr>
        <w:t>單位：</w:t>
      </w:r>
      <w:r w:rsidR="00BD6B4B">
        <w:rPr>
          <w:rFonts w:eastAsia="標楷體" w:hint="eastAsia"/>
        </w:rPr>
        <w:t>%</w:t>
      </w:r>
    </w:p>
    <w:tbl>
      <w:tblPr>
        <w:tblW w:w="8440" w:type="dxa"/>
        <w:jc w:val="center"/>
        <w:tblCellMar>
          <w:left w:w="0" w:type="dxa"/>
          <w:right w:w="0" w:type="dxa"/>
        </w:tblCellMar>
        <w:tblLook w:val="0000" w:firstRow="0" w:lastRow="0" w:firstColumn="0" w:lastColumn="0" w:noHBand="0" w:noVBand="0"/>
      </w:tblPr>
      <w:tblGrid>
        <w:gridCol w:w="1711"/>
        <w:gridCol w:w="1329"/>
        <w:gridCol w:w="1350"/>
        <w:gridCol w:w="1350"/>
        <w:gridCol w:w="1350"/>
        <w:gridCol w:w="1350"/>
      </w:tblGrid>
      <w:tr w:rsidR="00BD6B4B" w:rsidRPr="003B6B9A" w:rsidTr="00BD6B4B">
        <w:trPr>
          <w:cantSplit/>
          <w:trHeight w:val="330"/>
          <w:jc w:val="center"/>
        </w:trPr>
        <w:tc>
          <w:tcPr>
            <w:tcW w:w="1711" w:type="dxa"/>
            <w:vMerge w:val="restart"/>
            <w:tcBorders>
              <w:top w:val="single" w:sz="4" w:space="0" w:color="auto"/>
              <w:left w:val="nil"/>
              <w:bottom w:val="single" w:sz="4" w:space="0" w:color="000000"/>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40" w:lineRule="exact"/>
              <w:ind w:left="28"/>
              <w:jc w:val="center"/>
              <w:rPr>
                <w:rFonts w:eastAsia="標楷體"/>
              </w:rPr>
            </w:pPr>
            <w:r w:rsidRPr="003B6B9A">
              <w:rPr>
                <w:rFonts w:eastAsia="標楷體"/>
              </w:rPr>
              <w:t>年（月）</w:t>
            </w:r>
          </w:p>
        </w:tc>
        <w:tc>
          <w:tcPr>
            <w:tcW w:w="1329" w:type="dxa"/>
            <w:vMerge w:val="restart"/>
            <w:tcBorders>
              <w:top w:val="single" w:sz="4" w:space="0" w:color="auto"/>
              <w:left w:val="nil"/>
              <w:right w:val="double" w:sz="4" w:space="0" w:color="auto"/>
            </w:tcBorders>
            <w:tcMar>
              <w:top w:w="17" w:type="dxa"/>
              <w:left w:w="17" w:type="dxa"/>
              <w:bottom w:w="0" w:type="dxa"/>
              <w:right w:w="17" w:type="dxa"/>
            </w:tcMar>
            <w:vAlign w:val="center"/>
          </w:tcPr>
          <w:p w:rsidR="00BD6B4B" w:rsidRPr="003B6B9A" w:rsidRDefault="00BD6B4B" w:rsidP="00BD6B4B">
            <w:pPr>
              <w:snapToGrid w:val="0"/>
              <w:spacing w:line="240" w:lineRule="exact"/>
              <w:ind w:left="28"/>
              <w:jc w:val="center"/>
              <w:rPr>
                <w:rFonts w:eastAsia="標楷體"/>
              </w:rPr>
            </w:pPr>
            <w:r w:rsidRPr="003B6B9A">
              <w:rPr>
                <w:rFonts w:eastAsia="標楷體"/>
              </w:rPr>
              <w:t>製造業生產</w:t>
            </w:r>
          </w:p>
        </w:tc>
        <w:tc>
          <w:tcPr>
            <w:tcW w:w="5400" w:type="dxa"/>
            <w:gridSpan w:val="4"/>
            <w:tcBorders>
              <w:top w:val="single" w:sz="4" w:space="0" w:color="auto"/>
              <w:left w:val="double" w:sz="4" w:space="0" w:color="auto"/>
              <w:bottom w:val="single" w:sz="4" w:space="0" w:color="auto"/>
            </w:tcBorders>
            <w:tcMar>
              <w:top w:w="17" w:type="dxa"/>
              <w:left w:w="17" w:type="dxa"/>
              <w:bottom w:w="0" w:type="dxa"/>
              <w:right w:w="17" w:type="dxa"/>
            </w:tcMar>
          </w:tcPr>
          <w:p w:rsidR="00BD6B4B" w:rsidRPr="003B6B9A" w:rsidRDefault="00BD6B4B" w:rsidP="00BD6B4B">
            <w:pPr>
              <w:snapToGrid w:val="0"/>
              <w:spacing w:line="240" w:lineRule="exact"/>
              <w:ind w:left="28"/>
              <w:jc w:val="center"/>
              <w:rPr>
                <w:rFonts w:eastAsia="標楷體"/>
              </w:rPr>
            </w:pPr>
            <w:r w:rsidRPr="003B6B9A">
              <w:rPr>
                <w:rFonts w:eastAsia="標楷體"/>
              </w:rPr>
              <w:t>四大行業</w:t>
            </w:r>
          </w:p>
        </w:tc>
      </w:tr>
      <w:tr w:rsidR="00BD6B4B" w:rsidRPr="003B6B9A" w:rsidTr="00BD6B4B">
        <w:trPr>
          <w:cantSplit/>
          <w:trHeight w:val="405"/>
          <w:jc w:val="center"/>
        </w:trPr>
        <w:tc>
          <w:tcPr>
            <w:tcW w:w="1711" w:type="dxa"/>
            <w:vMerge/>
            <w:tcBorders>
              <w:top w:val="single" w:sz="4" w:space="0" w:color="auto"/>
              <w:left w:val="nil"/>
              <w:bottom w:val="single" w:sz="4" w:space="0" w:color="000000"/>
              <w:right w:val="single" w:sz="4" w:space="0" w:color="auto"/>
            </w:tcBorders>
            <w:vAlign w:val="center"/>
          </w:tcPr>
          <w:p w:rsidR="00BD6B4B" w:rsidRPr="003B6B9A" w:rsidRDefault="00BD6B4B" w:rsidP="00BD6B4B">
            <w:pPr>
              <w:snapToGrid w:val="0"/>
              <w:spacing w:line="240" w:lineRule="exact"/>
              <w:ind w:left="28"/>
              <w:rPr>
                <w:rFonts w:eastAsia="標楷體"/>
              </w:rPr>
            </w:pPr>
          </w:p>
        </w:tc>
        <w:tc>
          <w:tcPr>
            <w:tcW w:w="1329" w:type="dxa"/>
            <w:vMerge/>
            <w:tcBorders>
              <w:left w:val="nil"/>
              <w:bottom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napToGrid w:val="0"/>
              <w:spacing w:line="240" w:lineRule="exact"/>
              <w:ind w:left="28"/>
              <w:rPr>
                <w:rFonts w:eastAsia="標楷體"/>
              </w:rPr>
            </w:pPr>
          </w:p>
        </w:tc>
        <w:tc>
          <w:tcPr>
            <w:tcW w:w="1350" w:type="dxa"/>
            <w:tcBorders>
              <w:top w:val="nil"/>
              <w:left w:val="double" w:sz="4" w:space="0" w:color="auto"/>
              <w:bottom w:val="single" w:sz="4" w:space="0" w:color="auto"/>
              <w:right w:val="single" w:sz="4" w:space="0" w:color="auto"/>
            </w:tcBorders>
            <w:tcMar>
              <w:top w:w="17" w:type="dxa"/>
              <w:left w:w="17" w:type="dxa"/>
              <w:bottom w:w="0" w:type="dxa"/>
              <w:right w:w="17" w:type="dxa"/>
            </w:tcMar>
          </w:tcPr>
          <w:p w:rsidR="00BD6B4B" w:rsidRPr="003B6B9A" w:rsidRDefault="00BD6B4B" w:rsidP="00BD6B4B">
            <w:pPr>
              <w:snapToGrid w:val="0"/>
              <w:spacing w:line="320" w:lineRule="exact"/>
              <w:ind w:left="28"/>
              <w:jc w:val="center"/>
              <w:rPr>
                <w:rFonts w:eastAsia="標楷體"/>
              </w:rPr>
            </w:pPr>
            <w:r w:rsidRPr="003B6B9A">
              <w:rPr>
                <w:rFonts w:eastAsia="標楷體"/>
              </w:rPr>
              <w:t>金屬機電</w:t>
            </w:r>
          </w:p>
          <w:p w:rsidR="00BD6B4B" w:rsidRPr="003B6B9A" w:rsidRDefault="00BD6B4B" w:rsidP="00BD6B4B">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BD6B4B" w:rsidRPr="003B6B9A" w:rsidRDefault="00BD6B4B" w:rsidP="00BD6B4B">
            <w:pPr>
              <w:snapToGrid w:val="0"/>
              <w:spacing w:line="320" w:lineRule="exact"/>
              <w:ind w:left="28"/>
              <w:jc w:val="center"/>
              <w:rPr>
                <w:rFonts w:eastAsia="標楷體"/>
              </w:rPr>
            </w:pPr>
            <w:r w:rsidRPr="003B6B9A">
              <w:rPr>
                <w:rFonts w:eastAsia="標楷體"/>
              </w:rPr>
              <w:t>資訊電子</w:t>
            </w:r>
          </w:p>
          <w:p w:rsidR="00BD6B4B" w:rsidRPr="003B6B9A" w:rsidRDefault="00BD6B4B" w:rsidP="00BD6B4B">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BD6B4B" w:rsidRPr="003B6B9A" w:rsidRDefault="00BD6B4B" w:rsidP="00BD6B4B">
            <w:pPr>
              <w:snapToGrid w:val="0"/>
              <w:spacing w:line="320" w:lineRule="exact"/>
              <w:ind w:left="28"/>
              <w:jc w:val="center"/>
              <w:rPr>
                <w:rFonts w:eastAsia="標楷體"/>
              </w:rPr>
            </w:pPr>
            <w:r w:rsidRPr="003B6B9A">
              <w:rPr>
                <w:rFonts w:eastAsia="標楷體"/>
              </w:rPr>
              <w:t>化學</w:t>
            </w:r>
          </w:p>
          <w:p w:rsidR="00BD6B4B" w:rsidRPr="003B6B9A" w:rsidRDefault="00BD6B4B" w:rsidP="00BD6B4B">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tcBorders>
            <w:tcMar>
              <w:top w:w="17" w:type="dxa"/>
              <w:left w:w="17" w:type="dxa"/>
              <w:bottom w:w="0" w:type="dxa"/>
              <w:right w:w="17" w:type="dxa"/>
            </w:tcMar>
          </w:tcPr>
          <w:p w:rsidR="00BD6B4B" w:rsidRPr="003B6B9A" w:rsidRDefault="00BD6B4B" w:rsidP="00BD6B4B">
            <w:pPr>
              <w:snapToGrid w:val="0"/>
              <w:spacing w:line="320" w:lineRule="exact"/>
              <w:ind w:left="28"/>
              <w:jc w:val="center"/>
              <w:rPr>
                <w:rFonts w:eastAsia="標楷體"/>
              </w:rPr>
            </w:pPr>
            <w:r w:rsidRPr="003B6B9A">
              <w:rPr>
                <w:rFonts w:eastAsia="標楷體"/>
              </w:rPr>
              <w:t>民生</w:t>
            </w:r>
          </w:p>
          <w:p w:rsidR="00BD6B4B" w:rsidRPr="003B6B9A" w:rsidRDefault="00BD6B4B" w:rsidP="00BD6B4B">
            <w:pPr>
              <w:snapToGrid w:val="0"/>
              <w:spacing w:line="320" w:lineRule="exact"/>
              <w:ind w:left="28"/>
              <w:jc w:val="center"/>
              <w:rPr>
                <w:rFonts w:eastAsia="標楷體"/>
              </w:rPr>
            </w:pPr>
            <w:r w:rsidRPr="003B6B9A">
              <w:rPr>
                <w:rFonts w:eastAsia="標楷體"/>
              </w:rPr>
              <w:t>工業</w:t>
            </w:r>
          </w:p>
        </w:tc>
      </w:tr>
      <w:tr w:rsidR="00BD6B4B" w:rsidRPr="003B6B9A" w:rsidTr="00BD6B4B">
        <w:trPr>
          <w:trHeight w:val="117"/>
          <w:jc w:val="center"/>
        </w:trPr>
        <w:tc>
          <w:tcPr>
            <w:tcW w:w="1711" w:type="dxa"/>
            <w:tcBorders>
              <w:left w:val="nil"/>
              <w:right w:val="single" w:sz="4" w:space="0" w:color="auto"/>
            </w:tcBorders>
            <w:tcMar>
              <w:top w:w="17" w:type="dxa"/>
              <w:left w:w="17" w:type="dxa"/>
              <w:bottom w:w="0" w:type="dxa"/>
              <w:right w:w="17" w:type="dxa"/>
            </w:tcMar>
          </w:tcPr>
          <w:p w:rsidR="00BD6B4B" w:rsidRPr="003B6B9A" w:rsidRDefault="00BD6B4B" w:rsidP="00BD6B4B">
            <w:pPr>
              <w:snapToGrid w:val="0"/>
              <w:spacing w:line="300" w:lineRule="exact"/>
              <w:ind w:left="28"/>
              <w:jc w:val="both"/>
              <w:rPr>
                <w:rFonts w:eastAsia="標楷體"/>
                <w:b/>
                <w:bCs/>
                <w:spacing w:val="-6"/>
              </w:rPr>
            </w:pPr>
            <w:r w:rsidRPr="003B6B9A">
              <w:rPr>
                <w:rFonts w:eastAsia="標楷體"/>
                <w:b/>
                <w:bCs/>
                <w:spacing w:val="-6"/>
              </w:rPr>
              <w:t xml:space="preserve">  99</w:t>
            </w:r>
            <w:r w:rsidRPr="003B6B9A">
              <w:rPr>
                <w:rFonts w:eastAsia="標楷體"/>
                <w:b/>
                <w:bCs/>
                <w:spacing w:val="-6"/>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napToGrid w:val="0"/>
              <w:spacing w:line="300" w:lineRule="exact"/>
              <w:ind w:rightChars="110" w:right="264"/>
              <w:jc w:val="right"/>
              <w:rPr>
                <w:rFonts w:eastAsia="標楷體"/>
                <w:b/>
                <w:bCs/>
              </w:rPr>
            </w:pPr>
            <w:r w:rsidRPr="003B6B9A">
              <w:rPr>
                <w:rFonts w:eastAsia="標楷體"/>
                <w:b/>
                <w:bCs/>
              </w:rPr>
              <w:t>26.47</w:t>
            </w:r>
          </w:p>
        </w:tc>
        <w:tc>
          <w:tcPr>
            <w:tcW w:w="1350" w:type="dxa"/>
            <w:tcBorders>
              <w:left w:val="double" w:sz="4" w:space="0" w:color="auto"/>
            </w:tcBorders>
            <w:tcMar>
              <w:top w:w="17" w:type="dxa"/>
              <w:left w:w="17" w:type="dxa"/>
              <w:bottom w:w="0" w:type="dxa"/>
              <w:right w:w="17" w:type="dxa"/>
            </w:tcMar>
            <w:vAlign w:val="bottom"/>
          </w:tcPr>
          <w:p w:rsidR="00BD6B4B" w:rsidRPr="003B6B9A" w:rsidRDefault="00BD6B4B" w:rsidP="00BD6B4B">
            <w:pPr>
              <w:snapToGrid w:val="0"/>
              <w:spacing w:line="300" w:lineRule="exact"/>
              <w:ind w:left="28" w:rightChars="141" w:right="338"/>
              <w:jc w:val="right"/>
              <w:rPr>
                <w:rFonts w:eastAsia="標楷體"/>
                <w:b/>
                <w:bCs/>
              </w:rPr>
            </w:pPr>
            <w:r w:rsidRPr="003B6B9A">
              <w:rPr>
                <w:rFonts w:eastAsia="標楷體"/>
                <w:b/>
                <w:bCs/>
              </w:rPr>
              <w:t>30.64</w:t>
            </w:r>
          </w:p>
        </w:tc>
        <w:tc>
          <w:tcPr>
            <w:tcW w:w="1350" w:type="dxa"/>
            <w:tcMar>
              <w:top w:w="17" w:type="dxa"/>
              <w:left w:w="17" w:type="dxa"/>
              <w:bottom w:w="0" w:type="dxa"/>
              <w:right w:w="17" w:type="dxa"/>
            </w:tcMar>
            <w:vAlign w:val="bottom"/>
          </w:tcPr>
          <w:p w:rsidR="00BD6B4B" w:rsidRPr="003B6B9A" w:rsidRDefault="00BD6B4B" w:rsidP="00BD6B4B">
            <w:pPr>
              <w:snapToGrid w:val="0"/>
              <w:spacing w:line="300" w:lineRule="exact"/>
              <w:ind w:left="28" w:rightChars="172" w:right="413"/>
              <w:jc w:val="right"/>
              <w:rPr>
                <w:rFonts w:eastAsia="標楷體"/>
                <w:b/>
                <w:bCs/>
              </w:rPr>
            </w:pPr>
            <w:r w:rsidRPr="003B6B9A">
              <w:rPr>
                <w:rFonts w:eastAsia="標楷體"/>
                <w:b/>
                <w:bCs/>
              </w:rPr>
              <w:t>42.26</w:t>
            </w:r>
          </w:p>
        </w:tc>
        <w:tc>
          <w:tcPr>
            <w:tcW w:w="1350" w:type="dxa"/>
            <w:tcMar>
              <w:top w:w="17" w:type="dxa"/>
              <w:left w:w="17" w:type="dxa"/>
              <w:bottom w:w="0" w:type="dxa"/>
              <w:right w:w="17" w:type="dxa"/>
            </w:tcMar>
            <w:vAlign w:val="bottom"/>
          </w:tcPr>
          <w:p w:rsidR="00BD6B4B" w:rsidRPr="003B6B9A" w:rsidRDefault="00BD6B4B" w:rsidP="00BD6B4B">
            <w:pPr>
              <w:snapToGrid w:val="0"/>
              <w:spacing w:line="300" w:lineRule="exact"/>
              <w:ind w:left="28" w:rightChars="144" w:right="346"/>
              <w:jc w:val="right"/>
              <w:rPr>
                <w:rFonts w:eastAsia="標楷體"/>
                <w:b/>
                <w:bCs/>
              </w:rPr>
            </w:pPr>
            <w:r w:rsidRPr="003B6B9A">
              <w:rPr>
                <w:rFonts w:eastAsia="標楷體"/>
                <w:b/>
                <w:bCs/>
              </w:rPr>
              <w:t>8.82</w:t>
            </w:r>
          </w:p>
        </w:tc>
        <w:tc>
          <w:tcPr>
            <w:tcW w:w="1350" w:type="dxa"/>
            <w:tcMar>
              <w:top w:w="17" w:type="dxa"/>
              <w:left w:w="17" w:type="dxa"/>
              <w:bottom w:w="0" w:type="dxa"/>
              <w:right w:w="17" w:type="dxa"/>
            </w:tcMar>
            <w:vAlign w:val="bottom"/>
          </w:tcPr>
          <w:p w:rsidR="00BD6B4B" w:rsidRPr="003B6B9A" w:rsidRDefault="00BD6B4B" w:rsidP="00BD6B4B">
            <w:pPr>
              <w:snapToGrid w:val="0"/>
              <w:spacing w:line="300" w:lineRule="exact"/>
              <w:ind w:left="28" w:rightChars="175" w:right="420"/>
              <w:jc w:val="right"/>
              <w:rPr>
                <w:rFonts w:eastAsia="標楷體"/>
                <w:b/>
                <w:bCs/>
              </w:rPr>
            </w:pPr>
            <w:r w:rsidRPr="003B6B9A">
              <w:rPr>
                <w:rFonts w:eastAsia="標楷體"/>
                <w:b/>
                <w:bCs/>
              </w:rPr>
              <w:t>10.95</w:t>
            </w:r>
          </w:p>
        </w:tc>
      </w:tr>
      <w:tr w:rsidR="00BD6B4B" w:rsidRPr="003B6B9A" w:rsidTr="00BD6B4B">
        <w:trPr>
          <w:trHeight w:val="117"/>
          <w:jc w:val="center"/>
        </w:trPr>
        <w:tc>
          <w:tcPr>
            <w:tcW w:w="1711" w:type="dxa"/>
            <w:tcBorders>
              <w:left w:val="nil"/>
              <w:right w:val="single" w:sz="4" w:space="0" w:color="auto"/>
            </w:tcBorders>
            <w:tcMar>
              <w:top w:w="17" w:type="dxa"/>
              <w:left w:w="17" w:type="dxa"/>
              <w:bottom w:w="0" w:type="dxa"/>
              <w:right w:w="17" w:type="dxa"/>
            </w:tcMar>
          </w:tcPr>
          <w:p w:rsidR="00BD6B4B" w:rsidRPr="003B6B9A" w:rsidRDefault="00BD6B4B" w:rsidP="00BD6B4B">
            <w:pPr>
              <w:snapToGrid w:val="0"/>
              <w:spacing w:line="300" w:lineRule="exact"/>
              <w:rPr>
                <w:rFonts w:eastAsia="標楷體"/>
                <w:b/>
                <w:bCs/>
              </w:rPr>
            </w:pPr>
            <w:r w:rsidRPr="003B6B9A">
              <w:rPr>
                <w:rFonts w:eastAsia="標楷體"/>
                <w:b/>
                <w:bCs/>
              </w:rPr>
              <w:t xml:space="preserve"> 100</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napToGrid w:val="0"/>
              <w:spacing w:line="300" w:lineRule="exact"/>
              <w:ind w:rightChars="110" w:right="264"/>
              <w:jc w:val="right"/>
              <w:rPr>
                <w:rFonts w:eastAsia="標楷體"/>
                <w:b/>
                <w:bCs/>
              </w:rPr>
            </w:pPr>
            <w:r w:rsidRPr="003B6B9A">
              <w:rPr>
                <w:rFonts w:eastAsia="標楷體"/>
                <w:b/>
                <w:bCs/>
              </w:rPr>
              <w:t>4.69</w:t>
            </w:r>
          </w:p>
        </w:tc>
        <w:tc>
          <w:tcPr>
            <w:tcW w:w="1350" w:type="dxa"/>
            <w:tcBorders>
              <w:left w:val="double" w:sz="4" w:space="0" w:color="auto"/>
            </w:tcBorders>
            <w:tcMar>
              <w:top w:w="17" w:type="dxa"/>
              <w:left w:w="17" w:type="dxa"/>
              <w:bottom w:w="0" w:type="dxa"/>
              <w:right w:w="17" w:type="dxa"/>
            </w:tcMar>
            <w:vAlign w:val="bottom"/>
          </w:tcPr>
          <w:p w:rsidR="00BD6B4B" w:rsidRPr="003B6B9A" w:rsidRDefault="00BD6B4B" w:rsidP="00BD6B4B">
            <w:pPr>
              <w:snapToGrid w:val="0"/>
              <w:spacing w:line="300" w:lineRule="exact"/>
              <w:ind w:left="28" w:rightChars="141" w:right="338"/>
              <w:jc w:val="right"/>
              <w:rPr>
                <w:rFonts w:eastAsia="標楷體"/>
                <w:b/>
                <w:bCs/>
              </w:rPr>
            </w:pPr>
            <w:r w:rsidRPr="003B6B9A">
              <w:rPr>
                <w:rFonts w:eastAsia="標楷體"/>
                <w:b/>
                <w:bCs/>
              </w:rPr>
              <w:t>6.18</w:t>
            </w:r>
          </w:p>
        </w:tc>
        <w:tc>
          <w:tcPr>
            <w:tcW w:w="1350" w:type="dxa"/>
            <w:tcMar>
              <w:top w:w="17" w:type="dxa"/>
              <w:left w:w="17" w:type="dxa"/>
              <w:bottom w:w="0" w:type="dxa"/>
              <w:right w:w="17" w:type="dxa"/>
            </w:tcMar>
            <w:vAlign w:val="bottom"/>
          </w:tcPr>
          <w:p w:rsidR="00BD6B4B" w:rsidRPr="003B6B9A" w:rsidRDefault="00BD6B4B" w:rsidP="00BD6B4B">
            <w:pPr>
              <w:snapToGrid w:val="0"/>
              <w:spacing w:line="300" w:lineRule="exact"/>
              <w:ind w:left="28" w:rightChars="172" w:right="413"/>
              <w:jc w:val="right"/>
              <w:rPr>
                <w:rFonts w:eastAsia="標楷體"/>
                <w:b/>
                <w:bCs/>
              </w:rPr>
            </w:pPr>
            <w:r w:rsidRPr="003B6B9A">
              <w:rPr>
                <w:rFonts w:eastAsia="標楷體"/>
                <w:b/>
                <w:bCs/>
              </w:rPr>
              <w:t>10.02</w:t>
            </w:r>
          </w:p>
        </w:tc>
        <w:tc>
          <w:tcPr>
            <w:tcW w:w="1350" w:type="dxa"/>
            <w:tcMar>
              <w:top w:w="17" w:type="dxa"/>
              <w:left w:w="17" w:type="dxa"/>
              <w:bottom w:w="0" w:type="dxa"/>
              <w:right w:w="17" w:type="dxa"/>
            </w:tcMar>
            <w:vAlign w:val="bottom"/>
          </w:tcPr>
          <w:p w:rsidR="00BD6B4B" w:rsidRPr="003B6B9A" w:rsidRDefault="00BD6B4B" w:rsidP="00BD6B4B">
            <w:pPr>
              <w:snapToGrid w:val="0"/>
              <w:spacing w:line="300" w:lineRule="exact"/>
              <w:ind w:left="28" w:rightChars="144" w:right="346"/>
              <w:jc w:val="right"/>
              <w:rPr>
                <w:rFonts w:eastAsia="標楷體"/>
                <w:b/>
                <w:bCs/>
              </w:rPr>
            </w:pPr>
            <w:r w:rsidRPr="003B6B9A">
              <w:rPr>
                <w:rFonts w:eastAsia="標楷體"/>
                <w:b/>
                <w:bCs/>
              </w:rPr>
              <w:t>-4.34</w:t>
            </w:r>
          </w:p>
        </w:tc>
        <w:tc>
          <w:tcPr>
            <w:tcW w:w="1350" w:type="dxa"/>
            <w:tcMar>
              <w:top w:w="17" w:type="dxa"/>
              <w:left w:w="17" w:type="dxa"/>
              <w:bottom w:w="0" w:type="dxa"/>
              <w:right w:w="17" w:type="dxa"/>
            </w:tcMar>
            <w:vAlign w:val="bottom"/>
          </w:tcPr>
          <w:p w:rsidR="00BD6B4B" w:rsidRPr="003B6B9A" w:rsidRDefault="00BD6B4B" w:rsidP="00BD6B4B">
            <w:pPr>
              <w:snapToGrid w:val="0"/>
              <w:spacing w:line="300" w:lineRule="exact"/>
              <w:ind w:left="28" w:rightChars="175" w:right="420"/>
              <w:jc w:val="right"/>
              <w:rPr>
                <w:rFonts w:eastAsia="標楷體"/>
                <w:b/>
                <w:bCs/>
              </w:rPr>
            </w:pPr>
            <w:r w:rsidRPr="003B6B9A">
              <w:rPr>
                <w:rFonts w:eastAsia="標楷體"/>
                <w:b/>
                <w:bCs/>
              </w:rPr>
              <w:t>0.92</w:t>
            </w:r>
          </w:p>
        </w:tc>
      </w:tr>
      <w:tr w:rsidR="00BD6B4B" w:rsidRPr="003B6B9A" w:rsidTr="00BD6B4B">
        <w:trPr>
          <w:trHeight w:val="117"/>
          <w:jc w:val="center"/>
        </w:trPr>
        <w:tc>
          <w:tcPr>
            <w:tcW w:w="1711" w:type="dxa"/>
            <w:tcBorders>
              <w:left w:val="nil"/>
              <w:right w:val="single" w:sz="4" w:space="0" w:color="auto"/>
            </w:tcBorders>
            <w:tcMar>
              <w:top w:w="17" w:type="dxa"/>
              <w:left w:w="17" w:type="dxa"/>
              <w:bottom w:w="0" w:type="dxa"/>
              <w:right w:w="17" w:type="dxa"/>
            </w:tcMar>
          </w:tcPr>
          <w:p w:rsidR="00BD6B4B" w:rsidRPr="003B6B9A" w:rsidRDefault="00BD6B4B" w:rsidP="00BD6B4B">
            <w:pPr>
              <w:snapToGrid w:val="0"/>
              <w:spacing w:line="300" w:lineRule="exact"/>
              <w:rPr>
                <w:rFonts w:eastAsia="標楷體"/>
                <w:b/>
                <w:bCs/>
              </w:rPr>
            </w:pPr>
            <w:r w:rsidRPr="003B6B9A">
              <w:rPr>
                <w:rFonts w:eastAsia="標楷體"/>
                <w:b/>
                <w:bCs/>
              </w:rPr>
              <w:t xml:space="preserve"> 101</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napToGrid w:val="0"/>
              <w:spacing w:line="300" w:lineRule="exact"/>
              <w:ind w:rightChars="110" w:right="264"/>
              <w:jc w:val="right"/>
              <w:rPr>
                <w:rFonts w:eastAsia="標楷體"/>
                <w:b/>
                <w:bCs/>
              </w:rPr>
            </w:pPr>
            <w:r w:rsidRPr="003B6B9A">
              <w:rPr>
                <w:rFonts w:eastAsia="標楷體"/>
                <w:b/>
                <w:bCs/>
              </w:rPr>
              <w:t>-0.32</w:t>
            </w:r>
          </w:p>
        </w:tc>
        <w:tc>
          <w:tcPr>
            <w:tcW w:w="1350" w:type="dxa"/>
            <w:tcBorders>
              <w:left w:val="double" w:sz="4" w:space="0" w:color="auto"/>
            </w:tcBorders>
            <w:tcMar>
              <w:top w:w="17" w:type="dxa"/>
              <w:left w:w="17" w:type="dxa"/>
              <w:bottom w:w="0" w:type="dxa"/>
              <w:right w:w="17" w:type="dxa"/>
            </w:tcMar>
            <w:vAlign w:val="bottom"/>
          </w:tcPr>
          <w:p w:rsidR="00BD6B4B" w:rsidRPr="003B6B9A" w:rsidRDefault="00BD6B4B" w:rsidP="00BD6B4B">
            <w:pPr>
              <w:snapToGrid w:val="0"/>
              <w:spacing w:line="300" w:lineRule="exact"/>
              <w:ind w:left="28" w:rightChars="141" w:right="338"/>
              <w:jc w:val="right"/>
              <w:rPr>
                <w:rFonts w:eastAsia="標楷體"/>
                <w:b/>
                <w:bCs/>
              </w:rPr>
            </w:pPr>
            <w:r w:rsidRPr="003B6B9A">
              <w:rPr>
                <w:rFonts w:eastAsia="標楷體"/>
                <w:b/>
                <w:bCs/>
              </w:rPr>
              <w:t>-4.09</w:t>
            </w:r>
          </w:p>
        </w:tc>
        <w:tc>
          <w:tcPr>
            <w:tcW w:w="1350" w:type="dxa"/>
            <w:tcMar>
              <w:top w:w="17" w:type="dxa"/>
              <w:left w:w="17" w:type="dxa"/>
              <w:bottom w:w="0" w:type="dxa"/>
              <w:right w:w="17" w:type="dxa"/>
            </w:tcMar>
            <w:vAlign w:val="bottom"/>
          </w:tcPr>
          <w:p w:rsidR="00BD6B4B" w:rsidRPr="003B6B9A" w:rsidRDefault="00BD6B4B" w:rsidP="00BD6B4B">
            <w:pPr>
              <w:snapToGrid w:val="0"/>
              <w:spacing w:line="300" w:lineRule="exact"/>
              <w:ind w:left="28" w:rightChars="172" w:right="413"/>
              <w:jc w:val="right"/>
              <w:rPr>
                <w:rFonts w:eastAsia="標楷體"/>
                <w:b/>
                <w:bCs/>
              </w:rPr>
            </w:pPr>
            <w:r w:rsidRPr="003B6B9A">
              <w:rPr>
                <w:rFonts w:eastAsia="標楷體"/>
                <w:b/>
                <w:bCs/>
              </w:rPr>
              <w:t>1.20</w:t>
            </w:r>
          </w:p>
        </w:tc>
        <w:tc>
          <w:tcPr>
            <w:tcW w:w="1350" w:type="dxa"/>
            <w:tcMar>
              <w:top w:w="17" w:type="dxa"/>
              <w:left w:w="17" w:type="dxa"/>
              <w:bottom w:w="0" w:type="dxa"/>
              <w:right w:w="17" w:type="dxa"/>
            </w:tcMar>
            <w:vAlign w:val="bottom"/>
          </w:tcPr>
          <w:p w:rsidR="00BD6B4B" w:rsidRPr="003B6B9A" w:rsidRDefault="00BD6B4B" w:rsidP="00BD6B4B">
            <w:pPr>
              <w:snapToGrid w:val="0"/>
              <w:spacing w:line="300" w:lineRule="exact"/>
              <w:ind w:left="28" w:rightChars="144" w:right="346"/>
              <w:jc w:val="right"/>
              <w:rPr>
                <w:rFonts w:eastAsia="標楷體"/>
                <w:b/>
                <w:bCs/>
              </w:rPr>
            </w:pPr>
            <w:r w:rsidRPr="003B6B9A">
              <w:rPr>
                <w:rFonts w:eastAsia="標楷體"/>
                <w:b/>
                <w:bCs/>
              </w:rPr>
              <w:t>1.66</w:t>
            </w:r>
          </w:p>
        </w:tc>
        <w:tc>
          <w:tcPr>
            <w:tcW w:w="1350" w:type="dxa"/>
            <w:tcMar>
              <w:top w:w="17" w:type="dxa"/>
              <w:left w:w="17" w:type="dxa"/>
              <w:bottom w:w="0" w:type="dxa"/>
              <w:right w:w="17" w:type="dxa"/>
            </w:tcMar>
            <w:vAlign w:val="bottom"/>
          </w:tcPr>
          <w:p w:rsidR="00BD6B4B" w:rsidRPr="003B6B9A" w:rsidRDefault="00BD6B4B" w:rsidP="00BD6B4B">
            <w:pPr>
              <w:snapToGrid w:val="0"/>
              <w:spacing w:line="300" w:lineRule="exact"/>
              <w:ind w:left="28" w:rightChars="175" w:right="420"/>
              <w:jc w:val="right"/>
              <w:rPr>
                <w:rFonts w:eastAsia="標楷體"/>
                <w:b/>
                <w:bCs/>
              </w:rPr>
            </w:pPr>
            <w:r w:rsidRPr="003B6B9A">
              <w:rPr>
                <w:rFonts w:eastAsia="標楷體"/>
                <w:b/>
                <w:bCs/>
              </w:rPr>
              <w:t>-0.42</w:t>
            </w:r>
          </w:p>
        </w:tc>
      </w:tr>
      <w:tr w:rsidR="00BD6B4B" w:rsidRPr="003B6B9A" w:rsidTr="00BD6B4B">
        <w:trPr>
          <w:trHeight w:val="117"/>
          <w:jc w:val="center"/>
        </w:trPr>
        <w:tc>
          <w:tcPr>
            <w:tcW w:w="1711" w:type="dxa"/>
            <w:tcBorders>
              <w:left w:val="nil"/>
              <w:right w:val="single" w:sz="4" w:space="0" w:color="auto"/>
            </w:tcBorders>
            <w:tcMar>
              <w:top w:w="17" w:type="dxa"/>
              <w:left w:w="17" w:type="dxa"/>
              <w:bottom w:w="0" w:type="dxa"/>
              <w:right w:w="17" w:type="dxa"/>
            </w:tcMar>
          </w:tcPr>
          <w:p w:rsidR="00BD6B4B" w:rsidRPr="003B6B9A" w:rsidRDefault="00BD6B4B" w:rsidP="00BD6B4B">
            <w:pPr>
              <w:snapToGrid w:val="0"/>
              <w:spacing w:line="300" w:lineRule="exact"/>
              <w:rPr>
                <w:rFonts w:eastAsia="標楷體"/>
                <w:b/>
                <w:bCs/>
              </w:rPr>
            </w:pPr>
            <w:r w:rsidRPr="003B6B9A">
              <w:rPr>
                <w:rFonts w:eastAsia="標楷體"/>
                <w:b/>
                <w:bCs/>
              </w:rPr>
              <w:t xml:space="preserve"> 102</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rightChars="110" w:right="264"/>
              <w:jc w:val="right"/>
              <w:rPr>
                <w:rFonts w:eastAsia="標楷體"/>
                <w:b/>
              </w:rPr>
            </w:pPr>
            <w:r w:rsidRPr="003B6B9A">
              <w:rPr>
                <w:rFonts w:eastAsia="標楷體"/>
                <w:b/>
              </w:rPr>
              <w:t>0.56</w:t>
            </w:r>
          </w:p>
        </w:tc>
        <w:tc>
          <w:tcPr>
            <w:tcW w:w="1350" w:type="dxa"/>
            <w:tcBorders>
              <w:left w:val="double" w:sz="4" w:space="0" w:color="auto"/>
            </w:tcBorders>
            <w:tcMar>
              <w:top w:w="17" w:type="dxa"/>
              <w:left w:w="17" w:type="dxa"/>
              <w:bottom w:w="0" w:type="dxa"/>
              <w:right w:w="17" w:type="dxa"/>
            </w:tcMar>
            <w:vAlign w:val="bottom"/>
          </w:tcPr>
          <w:p w:rsidR="00BD6B4B" w:rsidRPr="003B6B9A" w:rsidRDefault="00BD6B4B" w:rsidP="00BD6B4B">
            <w:pPr>
              <w:snapToGrid w:val="0"/>
              <w:spacing w:line="300" w:lineRule="exact"/>
              <w:ind w:left="28" w:rightChars="141" w:right="338"/>
              <w:jc w:val="right"/>
              <w:rPr>
                <w:rFonts w:eastAsia="標楷體"/>
                <w:b/>
              </w:rPr>
            </w:pPr>
            <w:r w:rsidRPr="003B6B9A">
              <w:rPr>
                <w:rFonts w:eastAsia="標楷體"/>
                <w:b/>
              </w:rPr>
              <w:t>-0.34</w:t>
            </w:r>
          </w:p>
        </w:tc>
        <w:tc>
          <w:tcPr>
            <w:tcW w:w="1350" w:type="dxa"/>
            <w:tcMar>
              <w:top w:w="17" w:type="dxa"/>
              <w:left w:w="17" w:type="dxa"/>
              <w:bottom w:w="0" w:type="dxa"/>
              <w:right w:w="17" w:type="dxa"/>
            </w:tcMar>
            <w:vAlign w:val="bottom"/>
          </w:tcPr>
          <w:p w:rsidR="00BD6B4B" w:rsidRPr="003B6B9A" w:rsidRDefault="00BD6B4B" w:rsidP="00BD6B4B">
            <w:pPr>
              <w:snapToGrid w:val="0"/>
              <w:spacing w:line="300" w:lineRule="exact"/>
              <w:ind w:left="28" w:rightChars="172" w:right="413"/>
              <w:jc w:val="right"/>
              <w:rPr>
                <w:rFonts w:eastAsia="標楷體"/>
                <w:b/>
              </w:rPr>
            </w:pPr>
            <w:r w:rsidRPr="003B6B9A">
              <w:rPr>
                <w:rFonts w:eastAsia="標楷體"/>
                <w:b/>
              </w:rPr>
              <w:t>1.21</w:t>
            </w:r>
          </w:p>
        </w:tc>
        <w:tc>
          <w:tcPr>
            <w:tcW w:w="1350" w:type="dxa"/>
            <w:tcMar>
              <w:top w:w="17" w:type="dxa"/>
              <w:left w:w="17" w:type="dxa"/>
              <w:bottom w:w="0" w:type="dxa"/>
              <w:right w:w="17" w:type="dxa"/>
            </w:tcMar>
            <w:vAlign w:val="bottom"/>
          </w:tcPr>
          <w:p w:rsidR="00BD6B4B" w:rsidRPr="003B6B9A" w:rsidRDefault="00BD6B4B" w:rsidP="00BD6B4B">
            <w:pPr>
              <w:snapToGrid w:val="0"/>
              <w:spacing w:line="300" w:lineRule="exact"/>
              <w:ind w:left="28" w:rightChars="144" w:right="346"/>
              <w:jc w:val="right"/>
              <w:rPr>
                <w:rFonts w:eastAsia="標楷體"/>
                <w:b/>
              </w:rPr>
            </w:pPr>
            <w:r w:rsidRPr="003B6B9A">
              <w:rPr>
                <w:rFonts w:eastAsia="標楷體"/>
                <w:b/>
              </w:rPr>
              <w:t>0.73</w:t>
            </w:r>
          </w:p>
        </w:tc>
        <w:tc>
          <w:tcPr>
            <w:tcW w:w="1350" w:type="dxa"/>
            <w:tcMar>
              <w:top w:w="17" w:type="dxa"/>
              <w:left w:w="17" w:type="dxa"/>
              <w:bottom w:w="0" w:type="dxa"/>
              <w:right w:w="17" w:type="dxa"/>
            </w:tcMar>
            <w:vAlign w:val="bottom"/>
          </w:tcPr>
          <w:p w:rsidR="00BD6B4B" w:rsidRPr="003B6B9A" w:rsidRDefault="00BD6B4B" w:rsidP="00BD6B4B">
            <w:pPr>
              <w:snapToGrid w:val="0"/>
              <w:spacing w:line="300" w:lineRule="exact"/>
              <w:ind w:left="28" w:rightChars="175" w:right="420"/>
              <w:jc w:val="right"/>
              <w:rPr>
                <w:rFonts w:eastAsia="標楷體"/>
                <w:b/>
              </w:rPr>
            </w:pPr>
            <w:r w:rsidRPr="003B6B9A">
              <w:rPr>
                <w:rFonts w:eastAsia="標楷體"/>
                <w:b/>
              </w:rPr>
              <w:t>-0.08</w:t>
            </w:r>
          </w:p>
        </w:tc>
      </w:tr>
      <w:tr w:rsidR="00BD6B4B" w:rsidRPr="003B6B9A" w:rsidTr="00BD6B4B">
        <w:trPr>
          <w:trHeight w:val="117"/>
          <w:jc w:val="center"/>
        </w:trPr>
        <w:tc>
          <w:tcPr>
            <w:tcW w:w="1711" w:type="dxa"/>
            <w:tcBorders>
              <w:left w:val="nil"/>
              <w:right w:val="single" w:sz="4" w:space="0" w:color="auto"/>
            </w:tcBorders>
            <w:tcMar>
              <w:top w:w="17" w:type="dxa"/>
              <w:left w:w="17" w:type="dxa"/>
              <w:bottom w:w="0" w:type="dxa"/>
              <w:right w:w="17" w:type="dxa"/>
            </w:tcMar>
          </w:tcPr>
          <w:p w:rsidR="00BD6B4B" w:rsidRPr="003B6B9A" w:rsidRDefault="00BD6B4B" w:rsidP="00BD6B4B">
            <w:pPr>
              <w:snapToGrid w:val="0"/>
              <w:spacing w:line="300" w:lineRule="exact"/>
              <w:rPr>
                <w:rFonts w:eastAsia="標楷體"/>
                <w:b/>
                <w:bCs/>
              </w:rPr>
            </w:pPr>
            <w:r w:rsidRPr="003B6B9A">
              <w:rPr>
                <w:rFonts w:eastAsia="標楷體"/>
                <w:b/>
                <w:bCs/>
              </w:rPr>
              <w:t xml:space="preserve"> 103</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rightChars="110" w:right="264"/>
              <w:jc w:val="right"/>
              <w:rPr>
                <w:rFonts w:eastAsia="標楷體"/>
                <w:b/>
              </w:rPr>
            </w:pPr>
            <w:r w:rsidRPr="003B6B9A">
              <w:rPr>
                <w:rFonts w:eastAsia="標楷體"/>
                <w:b/>
              </w:rPr>
              <w:t>6.</w:t>
            </w:r>
            <w:r w:rsidRPr="003B6B9A">
              <w:rPr>
                <w:rFonts w:eastAsia="標楷體" w:hint="eastAsia"/>
                <w:b/>
              </w:rPr>
              <w:t>63</w:t>
            </w:r>
          </w:p>
        </w:tc>
        <w:tc>
          <w:tcPr>
            <w:tcW w:w="1350" w:type="dxa"/>
            <w:tcBorders>
              <w:left w:val="double" w:sz="4" w:space="0" w:color="auto"/>
            </w:tcBorders>
            <w:tcMar>
              <w:top w:w="17" w:type="dxa"/>
              <w:left w:w="17" w:type="dxa"/>
              <w:bottom w:w="0" w:type="dxa"/>
              <w:right w:w="17" w:type="dxa"/>
            </w:tcMar>
          </w:tcPr>
          <w:p w:rsidR="00BD6B4B" w:rsidRPr="003B6B9A" w:rsidRDefault="00BD6B4B" w:rsidP="00BD6B4B">
            <w:pPr>
              <w:snapToGrid w:val="0"/>
              <w:spacing w:line="300" w:lineRule="exact"/>
              <w:ind w:left="28" w:rightChars="141" w:right="338"/>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21</w:t>
            </w:r>
          </w:p>
        </w:tc>
        <w:tc>
          <w:tcPr>
            <w:tcW w:w="1350" w:type="dxa"/>
            <w:tcMar>
              <w:top w:w="17" w:type="dxa"/>
              <w:left w:w="17" w:type="dxa"/>
              <w:bottom w:w="0" w:type="dxa"/>
              <w:right w:w="17" w:type="dxa"/>
            </w:tcMar>
          </w:tcPr>
          <w:p w:rsidR="00BD6B4B" w:rsidRPr="003B6B9A" w:rsidRDefault="00BD6B4B" w:rsidP="00BD6B4B">
            <w:pPr>
              <w:snapToGrid w:val="0"/>
              <w:spacing w:line="300" w:lineRule="exact"/>
              <w:ind w:left="28" w:rightChars="172" w:right="413"/>
              <w:jc w:val="right"/>
              <w:rPr>
                <w:rFonts w:eastAsia="標楷體"/>
                <w:b/>
              </w:rPr>
            </w:pPr>
            <w:r w:rsidRPr="003B6B9A">
              <w:rPr>
                <w:rFonts w:eastAsia="標楷體"/>
                <w:b/>
              </w:rPr>
              <w:t>11.</w:t>
            </w:r>
            <w:r w:rsidRPr="003B6B9A">
              <w:rPr>
                <w:rFonts w:eastAsia="標楷體" w:hint="eastAsia"/>
                <w:b/>
              </w:rPr>
              <w:t>7</w:t>
            </w:r>
            <w:r w:rsidRPr="003B6B9A">
              <w:rPr>
                <w:rFonts w:eastAsia="標楷體"/>
                <w:b/>
              </w:rPr>
              <w:t>9</w:t>
            </w:r>
          </w:p>
        </w:tc>
        <w:tc>
          <w:tcPr>
            <w:tcW w:w="1350" w:type="dxa"/>
            <w:tcMar>
              <w:top w:w="17" w:type="dxa"/>
              <w:left w:w="17" w:type="dxa"/>
              <w:bottom w:w="0" w:type="dxa"/>
              <w:right w:w="17" w:type="dxa"/>
            </w:tcMar>
          </w:tcPr>
          <w:p w:rsidR="00BD6B4B" w:rsidRPr="003B6B9A" w:rsidRDefault="00BD6B4B" w:rsidP="00BD6B4B">
            <w:pPr>
              <w:snapToGrid w:val="0"/>
              <w:spacing w:line="300" w:lineRule="exact"/>
              <w:ind w:left="28" w:rightChars="144" w:right="346"/>
              <w:jc w:val="right"/>
              <w:rPr>
                <w:rFonts w:eastAsia="標楷體"/>
                <w:b/>
                <w:bCs/>
              </w:rPr>
            </w:pPr>
            <w:r w:rsidRPr="003B6B9A">
              <w:rPr>
                <w:rFonts w:eastAsia="標楷體"/>
                <w:b/>
                <w:bCs/>
              </w:rPr>
              <w:t>-0.</w:t>
            </w:r>
            <w:r w:rsidRPr="003B6B9A">
              <w:rPr>
                <w:rFonts w:eastAsia="標楷體" w:hint="eastAsia"/>
                <w:b/>
                <w:bCs/>
              </w:rPr>
              <w:t>54</w:t>
            </w:r>
          </w:p>
        </w:tc>
        <w:tc>
          <w:tcPr>
            <w:tcW w:w="1350" w:type="dxa"/>
            <w:tcMar>
              <w:top w:w="17" w:type="dxa"/>
              <w:left w:w="17" w:type="dxa"/>
              <w:bottom w:w="0" w:type="dxa"/>
              <w:right w:w="17" w:type="dxa"/>
            </w:tcMar>
          </w:tcPr>
          <w:p w:rsidR="00BD6B4B" w:rsidRPr="003B6B9A" w:rsidRDefault="00BD6B4B" w:rsidP="00BD6B4B">
            <w:pPr>
              <w:snapToGrid w:val="0"/>
              <w:spacing w:line="300" w:lineRule="exact"/>
              <w:ind w:left="28" w:rightChars="175" w:right="420"/>
              <w:jc w:val="right"/>
              <w:rPr>
                <w:rFonts w:eastAsia="標楷體"/>
                <w:b/>
                <w:bCs/>
              </w:rPr>
            </w:pPr>
            <w:r w:rsidRPr="003B6B9A">
              <w:rPr>
                <w:rFonts w:eastAsia="標楷體"/>
                <w:b/>
                <w:bCs/>
              </w:rPr>
              <w:t>1.</w:t>
            </w:r>
            <w:r w:rsidRPr="003B6B9A">
              <w:rPr>
                <w:rFonts w:eastAsia="標楷體" w:hint="eastAsia"/>
                <w:b/>
                <w:bCs/>
              </w:rPr>
              <w:t>55</w:t>
            </w:r>
          </w:p>
        </w:tc>
      </w:tr>
      <w:tr w:rsidR="00BD6B4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left="28" w:right="284"/>
              <w:jc w:val="right"/>
              <w:rPr>
                <w:rFonts w:eastAsia="標楷體"/>
                <w:spacing w:val="-6"/>
              </w:rPr>
            </w:pPr>
            <w:r w:rsidRPr="003B6B9A">
              <w:rPr>
                <w:rFonts w:eastAsia="標楷體"/>
                <w:spacing w:val="-6"/>
              </w:rPr>
              <w:t>4</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10" w:right="264"/>
              <w:jc w:val="right"/>
              <w:rPr>
                <w:rFonts w:ascii="新細明體" w:hAnsi="新細明體" w:cs="新細明體"/>
              </w:rPr>
            </w:pPr>
            <w:r w:rsidRPr="003B6B9A">
              <w:rPr>
                <w:rFonts w:hint="eastAsia"/>
              </w:rPr>
              <w:t>6.09</w:t>
            </w:r>
          </w:p>
        </w:tc>
        <w:tc>
          <w:tcPr>
            <w:tcW w:w="1350" w:type="dxa"/>
            <w:tcBorders>
              <w:lef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41" w:right="338"/>
              <w:jc w:val="right"/>
              <w:rPr>
                <w:rFonts w:ascii="新細明體" w:hAnsi="新細明體" w:cs="新細明體"/>
              </w:rPr>
            </w:pPr>
            <w:r w:rsidRPr="003B6B9A">
              <w:rPr>
                <w:rFonts w:hint="eastAsia"/>
              </w:rPr>
              <w:t xml:space="preserve">6.56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2" w:right="413"/>
              <w:jc w:val="right"/>
              <w:rPr>
                <w:rFonts w:ascii="新細明體" w:hAnsi="新細明體" w:cs="新細明體"/>
              </w:rPr>
            </w:pPr>
            <w:r w:rsidRPr="003B6B9A">
              <w:rPr>
                <w:rFonts w:hint="eastAsia"/>
              </w:rPr>
              <w:t xml:space="preserve">9.00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44" w:right="346"/>
              <w:jc w:val="right"/>
              <w:rPr>
                <w:rFonts w:ascii="新細明體" w:hAnsi="新細明體" w:cs="新細明體"/>
              </w:rPr>
            </w:pPr>
            <w:r w:rsidRPr="003B6B9A">
              <w:rPr>
                <w:rFonts w:hint="eastAsia"/>
              </w:rPr>
              <w:t xml:space="preserve">0.75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5" w:right="420"/>
              <w:jc w:val="right"/>
              <w:rPr>
                <w:rFonts w:ascii="新細明體" w:hAnsi="新細明體" w:cs="新細明體"/>
              </w:rPr>
            </w:pPr>
            <w:r w:rsidRPr="003B6B9A">
              <w:rPr>
                <w:rFonts w:hint="eastAsia"/>
              </w:rPr>
              <w:t xml:space="preserve">3.92 </w:t>
            </w:r>
          </w:p>
        </w:tc>
      </w:tr>
      <w:tr w:rsidR="00BD6B4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left="28" w:right="284"/>
              <w:jc w:val="right"/>
              <w:rPr>
                <w:rFonts w:eastAsia="標楷體"/>
                <w:spacing w:val="-6"/>
              </w:rPr>
            </w:pPr>
            <w:r w:rsidRPr="003B6B9A">
              <w:rPr>
                <w:rFonts w:eastAsia="標楷體"/>
                <w:spacing w:val="-6"/>
              </w:rPr>
              <w:t>5</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10" w:right="264"/>
              <w:jc w:val="right"/>
              <w:rPr>
                <w:rFonts w:ascii="新細明體" w:hAnsi="新細明體" w:cs="新細明體"/>
              </w:rPr>
            </w:pPr>
            <w:r w:rsidRPr="003B6B9A">
              <w:rPr>
                <w:rFonts w:hint="eastAsia"/>
              </w:rPr>
              <w:t>5.95</w:t>
            </w:r>
          </w:p>
        </w:tc>
        <w:tc>
          <w:tcPr>
            <w:tcW w:w="1350" w:type="dxa"/>
            <w:tcBorders>
              <w:lef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41" w:right="338"/>
              <w:jc w:val="right"/>
              <w:rPr>
                <w:rFonts w:ascii="新細明體" w:hAnsi="新細明體" w:cs="新細明體"/>
              </w:rPr>
            </w:pPr>
            <w:r w:rsidRPr="003B6B9A">
              <w:rPr>
                <w:rFonts w:hint="eastAsia"/>
              </w:rPr>
              <w:t xml:space="preserve">6.96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2" w:right="413"/>
              <w:jc w:val="right"/>
              <w:rPr>
                <w:rFonts w:ascii="新細明體" w:hAnsi="新細明體" w:cs="新細明體"/>
              </w:rPr>
            </w:pPr>
            <w:r w:rsidRPr="003B6B9A">
              <w:rPr>
                <w:rFonts w:hint="eastAsia"/>
              </w:rPr>
              <w:t xml:space="preserve">9.78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44" w:right="346"/>
              <w:jc w:val="right"/>
              <w:rPr>
                <w:rFonts w:ascii="新細明體" w:hAnsi="新細明體" w:cs="新細明體"/>
              </w:rPr>
            </w:pPr>
            <w:r w:rsidRPr="003B6B9A">
              <w:rPr>
                <w:rFonts w:hint="eastAsia"/>
              </w:rPr>
              <w:t xml:space="preserve">0.12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5" w:right="420"/>
              <w:jc w:val="right"/>
              <w:rPr>
                <w:rFonts w:ascii="新細明體" w:hAnsi="新細明體" w:cs="新細明體"/>
              </w:rPr>
            </w:pPr>
            <w:r w:rsidRPr="003B6B9A">
              <w:rPr>
                <w:rFonts w:hint="eastAsia"/>
              </w:rPr>
              <w:t xml:space="preserve">-0.61 </w:t>
            </w:r>
          </w:p>
        </w:tc>
      </w:tr>
      <w:tr w:rsidR="00BD6B4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left="28" w:right="284"/>
              <w:jc w:val="right"/>
              <w:rPr>
                <w:rFonts w:eastAsia="標楷體"/>
                <w:spacing w:val="-6"/>
              </w:rPr>
            </w:pPr>
            <w:r w:rsidRPr="003B6B9A">
              <w:rPr>
                <w:rFonts w:eastAsia="標楷體"/>
                <w:spacing w:val="-6"/>
              </w:rPr>
              <w:t>6</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10" w:right="264"/>
              <w:jc w:val="right"/>
              <w:rPr>
                <w:rFonts w:ascii="新細明體" w:hAnsi="新細明體" w:cs="新細明體"/>
              </w:rPr>
            </w:pPr>
            <w:r w:rsidRPr="003B6B9A">
              <w:rPr>
                <w:rFonts w:hint="eastAsia"/>
              </w:rPr>
              <w:t>8.82</w:t>
            </w:r>
          </w:p>
        </w:tc>
        <w:tc>
          <w:tcPr>
            <w:tcW w:w="1350" w:type="dxa"/>
            <w:tcBorders>
              <w:lef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41" w:right="338"/>
              <w:jc w:val="right"/>
              <w:rPr>
                <w:rFonts w:ascii="新細明體" w:hAnsi="新細明體" w:cs="新細明體"/>
              </w:rPr>
            </w:pPr>
            <w:r w:rsidRPr="003B6B9A">
              <w:rPr>
                <w:rFonts w:hint="eastAsia"/>
              </w:rPr>
              <w:t xml:space="preserve">9.77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2" w:right="413"/>
              <w:jc w:val="right"/>
              <w:rPr>
                <w:rFonts w:ascii="新細明體" w:hAnsi="新細明體" w:cs="新細明體"/>
              </w:rPr>
            </w:pPr>
            <w:r w:rsidRPr="003B6B9A">
              <w:rPr>
                <w:rFonts w:hint="eastAsia"/>
              </w:rPr>
              <w:t xml:space="preserve">12.41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44" w:right="346"/>
              <w:jc w:val="right"/>
              <w:rPr>
                <w:rFonts w:ascii="新細明體" w:hAnsi="新細明體" w:cs="新細明體"/>
              </w:rPr>
            </w:pPr>
            <w:r w:rsidRPr="003B6B9A">
              <w:rPr>
                <w:rFonts w:hint="eastAsia"/>
              </w:rPr>
              <w:t xml:space="preserve">3.50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5" w:right="420"/>
              <w:jc w:val="right"/>
              <w:rPr>
                <w:rFonts w:ascii="新細明體" w:hAnsi="新細明體" w:cs="新細明體"/>
              </w:rPr>
            </w:pPr>
            <w:r w:rsidRPr="003B6B9A">
              <w:rPr>
                <w:rFonts w:hint="eastAsia"/>
              </w:rPr>
              <w:t xml:space="preserve">2.15 </w:t>
            </w:r>
          </w:p>
        </w:tc>
      </w:tr>
      <w:tr w:rsidR="00BD6B4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left="28" w:right="284"/>
              <w:jc w:val="right"/>
              <w:rPr>
                <w:rFonts w:eastAsia="標楷體"/>
                <w:spacing w:val="-6"/>
              </w:rPr>
            </w:pPr>
            <w:r w:rsidRPr="003B6B9A">
              <w:rPr>
                <w:rFonts w:eastAsia="標楷體"/>
                <w:spacing w:val="-6"/>
              </w:rPr>
              <w:t>7</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10" w:right="264"/>
              <w:jc w:val="right"/>
              <w:rPr>
                <w:rFonts w:ascii="新細明體" w:hAnsi="新細明體" w:cs="新細明體"/>
              </w:rPr>
            </w:pPr>
            <w:r w:rsidRPr="003B6B9A">
              <w:rPr>
                <w:rFonts w:hint="eastAsia"/>
              </w:rPr>
              <w:t>6.95</w:t>
            </w:r>
          </w:p>
        </w:tc>
        <w:tc>
          <w:tcPr>
            <w:tcW w:w="1350" w:type="dxa"/>
            <w:tcBorders>
              <w:lef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41" w:right="338"/>
              <w:jc w:val="right"/>
              <w:rPr>
                <w:rFonts w:ascii="新細明體" w:hAnsi="新細明體" w:cs="新細明體"/>
              </w:rPr>
            </w:pPr>
            <w:r w:rsidRPr="003B6B9A">
              <w:rPr>
                <w:rFonts w:hint="eastAsia"/>
              </w:rPr>
              <w:t xml:space="preserve">7.44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2" w:right="413"/>
              <w:jc w:val="right"/>
              <w:rPr>
                <w:rFonts w:ascii="新細明體" w:hAnsi="新細明體" w:cs="新細明體"/>
              </w:rPr>
            </w:pPr>
            <w:r w:rsidRPr="003B6B9A">
              <w:rPr>
                <w:rFonts w:hint="eastAsia"/>
              </w:rPr>
              <w:t xml:space="preserve">10.19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44" w:right="346"/>
              <w:jc w:val="right"/>
              <w:rPr>
                <w:rFonts w:ascii="新細明體" w:hAnsi="新細明體" w:cs="新細明體"/>
              </w:rPr>
            </w:pPr>
            <w:r w:rsidRPr="003B6B9A">
              <w:rPr>
                <w:rFonts w:hint="eastAsia"/>
              </w:rPr>
              <w:t xml:space="preserve">1.75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5" w:right="420"/>
              <w:jc w:val="right"/>
              <w:rPr>
                <w:rFonts w:ascii="新細明體" w:hAnsi="新細明體" w:cs="新細明體"/>
              </w:rPr>
            </w:pPr>
            <w:r w:rsidRPr="003B6B9A">
              <w:rPr>
                <w:rFonts w:hint="eastAsia"/>
              </w:rPr>
              <w:t xml:space="preserve">3.05 </w:t>
            </w:r>
          </w:p>
        </w:tc>
      </w:tr>
      <w:tr w:rsidR="00BD6B4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left="28" w:right="284"/>
              <w:jc w:val="right"/>
              <w:rPr>
                <w:rFonts w:eastAsia="標楷體"/>
                <w:spacing w:val="-6"/>
              </w:rPr>
            </w:pPr>
            <w:r w:rsidRPr="003B6B9A">
              <w:rPr>
                <w:rFonts w:eastAsia="標楷體"/>
                <w:spacing w:val="-6"/>
              </w:rPr>
              <w:t>8</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10" w:right="264"/>
              <w:jc w:val="right"/>
              <w:rPr>
                <w:rFonts w:ascii="新細明體" w:hAnsi="新細明體" w:cs="新細明體"/>
              </w:rPr>
            </w:pPr>
            <w:r w:rsidRPr="003B6B9A">
              <w:rPr>
                <w:rFonts w:hint="eastAsia"/>
              </w:rPr>
              <w:t>7.02</w:t>
            </w:r>
          </w:p>
        </w:tc>
        <w:tc>
          <w:tcPr>
            <w:tcW w:w="1350" w:type="dxa"/>
            <w:tcBorders>
              <w:lef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41" w:right="338"/>
              <w:jc w:val="right"/>
              <w:rPr>
                <w:rFonts w:ascii="新細明體" w:hAnsi="新細明體" w:cs="新細明體"/>
              </w:rPr>
            </w:pPr>
            <w:r w:rsidRPr="003B6B9A">
              <w:rPr>
                <w:rFonts w:hint="eastAsia"/>
              </w:rPr>
              <w:t xml:space="preserve">5.46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2" w:right="413"/>
              <w:jc w:val="right"/>
              <w:rPr>
                <w:rFonts w:ascii="新細明體" w:hAnsi="新細明體" w:cs="新細明體"/>
              </w:rPr>
            </w:pPr>
            <w:r w:rsidRPr="003B6B9A">
              <w:rPr>
                <w:rFonts w:hint="eastAsia"/>
              </w:rPr>
              <w:t xml:space="preserve">12.64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44" w:right="346"/>
              <w:jc w:val="right"/>
              <w:rPr>
                <w:rFonts w:ascii="新細明體" w:hAnsi="新細明體" w:cs="新細明體"/>
              </w:rPr>
            </w:pPr>
            <w:r w:rsidRPr="003B6B9A">
              <w:rPr>
                <w:rFonts w:hint="eastAsia"/>
              </w:rPr>
              <w:t xml:space="preserve">-0.09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5" w:right="420"/>
              <w:jc w:val="right"/>
              <w:rPr>
                <w:rFonts w:ascii="新細明體" w:hAnsi="新細明體" w:cs="新細明體"/>
              </w:rPr>
            </w:pPr>
            <w:r w:rsidRPr="003B6B9A">
              <w:rPr>
                <w:rFonts w:hint="eastAsia"/>
              </w:rPr>
              <w:t xml:space="preserve">2.33 </w:t>
            </w:r>
          </w:p>
        </w:tc>
      </w:tr>
      <w:tr w:rsidR="00BD6B4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left="28" w:right="284"/>
              <w:jc w:val="right"/>
              <w:rPr>
                <w:rFonts w:eastAsia="標楷體"/>
                <w:spacing w:val="-6"/>
              </w:rPr>
            </w:pPr>
            <w:r w:rsidRPr="003B6B9A">
              <w:rPr>
                <w:rFonts w:eastAsia="標楷體"/>
                <w:spacing w:val="-6"/>
              </w:rPr>
              <w:t>9</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10" w:right="264"/>
              <w:jc w:val="right"/>
              <w:rPr>
                <w:rFonts w:ascii="新細明體" w:hAnsi="新細明體" w:cs="新細明體"/>
              </w:rPr>
            </w:pPr>
            <w:r w:rsidRPr="003B6B9A">
              <w:rPr>
                <w:rFonts w:hint="eastAsia"/>
              </w:rPr>
              <w:t>10.59</w:t>
            </w:r>
          </w:p>
        </w:tc>
        <w:tc>
          <w:tcPr>
            <w:tcW w:w="1350" w:type="dxa"/>
            <w:tcBorders>
              <w:lef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41" w:right="338"/>
              <w:jc w:val="right"/>
              <w:rPr>
                <w:rFonts w:ascii="新細明體" w:hAnsi="新細明體" w:cs="新細明體"/>
              </w:rPr>
            </w:pPr>
            <w:r w:rsidRPr="003B6B9A">
              <w:rPr>
                <w:rFonts w:hint="eastAsia"/>
              </w:rPr>
              <w:t xml:space="preserve">10.55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2" w:right="413"/>
              <w:jc w:val="right"/>
              <w:rPr>
                <w:rFonts w:ascii="新細明體" w:hAnsi="新細明體" w:cs="新細明體"/>
              </w:rPr>
            </w:pPr>
            <w:r w:rsidRPr="003B6B9A">
              <w:rPr>
                <w:rFonts w:hint="eastAsia"/>
              </w:rPr>
              <w:t xml:space="preserve">18.84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44" w:right="346"/>
              <w:jc w:val="right"/>
              <w:rPr>
                <w:rFonts w:ascii="新細明體" w:hAnsi="新細明體" w:cs="新細明體"/>
              </w:rPr>
            </w:pPr>
            <w:r w:rsidRPr="003B6B9A">
              <w:rPr>
                <w:rFonts w:hint="eastAsia"/>
              </w:rPr>
              <w:t xml:space="preserve">-1.34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5" w:right="420"/>
              <w:jc w:val="right"/>
              <w:rPr>
                <w:rFonts w:ascii="新細明體" w:hAnsi="新細明體" w:cs="新細明體"/>
              </w:rPr>
            </w:pPr>
            <w:r w:rsidRPr="003B6B9A">
              <w:rPr>
                <w:rFonts w:hint="eastAsia"/>
              </w:rPr>
              <w:t xml:space="preserve">0.22 </w:t>
            </w:r>
          </w:p>
        </w:tc>
      </w:tr>
      <w:tr w:rsidR="00BD6B4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left="28" w:right="284"/>
              <w:jc w:val="right"/>
              <w:rPr>
                <w:rFonts w:eastAsia="標楷體"/>
                <w:spacing w:val="-6"/>
              </w:rPr>
            </w:pPr>
            <w:r w:rsidRPr="003B6B9A">
              <w:rPr>
                <w:rFonts w:eastAsia="標楷體"/>
                <w:spacing w:val="-6"/>
              </w:rPr>
              <w:t>10</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10" w:right="264"/>
              <w:jc w:val="right"/>
              <w:rPr>
                <w:rFonts w:ascii="新細明體" w:hAnsi="新細明體" w:cs="新細明體"/>
              </w:rPr>
            </w:pPr>
            <w:r w:rsidRPr="003B6B9A">
              <w:rPr>
                <w:rFonts w:hint="eastAsia"/>
              </w:rPr>
              <w:t>9.22</w:t>
            </w:r>
          </w:p>
        </w:tc>
        <w:tc>
          <w:tcPr>
            <w:tcW w:w="1350" w:type="dxa"/>
            <w:tcBorders>
              <w:lef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41" w:right="338"/>
              <w:jc w:val="right"/>
              <w:rPr>
                <w:rFonts w:ascii="新細明體" w:hAnsi="新細明體" w:cs="新細明體"/>
              </w:rPr>
            </w:pPr>
            <w:r w:rsidRPr="003B6B9A">
              <w:rPr>
                <w:rFonts w:hint="eastAsia"/>
              </w:rPr>
              <w:t xml:space="preserve">7.39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2" w:right="413"/>
              <w:jc w:val="right"/>
              <w:rPr>
                <w:rFonts w:ascii="新細明體" w:hAnsi="新細明體" w:cs="新細明體"/>
              </w:rPr>
            </w:pPr>
            <w:r w:rsidRPr="003B6B9A">
              <w:rPr>
                <w:rFonts w:hint="eastAsia"/>
              </w:rPr>
              <w:t xml:space="preserve">17.62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44" w:right="346"/>
              <w:jc w:val="right"/>
              <w:rPr>
                <w:rFonts w:ascii="新細明體" w:hAnsi="新細明體" w:cs="新細明體"/>
              </w:rPr>
            </w:pPr>
            <w:r w:rsidRPr="003B6B9A">
              <w:rPr>
                <w:rFonts w:hint="eastAsia"/>
              </w:rPr>
              <w:t xml:space="preserve">-1.24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5" w:right="420"/>
              <w:jc w:val="right"/>
              <w:rPr>
                <w:rFonts w:ascii="新細明體" w:hAnsi="新細明體" w:cs="新細明體"/>
              </w:rPr>
            </w:pPr>
            <w:r w:rsidRPr="003B6B9A">
              <w:rPr>
                <w:rFonts w:hint="eastAsia"/>
              </w:rPr>
              <w:t xml:space="preserve">1.02 </w:t>
            </w:r>
          </w:p>
        </w:tc>
      </w:tr>
      <w:tr w:rsidR="00BD6B4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10" w:right="264"/>
              <w:jc w:val="right"/>
              <w:rPr>
                <w:rFonts w:ascii="新細明體" w:hAnsi="新細明體" w:cs="新細明體"/>
              </w:rPr>
            </w:pPr>
            <w:r w:rsidRPr="003B6B9A">
              <w:rPr>
                <w:rFonts w:hint="eastAsia"/>
              </w:rPr>
              <w:t>6.85</w:t>
            </w:r>
          </w:p>
        </w:tc>
        <w:tc>
          <w:tcPr>
            <w:tcW w:w="1350" w:type="dxa"/>
            <w:tcBorders>
              <w:lef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41" w:right="338"/>
              <w:jc w:val="right"/>
              <w:rPr>
                <w:rFonts w:ascii="新細明體" w:hAnsi="新細明體" w:cs="新細明體"/>
              </w:rPr>
            </w:pPr>
            <w:r w:rsidRPr="003B6B9A">
              <w:rPr>
                <w:rFonts w:hint="eastAsia"/>
              </w:rPr>
              <w:t xml:space="preserve">3.60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2" w:right="413"/>
              <w:jc w:val="right"/>
              <w:rPr>
                <w:rFonts w:ascii="新細明體" w:hAnsi="新細明體" w:cs="新細明體"/>
              </w:rPr>
            </w:pPr>
            <w:r w:rsidRPr="003B6B9A">
              <w:rPr>
                <w:rFonts w:hint="eastAsia"/>
              </w:rPr>
              <w:t xml:space="preserve">16.12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44" w:right="346"/>
              <w:jc w:val="right"/>
              <w:rPr>
                <w:rFonts w:ascii="新細明體" w:hAnsi="新細明體" w:cs="新細明體"/>
              </w:rPr>
            </w:pPr>
            <w:r w:rsidRPr="003B6B9A">
              <w:rPr>
                <w:rFonts w:hint="eastAsia"/>
              </w:rPr>
              <w:t xml:space="preserve">-3.42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5" w:right="420"/>
              <w:jc w:val="right"/>
              <w:rPr>
                <w:rFonts w:ascii="新細明體" w:hAnsi="新細明體" w:cs="新細明體"/>
              </w:rPr>
            </w:pPr>
            <w:r w:rsidRPr="003B6B9A">
              <w:rPr>
                <w:rFonts w:hint="eastAsia"/>
              </w:rPr>
              <w:t xml:space="preserve">-1.34 </w:t>
            </w:r>
          </w:p>
        </w:tc>
      </w:tr>
      <w:tr w:rsidR="00BD6B4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10" w:right="264"/>
              <w:jc w:val="right"/>
              <w:rPr>
                <w:rFonts w:ascii="新細明體" w:hAnsi="新細明體" w:cs="新細明體"/>
              </w:rPr>
            </w:pPr>
            <w:r w:rsidRPr="003B6B9A">
              <w:rPr>
                <w:rFonts w:hint="eastAsia"/>
              </w:rPr>
              <w:t>7.76</w:t>
            </w:r>
          </w:p>
        </w:tc>
        <w:tc>
          <w:tcPr>
            <w:tcW w:w="1350" w:type="dxa"/>
            <w:tcBorders>
              <w:lef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41" w:right="338"/>
              <w:jc w:val="right"/>
              <w:rPr>
                <w:rFonts w:ascii="新細明體" w:hAnsi="新細明體" w:cs="新細明體"/>
              </w:rPr>
            </w:pPr>
            <w:r w:rsidRPr="003B6B9A">
              <w:rPr>
                <w:rFonts w:hint="eastAsia"/>
              </w:rPr>
              <w:t xml:space="preserve">7.37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2" w:right="413"/>
              <w:jc w:val="right"/>
              <w:rPr>
                <w:rFonts w:ascii="新細明體" w:hAnsi="新細明體" w:cs="新細明體"/>
              </w:rPr>
            </w:pPr>
            <w:r w:rsidRPr="003B6B9A">
              <w:rPr>
                <w:rFonts w:hint="eastAsia"/>
              </w:rPr>
              <w:t xml:space="preserve">14.87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44" w:right="346"/>
              <w:jc w:val="right"/>
              <w:rPr>
                <w:rFonts w:ascii="新細明體" w:hAnsi="新細明體" w:cs="新細明體"/>
              </w:rPr>
            </w:pPr>
            <w:r w:rsidRPr="003B6B9A">
              <w:rPr>
                <w:rFonts w:hint="eastAsia"/>
              </w:rPr>
              <w:t xml:space="preserve">-4.52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5" w:right="420"/>
              <w:jc w:val="right"/>
              <w:rPr>
                <w:rFonts w:ascii="新細明體" w:hAnsi="新細明體" w:cs="新細明體"/>
              </w:rPr>
            </w:pPr>
            <w:r w:rsidRPr="003B6B9A">
              <w:rPr>
                <w:rFonts w:hint="eastAsia"/>
              </w:rPr>
              <w:t xml:space="preserve">6.63 </w:t>
            </w:r>
          </w:p>
        </w:tc>
      </w:tr>
      <w:tr w:rsidR="00BD6B4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jc w:val="righ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1~4</w:t>
            </w:r>
            <w:r w:rsidRPr="003B6B9A">
              <w:rPr>
                <w:rFonts w:eastAsia="標楷體" w:hint="eastAsia"/>
                <w:b/>
                <w:bCs/>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rightChars="110" w:right="264"/>
              <w:jc w:val="right"/>
              <w:rPr>
                <w:rFonts w:eastAsia="標楷體"/>
                <w:b/>
              </w:rPr>
            </w:pPr>
            <w:r w:rsidRPr="003B6B9A">
              <w:rPr>
                <w:rFonts w:eastAsia="標楷體" w:hint="eastAsia"/>
                <w:b/>
              </w:rPr>
              <w:t>5.11</w:t>
            </w:r>
          </w:p>
        </w:tc>
        <w:tc>
          <w:tcPr>
            <w:tcW w:w="1350" w:type="dxa"/>
            <w:tcBorders>
              <w:left w:val="double" w:sz="4" w:space="0" w:color="auto"/>
            </w:tcBorders>
            <w:tcMar>
              <w:top w:w="17" w:type="dxa"/>
              <w:left w:w="17" w:type="dxa"/>
              <w:bottom w:w="0" w:type="dxa"/>
              <w:right w:w="17" w:type="dxa"/>
            </w:tcMar>
          </w:tcPr>
          <w:p w:rsidR="00BD6B4B" w:rsidRPr="003B6B9A" w:rsidRDefault="00BD6B4B" w:rsidP="00BD6B4B">
            <w:pPr>
              <w:snapToGrid w:val="0"/>
              <w:spacing w:line="300" w:lineRule="exact"/>
              <w:ind w:left="28" w:rightChars="141" w:right="338"/>
              <w:jc w:val="right"/>
              <w:rPr>
                <w:rFonts w:eastAsia="標楷體"/>
                <w:b/>
              </w:rPr>
            </w:pPr>
            <w:r w:rsidRPr="003B6B9A">
              <w:rPr>
                <w:rFonts w:eastAsia="標楷體" w:hint="eastAsia"/>
                <w:b/>
              </w:rPr>
              <w:t>1.96</w:t>
            </w:r>
          </w:p>
        </w:tc>
        <w:tc>
          <w:tcPr>
            <w:tcW w:w="1350" w:type="dxa"/>
            <w:tcMar>
              <w:top w:w="17" w:type="dxa"/>
              <w:left w:w="17" w:type="dxa"/>
              <w:bottom w:w="0" w:type="dxa"/>
              <w:right w:w="17" w:type="dxa"/>
            </w:tcMar>
          </w:tcPr>
          <w:p w:rsidR="00BD6B4B" w:rsidRPr="003B6B9A" w:rsidRDefault="00BD6B4B" w:rsidP="00BD6B4B">
            <w:pPr>
              <w:snapToGrid w:val="0"/>
              <w:spacing w:line="300" w:lineRule="exact"/>
              <w:ind w:left="28" w:rightChars="172" w:right="413"/>
              <w:jc w:val="right"/>
              <w:rPr>
                <w:rFonts w:eastAsia="標楷體"/>
                <w:b/>
              </w:rPr>
            </w:pPr>
            <w:r w:rsidRPr="003B6B9A">
              <w:rPr>
                <w:rFonts w:eastAsia="標楷體" w:hint="eastAsia"/>
                <w:b/>
              </w:rPr>
              <w:t>10.12</w:t>
            </w:r>
          </w:p>
        </w:tc>
        <w:tc>
          <w:tcPr>
            <w:tcW w:w="1350" w:type="dxa"/>
            <w:tcMar>
              <w:top w:w="17" w:type="dxa"/>
              <w:left w:w="17" w:type="dxa"/>
              <w:bottom w:w="0" w:type="dxa"/>
              <w:right w:w="17" w:type="dxa"/>
            </w:tcMar>
          </w:tcPr>
          <w:p w:rsidR="00BD6B4B" w:rsidRPr="003B6B9A" w:rsidRDefault="00BD6B4B" w:rsidP="00BD6B4B">
            <w:pPr>
              <w:snapToGrid w:val="0"/>
              <w:spacing w:line="300" w:lineRule="exact"/>
              <w:ind w:left="28" w:rightChars="144" w:right="346"/>
              <w:jc w:val="right"/>
              <w:rPr>
                <w:rFonts w:eastAsia="標楷體"/>
                <w:b/>
              </w:rPr>
            </w:pPr>
            <w:r w:rsidRPr="003B6B9A">
              <w:rPr>
                <w:rFonts w:eastAsia="標楷體" w:hint="eastAsia"/>
                <w:b/>
              </w:rPr>
              <w:t>1.59</w:t>
            </w:r>
          </w:p>
        </w:tc>
        <w:tc>
          <w:tcPr>
            <w:tcW w:w="1350" w:type="dxa"/>
            <w:tcMar>
              <w:top w:w="17" w:type="dxa"/>
              <w:left w:w="17" w:type="dxa"/>
              <w:bottom w:w="0" w:type="dxa"/>
              <w:right w:w="17" w:type="dxa"/>
            </w:tcMar>
          </w:tcPr>
          <w:p w:rsidR="00BD6B4B" w:rsidRPr="003B6B9A" w:rsidRDefault="00BD6B4B" w:rsidP="00BD6B4B">
            <w:pPr>
              <w:snapToGrid w:val="0"/>
              <w:spacing w:line="300" w:lineRule="exact"/>
              <w:ind w:left="28" w:rightChars="175" w:right="420"/>
              <w:jc w:val="right"/>
              <w:rPr>
                <w:rFonts w:eastAsia="標楷體"/>
                <w:b/>
              </w:rPr>
            </w:pPr>
            <w:r w:rsidRPr="003B6B9A">
              <w:rPr>
                <w:rFonts w:eastAsia="標楷體" w:hint="eastAsia"/>
                <w:b/>
              </w:rPr>
              <w:t>-0.52</w:t>
            </w:r>
          </w:p>
        </w:tc>
      </w:tr>
      <w:tr w:rsidR="00BD6B4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10" w:right="264"/>
              <w:jc w:val="right"/>
              <w:rPr>
                <w:rFonts w:ascii="新細明體" w:hAnsi="新細明體" w:cs="新細明體"/>
              </w:rPr>
            </w:pPr>
            <w:r w:rsidRPr="003B6B9A">
              <w:rPr>
                <w:rFonts w:hint="eastAsia"/>
              </w:rPr>
              <w:t>9.08</w:t>
            </w:r>
          </w:p>
        </w:tc>
        <w:tc>
          <w:tcPr>
            <w:tcW w:w="1350" w:type="dxa"/>
            <w:tcBorders>
              <w:left w:val="double" w:sz="4" w:space="0" w:color="auto"/>
            </w:tcBorders>
            <w:tcMar>
              <w:top w:w="17" w:type="dxa"/>
              <w:left w:w="17" w:type="dxa"/>
              <w:bottom w:w="0" w:type="dxa"/>
              <w:right w:w="17" w:type="dxa"/>
            </w:tcMar>
            <w:vAlign w:val="bottom"/>
          </w:tcPr>
          <w:p w:rsidR="00BD6B4B" w:rsidRPr="003B6B9A" w:rsidRDefault="00BD6B4B" w:rsidP="00BD6B4B">
            <w:pPr>
              <w:spacing w:line="300" w:lineRule="exact"/>
              <w:ind w:rightChars="141" w:right="338"/>
              <w:jc w:val="right"/>
              <w:rPr>
                <w:rFonts w:ascii="新細明體" w:hAnsi="新細明體" w:cs="新細明體"/>
              </w:rPr>
            </w:pPr>
            <w:r w:rsidRPr="003B6B9A">
              <w:rPr>
                <w:rFonts w:hint="eastAsia"/>
              </w:rPr>
              <w:t xml:space="preserve">8.05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2" w:right="413"/>
              <w:jc w:val="right"/>
              <w:rPr>
                <w:rFonts w:ascii="新細明體" w:hAnsi="新細明體" w:cs="新細明體"/>
              </w:rPr>
            </w:pPr>
            <w:r w:rsidRPr="003B6B9A">
              <w:rPr>
                <w:rFonts w:hint="eastAsia"/>
              </w:rPr>
              <w:t xml:space="preserve">18.31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44" w:right="346"/>
              <w:jc w:val="right"/>
              <w:rPr>
                <w:rFonts w:ascii="新細明體" w:hAnsi="新細明體" w:cs="新細明體"/>
              </w:rPr>
            </w:pPr>
            <w:r w:rsidRPr="003B6B9A">
              <w:rPr>
                <w:rFonts w:hint="eastAsia"/>
              </w:rPr>
              <w:t xml:space="preserve">-2.34 </w:t>
            </w:r>
          </w:p>
        </w:tc>
        <w:tc>
          <w:tcPr>
            <w:tcW w:w="1350" w:type="dxa"/>
            <w:tcMar>
              <w:top w:w="17" w:type="dxa"/>
              <w:left w:w="17" w:type="dxa"/>
              <w:bottom w:w="0" w:type="dxa"/>
              <w:right w:w="17" w:type="dxa"/>
            </w:tcMar>
            <w:vAlign w:val="bottom"/>
          </w:tcPr>
          <w:p w:rsidR="00BD6B4B" w:rsidRPr="003B6B9A" w:rsidRDefault="00BD6B4B" w:rsidP="00BD6B4B">
            <w:pPr>
              <w:spacing w:line="300" w:lineRule="exact"/>
              <w:ind w:rightChars="175" w:right="420"/>
              <w:jc w:val="right"/>
              <w:rPr>
                <w:rFonts w:ascii="新細明體" w:hAnsi="新細明體" w:cs="新細明體"/>
              </w:rPr>
            </w:pPr>
            <w:r w:rsidRPr="003B6B9A">
              <w:rPr>
                <w:rFonts w:hint="eastAsia"/>
              </w:rPr>
              <w:t xml:space="preserve">-0.69 </w:t>
            </w:r>
          </w:p>
        </w:tc>
      </w:tr>
      <w:tr w:rsidR="00BD6B4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left="28" w:right="284"/>
              <w:jc w:val="right"/>
              <w:rPr>
                <w:rFonts w:eastAsia="標楷體"/>
                <w:spacing w:val="-6"/>
              </w:rPr>
            </w:pPr>
            <w:r w:rsidRPr="003B6B9A">
              <w:rPr>
                <w:rFonts w:eastAsia="標楷體" w:hint="eastAsia"/>
                <w:spacing w:val="-6"/>
              </w:rPr>
              <w:t>2</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rightChars="110" w:right="264"/>
              <w:jc w:val="right"/>
              <w:rPr>
                <w:rFonts w:eastAsia="標楷體"/>
              </w:rPr>
            </w:pPr>
            <w:r w:rsidRPr="003B6B9A">
              <w:rPr>
                <w:rFonts w:eastAsia="標楷體" w:hint="eastAsia"/>
              </w:rPr>
              <w:t>2.89</w:t>
            </w:r>
          </w:p>
        </w:tc>
        <w:tc>
          <w:tcPr>
            <w:tcW w:w="1350" w:type="dxa"/>
            <w:tcBorders>
              <w:left w:val="double" w:sz="4" w:space="0" w:color="auto"/>
            </w:tcBorders>
            <w:tcMar>
              <w:top w:w="17" w:type="dxa"/>
              <w:left w:w="17" w:type="dxa"/>
              <w:bottom w:w="0" w:type="dxa"/>
              <w:right w:w="17" w:type="dxa"/>
            </w:tcMar>
          </w:tcPr>
          <w:p w:rsidR="00BD6B4B" w:rsidRPr="003B6B9A" w:rsidRDefault="00BD6B4B" w:rsidP="00BD6B4B">
            <w:pPr>
              <w:snapToGrid w:val="0"/>
              <w:spacing w:line="300" w:lineRule="exact"/>
              <w:ind w:left="28" w:rightChars="141" w:right="338"/>
              <w:jc w:val="right"/>
              <w:rPr>
                <w:rFonts w:eastAsia="標楷體"/>
              </w:rPr>
            </w:pPr>
            <w:r w:rsidRPr="003B6B9A">
              <w:rPr>
                <w:rFonts w:eastAsia="標楷體" w:hint="eastAsia"/>
              </w:rPr>
              <w:t>-3.73</w:t>
            </w:r>
          </w:p>
        </w:tc>
        <w:tc>
          <w:tcPr>
            <w:tcW w:w="1350" w:type="dxa"/>
            <w:tcMar>
              <w:top w:w="17" w:type="dxa"/>
              <w:left w:w="17" w:type="dxa"/>
              <w:bottom w:w="0" w:type="dxa"/>
              <w:right w:w="17" w:type="dxa"/>
            </w:tcMar>
          </w:tcPr>
          <w:p w:rsidR="00BD6B4B" w:rsidRPr="003B6B9A" w:rsidRDefault="00BD6B4B" w:rsidP="00BD6B4B">
            <w:pPr>
              <w:snapToGrid w:val="0"/>
              <w:spacing w:line="300" w:lineRule="exact"/>
              <w:ind w:left="28" w:rightChars="172" w:right="413"/>
              <w:jc w:val="right"/>
              <w:rPr>
                <w:rFonts w:eastAsia="標楷體"/>
              </w:rPr>
            </w:pPr>
            <w:r w:rsidRPr="003B6B9A">
              <w:rPr>
                <w:rFonts w:eastAsia="標楷體" w:hint="eastAsia"/>
              </w:rPr>
              <w:t>11.42</w:t>
            </w:r>
          </w:p>
        </w:tc>
        <w:tc>
          <w:tcPr>
            <w:tcW w:w="1350" w:type="dxa"/>
            <w:tcMar>
              <w:top w:w="17" w:type="dxa"/>
              <w:left w:w="17" w:type="dxa"/>
              <w:bottom w:w="0" w:type="dxa"/>
              <w:right w:w="17" w:type="dxa"/>
            </w:tcMar>
          </w:tcPr>
          <w:p w:rsidR="00BD6B4B" w:rsidRPr="003B6B9A" w:rsidRDefault="00BD6B4B" w:rsidP="00BD6B4B">
            <w:pPr>
              <w:snapToGrid w:val="0"/>
              <w:spacing w:line="300" w:lineRule="exact"/>
              <w:ind w:left="28" w:rightChars="144" w:right="346"/>
              <w:jc w:val="right"/>
              <w:rPr>
                <w:rFonts w:eastAsia="標楷體"/>
              </w:rPr>
            </w:pPr>
            <w:r w:rsidRPr="003B6B9A">
              <w:rPr>
                <w:rFonts w:eastAsia="標楷體" w:hint="eastAsia"/>
              </w:rPr>
              <w:t>-1.18</w:t>
            </w:r>
          </w:p>
        </w:tc>
        <w:tc>
          <w:tcPr>
            <w:tcW w:w="1350" w:type="dxa"/>
            <w:tcMar>
              <w:top w:w="17" w:type="dxa"/>
              <w:left w:w="17" w:type="dxa"/>
              <w:bottom w:w="0" w:type="dxa"/>
              <w:right w:w="17" w:type="dxa"/>
            </w:tcMar>
          </w:tcPr>
          <w:p w:rsidR="00BD6B4B" w:rsidRPr="003B6B9A" w:rsidRDefault="00BD6B4B" w:rsidP="00BD6B4B">
            <w:pPr>
              <w:snapToGrid w:val="0"/>
              <w:spacing w:line="300" w:lineRule="exact"/>
              <w:ind w:left="28" w:rightChars="175" w:right="420"/>
              <w:jc w:val="right"/>
              <w:rPr>
                <w:rFonts w:eastAsia="標楷體"/>
              </w:rPr>
            </w:pPr>
            <w:r w:rsidRPr="003B6B9A">
              <w:rPr>
                <w:rFonts w:eastAsia="標楷體" w:hint="eastAsia"/>
              </w:rPr>
              <w:t>-0.56</w:t>
            </w:r>
          </w:p>
        </w:tc>
      </w:tr>
      <w:tr w:rsidR="00BD6B4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rightChars="110" w:right="264"/>
              <w:jc w:val="right"/>
              <w:rPr>
                <w:rFonts w:eastAsia="標楷體"/>
              </w:rPr>
            </w:pPr>
            <w:r w:rsidRPr="003B6B9A">
              <w:rPr>
                <w:rFonts w:eastAsia="標楷體" w:hint="eastAsia"/>
              </w:rPr>
              <w:t>7.17</w:t>
            </w:r>
          </w:p>
        </w:tc>
        <w:tc>
          <w:tcPr>
            <w:tcW w:w="1350" w:type="dxa"/>
            <w:tcBorders>
              <w:left w:val="double" w:sz="4" w:space="0" w:color="auto"/>
            </w:tcBorders>
            <w:tcMar>
              <w:top w:w="17" w:type="dxa"/>
              <w:left w:w="17" w:type="dxa"/>
              <w:bottom w:w="0" w:type="dxa"/>
              <w:right w:w="17" w:type="dxa"/>
            </w:tcMar>
          </w:tcPr>
          <w:p w:rsidR="00BD6B4B" w:rsidRPr="003B6B9A" w:rsidRDefault="00BD6B4B" w:rsidP="00BD6B4B">
            <w:pPr>
              <w:snapToGrid w:val="0"/>
              <w:spacing w:line="300" w:lineRule="exact"/>
              <w:ind w:left="28" w:rightChars="141" w:right="338"/>
              <w:jc w:val="right"/>
              <w:rPr>
                <w:rFonts w:eastAsia="標楷體"/>
              </w:rPr>
            </w:pPr>
            <w:r w:rsidRPr="003B6B9A">
              <w:rPr>
                <w:rFonts w:eastAsia="標楷體" w:hint="eastAsia"/>
              </w:rPr>
              <w:t>4.34</w:t>
            </w:r>
          </w:p>
        </w:tc>
        <w:tc>
          <w:tcPr>
            <w:tcW w:w="1350" w:type="dxa"/>
            <w:tcMar>
              <w:top w:w="17" w:type="dxa"/>
              <w:left w:w="17" w:type="dxa"/>
              <w:bottom w:w="0" w:type="dxa"/>
              <w:right w:w="17" w:type="dxa"/>
            </w:tcMar>
          </w:tcPr>
          <w:p w:rsidR="00BD6B4B" w:rsidRPr="003B6B9A" w:rsidRDefault="00BD6B4B" w:rsidP="00BD6B4B">
            <w:pPr>
              <w:snapToGrid w:val="0"/>
              <w:spacing w:line="300" w:lineRule="exact"/>
              <w:ind w:left="28" w:rightChars="172" w:right="413"/>
              <w:jc w:val="right"/>
              <w:rPr>
                <w:rFonts w:eastAsia="標楷體"/>
              </w:rPr>
            </w:pPr>
            <w:r w:rsidRPr="003B6B9A">
              <w:rPr>
                <w:rFonts w:eastAsia="標楷體" w:hint="eastAsia"/>
              </w:rPr>
              <w:t>9.82</w:t>
            </w:r>
          </w:p>
        </w:tc>
        <w:tc>
          <w:tcPr>
            <w:tcW w:w="1350" w:type="dxa"/>
            <w:tcMar>
              <w:top w:w="17" w:type="dxa"/>
              <w:left w:w="17" w:type="dxa"/>
              <w:bottom w:w="0" w:type="dxa"/>
              <w:right w:w="17" w:type="dxa"/>
            </w:tcMar>
          </w:tcPr>
          <w:p w:rsidR="00BD6B4B" w:rsidRPr="003B6B9A" w:rsidRDefault="00BD6B4B" w:rsidP="00BD6B4B">
            <w:pPr>
              <w:snapToGrid w:val="0"/>
              <w:spacing w:line="300" w:lineRule="exact"/>
              <w:ind w:left="28" w:rightChars="144" w:right="346"/>
              <w:jc w:val="right"/>
              <w:rPr>
                <w:rFonts w:eastAsia="標楷體"/>
              </w:rPr>
            </w:pPr>
            <w:r w:rsidRPr="003B6B9A">
              <w:rPr>
                <w:rFonts w:eastAsia="標楷體" w:hint="eastAsia"/>
              </w:rPr>
              <w:t>7.36</w:t>
            </w:r>
          </w:p>
        </w:tc>
        <w:tc>
          <w:tcPr>
            <w:tcW w:w="1350" w:type="dxa"/>
            <w:tcMar>
              <w:top w:w="17" w:type="dxa"/>
              <w:left w:w="17" w:type="dxa"/>
              <w:bottom w:w="0" w:type="dxa"/>
              <w:right w:w="17" w:type="dxa"/>
            </w:tcMar>
          </w:tcPr>
          <w:p w:rsidR="00BD6B4B" w:rsidRPr="003B6B9A" w:rsidRDefault="00BD6B4B" w:rsidP="00BD6B4B">
            <w:pPr>
              <w:snapToGrid w:val="0"/>
              <w:spacing w:line="300" w:lineRule="exact"/>
              <w:ind w:left="28" w:rightChars="175" w:right="420"/>
              <w:jc w:val="right"/>
              <w:rPr>
                <w:rFonts w:eastAsia="標楷體"/>
              </w:rPr>
            </w:pPr>
            <w:r w:rsidRPr="003B6B9A">
              <w:rPr>
                <w:rFonts w:eastAsia="標楷體" w:hint="eastAsia"/>
              </w:rPr>
              <w:t>0.71</w:t>
            </w:r>
          </w:p>
        </w:tc>
      </w:tr>
      <w:tr w:rsidR="00BD6B4B" w:rsidRPr="003B6B9A" w:rsidTr="00BD6B4B">
        <w:trPr>
          <w:trHeight w:val="20"/>
          <w:jc w:val="center"/>
        </w:trPr>
        <w:tc>
          <w:tcPr>
            <w:tcW w:w="1711" w:type="dxa"/>
            <w:tcBorders>
              <w:left w:val="nil"/>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329" w:type="dxa"/>
            <w:tcBorders>
              <w:left w:val="single" w:sz="4" w:space="0" w:color="auto"/>
              <w:bottom w:val="single" w:sz="4" w:space="0" w:color="auto"/>
              <w:right w:val="double" w:sz="4" w:space="0" w:color="auto"/>
            </w:tcBorders>
            <w:tcMar>
              <w:top w:w="17" w:type="dxa"/>
              <w:left w:w="17" w:type="dxa"/>
              <w:bottom w:w="0" w:type="dxa"/>
              <w:right w:w="17" w:type="dxa"/>
            </w:tcMar>
            <w:vAlign w:val="center"/>
          </w:tcPr>
          <w:p w:rsidR="00BD6B4B" w:rsidRPr="003B6B9A" w:rsidRDefault="00BD6B4B" w:rsidP="00BD6B4B">
            <w:pPr>
              <w:snapToGrid w:val="0"/>
              <w:spacing w:line="300" w:lineRule="exact"/>
              <w:ind w:rightChars="110" w:right="264"/>
              <w:jc w:val="right"/>
              <w:rPr>
                <w:rFonts w:eastAsia="標楷體"/>
              </w:rPr>
            </w:pPr>
            <w:r w:rsidRPr="003B6B9A">
              <w:rPr>
                <w:rFonts w:eastAsia="標楷體" w:hint="eastAsia"/>
              </w:rPr>
              <w:t>1.15</w:t>
            </w:r>
          </w:p>
        </w:tc>
        <w:tc>
          <w:tcPr>
            <w:tcW w:w="1350" w:type="dxa"/>
            <w:tcBorders>
              <w:left w:val="double" w:sz="4" w:space="0" w:color="auto"/>
              <w:bottom w:val="single" w:sz="4" w:space="0" w:color="auto"/>
            </w:tcBorders>
            <w:tcMar>
              <w:top w:w="17" w:type="dxa"/>
              <w:left w:w="17" w:type="dxa"/>
              <w:bottom w:w="0" w:type="dxa"/>
              <w:right w:w="17" w:type="dxa"/>
            </w:tcMar>
          </w:tcPr>
          <w:p w:rsidR="00BD6B4B" w:rsidRPr="003B6B9A" w:rsidRDefault="00BD6B4B" w:rsidP="00BD6B4B">
            <w:pPr>
              <w:snapToGrid w:val="0"/>
              <w:spacing w:line="300" w:lineRule="exact"/>
              <w:ind w:left="28" w:rightChars="141" w:right="338"/>
              <w:jc w:val="right"/>
              <w:rPr>
                <w:rFonts w:eastAsia="標楷體"/>
              </w:rPr>
            </w:pPr>
            <w:r w:rsidRPr="003B6B9A">
              <w:rPr>
                <w:rFonts w:eastAsia="標楷體" w:hint="eastAsia"/>
              </w:rPr>
              <w:t>-0.72</w:t>
            </w:r>
          </w:p>
        </w:tc>
        <w:tc>
          <w:tcPr>
            <w:tcW w:w="1350" w:type="dxa"/>
            <w:tcBorders>
              <w:bottom w:val="single" w:sz="4" w:space="0" w:color="auto"/>
            </w:tcBorders>
            <w:tcMar>
              <w:top w:w="17" w:type="dxa"/>
              <w:left w:w="17" w:type="dxa"/>
              <w:bottom w:w="0" w:type="dxa"/>
              <w:right w:w="17" w:type="dxa"/>
            </w:tcMar>
          </w:tcPr>
          <w:p w:rsidR="00BD6B4B" w:rsidRPr="003B6B9A" w:rsidRDefault="00BD6B4B" w:rsidP="00BD6B4B">
            <w:pPr>
              <w:snapToGrid w:val="0"/>
              <w:spacing w:line="300" w:lineRule="exact"/>
              <w:ind w:left="28" w:rightChars="172" w:right="413"/>
              <w:jc w:val="right"/>
              <w:rPr>
                <w:rFonts w:eastAsia="標楷體"/>
              </w:rPr>
            </w:pPr>
            <w:r w:rsidRPr="003B6B9A">
              <w:rPr>
                <w:rFonts w:eastAsia="標楷體" w:hint="eastAsia"/>
              </w:rPr>
              <w:t>2.00</w:t>
            </w:r>
          </w:p>
        </w:tc>
        <w:tc>
          <w:tcPr>
            <w:tcW w:w="1350" w:type="dxa"/>
            <w:tcBorders>
              <w:bottom w:val="single" w:sz="4" w:space="0" w:color="auto"/>
            </w:tcBorders>
            <w:tcMar>
              <w:top w:w="17" w:type="dxa"/>
              <w:left w:w="17" w:type="dxa"/>
              <w:bottom w:w="0" w:type="dxa"/>
              <w:right w:w="17" w:type="dxa"/>
            </w:tcMar>
          </w:tcPr>
          <w:p w:rsidR="00BD6B4B" w:rsidRPr="003B6B9A" w:rsidRDefault="00BD6B4B" w:rsidP="00BD6B4B">
            <w:pPr>
              <w:snapToGrid w:val="0"/>
              <w:spacing w:line="300" w:lineRule="exact"/>
              <w:ind w:left="28" w:rightChars="144" w:right="346"/>
              <w:jc w:val="right"/>
              <w:rPr>
                <w:rFonts w:eastAsia="標楷體"/>
              </w:rPr>
            </w:pPr>
            <w:r w:rsidRPr="003B6B9A">
              <w:rPr>
                <w:rFonts w:eastAsia="標楷體" w:hint="eastAsia"/>
              </w:rPr>
              <w:t>3.44</w:t>
            </w:r>
          </w:p>
        </w:tc>
        <w:tc>
          <w:tcPr>
            <w:tcW w:w="1350" w:type="dxa"/>
            <w:tcBorders>
              <w:bottom w:val="single" w:sz="4" w:space="0" w:color="auto"/>
            </w:tcBorders>
            <w:tcMar>
              <w:top w:w="17" w:type="dxa"/>
              <w:left w:w="17" w:type="dxa"/>
              <w:bottom w:w="0" w:type="dxa"/>
              <w:right w:w="17" w:type="dxa"/>
            </w:tcMar>
          </w:tcPr>
          <w:p w:rsidR="00BD6B4B" w:rsidRPr="003B6B9A" w:rsidRDefault="00BD6B4B" w:rsidP="00BD6B4B">
            <w:pPr>
              <w:snapToGrid w:val="0"/>
              <w:spacing w:line="300" w:lineRule="exact"/>
              <w:ind w:left="28" w:rightChars="175" w:right="420"/>
              <w:jc w:val="right"/>
              <w:rPr>
                <w:rFonts w:eastAsia="標楷體"/>
              </w:rPr>
            </w:pPr>
            <w:r w:rsidRPr="003B6B9A">
              <w:rPr>
                <w:rFonts w:eastAsia="標楷體" w:hint="eastAsia"/>
              </w:rPr>
              <w:t>-2.40</w:t>
            </w:r>
          </w:p>
        </w:tc>
      </w:tr>
    </w:tbl>
    <w:p w:rsidR="003F3F99" w:rsidRPr="00B118E9" w:rsidRDefault="003F3F99" w:rsidP="003F3F99">
      <w:pPr>
        <w:snapToGrid w:val="0"/>
        <w:spacing w:line="340" w:lineRule="atLeast"/>
        <w:ind w:right="-142"/>
        <w:jc w:val="both"/>
        <w:rPr>
          <w:rFonts w:eastAsia="標楷體"/>
          <w:sz w:val="22"/>
          <w:szCs w:val="22"/>
        </w:rPr>
      </w:pPr>
      <w:r w:rsidRPr="00B118E9">
        <w:rPr>
          <w:rFonts w:eastAsia="標楷體"/>
          <w:sz w:val="22"/>
          <w:szCs w:val="22"/>
        </w:rPr>
        <w:t>資料來源：經濟部統計處。</w:t>
      </w:r>
    </w:p>
    <w:p w:rsidR="003F3F99" w:rsidRPr="00B118E9" w:rsidRDefault="003F3F99" w:rsidP="003F3F99">
      <w:pPr>
        <w:snapToGrid w:val="0"/>
        <w:spacing w:beforeLines="50" w:before="180" w:line="300" w:lineRule="auto"/>
        <w:jc w:val="both"/>
        <w:rPr>
          <w:rFonts w:eastAsia="標楷體"/>
          <w:b/>
          <w:bCs/>
          <w:sz w:val="28"/>
          <w:szCs w:val="28"/>
        </w:rPr>
      </w:pPr>
      <w:r w:rsidRPr="00B118E9">
        <w:rPr>
          <w:rFonts w:eastAsia="標楷體"/>
          <w:b/>
          <w:bCs/>
          <w:sz w:val="28"/>
          <w:szCs w:val="28"/>
        </w:rPr>
        <w:t>３、</w:t>
      </w:r>
      <w:r w:rsidR="00BD6B4B" w:rsidRPr="003B6B9A">
        <w:rPr>
          <w:rFonts w:eastAsia="標楷體"/>
          <w:b/>
          <w:bCs/>
          <w:sz w:val="28"/>
          <w:szCs w:val="28"/>
        </w:rPr>
        <w:t>104</w:t>
      </w:r>
      <w:r w:rsidR="00BD6B4B" w:rsidRPr="003B6B9A">
        <w:rPr>
          <w:rFonts w:eastAsia="標楷體"/>
          <w:b/>
          <w:bCs/>
          <w:sz w:val="28"/>
          <w:szCs w:val="28"/>
        </w:rPr>
        <w:t>年</w:t>
      </w:r>
      <w:r w:rsidR="00BD6B4B" w:rsidRPr="003B6B9A">
        <w:rPr>
          <w:rFonts w:eastAsia="標楷體"/>
          <w:b/>
          <w:bCs/>
          <w:sz w:val="28"/>
          <w:szCs w:val="28"/>
        </w:rPr>
        <w:t>4</w:t>
      </w:r>
      <w:r w:rsidR="00BD6B4B" w:rsidRPr="003B6B9A">
        <w:rPr>
          <w:rFonts w:eastAsia="標楷體"/>
          <w:b/>
          <w:bCs/>
          <w:sz w:val="28"/>
          <w:szCs w:val="28"/>
        </w:rPr>
        <w:t>月電子零組件業增加</w:t>
      </w:r>
      <w:r w:rsidR="00BD6B4B" w:rsidRPr="003B6B9A">
        <w:rPr>
          <w:rFonts w:eastAsia="標楷體"/>
          <w:b/>
          <w:bCs/>
          <w:sz w:val="28"/>
          <w:szCs w:val="28"/>
        </w:rPr>
        <w:t>5.6%</w:t>
      </w:r>
    </w:p>
    <w:p w:rsidR="003F3F99" w:rsidRPr="00BD6B4B" w:rsidRDefault="00BD6B4B" w:rsidP="009F5533">
      <w:pPr>
        <w:numPr>
          <w:ilvl w:val="0"/>
          <w:numId w:val="3"/>
        </w:numPr>
        <w:snapToGrid w:val="0"/>
        <w:spacing w:beforeLines="50" w:before="180" w:line="300" w:lineRule="auto"/>
        <w:ind w:left="851" w:hanging="567"/>
        <w:jc w:val="both"/>
        <w:rPr>
          <w:rFonts w:eastAsia="標楷體"/>
          <w:snapToGrid w:val="0"/>
          <w:color w:val="FF0000"/>
          <w:sz w:val="28"/>
          <w:szCs w:val="28"/>
        </w:rPr>
      </w:pPr>
      <w:r w:rsidRPr="003B6B9A">
        <w:rPr>
          <w:rFonts w:eastAsia="標楷體"/>
          <w:snapToGrid w:val="0"/>
          <w:sz w:val="28"/>
          <w:szCs w:val="28"/>
        </w:rPr>
        <w:t>電子零組件業增加</w:t>
      </w:r>
      <w:r w:rsidRPr="003B6B9A">
        <w:rPr>
          <w:rFonts w:eastAsia="標楷體"/>
          <w:snapToGrid w:val="0"/>
          <w:sz w:val="28"/>
          <w:szCs w:val="28"/>
        </w:rPr>
        <w:t>5.61%</w:t>
      </w:r>
      <w:r w:rsidRPr="003B6B9A">
        <w:rPr>
          <w:rFonts w:eastAsia="標楷體"/>
          <w:snapToGrid w:val="0"/>
          <w:sz w:val="28"/>
          <w:szCs w:val="28"/>
        </w:rPr>
        <w:t>，結束連續</w:t>
      </w:r>
      <w:r w:rsidRPr="003B6B9A">
        <w:rPr>
          <w:rFonts w:eastAsia="標楷體"/>
          <w:snapToGrid w:val="0"/>
          <w:sz w:val="28"/>
          <w:szCs w:val="28"/>
        </w:rPr>
        <w:t>8</w:t>
      </w:r>
      <w:r w:rsidRPr="003B6B9A">
        <w:rPr>
          <w:rFonts w:eastAsia="標楷體"/>
          <w:snapToGrid w:val="0"/>
          <w:sz w:val="28"/>
          <w:szCs w:val="28"/>
        </w:rPr>
        <w:t>個月之二位數成長，增幅減緩，主因智慧型手機晶片市況轉弱，且面板、太陽能電池等減產所致，惟電源管理晶片及面板驅動</w:t>
      </w:r>
      <w:r w:rsidRPr="003B6B9A">
        <w:rPr>
          <w:rFonts w:eastAsia="標楷體"/>
          <w:snapToGrid w:val="0"/>
          <w:sz w:val="28"/>
          <w:szCs w:val="28"/>
        </w:rPr>
        <w:t xml:space="preserve">IC </w:t>
      </w:r>
      <w:r w:rsidRPr="003B6B9A">
        <w:rPr>
          <w:rFonts w:eastAsia="標楷體"/>
          <w:snapToGrid w:val="0"/>
          <w:sz w:val="28"/>
          <w:szCs w:val="28"/>
        </w:rPr>
        <w:t>需求仍暢旺，致晶圓代工、</w:t>
      </w:r>
      <w:r w:rsidRPr="003B6B9A">
        <w:rPr>
          <w:rFonts w:eastAsia="標楷體"/>
          <w:snapToGrid w:val="0"/>
          <w:sz w:val="28"/>
          <w:szCs w:val="28"/>
        </w:rPr>
        <w:t xml:space="preserve">IC </w:t>
      </w:r>
      <w:r w:rsidRPr="003B6B9A">
        <w:rPr>
          <w:rFonts w:eastAsia="標楷體"/>
          <w:snapToGrid w:val="0"/>
          <w:sz w:val="28"/>
          <w:szCs w:val="28"/>
        </w:rPr>
        <w:t>封裝、印刷電路板等生產持續增產。累計</w:t>
      </w:r>
      <w:r w:rsidRPr="003B6B9A">
        <w:rPr>
          <w:rFonts w:eastAsia="標楷體"/>
          <w:snapToGrid w:val="0"/>
          <w:sz w:val="28"/>
          <w:szCs w:val="28"/>
        </w:rPr>
        <w:t>1</w:t>
      </w:r>
      <w:r w:rsidRPr="003B6B9A">
        <w:rPr>
          <w:rFonts w:eastAsia="標楷體"/>
          <w:snapToGrid w:val="0"/>
          <w:sz w:val="28"/>
          <w:szCs w:val="28"/>
        </w:rPr>
        <w:t>至</w:t>
      </w:r>
      <w:r w:rsidRPr="003B6B9A">
        <w:rPr>
          <w:rFonts w:eastAsia="標楷體"/>
          <w:snapToGrid w:val="0"/>
          <w:sz w:val="28"/>
          <w:szCs w:val="28"/>
        </w:rPr>
        <w:t>4</w:t>
      </w:r>
      <w:r w:rsidRPr="003B6B9A">
        <w:rPr>
          <w:rFonts w:eastAsia="標楷體"/>
          <w:snapToGrid w:val="0"/>
          <w:sz w:val="28"/>
          <w:szCs w:val="28"/>
        </w:rPr>
        <w:t>月較上年同期增加</w:t>
      </w:r>
      <w:r w:rsidRPr="003B6B9A">
        <w:rPr>
          <w:rFonts w:eastAsia="標楷體"/>
          <w:snapToGrid w:val="0"/>
          <w:sz w:val="28"/>
          <w:szCs w:val="28"/>
        </w:rPr>
        <w:t>11.10%</w:t>
      </w:r>
      <w:r w:rsidRPr="003B6B9A">
        <w:rPr>
          <w:rFonts w:eastAsia="標楷體"/>
          <w:snapToGrid w:val="0"/>
          <w:sz w:val="28"/>
          <w:szCs w:val="28"/>
        </w:rPr>
        <w:t>。</w:t>
      </w:r>
    </w:p>
    <w:p w:rsidR="00BD6B4B" w:rsidRPr="00BD6B4B" w:rsidRDefault="00BD6B4B" w:rsidP="009F5533">
      <w:pPr>
        <w:numPr>
          <w:ilvl w:val="0"/>
          <w:numId w:val="3"/>
        </w:numPr>
        <w:snapToGrid w:val="0"/>
        <w:spacing w:beforeLines="50" w:before="180" w:line="300" w:lineRule="auto"/>
        <w:ind w:left="851" w:hanging="567"/>
        <w:jc w:val="both"/>
        <w:rPr>
          <w:rFonts w:eastAsia="標楷體"/>
          <w:snapToGrid w:val="0"/>
          <w:color w:val="FF0000"/>
          <w:sz w:val="28"/>
          <w:szCs w:val="28"/>
        </w:rPr>
      </w:pPr>
      <w:r w:rsidRPr="003B6B9A">
        <w:rPr>
          <w:rFonts w:eastAsia="標楷體"/>
          <w:sz w:val="28"/>
          <w:szCs w:val="28"/>
        </w:rPr>
        <w:t>化學材料業</w:t>
      </w:r>
      <w:r w:rsidRPr="003B6B9A">
        <w:rPr>
          <w:rFonts w:eastAsia="標楷體"/>
          <w:snapToGrid w:val="0"/>
          <w:sz w:val="28"/>
          <w:szCs w:val="28"/>
        </w:rPr>
        <w:t>增加</w:t>
      </w:r>
      <w:r w:rsidRPr="003B6B9A">
        <w:rPr>
          <w:rFonts w:eastAsia="標楷體"/>
          <w:snapToGrid w:val="0"/>
          <w:sz w:val="28"/>
          <w:szCs w:val="28"/>
        </w:rPr>
        <w:t>6.12%</w:t>
      </w:r>
      <w:r w:rsidRPr="003B6B9A">
        <w:rPr>
          <w:rFonts w:eastAsia="標楷體"/>
          <w:snapToGrid w:val="0"/>
          <w:sz w:val="28"/>
          <w:szCs w:val="28"/>
        </w:rPr>
        <w:t>，主因國際油價止跌回升拉動石化價格走揚，加上亞洲石化廠進入密集歲修期，庫存回補需求上升，其中以泛用樹脂、酚、丙二酚等增產較多。累計</w:t>
      </w:r>
      <w:r w:rsidRPr="003B6B9A">
        <w:rPr>
          <w:rFonts w:eastAsia="標楷體"/>
          <w:snapToGrid w:val="0"/>
          <w:sz w:val="28"/>
          <w:szCs w:val="28"/>
        </w:rPr>
        <w:t>1</w:t>
      </w:r>
      <w:r w:rsidRPr="003B6B9A">
        <w:rPr>
          <w:rFonts w:eastAsia="標楷體"/>
          <w:snapToGrid w:val="0"/>
          <w:sz w:val="28"/>
          <w:szCs w:val="28"/>
        </w:rPr>
        <w:t>至</w:t>
      </w:r>
      <w:r w:rsidRPr="003B6B9A">
        <w:rPr>
          <w:rFonts w:eastAsia="標楷體"/>
          <w:snapToGrid w:val="0"/>
          <w:sz w:val="28"/>
          <w:szCs w:val="28"/>
        </w:rPr>
        <w:t>4</w:t>
      </w:r>
      <w:r w:rsidRPr="003B6B9A">
        <w:rPr>
          <w:rFonts w:eastAsia="標楷體"/>
          <w:snapToGrid w:val="0"/>
          <w:sz w:val="28"/>
          <w:szCs w:val="28"/>
        </w:rPr>
        <w:t>月較上年同期增加</w:t>
      </w:r>
      <w:r w:rsidRPr="003B6B9A">
        <w:rPr>
          <w:rFonts w:eastAsia="標楷體"/>
          <w:snapToGrid w:val="0"/>
          <w:sz w:val="28"/>
          <w:szCs w:val="28"/>
        </w:rPr>
        <w:t>3.67%</w:t>
      </w:r>
      <w:r w:rsidRPr="003B6B9A">
        <w:rPr>
          <w:rFonts w:eastAsia="標楷體"/>
          <w:snapToGrid w:val="0"/>
          <w:sz w:val="28"/>
          <w:szCs w:val="28"/>
        </w:rPr>
        <w:t>。</w:t>
      </w:r>
    </w:p>
    <w:p w:rsidR="00BD6B4B" w:rsidRPr="003B6B9A" w:rsidRDefault="00BD6B4B" w:rsidP="00BD6B4B">
      <w:pPr>
        <w:numPr>
          <w:ilvl w:val="0"/>
          <w:numId w:val="3"/>
        </w:numPr>
        <w:snapToGrid w:val="0"/>
        <w:spacing w:beforeLines="50" w:before="180" w:line="300" w:lineRule="auto"/>
        <w:ind w:left="851" w:hanging="567"/>
        <w:jc w:val="both"/>
        <w:rPr>
          <w:rFonts w:eastAsia="標楷體"/>
          <w:snapToGrid w:val="0"/>
          <w:sz w:val="28"/>
          <w:szCs w:val="28"/>
        </w:rPr>
      </w:pPr>
      <w:r w:rsidRPr="003B6B9A">
        <w:rPr>
          <w:rFonts w:eastAsia="標楷體"/>
          <w:snapToGrid w:val="0"/>
          <w:sz w:val="28"/>
          <w:szCs w:val="28"/>
        </w:rPr>
        <w:t>基本金屬業減少</w:t>
      </w:r>
      <w:r w:rsidRPr="003B6B9A">
        <w:rPr>
          <w:rFonts w:eastAsia="標楷體"/>
          <w:snapToGrid w:val="0"/>
          <w:sz w:val="28"/>
          <w:szCs w:val="28"/>
        </w:rPr>
        <w:t>3.48%</w:t>
      </w:r>
      <w:r w:rsidRPr="003B6B9A">
        <w:rPr>
          <w:rFonts w:eastAsia="標楷體"/>
          <w:snapToGrid w:val="0"/>
          <w:sz w:val="28"/>
          <w:szCs w:val="28"/>
        </w:rPr>
        <w:t>，主因全球鋼鐵供過於求，鋼價走低，以及</w:t>
      </w:r>
      <w:r w:rsidRPr="003B6B9A">
        <w:rPr>
          <w:rFonts w:eastAsia="標楷體" w:hint="eastAsia"/>
          <w:snapToGrid w:val="0"/>
          <w:sz w:val="28"/>
          <w:szCs w:val="28"/>
        </w:rPr>
        <w:t>中國</w:t>
      </w:r>
      <w:r w:rsidRPr="003B6B9A">
        <w:rPr>
          <w:rFonts w:eastAsia="標楷體"/>
          <w:snapToGrid w:val="0"/>
          <w:sz w:val="28"/>
          <w:szCs w:val="28"/>
        </w:rPr>
        <w:t>大陸、南韓之低價搶市，客戶觀望氣氛濃厚致生產下滑。累計</w:t>
      </w:r>
      <w:r w:rsidRPr="003B6B9A">
        <w:rPr>
          <w:rFonts w:eastAsia="標楷體"/>
          <w:snapToGrid w:val="0"/>
          <w:sz w:val="28"/>
          <w:szCs w:val="28"/>
        </w:rPr>
        <w:t>1</w:t>
      </w:r>
      <w:r w:rsidRPr="003B6B9A">
        <w:rPr>
          <w:rFonts w:eastAsia="標楷體"/>
          <w:snapToGrid w:val="0"/>
          <w:sz w:val="28"/>
          <w:szCs w:val="28"/>
        </w:rPr>
        <w:t>至</w:t>
      </w:r>
      <w:r w:rsidRPr="003B6B9A">
        <w:rPr>
          <w:rFonts w:eastAsia="標楷體"/>
          <w:snapToGrid w:val="0"/>
          <w:sz w:val="28"/>
          <w:szCs w:val="28"/>
        </w:rPr>
        <w:t>4</w:t>
      </w:r>
      <w:r w:rsidRPr="003B6B9A">
        <w:rPr>
          <w:rFonts w:eastAsia="標楷體"/>
          <w:snapToGrid w:val="0"/>
          <w:sz w:val="28"/>
          <w:szCs w:val="28"/>
        </w:rPr>
        <w:t>月較上年同期減少</w:t>
      </w:r>
      <w:r w:rsidRPr="003B6B9A">
        <w:rPr>
          <w:rFonts w:eastAsia="標楷體"/>
          <w:snapToGrid w:val="0"/>
          <w:sz w:val="28"/>
          <w:szCs w:val="28"/>
        </w:rPr>
        <w:t>0.37%</w:t>
      </w:r>
      <w:r w:rsidRPr="003B6B9A">
        <w:rPr>
          <w:rFonts w:eastAsia="標楷體"/>
          <w:snapToGrid w:val="0"/>
          <w:sz w:val="28"/>
          <w:szCs w:val="28"/>
        </w:rPr>
        <w:t>。</w:t>
      </w:r>
    </w:p>
    <w:p w:rsidR="00BD6B4B" w:rsidRPr="003B6B9A" w:rsidRDefault="00BD6B4B" w:rsidP="00BD6B4B">
      <w:pPr>
        <w:numPr>
          <w:ilvl w:val="0"/>
          <w:numId w:val="3"/>
        </w:numPr>
        <w:snapToGrid w:val="0"/>
        <w:spacing w:beforeLines="50" w:before="180" w:line="300" w:lineRule="auto"/>
        <w:ind w:left="851" w:hanging="567"/>
        <w:jc w:val="both"/>
        <w:rPr>
          <w:rFonts w:eastAsia="標楷體"/>
          <w:snapToGrid w:val="0"/>
          <w:sz w:val="28"/>
          <w:szCs w:val="28"/>
        </w:rPr>
      </w:pPr>
      <w:r w:rsidRPr="003B6B9A">
        <w:rPr>
          <w:rFonts w:eastAsia="標楷體"/>
          <w:snapToGrid w:val="0"/>
          <w:sz w:val="28"/>
          <w:szCs w:val="28"/>
        </w:rPr>
        <w:t>電腦、電子產品及光學製品業減少</w:t>
      </w:r>
      <w:r w:rsidRPr="003B6B9A">
        <w:rPr>
          <w:rFonts w:eastAsia="標楷體"/>
          <w:snapToGrid w:val="0"/>
          <w:sz w:val="28"/>
          <w:szCs w:val="28"/>
        </w:rPr>
        <w:t>13.37%</w:t>
      </w:r>
      <w:r w:rsidRPr="003B6B9A">
        <w:rPr>
          <w:rFonts w:eastAsia="標楷體"/>
          <w:snapToGrid w:val="0"/>
          <w:sz w:val="28"/>
          <w:szCs w:val="28"/>
        </w:rPr>
        <w:t>，結束自</w:t>
      </w:r>
      <w:r w:rsidRPr="003B6B9A">
        <w:rPr>
          <w:rFonts w:eastAsia="標楷體"/>
          <w:snapToGrid w:val="0"/>
          <w:sz w:val="28"/>
          <w:szCs w:val="28"/>
        </w:rPr>
        <w:t>103</w:t>
      </w:r>
      <w:r w:rsidRPr="003B6B9A">
        <w:rPr>
          <w:rFonts w:eastAsia="標楷體"/>
          <w:snapToGrid w:val="0"/>
          <w:sz w:val="28"/>
          <w:szCs w:val="28"/>
        </w:rPr>
        <w:t>年</w:t>
      </w:r>
      <w:r w:rsidRPr="003B6B9A">
        <w:rPr>
          <w:rFonts w:eastAsia="標楷體"/>
          <w:snapToGrid w:val="0"/>
          <w:sz w:val="28"/>
          <w:szCs w:val="28"/>
        </w:rPr>
        <w:t>2</w:t>
      </w:r>
      <w:r w:rsidRPr="003B6B9A">
        <w:rPr>
          <w:rFonts w:eastAsia="標楷體"/>
          <w:snapToGrid w:val="0"/>
          <w:sz w:val="28"/>
          <w:szCs w:val="28"/>
        </w:rPr>
        <w:t>月以來之正成長，主因手持行動裝置、伺服器、照相機等減產，抵銷工業電腦、電腦零件等增產貢獻。累計</w:t>
      </w:r>
      <w:r w:rsidRPr="003B6B9A">
        <w:rPr>
          <w:rFonts w:eastAsia="標楷體"/>
          <w:snapToGrid w:val="0"/>
          <w:sz w:val="28"/>
          <w:szCs w:val="28"/>
        </w:rPr>
        <w:t>1</w:t>
      </w:r>
      <w:r w:rsidRPr="003B6B9A">
        <w:rPr>
          <w:rFonts w:eastAsia="標楷體"/>
          <w:snapToGrid w:val="0"/>
          <w:sz w:val="28"/>
          <w:szCs w:val="28"/>
        </w:rPr>
        <w:t>至</w:t>
      </w:r>
      <w:r w:rsidRPr="003B6B9A">
        <w:rPr>
          <w:rFonts w:eastAsia="標楷體"/>
          <w:snapToGrid w:val="0"/>
          <w:sz w:val="28"/>
          <w:szCs w:val="28"/>
        </w:rPr>
        <w:t>4</w:t>
      </w:r>
      <w:r w:rsidRPr="003B6B9A">
        <w:rPr>
          <w:rFonts w:eastAsia="標楷體"/>
          <w:snapToGrid w:val="0"/>
          <w:sz w:val="28"/>
          <w:szCs w:val="28"/>
        </w:rPr>
        <w:t>月較上年同期增加</w:t>
      </w:r>
      <w:r w:rsidRPr="003B6B9A">
        <w:rPr>
          <w:rFonts w:eastAsia="標楷體"/>
          <w:snapToGrid w:val="0"/>
          <w:sz w:val="28"/>
          <w:szCs w:val="28"/>
        </w:rPr>
        <w:t>5.39%</w:t>
      </w:r>
      <w:r w:rsidRPr="003B6B9A">
        <w:rPr>
          <w:rFonts w:eastAsia="標楷體"/>
          <w:snapToGrid w:val="0"/>
          <w:sz w:val="28"/>
          <w:szCs w:val="28"/>
        </w:rPr>
        <w:t>。</w:t>
      </w:r>
    </w:p>
    <w:p w:rsidR="00BD6B4B" w:rsidRPr="003B6B9A" w:rsidRDefault="00BD6B4B" w:rsidP="00BD6B4B">
      <w:pPr>
        <w:numPr>
          <w:ilvl w:val="0"/>
          <w:numId w:val="3"/>
        </w:numPr>
        <w:snapToGrid w:val="0"/>
        <w:spacing w:beforeLines="50" w:before="180" w:line="300" w:lineRule="auto"/>
        <w:ind w:left="851" w:hanging="567"/>
        <w:jc w:val="both"/>
        <w:rPr>
          <w:rFonts w:eastAsia="標楷體"/>
          <w:snapToGrid w:val="0"/>
          <w:sz w:val="28"/>
          <w:szCs w:val="28"/>
        </w:rPr>
      </w:pPr>
      <w:r w:rsidRPr="003B6B9A">
        <w:rPr>
          <w:rFonts w:eastAsia="標楷體"/>
          <w:snapToGrid w:val="0"/>
          <w:sz w:val="28"/>
          <w:szCs w:val="28"/>
        </w:rPr>
        <w:t>機械設備業增加</w:t>
      </w:r>
      <w:r w:rsidRPr="003B6B9A">
        <w:rPr>
          <w:rFonts w:eastAsia="標楷體"/>
          <w:snapToGrid w:val="0"/>
          <w:sz w:val="28"/>
          <w:szCs w:val="28"/>
        </w:rPr>
        <w:t>10.30%</w:t>
      </w:r>
      <w:r w:rsidRPr="003B6B9A">
        <w:rPr>
          <w:rFonts w:eastAsia="標楷體"/>
          <w:snapToGrid w:val="0"/>
          <w:sz w:val="28"/>
          <w:szCs w:val="28"/>
        </w:rPr>
        <w:t>，主因業者於東南亞建廠之設備需求，以及來自歐美、中國大陸的自動化設備訂單，帶動通用機械、橡塑膠機械、傳動機械、半導體生產設備等增產。累計</w:t>
      </w:r>
      <w:r w:rsidRPr="003B6B9A">
        <w:rPr>
          <w:rFonts w:eastAsia="標楷體"/>
          <w:snapToGrid w:val="0"/>
          <w:sz w:val="28"/>
          <w:szCs w:val="28"/>
        </w:rPr>
        <w:t>1</w:t>
      </w:r>
      <w:r w:rsidRPr="003B6B9A">
        <w:rPr>
          <w:rFonts w:eastAsia="標楷體"/>
          <w:snapToGrid w:val="0"/>
          <w:sz w:val="28"/>
          <w:szCs w:val="28"/>
        </w:rPr>
        <w:t>至</w:t>
      </w:r>
      <w:r w:rsidRPr="003B6B9A">
        <w:rPr>
          <w:rFonts w:eastAsia="標楷體"/>
          <w:snapToGrid w:val="0"/>
          <w:sz w:val="28"/>
          <w:szCs w:val="28"/>
        </w:rPr>
        <w:t>4</w:t>
      </w:r>
      <w:r w:rsidRPr="003B6B9A">
        <w:rPr>
          <w:rFonts w:eastAsia="標楷體"/>
          <w:snapToGrid w:val="0"/>
          <w:sz w:val="28"/>
          <w:szCs w:val="28"/>
        </w:rPr>
        <w:t>月較上年同期增加</w:t>
      </w:r>
      <w:r w:rsidRPr="003B6B9A">
        <w:rPr>
          <w:rFonts w:eastAsia="標楷體"/>
          <w:snapToGrid w:val="0"/>
          <w:sz w:val="28"/>
          <w:szCs w:val="28"/>
        </w:rPr>
        <w:t>11.62%</w:t>
      </w:r>
      <w:r w:rsidRPr="003B6B9A">
        <w:rPr>
          <w:rFonts w:eastAsia="標楷體"/>
          <w:snapToGrid w:val="0"/>
          <w:sz w:val="28"/>
          <w:szCs w:val="28"/>
        </w:rPr>
        <w:t>。</w:t>
      </w:r>
    </w:p>
    <w:p w:rsidR="00BD6B4B" w:rsidRPr="00B118E9" w:rsidRDefault="00BD6B4B" w:rsidP="00BD6B4B">
      <w:pPr>
        <w:numPr>
          <w:ilvl w:val="0"/>
          <w:numId w:val="3"/>
        </w:numPr>
        <w:snapToGrid w:val="0"/>
        <w:spacing w:beforeLines="50" w:before="180" w:line="300" w:lineRule="auto"/>
        <w:ind w:left="851" w:hanging="567"/>
        <w:jc w:val="both"/>
        <w:rPr>
          <w:rFonts w:eastAsia="標楷體"/>
          <w:snapToGrid w:val="0"/>
          <w:color w:val="FF0000"/>
          <w:sz w:val="28"/>
          <w:szCs w:val="28"/>
        </w:rPr>
      </w:pPr>
      <w:r w:rsidRPr="003B6B9A">
        <w:rPr>
          <w:rFonts w:eastAsia="標楷體"/>
          <w:snapToGrid w:val="0"/>
          <w:sz w:val="28"/>
          <w:szCs w:val="28"/>
        </w:rPr>
        <w:t>汽車及其零件業減少</w:t>
      </w:r>
      <w:r w:rsidRPr="003B6B9A">
        <w:rPr>
          <w:rFonts w:eastAsia="標楷體"/>
          <w:snapToGrid w:val="0"/>
          <w:sz w:val="28"/>
          <w:szCs w:val="28"/>
        </w:rPr>
        <w:t>15.88%</w:t>
      </w:r>
      <w:r w:rsidRPr="003B6B9A">
        <w:rPr>
          <w:rFonts w:eastAsia="標楷體"/>
          <w:snapToGrid w:val="0"/>
          <w:sz w:val="28"/>
          <w:szCs w:val="28"/>
        </w:rPr>
        <w:t>，主因部分車廠因產線更新及新車零件供貨不足而停工，下游相關零組件廠亦同步休假因應，加上進口車款的競爭，致轎車、大型貨車及汽車零組件等均明顯減產。累計</w:t>
      </w:r>
      <w:r w:rsidRPr="003B6B9A">
        <w:rPr>
          <w:rFonts w:eastAsia="標楷體"/>
          <w:snapToGrid w:val="0"/>
          <w:sz w:val="28"/>
          <w:szCs w:val="28"/>
        </w:rPr>
        <w:t>1</w:t>
      </w:r>
      <w:r w:rsidRPr="003B6B9A">
        <w:rPr>
          <w:rFonts w:eastAsia="標楷體"/>
          <w:snapToGrid w:val="0"/>
          <w:sz w:val="28"/>
          <w:szCs w:val="28"/>
        </w:rPr>
        <w:t>至</w:t>
      </w:r>
      <w:r w:rsidRPr="003B6B9A">
        <w:rPr>
          <w:rFonts w:eastAsia="標楷體"/>
          <w:snapToGrid w:val="0"/>
          <w:sz w:val="28"/>
          <w:szCs w:val="28"/>
        </w:rPr>
        <w:t>4</w:t>
      </w:r>
      <w:r w:rsidRPr="003B6B9A">
        <w:rPr>
          <w:rFonts w:eastAsia="標楷體"/>
          <w:snapToGrid w:val="0"/>
          <w:sz w:val="28"/>
          <w:szCs w:val="28"/>
        </w:rPr>
        <w:t>月較上年同期減少</w:t>
      </w:r>
      <w:r w:rsidRPr="003B6B9A">
        <w:rPr>
          <w:rFonts w:eastAsia="標楷體"/>
          <w:snapToGrid w:val="0"/>
          <w:sz w:val="28"/>
          <w:szCs w:val="28"/>
        </w:rPr>
        <w:t>0.51%</w:t>
      </w:r>
      <w:r w:rsidRPr="003B6B9A">
        <w:rPr>
          <w:rFonts w:eastAsia="標楷體"/>
          <w:snapToGrid w:val="0"/>
          <w:sz w:val="28"/>
          <w:szCs w:val="28"/>
        </w:rPr>
        <w:t>。</w:t>
      </w:r>
    </w:p>
    <w:p w:rsidR="001A50A9" w:rsidRDefault="003F3F99" w:rsidP="00AC575C">
      <w:pPr>
        <w:widowControl/>
        <w:jc w:val="center"/>
        <w:rPr>
          <w:rFonts w:eastAsia="標楷體"/>
          <w:color w:val="FF0000"/>
          <w:sz w:val="28"/>
          <w:szCs w:val="28"/>
        </w:rPr>
      </w:pPr>
      <w:r w:rsidRPr="00B118E9">
        <w:rPr>
          <w:rFonts w:eastAsia="標楷體"/>
          <w:color w:val="FF0000"/>
          <w:sz w:val="28"/>
          <w:szCs w:val="28"/>
        </w:rPr>
        <w:br w:type="page"/>
      </w:r>
    </w:p>
    <w:p w:rsidR="001A50A9" w:rsidRDefault="001A50A9" w:rsidP="00AC575C">
      <w:pPr>
        <w:widowControl/>
        <w:jc w:val="center"/>
        <w:rPr>
          <w:rFonts w:eastAsia="標楷體"/>
          <w:color w:val="FF0000"/>
          <w:sz w:val="28"/>
          <w:szCs w:val="28"/>
        </w:rPr>
      </w:pPr>
    </w:p>
    <w:p w:rsidR="003F3F99" w:rsidRPr="00B118E9" w:rsidRDefault="003F3F99" w:rsidP="00AC575C">
      <w:pPr>
        <w:widowControl/>
        <w:jc w:val="center"/>
        <w:rPr>
          <w:rFonts w:eastAsia="標楷體"/>
          <w:b/>
          <w:bCs/>
        </w:rPr>
      </w:pPr>
      <w:r w:rsidRPr="00B118E9">
        <w:rPr>
          <w:rFonts w:eastAsia="標楷體"/>
          <w:b/>
          <w:bCs/>
          <w:sz w:val="28"/>
        </w:rPr>
        <w:t>表</w:t>
      </w:r>
      <w:r w:rsidRPr="00B118E9">
        <w:rPr>
          <w:rFonts w:eastAsia="標楷體"/>
          <w:b/>
          <w:bCs/>
          <w:sz w:val="28"/>
        </w:rPr>
        <w:t xml:space="preserve">2-2-3   </w:t>
      </w:r>
      <w:r w:rsidRPr="00B118E9">
        <w:rPr>
          <w:rFonts w:eastAsia="標楷體"/>
          <w:b/>
          <w:bCs/>
          <w:sz w:val="28"/>
        </w:rPr>
        <w:t>主要製造業行業年增率</w:t>
      </w:r>
    </w:p>
    <w:tbl>
      <w:tblPr>
        <w:tblW w:w="8629" w:type="dxa"/>
        <w:jc w:val="center"/>
        <w:tblInd w:w="-474" w:type="dxa"/>
        <w:tblBorders>
          <w:top w:val="single" w:sz="6" w:space="0" w:color="auto"/>
          <w:bottom w:val="single" w:sz="6" w:space="0" w:color="auto"/>
          <w:insideV w:val="single" w:sz="6" w:space="0" w:color="auto"/>
        </w:tblBorders>
        <w:tblCellMar>
          <w:left w:w="0" w:type="dxa"/>
          <w:right w:w="0" w:type="dxa"/>
        </w:tblCellMar>
        <w:tblLook w:val="0000" w:firstRow="0" w:lastRow="0" w:firstColumn="0" w:lastColumn="0" w:noHBand="0" w:noVBand="0"/>
      </w:tblPr>
      <w:tblGrid>
        <w:gridCol w:w="3809"/>
        <w:gridCol w:w="2410"/>
        <w:gridCol w:w="2410"/>
      </w:tblGrid>
      <w:tr w:rsidR="001A50A9" w:rsidRPr="003B6B9A" w:rsidTr="001040FB">
        <w:trPr>
          <w:cantSplit/>
          <w:trHeight w:val="551"/>
          <w:jc w:val="center"/>
        </w:trPr>
        <w:tc>
          <w:tcPr>
            <w:tcW w:w="3809" w:type="dxa"/>
            <w:tcBorders>
              <w:top w:val="single" w:sz="6" w:space="0" w:color="auto"/>
              <w:bottom w:val="single" w:sz="6" w:space="0" w:color="auto"/>
            </w:tcBorders>
            <w:tcMar>
              <w:top w:w="15" w:type="dxa"/>
              <w:left w:w="15" w:type="dxa"/>
              <w:bottom w:w="0" w:type="dxa"/>
              <w:right w:w="15" w:type="dxa"/>
            </w:tcMar>
            <w:vAlign w:val="center"/>
          </w:tcPr>
          <w:p w:rsidR="001A50A9" w:rsidRPr="003B6B9A" w:rsidRDefault="001A50A9" w:rsidP="001040FB">
            <w:pPr>
              <w:snapToGrid w:val="0"/>
              <w:spacing w:line="400" w:lineRule="exact"/>
              <w:ind w:left="248"/>
              <w:jc w:val="center"/>
              <w:rPr>
                <w:rFonts w:eastAsia="標楷體"/>
                <w:b/>
                <w:bCs/>
              </w:rPr>
            </w:pPr>
            <w:r w:rsidRPr="003B6B9A">
              <w:rPr>
                <w:rFonts w:eastAsia="標楷體"/>
                <w:b/>
                <w:bCs/>
              </w:rPr>
              <w:t>中業別</w:t>
            </w:r>
          </w:p>
        </w:tc>
        <w:tc>
          <w:tcPr>
            <w:tcW w:w="2410" w:type="dxa"/>
            <w:tcBorders>
              <w:top w:val="single" w:sz="6" w:space="0" w:color="auto"/>
              <w:bottom w:val="single" w:sz="6" w:space="0" w:color="auto"/>
            </w:tcBorders>
            <w:vAlign w:val="center"/>
          </w:tcPr>
          <w:p w:rsidR="001A50A9" w:rsidRPr="003B6B9A" w:rsidRDefault="001A50A9" w:rsidP="001040FB">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w:t>
            </w:r>
            <w:r w:rsidRPr="003B6B9A">
              <w:rPr>
                <w:rFonts w:eastAsia="標楷體"/>
                <w:b/>
                <w:bCs/>
              </w:rPr>
              <w:t>4</w:t>
            </w:r>
            <w:r w:rsidRPr="003B6B9A">
              <w:rPr>
                <w:rFonts w:eastAsia="標楷體"/>
                <w:b/>
                <w:bCs/>
              </w:rPr>
              <w:t>月較</w:t>
            </w:r>
          </w:p>
          <w:p w:rsidR="001A50A9" w:rsidRPr="003B6B9A" w:rsidRDefault="001A50A9" w:rsidP="001040FB">
            <w:pPr>
              <w:snapToGrid w:val="0"/>
              <w:spacing w:line="320" w:lineRule="exact"/>
              <w:ind w:left="28"/>
              <w:jc w:val="center"/>
              <w:rPr>
                <w:rFonts w:eastAsia="標楷體"/>
              </w:rPr>
            </w:pPr>
            <w:r w:rsidRPr="003B6B9A">
              <w:rPr>
                <w:rFonts w:eastAsia="標楷體"/>
                <w:b/>
                <w:bCs/>
              </w:rPr>
              <w:t>103</w:t>
            </w:r>
            <w:r w:rsidRPr="003B6B9A">
              <w:rPr>
                <w:rFonts w:eastAsia="標楷體"/>
                <w:b/>
                <w:bCs/>
              </w:rPr>
              <w:t>年同月增減</w:t>
            </w:r>
            <w:r w:rsidRPr="003B6B9A">
              <w:rPr>
                <w:rFonts w:eastAsia="標楷體"/>
                <w:b/>
                <w:bCs/>
              </w:rPr>
              <w:t>(%)</w:t>
            </w:r>
          </w:p>
        </w:tc>
        <w:tc>
          <w:tcPr>
            <w:tcW w:w="2410" w:type="dxa"/>
            <w:tcBorders>
              <w:top w:val="single" w:sz="6" w:space="0" w:color="auto"/>
              <w:bottom w:val="single" w:sz="6" w:space="0" w:color="auto"/>
            </w:tcBorders>
          </w:tcPr>
          <w:p w:rsidR="001A50A9" w:rsidRPr="003B6B9A" w:rsidRDefault="001A50A9" w:rsidP="001040FB">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年累計較</w:t>
            </w:r>
          </w:p>
          <w:p w:rsidR="001A50A9" w:rsidRPr="003B6B9A" w:rsidRDefault="001A50A9" w:rsidP="001040FB">
            <w:pPr>
              <w:snapToGrid w:val="0"/>
              <w:spacing w:line="320" w:lineRule="exact"/>
              <w:ind w:left="28"/>
              <w:jc w:val="center"/>
              <w:rPr>
                <w:rFonts w:eastAsia="標楷體"/>
                <w:b/>
                <w:bCs/>
              </w:rPr>
            </w:pPr>
            <w:r w:rsidRPr="003B6B9A">
              <w:rPr>
                <w:rFonts w:eastAsia="標楷體"/>
                <w:b/>
                <w:bCs/>
              </w:rPr>
              <w:t>103</w:t>
            </w:r>
            <w:r w:rsidRPr="003B6B9A">
              <w:rPr>
                <w:rFonts w:eastAsia="標楷體"/>
                <w:b/>
                <w:bCs/>
              </w:rPr>
              <w:t>年同期增減</w:t>
            </w:r>
            <w:r w:rsidRPr="003B6B9A">
              <w:rPr>
                <w:rFonts w:eastAsia="標楷體"/>
                <w:b/>
                <w:bCs/>
              </w:rPr>
              <w:t>(%)</w:t>
            </w:r>
          </w:p>
        </w:tc>
      </w:tr>
      <w:tr w:rsidR="001A50A9" w:rsidRPr="003B6B9A" w:rsidTr="001040FB">
        <w:trPr>
          <w:cantSplit/>
          <w:trHeight w:val="340"/>
          <w:jc w:val="center"/>
        </w:trPr>
        <w:tc>
          <w:tcPr>
            <w:tcW w:w="3809" w:type="dxa"/>
            <w:tcBorders>
              <w:top w:val="single" w:sz="6" w:space="0" w:color="auto"/>
            </w:tcBorders>
            <w:tcMar>
              <w:top w:w="15" w:type="dxa"/>
              <w:left w:w="15" w:type="dxa"/>
              <w:bottom w:w="0" w:type="dxa"/>
              <w:right w:w="15" w:type="dxa"/>
            </w:tcMar>
            <w:vAlign w:val="center"/>
          </w:tcPr>
          <w:p w:rsidR="001A50A9" w:rsidRPr="003B6B9A" w:rsidRDefault="001A50A9" w:rsidP="001040FB">
            <w:pPr>
              <w:snapToGrid w:val="0"/>
              <w:spacing w:line="400" w:lineRule="exact"/>
              <w:ind w:left="250"/>
              <w:rPr>
                <w:rFonts w:eastAsia="標楷體"/>
              </w:rPr>
            </w:pPr>
            <w:r w:rsidRPr="003B6B9A">
              <w:rPr>
                <w:rFonts w:eastAsia="標楷體"/>
              </w:rPr>
              <w:t>電子零組件業</w:t>
            </w:r>
          </w:p>
        </w:tc>
        <w:tc>
          <w:tcPr>
            <w:tcW w:w="2410" w:type="dxa"/>
            <w:tcBorders>
              <w:top w:val="single" w:sz="6" w:space="0" w:color="auto"/>
            </w:tcBorders>
            <w:vAlign w:val="center"/>
          </w:tcPr>
          <w:p w:rsidR="001A50A9" w:rsidRPr="003B6B9A" w:rsidRDefault="001A50A9" w:rsidP="001040FB">
            <w:pPr>
              <w:tabs>
                <w:tab w:val="left" w:pos="1728"/>
              </w:tabs>
              <w:spacing w:line="400" w:lineRule="exact"/>
              <w:ind w:leftChars="30" w:left="72" w:rightChars="369" w:right="886"/>
              <w:jc w:val="right"/>
              <w:rPr>
                <w:rFonts w:eastAsia="標楷體"/>
              </w:rPr>
            </w:pPr>
            <w:r w:rsidRPr="003B6B9A">
              <w:rPr>
                <w:rFonts w:eastAsia="標楷體"/>
              </w:rPr>
              <w:t>5.61</w:t>
            </w:r>
          </w:p>
        </w:tc>
        <w:tc>
          <w:tcPr>
            <w:tcW w:w="2410" w:type="dxa"/>
            <w:tcBorders>
              <w:top w:val="single" w:sz="6" w:space="0" w:color="auto"/>
            </w:tcBorders>
            <w:vAlign w:val="center"/>
          </w:tcPr>
          <w:p w:rsidR="001A50A9" w:rsidRPr="003B6B9A" w:rsidRDefault="001A50A9" w:rsidP="001040FB">
            <w:pPr>
              <w:tabs>
                <w:tab w:val="left" w:pos="1728"/>
              </w:tabs>
              <w:spacing w:line="400" w:lineRule="exact"/>
              <w:ind w:leftChars="30" w:left="72" w:rightChars="369" w:right="886"/>
              <w:jc w:val="right"/>
              <w:rPr>
                <w:rFonts w:eastAsia="標楷體"/>
              </w:rPr>
            </w:pPr>
            <w:r w:rsidRPr="003B6B9A">
              <w:rPr>
                <w:rFonts w:eastAsia="標楷體"/>
              </w:rPr>
              <w:t>11.10</w:t>
            </w:r>
          </w:p>
        </w:tc>
      </w:tr>
      <w:tr w:rsidR="001A50A9" w:rsidRPr="003B6B9A" w:rsidTr="001040FB">
        <w:trPr>
          <w:cantSplit/>
          <w:trHeight w:val="330"/>
          <w:jc w:val="center"/>
        </w:trPr>
        <w:tc>
          <w:tcPr>
            <w:tcW w:w="3809" w:type="dxa"/>
            <w:tcMar>
              <w:top w:w="15" w:type="dxa"/>
              <w:left w:w="15" w:type="dxa"/>
              <w:bottom w:w="0" w:type="dxa"/>
              <w:right w:w="15" w:type="dxa"/>
            </w:tcMar>
            <w:vAlign w:val="center"/>
          </w:tcPr>
          <w:p w:rsidR="001A50A9" w:rsidRPr="003B6B9A" w:rsidRDefault="001A50A9" w:rsidP="001040FB">
            <w:pPr>
              <w:snapToGrid w:val="0"/>
              <w:spacing w:line="400" w:lineRule="exact"/>
              <w:ind w:left="250"/>
              <w:rPr>
                <w:rFonts w:eastAsia="標楷體"/>
              </w:rPr>
            </w:pPr>
            <w:r w:rsidRPr="003B6B9A">
              <w:rPr>
                <w:rFonts w:eastAsia="標楷體"/>
              </w:rPr>
              <w:t>化學材料業</w:t>
            </w:r>
          </w:p>
        </w:tc>
        <w:tc>
          <w:tcPr>
            <w:tcW w:w="2410" w:type="dxa"/>
          </w:tcPr>
          <w:p w:rsidR="001A50A9" w:rsidRPr="003B6B9A" w:rsidRDefault="001A50A9" w:rsidP="001040FB">
            <w:pPr>
              <w:tabs>
                <w:tab w:val="left" w:pos="1728"/>
              </w:tabs>
              <w:spacing w:line="400" w:lineRule="exact"/>
              <w:ind w:leftChars="30" w:left="72" w:rightChars="369" w:right="886"/>
              <w:jc w:val="right"/>
            </w:pPr>
            <w:r w:rsidRPr="003B6B9A">
              <w:t>6.12</w:t>
            </w:r>
          </w:p>
        </w:tc>
        <w:tc>
          <w:tcPr>
            <w:tcW w:w="2410" w:type="dxa"/>
          </w:tcPr>
          <w:p w:rsidR="001A50A9" w:rsidRPr="003B6B9A" w:rsidRDefault="001A50A9" w:rsidP="001040FB">
            <w:pPr>
              <w:tabs>
                <w:tab w:val="left" w:pos="1728"/>
              </w:tabs>
              <w:spacing w:line="400" w:lineRule="exact"/>
              <w:ind w:leftChars="30" w:left="72" w:rightChars="369" w:right="886"/>
              <w:jc w:val="right"/>
            </w:pPr>
            <w:r w:rsidRPr="003B6B9A">
              <w:t>3.67</w:t>
            </w:r>
          </w:p>
        </w:tc>
      </w:tr>
      <w:tr w:rsidR="001A50A9" w:rsidRPr="003B6B9A" w:rsidTr="001040FB">
        <w:trPr>
          <w:cantSplit/>
          <w:trHeight w:val="313"/>
          <w:jc w:val="center"/>
        </w:trPr>
        <w:tc>
          <w:tcPr>
            <w:tcW w:w="3809" w:type="dxa"/>
            <w:tcMar>
              <w:top w:w="15" w:type="dxa"/>
              <w:left w:w="15" w:type="dxa"/>
              <w:bottom w:w="0" w:type="dxa"/>
              <w:right w:w="15" w:type="dxa"/>
            </w:tcMar>
            <w:vAlign w:val="center"/>
          </w:tcPr>
          <w:p w:rsidR="001A50A9" w:rsidRPr="003B6B9A" w:rsidRDefault="001A50A9" w:rsidP="001040FB">
            <w:pPr>
              <w:snapToGrid w:val="0"/>
              <w:spacing w:line="400" w:lineRule="exact"/>
              <w:ind w:left="250"/>
              <w:rPr>
                <w:rFonts w:eastAsia="標楷體"/>
              </w:rPr>
            </w:pPr>
            <w:r w:rsidRPr="003B6B9A">
              <w:rPr>
                <w:rFonts w:eastAsia="標楷體"/>
              </w:rPr>
              <w:t>基本金屬業</w:t>
            </w:r>
          </w:p>
        </w:tc>
        <w:tc>
          <w:tcPr>
            <w:tcW w:w="2410" w:type="dxa"/>
          </w:tcPr>
          <w:p w:rsidR="001A50A9" w:rsidRPr="003B6B9A" w:rsidRDefault="001A50A9" w:rsidP="001040FB">
            <w:pPr>
              <w:tabs>
                <w:tab w:val="left" w:pos="1728"/>
              </w:tabs>
              <w:spacing w:line="400" w:lineRule="exact"/>
              <w:ind w:leftChars="30" w:left="72" w:rightChars="369" w:right="886"/>
              <w:jc w:val="right"/>
            </w:pPr>
            <w:r w:rsidRPr="003B6B9A">
              <w:t>-3.48</w:t>
            </w:r>
          </w:p>
        </w:tc>
        <w:tc>
          <w:tcPr>
            <w:tcW w:w="2410" w:type="dxa"/>
          </w:tcPr>
          <w:p w:rsidR="001A50A9" w:rsidRPr="003B6B9A" w:rsidRDefault="001A50A9" w:rsidP="001040FB">
            <w:pPr>
              <w:tabs>
                <w:tab w:val="left" w:pos="1728"/>
              </w:tabs>
              <w:spacing w:line="400" w:lineRule="exact"/>
              <w:ind w:leftChars="30" w:left="72" w:rightChars="369" w:right="886"/>
              <w:jc w:val="right"/>
            </w:pPr>
            <w:r w:rsidRPr="003B6B9A">
              <w:t>-0.37</w:t>
            </w:r>
          </w:p>
        </w:tc>
      </w:tr>
      <w:tr w:rsidR="001A50A9" w:rsidRPr="003B6B9A" w:rsidTr="001040FB">
        <w:trPr>
          <w:cantSplit/>
          <w:trHeight w:val="374"/>
          <w:jc w:val="center"/>
        </w:trPr>
        <w:tc>
          <w:tcPr>
            <w:tcW w:w="3809" w:type="dxa"/>
            <w:tcMar>
              <w:top w:w="15" w:type="dxa"/>
              <w:left w:w="15" w:type="dxa"/>
              <w:bottom w:w="0" w:type="dxa"/>
              <w:right w:w="15" w:type="dxa"/>
            </w:tcMar>
            <w:vAlign w:val="center"/>
          </w:tcPr>
          <w:p w:rsidR="001A50A9" w:rsidRPr="003B6B9A" w:rsidRDefault="001A50A9" w:rsidP="001040FB">
            <w:pPr>
              <w:snapToGrid w:val="0"/>
              <w:spacing w:line="400" w:lineRule="exact"/>
              <w:ind w:left="250"/>
              <w:rPr>
                <w:rFonts w:eastAsia="標楷體"/>
              </w:rPr>
            </w:pPr>
            <w:r w:rsidRPr="003B6B9A">
              <w:rPr>
                <w:rFonts w:eastAsia="標楷體"/>
                <w:snapToGrid w:val="0"/>
              </w:rPr>
              <w:t>電腦、電子產品及光學製品業</w:t>
            </w:r>
          </w:p>
        </w:tc>
        <w:tc>
          <w:tcPr>
            <w:tcW w:w="2410" w:type="dxa"/>
          </w:tcPr>
          <w:p w:rsidR="001A50A9" w:rsidRPr="003B6B9A" w:rsidRDefault="001A50A9" w:rsidP="001040FB">
            <w:pPr>
              <w:tabs>
                <w:tab w:val="left" w:pos="1728"/>
              </w:tabs>
              <w:spacing w:line="400" w:lineRule="exact"/>
              <w:ind w:leftChars="30" w:left="72" w:rightChars="369" w:right="886"/>
              <w:jc w:val="right"/>
            </w:pPr>
            <w:r w:rsidRPr="003B6B9A">
              <w:t>-13.37</w:t>
            </w:r>
          </w:p>
        </w:tc>
        <w:tc>
          <w:tcPr>
            <w:tcW w:w="2410" w:type="dxa"/>
          </w:tcPr>
          <w:p w:rsidR="001A50A9" w:rsidRPr="003B6B9A" w:rsidRDefault="001A50A9" w:rsidP="001040FB">
            <w:pPr>
              <w:tabs>
                <w:tab w:val="left" w:pos="1728"/>
              </w:tabs>
              <w:spacing w:line="400" w:lineRule="exact"/>
              <w:ind w:leftChars="30" w:left="72" w:rightChars="369" w:right="886"/>
              <w:jc w:val="right"/>
            </w:pPr>
            <w:r w:rsidRPr="003B6B9A">
              <w:t>5.39</w:t>
            </w:r>
          </w:p>
        </w:tc>
      </w:tr>
      <w:tr w:rsidR="001A50A9" w:rsidRPr="003B6B9A" w:rsidTr="001040FB">
        <w:trPr>
          <w:cantSplit/>
          <w:trHeight w:val="340"/>
          <w:jc w:val="center"/>
        </w:trPr>
        <w:tc>
          <w:tcPr>
            <w:tcW w:w="3809" w:type="dxa"/>
            <w:tcMar>
              <w:top w:w="15" w:type="dxa"/>
              <w:left w:w="15" w:type="dxa"/>
              <w:bottom w:w="0" w:type="dxa"/>
              <w:right w:w="15" w:type="dxa"/>
            </w:tcMar>
            <w:vAlign w:val="center"/>
          </w:tcPr>
          <w:p w:rsidR="001A50A9" w:rsidRPr="003B6B9A" w:rsidRDefault="001A50A9" w:rsidP="001040FB">
            <w:pPr>
              <w:snapToGrid w:val="0"/>
              <w:spacing w:line="400" w:lineRule="exact"/>
              <w:ind w:left="250"/>
              <w:rPr>
                <w:rFonts w:eastAsia="標楷體"/>
              </w:rPr>
            </w:pPr>
            <w:r w:rsidRPr="003B6B9A">
              <w:rPr>
                <w:rFonts w:eastAsia="標楷體"/>
              </w:rPr>
              <w:t>機械設備業</w:t>
            </w:r>
          </w:p>
        </w:tc>
        <w:tc>
          <w:tcPr>
            <w:tcW w:w="2410" w:type="dxa"/>
          </w:tcPr>
          <w:p w:rsidR="001A50A9" w:rsidRPr="003B6B9A" w:rsidRDefault="001A50A9" w:rsidP="001040FB">
            <w:pPr>
              <w:tabs>
                <w:tab w:val="left" w:pos="1728"/>
              </w:tabs>
              <w:spacing w:line="400" w:lineRule="exact"/>
              <w:ind w:leftChars="30" w:left="72" w:rightChars="369" w:right="886"/>
              <w:jc w:val="right"/>
            </w:pPr>
            <w:r w:rsidRPr="003B6B9A">
              <w:t>10.30</w:t>
            </w:r>
          </w:p>
        </w:tc>
        <w:tc>
          <w:tcPr>
            <w:tcW w:w="2410" w:type="dxa"/>
          </w:tcPr>
          <w:p w:rsidR="001A50A9" w:rsidRPr="003B6B9A" w:rsidRDefault="001A50A9" w:rsidP="001040FB">
            <w:pPr>
              <w:tabs>
                <w:tab w:val="left" w:pos="1728"/>
              </w:tabs>
              <w:spacing w:line="400" w:lineRule="exact"/>
              <w:ind w:leftChars="30" w:left="72" w:rightChars="369" w:right="886"/>
              <w:jc w:val="right"/>
            </w:pPr>
            <w:r w:rsidRPr="003B6B9A">
              <w:t>11.62</w:t>
            </w:r>
          </w:p>
        </w:tc>
      </w:tr>
      <w:tr w:rsidR="001A50A9" w:rsidRPr="003B6B9A" w:rsidTr="001040FB">
        <w:trPr>
          <w:cantSplit/>
          <w:trHeight w:val="330"/>
          <w:jc w:val="center"/>
        </w:trPr>
        <w:tc>
          <w:tcPr>
            <w:tcW w:w="3809" w:type="dxa"/>
            <w:tcBorders>
              <w:bottom w:val="single" w:sz="6" w:space="0" w:color="auto"/>
            </w:tcBorders>
            <w:tcMar>
              <w:top w:w="15" w:type="dxa"/>
              <w:left w:w="15" w:type="dxa"/>
              <w:bottom w:w="0" w:type="dxa"/>
              <w:right w:w="15" w:type="dxa"/>
            </w:tcMar>
            <w:vAlign w:val="center"/>
          </w:tcPr>
          <w:p w:rsidR="001A50A9" w:rsidRPr="003B6B9A" w:rsidRDefault="001A50A9" w:rsidP="001040FB">
            <w:pPr>
              <w:snapToGrid w:val="0"/>
              <w:spacing w:line="400" w:lineRule="exact"/>
              <w:ind w:left="250"/>
              <w:rPr>
                <w:rFonts w:eastAsia="標楷體"/>
              </w:rPr>
            </w:pPr>
            <w:r w:rsidRPr="003B6B9A">
              <w:rPr>
                <w:rFonts w:eastAsia="標楷體"/>
              </w:rPr>
              <w:t>汽車及其零件業</w:t>
            </w:r>
          </w:p>
        </w:tc>
        <w:tc>
          <w:tcPr>
            <w:tcW w:w="2410" w:type="dxa"/>
            <w:tcBorders>
              <w:bottom w:val="single" w:sz="6" w:space="0" w:color="auto"/>
            </w:tcBorders>
          </w:tcPr>
          <w:p w:rsidR="001A50A9" w:rsidRPr="003B6B9A" w:rsidRDefault="001A50A9" w:rsidP="001040FB">
            <w:pPr>
              <w:tabs>
                <w:tab w:val="left" w:pos="1728"/>
              </w:tabs>
              <w:spacing w:line="400" w:lineRule="exact"/>
              <w:ind w:leftChars="30" w:left="72" w:rightChars="369" w:right="886"/>
              <w:jc w:val="right"/>
            </w:pPr>
            <w:r w:rsidRPr="003B6B9A">
              <w:t>-15.88</w:t>
            </w:r>
          </w:p>
        </w:tc>
        <w:tc>
          <w:tcPr>
            <w:tcW w:w="2410" w:type="dxa"/>
            <w:tcBorders>
              <w:bottom w:val="single" w:sz="6" w:space="0" w:color="auto"/>
            </w:tcBorders>
          </w:tcPr>
          <w:p w:rsidR="001A50A9" w:rsidRPr="003B6B9A" w:rsidRDefault="001A50A9" w:rsidP="001040FB">
            <w:pPr>
              <w:tabs>
                <w:tab w:val="left" w:pos="1728"/>
              </w:tabs>
              <w:spacing w:line="400" w:lineRule="exact"/>
              <w:ind w:leftChars="30" w:left="72" w:rightChars="369" w:right="886"/>
              <w:jc w:val="right"/>
            </w:pPr>
            <w:r w:rsidRPr="003B6B9A">
              <w:t>-0.51</w:t>
            </w:r>
          </w:p>
        </w:tc>
      </w:tr>
    </w:tbl>
    <w:p w:rsidR="003F3F99" w:rsidRPr="00B118E9" w:rsidRDefault="003F3F99" w:rsidP="003F3F99">
      <w:pPr>
        <w:snapToGrid w:val="0"/>
        <w:spacing w:line="240" w:lineRule="atLeast"/>
        <w:ind w:right="-142"/>
        <w:jc w:val="both"/>
        <w:rPr>
          <w:rFonts w:eastAsia="標楷體"/>
          <w:sz w:val="22"/>
          <w:szCs w:val="22"/>
        </w:rPr>
      </w:pPr>
      <w:r w:rsidRPr="00B118E9">
        <w:rPr>
          <w:rFonts w:eastAsia="標楷體"/>
          <w:sz w:val="22"/>
          <w:szCs w:val="22"/>
        </w:rPr>
        <w:t>資料來源：經濟部統計處。</w:t>
      </w:r>
    </w:p>
    <w:p w:rsidR="003F3F99" w:rsidRPr="00B118E9" w:rsidRDefault="003F3F99" w:rsidP="003F3F99">
      <w:pPr>
        <w:widowControl/>
        <w:rPr>
          <w:rFonts w:eastAsia="標楷體"/>
          <w:color w:val="FF0000"/>
          <w:sz w:val="22"/>
          <w:szCs w:val="22"/>
        </w:rPr>
      </w:pPr>
      <w:r w:rsidRPr="00B118E9">
        <w:rPr>
          <w:rFonts w:eastAsia="標楷體"/>
          <w:color w:val="FF0000"/>
          <w:sz w:val="22"/>
          <w:szCs w:val="22"/>
        </w:rPr>
        <w:br w:type="page"/>
      </w:r>
    </w:p>
    <w:p w:rsidR="003F3F99" w:rsidRPr="00B118E9" w:rsidRDefault="003F3F99" w:rsidP="003F3F99">
      <w:pPr>
        <w:snapToGrid w:val="0"/>
        <w:spacing w:line="240" w:lineRule="atLeast"/>
        <w:ind w:right="-142"/>
        <w:jc w:val="both"/>
        <w:rPr>
          <w:rFonts w:eastAsia="標楷體"/>
          <w:color w:val="FF0000"/>
        </w:rPr>
        <w:sectPr w:rsidR="003F3F99" w:rsidRPr="00B118E9" w:rsidSect="00670CC0">
          <w:pgSz w:w="11906" w:h="16838"/>
          <w:pgMar w:top="1361" w:right="1797" w:bottom="1361" w:left="1797" w:header="851" w:footer="992" w:gutter="0"/>
          <w:pgNumType w:start="1"/>
          <w:cols w:space="425"/>
          <w:docGrid w:type="lines" w:linePitch="360"/>
        </w:sectPr>
      </w:pPr>
    </w:p>
    <w:p w:rsidR="003F3F99" w:rsidRPr="00B118E9" w:rsidRDefault="003F3F99" w:rsidP="003F3F99">
      <w:pPr>
        <w:keepNext/>
        <w:snapToGrid w:val="0"/>
        <w:spacing w:beforeLines="50" w:before="180" w:line="300" w:lineRule="auto"/>
        <w:ind w:rightChars="-25" w:right="-60"/>
        <w:outlineLvl w:val="2"/>
        <w:rPr>
          <w:rFonts w:eastAsia="標楷體"/>
          <w:b/>
          <w:bCs/>
          <w:sz w:val="32"/>
          <w:szCs w:val="32"/>
        </w:rPr>
      </w:pPr>
      <w:bookmarkStart w:id="92" w:name="_Toc401923796"/>
      <w:bookmarkStart w:id="93" w:name="_Toc402171713"/>
      <w:bookmarkStart w:id="94" w:name="_Toc420680038"/>
      <w:r w:rsidRPr="00B118E9">
        <w:rPr>
          <w:rFonts w:eastAsia="標楷體"/>
          <w:b/>
          <w:bCs/>
          <w:sz w:val="32"/>
          <w:szCs w:val="32"/>
        </w:rPr>
        <w:t>（三）商業</w:t>
      </w:r>
      <w:bookmarkEnd w:id="92"/>
      <w:bookmarkEnd w:id="93"/>
      <w:bookmarkEnd w:id="94"/>
    </w:p>
    <w:p w:rsidR="003F3F99" w:rsidRPr="00B118E9" w:rsidRDefault="003F3F99" w:rsidP="003F3F99">
      <w:pPr>
        <w:widowControl/>
        <w:tabs>
          <w:tab w:val="left" w:pos="540"/>
        </w:tabs>
        <w:snapToGrid w:val="0"/>
        <w:spacing w:beforeLines="50" w:before="180" w:line="300" w:lineRule="auto"/>
        <w:jc w:val="both"/>
        <w:rPr>
          <w:rFonts w:eastAsia="標楷體"/>
          <w:b/>
          <w:bCs/>
          <w:kern w:val="0"/>
          <w:sz w:val="28"/>
          <w:szCs w:val="20"/>
        </w:rPr>
      </w:pPr>
      <w:r w:rsidRPr="00B118E9">
        <w:rPr>
          <w:rFonts w:eastAsia="標楷體"/>
          <w:b/>
          <w:bCs/>
          <w:kern w:val="0"/>
          <w:sz w:val="28"/>
          <w:szCs w:val="20"/>
        </w:rPr>
        <w:t>１、</w:t>
      </w:r>
      <w:r w:rsidR="00796DAE" w:rsidRPr="003B6B9A">
        <w:rPr>
          <w:rFonts w:eastAsia="標楷體"/>
          <w:b/>
          <w:bCs/>
          <w:kern w:val="0"/>
          <w:sz w:val="28"/>
          <w:szCs w:val="20"/>
        </w:rPr>
        <w:t>104</w:t>
      </w:r>
      <w:r w:rsidR="00796DAE" w:rsidRPr="003B6B9A">
        <w:rPr>
          <w:rFonts w:eastAsia="標楷體"/>
          <w:b/>
          <w:bCs/>
          <w:kern w:val="0"/>
          <w:sz w:val="28"/>
          <w:szCs w:val="20"/>
        </w:rPr>
        <w:t>年</w:t>
      </w:r>
      <w:r w:rsidR="00796DAE" w:rsidRPr="003B6B9A">
        <w:rPr>
          <w:rFonts w:eastAsia="標楷體"/>
          <w:b/>
          <w:bCs/>
          <w:kern w:val="0"/>
          <w:sz w:val="28"/>
          <w:szCs w:val="20"/>
        </w:rPr>
        <w:t>4</w:t>
      </w:r>
      <w:r w:rsidR="00796DAE" w:rsidRPr="003B6B9A">
        <w:rPr>
          <w:rFonts w:eastAsia="標楷體"/>
          <w:b/>
          <w:bCs/>
          <w:kern w:val="0"/>
          <w:sz w:val="28"/>
          <w:szCs w:val="20"/>
        </w:rPr>
        <w:t>月商業營業額</w:t>
      </w:r>
      <w:r w:rsidR="00796DAE" w:rsidRPr="003B6B9A">
        <w:rPr>
          <w:rFonts w:eastAsia="標楷體"/>
          <w:b/>
          <w:bCs/>
          <w:kern w:val="0"/>
          <w:sz w:val="28"/>
          <w:szCs w:val="20"/>
        </w:rPr>
        <w:t>11,690</w:t>
      </w:r>
      <w:r w:rsidR="00796DAE" w:rsidRPr="003B6B9A">
        <w:rPr>
          <w:rFonts w:eastAsia="標楷體"/>
          <w:b/>
          <w:bCs/>
          <w:kern w:val="0"/>
          <w:sz w:val="28"/>
          <w:szCs w:val="20"/>
        </w:rPr>
        <w:t>億元，減少</w:t>
      </w:r>
      <w:r w:rsidR="00796DAE" w:rsidRPr="003B6B9A">
        <w:rPr>
          <w:rFonts w:eastAsia="標楷體"/>
          <w:b/>
          <w:bCs/>
          <w:kern w:val="0"/>
          <w:sz w:val="28"/>
          <w:szCs w:val="20"/>
        </w:rPr>
        <w:t>2.0%</w:t>
      </w:r>
    </w:p>
    <w:p w:rsidR="003F3F99" w:rsidRPr="00B118E9" w:rsidRDefault="00796DAE" w:rsidP="003F3F99">
      <w:pPr>
        <w:widowControl/>
        <w:topLinePunct/>
        <w:snapToGrid w:val="0"/>
        <w:spacing w:beforeLines="50" w:before="180" w:line="300" w:lineRule="auto"/>
        <w:ind w:rightChars="-21" w:right="-50" w:firstLineChars="202" w:firstLine="566"/>
        <w:jc w:val="both"/>
        <w:rPr>
          <w:rFonts w:eastAsia="標楷體"/>
          <w:color w:val="FF0000"/>
          <w:kern w:val="0"/>
          <w:sz w:val="28"/>
          <w:szCs w:val="20"/>
        </w:rPr>
      </w:pPr>
      <w:r w:rsidRPr="003B6B9A">
        <w:rPr>
          <w:rFonts w:eastAsia="標楷體"/>
          <w:kern w:val="0"/>
          <w:sz w:val="28"/>
          <w:szCs w:val="20"/>
        </w:rPr>
        <w:t>104</w:t>
      </w:r>
      <w:r w:rsidRPr="003B6B9A">
        <w:rPr>
          <w:rFonts w:eastAsia="標楷體"/>
          <w:kern w:val="0"/>
          <w:sz w:val="28"/>
          <w:szCs w:val="20"/>
        </w:rPr>
        <w:t>年</w:t>
      </w:r>
      <w:r w:rsidRPr="003B6B9A">
        <w:rPr>
          <w:rFonts w:eastAsia="標楷體"/>
          <w:kern w:val="0"/>
          <w:sz w:val="28"/>
          <w:szCs w:val="20"/>
        </w:rPr>
        <w:t>4</w:t>
      </w:r>
      <w:r w:rsidRPr="003B6B9A">
        <w:rPr>
          <w:rFonts w:eastAsia="標楷體"/>
          <w:kern w:val="0"/>
          <w:sz w:val="28"/>
          <w:szCs w:val="20"/>
        </w:rPr>
        <w:t>月批發、零售及餐飲業營業額</w:t>
      </w:r>
      <w:r w:rsidRPr="003B6B9A">
        <w:rPr>
          <w:rFonts w:eastAsia="標楷體"/>
          <w:kern w:val="0"/>
          <w:sz w:val="28"/>
          <w:szCs w:val="20"/>
        </w:rPr>
        <w:t>11,690</w:t>
      </w:r>
      <w:r w:rsidRPr="003B6B9A">
        <w:rPr>
          <w:rFonts w:eastAsia="標楷體"/>
          <w:kern w:val="0"/>
          <w:sz w:val="28"/>
          <w:szCs w:val="20"/>
        </w:rPr>
        <w:t>億元，較上年同月減少</w:t>
      </w:r>
      <w:r w:rsidRPr="003B6B9A">
        <w:rPr>
          <w:rFonts w:eastAsia="標楷體"/>
          <w:kern w:val="0"/>
          <w:sz w:val="28"/>
          <w:szCs w:val="20"/>
        </w:rPr>
        <w:t>2.0%</w:t>
      </w:r>
      <w:r w:rsidRPr="003B6B9A">
        <w:rPr>
          <w:rFonts w:eastAsia="標楷體"/>
          <w:kern w:val="0"/>
          <w:sz w:val="28"/>
          <w:szCs w:val="20"/>
        </w:rPr>
        <w:t>；其中餐飲業增加</w:t>
      </w:r>
      <w:r w:rsidRPr="003B6B9A">
        <w:rPr>
          <w:rFonts w:eastAsia="標楷體"/>
          <w:kern w:val="0"/>
          <w:sz w:val="28"/>
          <w:szCs w:val="20"/>
        </w:rPr>
        <w:t>2.5%</w:t>
      </w:r>
      <w:r w:rsidRPr="003B6B9A">
        <w:rPr>
          <w:rFonts w:eastAsia="標楷體"/>
          <w:kern w:val="0"/>
          <w:sz w:val="28"/>
          <w:szCs w:val="20"/>
        </w:rPr>
        <w:t>，批發業及零售業則分別減少</w:t>
      </w:r>
      <w:r w:rsidRPr="003B6B9A">
        <w:rPr>
          <w:rFonts w:eastAsia="標楷體"/>
          <w:kern w:val="0"/>
          <w:sz w:val="28"/>
          <w:szCs w:val="20"/>
        </w:rPr>
        <w:t>2.9%</w:t>
      </w:r>
      <w:r w:rsidRPr="003B6B9A">
        <w:rPr>
          <w:rFonts w:eastAsia="標楷體"/>
          <w:kern w:val="0"/>
          <w:sz w:val="28"/>
          <w:szCs w:val="20"/>
        </w:rPr>
        <w:t>、</w:t>
      </w:r>
      <w:r w:rsidRPr="003B6B9A">
        <w:rPr>
          <w:rFonts w:eastAsia="標楷體"/>
          <w:kern w:val="0"/>
          <w:sz w:val="28"/>
          <w:szCs w:val="20"/>
        </w:rPr>
        <w:t>0.1%</w:t>
      </w:r>
      <w:r w:rsidRPr="003B6B9A">
        <w:rPr>
          <w:rFonts w:eastAsia="標楷體"/>
          <w:kern w:val="0"/>
          <w:sz w:val="28"/>
          <w:szCs w:val="20"/>
        </w:rPr>
        <w:t>。累計</w:t>
      </w:r>
      <w:r w:rsidRPr="003B6B9A">
        <w:rPr>
          <w:rFonts w:eastAsia="標楷體"/>
          <w:kern w:val="0"/>
          <w:sz w:val="28"/>
          <w:szCs w:val="20"/>
        </w:rPr>
        <w:t>1</w:t>
      </w:r>
      <w:r w:rsidRPr="003B6B9A">
        <w:rPr>
          <w:rFonts w:eastAsia="標楷體"/>
          <w:kern w:val="0"/>
          <w:sz w:val="28"/>
          <w:szCs w:val="20"/>
        </w:rPr>
        <w:t>至</w:t>
      </w:r>
      <w:r w:rsidRPr="003B6B9A">
        <w:rPr>
          <w:rFonts w:eastAsia="標楷體"/>
          <w:kern w:val="0"/>
          <w:sz w:val="28"/>
          <w:szCs w:val="20"/>
        </w:rPr>
        <w:t>4</w:t>
      </w:r>
      <w:r w:rsidRPr="003B6B9A">
        <w:rPr>
          <w:rFonts w:eastAsia="標楷體"/>
          <w:kern w:val="0"/>
          <w:sz w:val="28"/>
          <w:szCs w:val="20"/>
        </w:rPr>
        <w:t>月批發、零售及餐飲業營業額</w:t>
      </w:r>
      <w:r w:rsidRPr="003B6B9A">
        <w:rPr>
          <w:rFonts w:eastAsia="標楷體"/>
          <w:kern w:val="0"/>
          <w:sz w:val="28"/>
          <w:szCs w:val="20"/>
        </w:rPr>
        <w:t>46,346</w:t>
      </w:r>
      <w:r w:rsidRPr="003B6B9A">
        <w:rPr>
          <w:rFonts w:eastAsia="標楷體"/>
          <w:kern w:val="0"/>
          <w:sz w:val="28"/>
          <w:szCs w:val="20"/>
        </w:rPr>
        <w:t>億元，較上年同期減少</w:t>
      </w:r>
      <w:r w:rsidRPr="003B6B9A">
        <w:rPr>
          <w:rFonts w:eastAsia="標楷體"/>
          <w:kern w:val="0"/>
          <w:sz w:val="28"/>
          <w:szCs w:val="20"/>
        </w:rPr>
        <w:t>0.6%</w:t>
      </w:r>
      <w:r w:rsidRPr="003B6B9A">
        <w:rPr>
          <w:rFonts w:eastAsia="標楷體"/>
          <w:kern w:val="0"/>
          <w:sz w:val="28"/>
          <w:szCs w:val="20"/>
        </w:rPr>
        <w:t>。</w:t>
      </w:r>
    </w:p>
    <w:p w:rsidR="003F3F99" w:rsidRPr="00B118E9" w:rsidRDefault="003F3F99" w:rsidP="003F3F99">
      <w:pPr>
        <w:snapToGrid w:val="0"/>
        <w:spacing w:beforeLines="50" w:before="180"/>
        <w:ind w:right="-142"/>
        <w:jc w:val="center"/>
        <w:rPr>
          <w:rFonts w:eastAsia="標楷體"/>
          <w:b/>
          <w:bCs/>
          <w:sz w:val="28"/>
        </w:rPr>
      </w:pPr>
      <w:r w:rsidRPr="00B118E9">
        <w:rPr>
          <w:rFonts w:eastAsia="標楷體"/>
          <w:b/>
          <w:bCs/>
          <w:sz w:val="28"/>
        </w:rPr>
        <w:t>表</w:t>
      </w:r>
      <w:r w:rsidRPr="00B118E9">
        <w:rPr>
          <w:rFonts w:eastAsia="標楷體"/>
          <w:b/>
          <w:bCs/>
          <w:sz w:val="28"/>
        </w:rPr>
        <w:t xml:space="preserve">2-3-1  </w:t>
      </w:r>
      <w:r w:rsidRPr="00B118E9">
        <w:rPr>
          <w:rFonts w:eastAsia="標楷體"/>
          <w:b/>
          <w:bCs/>
          <w:sz w:val="28"/>
        </w:rPr>
        <w:t>商業營業額</w:t>
      </w:r>
    </w:p>
    <w:p w:rsidR="003F3F99" w:rsidRPr="00B118E9" w:rsidRDefault="003F3F99" w:rsidP="003F3F99">
      <w:pPr>
        <w:snapToGrid w:val="0"/>
        <w:ind w:right="-692"/>
        <w:jc w:val="right"/>
        <w:rPr>
          <w:rFonts w:eastAsia="標楷體"/>
          <w:color w:val="FF0000"/>
          <w:spacing w:val="20"/>
        </w:rPr>
      </w:pPr>
    </w:p>
    <w:tbl>
      <w:tblPr>
        <w:tblW w:w="9692" w:type="dxa"/>
        <w:tblInd w:w="-512"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1640"/>
        <w:gridCol w:w="880"/>
        <w:gridCol w:w="976"/>
        <w:gridCol w:w="1096"/>
        <w:gridCol w:w="1020"/>
        <w:gridCol w:w="1020"/>
        <w:gridCol w:w="1020"/>
        <w:gridCol w:w="1020"/>
        <w:gridCol w:w="1020"/>
      </w:tblGrid>
      <w:tr w:rsidR="00796DAE" w:rsidRPr="003B6B9A" w:rsidTr="001040FB">
        <w:trPr>
          <w:cantSplit/>
          <w:trHeight w:val="20"/>
        </w:trPr>
        <w:tc>
          <w:tcPr>
            <w:tcW w:w="1640" w:type="dxa"/>
            <w:vMerge w:val="restart"/>
            <w:tcBorders>
              <w:top w:val="single" w:sz="4" w:space="0" w:color="auto"/>
              <w:left w:val="nil"/>
              <w:bottom w:val="single" w:sz="4" w:space="0" w:color="auto"/>
              <w:right w:val="nil"/>
            </w:tcBorders>
            <w:vAlign w:val="center"/>
          </w:tcPr>
          <w:p w:rsidR="00796DAE" w:rsidRPr="003B6B9A" w:rsidRDefault="00796DAE" w:rsidP="001040FB">
            <w:pPr>
              <w:adjustRightInd w:val="0"/>
              <w:snapToGrid w:val="0"/>
              <w:ind w:left="3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856" w:type="dxa"/>
            <w:gridSpan w:val="2"/>
            <w:vMerge w:val="restart"/>
            <w:tcBorders>
              <w:top w:val="single" w:sz="4" w:space="0" w:color="auto"/>
              <w:left w:val="double" w:sz="4" w:space="0" w:color="auto"/>
              <w:bottom w:val="single" w:sz="4" w:space="0" w:color="auto"/>
              <w:right w:val="nil"/>
            </w:tcBorders>
            <w:vAlign w:val="center"/>
          </w:tcPr>
          <w:p w:rsidR="00796DAE" w:rsidRPr="003B6B9A" w:rsidRDefault="00796DAE" w:rsidP="001040FB">
            <w:pPr>
              <w:adjustRightInd w:val="0"/>
              <w:snapToGrid w:val="0"/>
              <w:ind w:left="30"/>
              <w:jc w:val="center"/>
              <w:rPr>
                <w:rFonts w:eastAsia="標楷體"/>
              </w:rPr>
            </w:pPr>
            <w:r w:rsidRPr="003B6B9A">
              <w:rPr>
                <w:rFonts w:eastAsia="標楷體"/>
              </w:rPr>
              <w:t>商業</w:t>
            </w:r>
          </w:p>
        </w:tc>
        <w:tc>
          <w:tcPr>
            <w:tcW w:w="6196" w:type="dxa"/>
            <w:gridSpan w:val="6"/>
            <w:tcBorders>
              <w:top w:val="single" w:sz="4" w:space="0" w:color="auto"/>
              <w:left w:val="nil"/>
              <w:bottom w:val="nil"/>
              <w:right w:val="nil"/>
            </w:tcBorders>
          </w:tcPr>
          <w:p w:rsidR="00796DAE" w:rsidRPr="003B6B9A" w:rsidRDefault="00796DAE" w:rsidP="001040FB">
            <w:pPr>
              <w:adjustRightInd w:val="0"/>
              <w:snapToGrid w:val="0"/>
              <w:ind w:left="30" w:firstLineChars="100" w:firstLine="240"/>
              <w:jc w:val="both"/>
              <w:rPr>
                <w:rFonts w:eastAsia="標楷體"/>
              </w:rPr>
            </w:pPr>
          </w:p>
        </w:tc>
      </w:tr>
      <w:tr w:rsidR="00796DAE" w:rsidRPr="003B6B9A" w:rsidTr="001040FB">
        <w:trPr>
          <w:cantSplit/>
          <w:trHeight w:val="20"/>
        </w:trPr>
        <w:tc>
          <w:tcPr>
            <w:tcW w:w="1640" w:type="dxa"/>
            <w:vMerge/>
            <w:tcBorders>
              <w:top w:val="single" w:sz="4" w:space="0" w:color="auto"/>
              <w:left w:val="nil"/>
              <w:bottom w:val="single" w:sz="4" w:space="0" w:color="auto"/>
              <w:right w:val="nil"/>
            </w:tcBorders>
            <w:vAlign w:val="center"/>
          </w:tcPr>
          <w:p w:rsidR="00796DAE" w:rsidRPr="003B6B9A" w:rsidRDefault="00796DAE" w:rsidP="001040FB">
            <w:pPr>
              <w:adjustRightInd w:val="0"/>
              <w:snapToGrid w:val="0"/>
              <w:ind w:left="30"/>
              <w:rPr>
                <w:rFonts w:eastAsia="標楷體"/>
              </w:rPr>
            </w:pPr>
          </w:p>
        </w:tc>
        <w:tc>
          <w:tcPr>
            <w:tcW w:w="1856" w:type="dxa"/>
            <w:gridSpan w:val="2"/>
            <w:vMerge/>
            <w:tcBorders>
              <w:top w:val="single" w:sz="4" w:space="0" w:color="auto"/>
              <w:left w:val="double" w:sz="4" w:space="0" w:color="auto"/>
              <w:bottom w:val="single" w:sz="4" w:space="0" w:color="auto"/>
              <w:right w:val="nil"/>
            </w:tcBorders>
            <w:vAlign w:val="center"/>
          </w:tcPr>
          <w:p w:rsidR="00796DAE" w:rsidRPr="003B6B9A" w:rsidRDefault="00796DAE" w:rsidP="001040FB">
            <w:pPr>
              <w:adjustRightInd w:val="0"/>
              <w:snapToGrid w:val="0"/>
              <w:ind w:left="30"/>
              <w:rPr>
                <w:rFonts w:eastAsia="標楷體"/>
              </w:rPr>
            </w:pPr>
          </w:p>
        </w:tc>
        <w:tc>
          <w:tcPr>
            <w:tcW w:w="2116" w:type="dxa"/>
            <w:gridSpan w:val="2"/>
            <w:tcBorders>
              <w:top w:val="single" w:sz="4" w:space="0" w:color="auto"/>
              <w:left w:val="single" w:sz="4" w:space="0" w:color="auto"/>
              <w:bottom w:val="nil"/>
              <w:right w:val="nil"/>
            </w:tcBorders>
          </w:tcPr>
          <w:p w:rsidR="00796DAE" w:rsidRPr="003B6B9A" w:rsidRDefault="00796DAE" w:rsidP="001040FB">
            <w:pPr>
              <w:adjustRightInd w:val="0"/>
              <w:snapToGrid w:val="0"/>
              <w:ind w:left="30"/>
              <w:jc w:val="center"/>
              <w:rPr>
                <w:rFonts w:eastAsia="標楷體"/>
              </w:rPr>
            </w:pPr>
            <w:r w:rsidRPr="003B6B9A">
              <w:rPr>
                <w:rFonts w:eastAsia="標楷體"/>
              </w:rPr>
              <w:t>批發業</w:t>
            </w:r>
          </w:p>
        </w:tc>
        <w:tc>
          <w:tcPr>
            <w:tcW w:w="2040" w:type="dxa"/>
            <w:gridSpan w:val="2"/>
            <w:tcBorders>
              <w:top w:val="single" w:sz="4" w:space="0" w:color="auto"/>
              <w:left w:val="single" w:sz="4" w:space="0" w:color="auto"/>
              <w:bottom w:val="nil"/>
              <w:right w:val="nil"/>
            </w:tcBorders>
          </w:tcPr>
          <w:p w:rsidR="00796DAE" w:rsidRPr="003B6B9A" w:rsidRDefault="00796DAE" w:rsidP="001040FB">
            <w:pPr>
              <w:adjustRightInd w:val="0"/>
              <w:snapToGrid w:val="0"/>
              <w:ind w:left="30"/>
              <w:jc w:val="center"/>
              <w:rPr>
                <w:rFonts w:eastAsia="標楷體"/>
              </w:rPr>
            </w:pPr>
            <w:r w:rsidRPr="003B6B9A">
              <w:rPr>
                <w:rFonts w:eastAsia="標楷體"/>
              </w:rPr>
              <w:t>零售業</w:t>
            </w:r>
          </w:p>
        </w:tc>
        <w:tc>
          <w:tcPr>
            <w:tcW w:w="2040" w:type="dxa"/>
            <w:gridSpan w:val="2"/>
            <w:tcBorders>
              <w:top w:val="single" w:sz="4" w:space="0" w:color="auto"/>
              <w:left w:val="single" w:sz="4" w:space="0" w:color="auto"/>
              <w:bottom w:val="single" w:sz="4" w:space="0" w:color="auto"/>
              <w:right w:val="nil"/>
            </w:tcBorders>
          </w:tcPr>
          <w:p w:rsidR="00796DAE" w:rsidRPr="003B6B9A" w:rsidRDefault="00796DAE" w:rsidP="001040FB">
            <w:pPr>
              <w:adjustRightInd w:val="0"/>
              <w:snapToGrid w:val="0"/>
              <w:ind w:left="30"/>
              <w:jc w:val="center"/>
              <w:rPr>
                <w:rFonts w:eastAsia="標楷體"/>
              </w:rPr>
            </w:pPr>
            <w:r w:rsidRPr="003B6B9A">
              <w:rPr>
                <w:rFonts w:eastAsia="標楷體"/>
              </w:rPr>
              <w:t>餐飲業</w:t>
            </w:r>
          </w:p>
        </w:tc>
      </w:tr>
      <w:tr w:rsidR="00796DAE" w:rsidRPr="003B6B9A" w:rsidTr="001040FB">
        <w:trPr>
          <w:cantSplit/>
          <w:trHeight w:val="20"/>
        </w:trPr>
        <w:tc>
          <w:tcPr>
            <w:tcW w:w="1640" w:type="dxa"/>
            <w:vMerge/>
            <w:tcBorders>
              <w:top w:val="single" w:sz="4" w:space="0" w:color="auto"/>
              <w:left w:val="nil"/>
              <w:bottom w:val="single" w:sz="4" w:space="0" w:color="auto"/>
              <w:right w:val="nil"/>
            </w:tcBorders>
            <w:vAlign w:val="center"/>
          </w:tcPr>
          <w:p w:rsidR="00796DAE" w:rsidRPr="003B6B9A" w:rsidRDefault="00796DAE" w:rsidP="001040FB">
            <w:pPr>
              <w:adjustRightInd w:val="0"/>
              <w:snapToGrid w:val="0"/>
              <w:ind w:left="30"/>
              <w:rPr>
                <w:rFonts w:eastAsia="標楷體"/>
              </w:rPr>
            </w:pPr>
          </w:p>
        </w:tc>
        <w:tc>
          <w:tcPr>
            <w:tcW w:w="880" w:type="dxa"/>
            <w:tcBorders>
              <w:top w:val="nil"/>
              <w:left w:val="doub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金額</w:t>
            </w:r>
          </w:p>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（億元）</w:t>
            </w:r>
          </w:p>
        </w:tc>
        <w:tc>
          <w:tcPr>
            <w:tcW w:w="976" w:type="dxa"/>
            <w:tcBorders>
              <w:top w:val="nil"/>
              <w:left w:val="sing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年增率</w:t>
            </w:r>
          </w:p>
          <w:p w:rsidR="00796DAE" w:rsidRPr="003B6B9A" w:rsidRDefault="00796DAE" w:rsidP="001040FB">
            <w:pPr>
              <w:adjustRightInd w:val="0"/>
              <w:snapToGrid w:val="0"/>
              <w:ind w:left="30"/>
              <w:jc w:val="center"/>
              <w:rPr>
                <w:rFonts w:eastAsia="標楷體"/>
                <w:spacing w:val="-20"/>
              </w:rPr>
            </w:pPr>
            <w:r w:rsidRPr="003B6B9A">
              <w:rPr>
                <w:rFonts w:eastAsia="標楷體"/>
                <w:spacing w:val="-20"/>
              </w:rPr>
              <w:t>（</w:t>
            </w:r>
            <w:r w:rsidRPr="003B6B9A">
              <w:rPr>
                <w:rFonts w:eastAsia="標楷體"/>
                <w:spacing w:val="-20"/>
              </w:rPr>
              <w:t>%</w:t>
            </w:r>
            <w:r w:rsidRPr="003B6B9A">
              <w:rPr>
                <w:rFonts w:eastAsia="標楷體"/>
                <w:spacing w:val="-20"/>
              </w:rPr>
              <w:t>）</w:t>
            </w:r>
          </w:p>
        </w:tc>
        <w:tc>
          <w:tcPr>
            <w:tcW w:w="1096" w:type="dxa"/>
            <w:tcBorders>
              <w:top w:val="single" w:sz="4" w:space="0" w:color="auto"/>
              <w:left w:val="sing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金額</w:t>
            </w:r>
          </w:p>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020" w:type="dxa"/>
            <w:tcBorders>
              <w:top w:val="single" w:sz="4" w:space="0" w:color="auto"/>
              <w:left w:val="sing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金額</w:t>
            </w:r>
          </w:p>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020" w:type="dxa"/>
            <w:tcBorders>
              <w:top w:val="single" w:sz="4" w:space="0" w:color="auto"/>
              <w:left w:val="single" w:sz="4" w:space="0" w:color="auto"/>
              <w:bottom w:val="single" w:sz="4" w:space="0" w:color="auto"/>
              <w:right w:val="nil"/>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金額</w:t>
            </w:r>
          </w:p>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（億元）</w:t>
            </w:r>
          </w:p>
        </w:tc>
        <w:tc>
          <w:tcPr>
            <w:tcW w:w="1020" w:type="dxa"/>
            <w:tcBorders>
              <w:top w:val="single" w:sz="4" w:space="0" w:color="auto"/>
              <w:left w:val="single" w:sz="4" w:space="0" w:color="auto"/>
              <w:bottom w:val="single" w:sz="4" w:space="0" w:color="auto"/>
              <w:right w:val="nil"/>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r>
      <w:tr w:rsidR="00796DAE" w:rsidRPr="003B6B9A" w:rsidTr="001040FB">
        <w:trPr>
          <w:trHeight w:val="20"/>
        </w:trPr>
        <w:tc>
          <w:tcPr>
            <w:tcW w:w="1640" w:type="dxa"/>
            <w:tcBorders>
              <w:top w:val="nil"/>
              <w:left w:val="nil"/>
              <w:bottom w:val="nil"/>
              <w:right w:val="double" w:sz="4" w:space="0" w:color="auto"/>
            </w:tcBorders>
            <w:vAlign w:val="center"/>
          </w:tcPr>
          <w:p w:rsidR="00796DAE" w:rsidRPr="003B6B9A" w:rsidRDefault="00796DAE" w:rsidP="001040FB">
            <w:pPr>
              <w:adjustRightInd w:val="0"/>
              <w:snapToGrid w:val="0"/>
              <w:ind w:left="30"/>
              <w:jc w:val="both"/>
              <w:rPr>
                <w:rFonts w:eastAsia="標楷體"/>
                <w:b/>
                <w:bCs/>
              </w:rPr>
            </w:pPr>
            <w:r w:rsidRPr="003B6B9A">
              <w:rPr>
                <w:rFonts w:eastAsia="標楷體"/>
                <w:b/>
                <w:bCs/>
                <w:spacing w:val="-20"/>
              </w:rPr>
              <w:t xml:space="preserve">  99</w:t>
            </w:r>
            <w:r w:rsidRPr="003B6B9A">
              <w:rPr>
                <w:rFonts w:eastAsia="標楷體"/>
                <w:b/>
                <w:bCs/>
                <w:spacing w:val="-20"/>
              </w:rPr>
              <w:t>年</w:t>
            </w:r>
          </w:p>
        </w:tc>
        <w:tc>
          <w:tcPr>
            <w:tcW w:w="880" w:type="dxa"/>
            <w:tcBorders>
              <w:top w:val="nil"/>
              <w:left w:val="double" w:sz="4" w:space="0" w:color="auto"/>
              <w:bottom w:val="nil"/>
              <w:right w:val="nil"/>
            </w:tcBorders>
            <w:vAlign w:val="center"/>
          </w:tcPr>
          <w:p w:rsidR="00796DAE" w:rsidRPr="003B6B9A" w:rsidRDefault="00796DAE" w:rsidP="001040FB">
            <w:pPr>
              <w:adjustRightInd w:val="0"/>
              <w:snapToGrid w:val="0"/>
              <w:jc w:val="right"/>
              <w:rPr>
                <w:rFonts w:eastAsia="標楷體"/>
                <w:b/>
                <w:bCs/>
              </w:rPr>
            </w:pPr>
            <w:r w:rsidRPr="003B6B9A">
              <w:rPr>
                <w:rFonts w:eastAsia="標楷體"/>
                <w:b/>
                <w:bCs/>
              </w:rPr>
              <w:t>135,423</w:t>
            </w:r>
          </w:p>
        </w:tc>
        <w:tc>
          <w:tcPr>
            <w:tcW w:w="97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9.3</w:t>
            </w:r>
          </w:p>
        </w:tc>
        <w:tc>
          <w:tcPr>
            <w:tcW w:w="109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97,166</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10.4</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34,745</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6.3</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3,512</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7.6</w:t>
            </w:r>
          </w:p>
        </w:tc>
      </w:tr>
      <w:tr w:rsidR="00796DAE" w:rsidRPr="003B6B9A" w:rsidTr="001040FB">
        <w:trPr>
          <w:trHeight w:val="20"/>
        </w:trPr>
        <w:tc>
          <w:tcPr>
            <w:tcW w:w="1640" w:type="dxa"/>
            <w:tcBorders>
              <w:top w:val="nil"/>
              <w:left w:val="nil"/>
              <w:bottom w:val="nil"/>
              <w:right w:val="double" w:sz="4" w:space="0" w:color="auto"/>
            </w:tcBorders>
            <w:vAlign w:val="center"/>
          </w:tcPr>
          <w:p w:rsidR="00796DAE" w:rsidRPr="003B6B9A" w:rsidRDefault="00796DAE" w:rsidP="001040FB">
            <w:pPr>
              <w:snapToGrid w:val="0"/>
              <w:spacing w:line="300" w:lineRule="exact"/>
              <w:jc w:val="both"/>
              <w:rPr>
                <w:rFonts w:eastAsia="標楷體"/>
                <w:b/>
                <w:bCs/>
              </w:rPr>
            </w:pPr>
            <w:r w:rsidRPr="003B6B9A">
              <w:rPr>
                <w:rFonts w:eastAsia="標楷體"/>
                <w:b/>
                <w:bCs/>
              </w:rPr>
              <w:t xml:space="preserve"> 100</w:t>
            </w:r>
            <w:r w:rsidRPr="003B6B9A">
              <w:rPr>
                <w:rFonts w:eastAsia="標楷體"/>
                <w:b/>
                <w:bCs/>
              </w:rPr>
              <w:t>年</w:t>
            </w:r>
          </w:p>
        </w:tc>
        <w:tc>
          <w:tcPr>
            <w:tcW w:w="880" w:type="dxa"/>
            <w:tcBorders>
              <w:top w:val="nil"/>
              <w:left w:val="double" w:sz="4" w:space="0" w:color="auto"/>
              <w:bottom w:val="nil"/>
              <w:right w:val="nil"/>
            </w:tcBorders>
            <w:vAlign w:val="center"/>
          </w:tcPr>
          <w:p w:rsidR="00796DAE" w:rsidRPr="003B6B9A" w:rsidRDefault="00796DAE" w:rsidP="001040FB">
            <w:pPr>
              <w:adjustRightInd w:val="0"/>
              <w:snapToGrid w:val="0"/>
              <w:jc w:val="right"/>
              <w:rPr>
                <w:rFonts w:eastAsia="標楷體"/>
                <w:b/>
                <w:bCs/>
              </w:rPr>
            </w:pPr>
            <w:r w:rsidRPr="003B6B9A">
              <w:rPr>
                <w:rFonts w:eastAsia="標楷體"/>
                <w:b/>
                <w:bCs/>
              </w:rPr>
              <w:t>140,684</w:t>
            </w:r>
          </w:p>
        </w:tc>
        <w:tc>
          <w:tcPr>
            <w:tcW w:w="97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3.9</w:t>
            </w:r>
          </w:p>
        </w:tc>
        <w:tc>
          <w:tcPr>
            <w:tcW w:w="109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99,936</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2.9</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36,939</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6.3</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3,809</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8.4</w:t>
            </w:r>
          </w:p>
        </w:tc>
      </w:tr>
      <w:tr w:rsidR="00796DAE" w:rsidRPr="003B6B9A" w:rsidTr="001040FB">
        <w:trPr>
          <w:trHeight w:val="360"/>
        </w:trPr>
        <w:tc>
          <w:tcPr>
            <w:tcW w:w="1640" w:type="dxa"/>
            <w:tcBorders>
              <w:top w:val="nil"/>
              <w:left w:val="nil"/>
              <w:bottom w:val="nil"/>
              <w:right w:val="double" w:sz="4" w:space="0" w:color="auto"/>
            </w:tcBorders>
            <w:vAlign w:val="center"/>
          </w:tcPr>
          <w:p w:rsidR="00796DAE" w:rsidRPr="003B6B9A" w:rsidRDefault="00796DAE" w:rsidP="001040FB">
            <w:pPr>
              <w:snapToGrid w:val="0"/>
              <w:spacing w:line="300" w:lineRule="exact"/>
              <w:jc w:val="both"/>
              <w:rPr>
                <w:rFonts w:eastAsia="標楷體"/>
              </w:rPr>
            </w:pPr>
            <w:r w:rsidRPr="003B6B9A">
              <w:rPr>
                <w:rFonts w:eastAsia="標楷體"/>
                <w:b/>
                <w:bCs/>
              </w:rPr>
              <w:t xml:space="preserve"> 101</w:t>
            </w:r>
            <w:r w:rsidRPr="003B6B9A">
              <w:rPr>
                <w:rFonts w:eastAsia="標楷體"/>
                <w:b/>
                <w:bCs/>
              </w:rPr>
              <w:t>年</w:t>
            </w:r>
          </w:p>
        </w:tc>
        <w:tc>
          <w:tcPr>
            <w:tcW w:w="880" w:type="dxa"/>
            <w:tcBorders>
              <w:top w:val="nil"/>
              <w:left w:val="double" w:sz="4" w:space="0" w:color="auto"/>
              <w:bottom w:val="nil"/>
              <w:right w:val="nil"/>
            </w:tcBorders>
            <w:vAlign w:val="center"/>
          </w:tcPr>
          <w:p w:rsidR="00796DAE" w:rsidRPr="003B6B9A" w:rsidRDefault="00796DAE" w:rsidP="001040FB">
            <w:pPr>
              <w:adjustRightInd w:val="0"/>
              <w:snapToGrid w:val="0"/>
              <w:jc w:val="right"/>
              <w:rPr>
                <w:rFonts w:eastAsia="標楷體"/>
                <w:b/>
                <w:bCs/>
              </w:rPr>
            </w:pPr>
            <w:r w:rsidRPr="003B6B9A">
              <w:rPr>
                <w:rFonts w:eastAsia="標楷體"/>
                <w:b/>
                <w:bCs/>
              </w:rPr>
              <w:t>140,107</w:t>
            </w:r>
          </w:p>
        </w:tc>
        <w:tc>
          <w:tcPr>
            <w:tcW w:w="97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-0.4</w:t>
            </w:r>
          </w:p>
        </w:tc>
        <w:tc>
          <w:tcPr>
            <w:tcW w:w="109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98,330</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-1.6</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37,832</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2.4</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3,945</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3.6</w:t>
            </w:r>
          </w:p>
        </w:tc>
      </w:tr>
      <w:tr w:rsidR="00796DAE" w:rsidRPr="003B6B9A" w:rsidTr="001040FB">
        <w:trPr>
          <w:trHeight w:val="360"/>
        </w:trPr>
        <w:tc>
          <w:tcPr>
            <w:tcW w:w="1640" w:type="dxa"/>
            <w:tcBorders>
              <w:top w:val="nil"/>
              <w:left w:val="nil"/>
              <w:bottom w:val="nil"/>
              <w:right w:val="double" w:sz="4" w:space="0" w:color="auto"/>
            </w:tcBorders>
            <w:vAlign w:val="center"/>
          </w:tcPr>
          <w:p w:rsidR="00796DAE" w:rsidRPr="003B6B9A" w:rsidRDefault="00796DAE" w:rsidP="001040FB">
            <w:pPr>
              <w:snapToGrid w:val="0"/>
              <w:spacing w:line="300" w:lineRule="exact"/>
              <w:jc w:val="both"/>
              <w:rPr>
                <w:rFonts w:eastAsia="標楷體"/>
                <w:b/>
                <w:bCs/>
              </w:rPr>
            </w:pPr>
            <w:r w:rsidRPr="003B6B9A">
              <w:rPr>
                <w:rFonts w:eastAsia="標楷體"/>
                <w:b/>
                <w:bCs/>
              </w:rPr>
              <w:t xml:space="preserve"> 102</w:t>
            </w:r>
            <w:r w:rsidRPr="003B6B9A">
              <w:rPr>
                <w:rFonts w:eastAsia="標楷體"/>
                <w:b/>
                <w:bCs/>
              </w:rPr>
              <w:t>年</w:t>
            </w:r>
          </w:p>
        </w:tc>
        <w:tc>
          <w:tcPr>
            <w:tcW w:w="880" w:type="dxa"/>
            <w:tcBorders>
              <w:top w:val="nil"/>
              <w:left w:val="double" w:sz="4" w:space="0" w:color="auto"/>
              <w:bottom w:val="nil"/>
              <w:right w:val="nil"/>
            </w:tcBorders>
            <w:vAlign w:val="center"/>
          </w:tcPr>
          <w:p w:rsidR="00796DAE" w:rsidRPr="003B6B9A" w:rsidRDefault="00796DAE" w:rsidP="001040FB">
            <w:pPr>
              <w:adjustRightInd w:val="0"/>
              <w:snapToGrid w:val="0"/>
              <w:jc w:val="right"/>
              <w:rPr>
                <w:rFonts w:eastAsia="標楷體"/>
                <w:b/>
                <w:bCs/>
              </w:rPr>
            </w:pPr>
            <w:r w:rsidRPr="003B6B9A">
              <w:rPr>
                <w:rFonts w:eastAsia="標楷體"/>
                <w:b/>
                <w:bCs/>
              </w:rPr>
              <w:t>141,622</w:t>
            </w:r>
          </w:p>
        </w:tc>
        <w:tc>
          <w:tcPr>
            <w:tcW w:w="97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1.1</w:t>
            </w:r>
          </w:p>
        </w:tc>
        <w:tc>
          <w:tcPr>
            <w:tcW w:w="109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99,042</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0.7</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38,574</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2.0</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4,007</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1.6</w:t>
            </w:r>
          </w:p>
        </w:tc>
      </w:tr>
      <w:tr w:rsidR="00796DAE" w:rsidRPr="003B6B9A" w:rsidTr="001040FB">
        <w:trPr>
          <w:trHeight w:val="360"/>
        </w:trPr>
        <w:tc>
          <w:tcPr>
            <w:tcW w:w="1640" w:type="dxa"/>
            <w:tcBorders>
              <w:top w:val="nil"/>
              <w:left w:val="nil"/>
              <w:bottom w:val="nil"/>
              <w:right w:val="double" w:sz="4" w:space="0" w:color="auto"/>
            </w:tcBorders>
            <w:vAlign w:val="center"/>
          </w:tcPr>
          <w:p w:rsidR="00796DAE" w:rsidRPr="003B6B9A" w:rsidRDefault="00796DAE" w:rsidP="001040FB">
            <w:pPr>
              <w:snapToGrid w:val="0"/>
              <w:spacing w:line="300" w:lineRule="exact"/>
              <w:jc w:val="both"/>
              <w:rPr>
                <w:rFonts w:eastAsia="標楷體"/>
                <w:b/>
                <w:bCs/>
              </w:rPr>
            </w:pPr>
            <w:r w:rsidRPr="003B6B9A">
              <w:rPr>
                <w:rFonts w:eastAsia="標楷體"/>
                <w:b/>
                <w:bCs/>
              </w:rPr>
              <w:t xml:space="preserve"> 103</w:t>
            </w:r>
            <w:r w:rsidRPr="003B6B9A">
              <w:rPr>
                <w:rFonts w:eastAsia="標楷體"/>
                <w:b/>
                <w:bCs/>
              </w:rPr>
              <w:t>年</w:t>
            </w:r>
          </w:p>
        </w:tc>
        <w:tc>
          <w:tcPr>
            <w:tcW w:w="880" w:type="dxa"/>
            <w:tcBorders>
              <w:top w:val="nil"/>
              <w:left w:val="double" w:sz="4" w:space="0" w:color="auto"/>
              <w:bottom w:val="nil"/>
              <w:right w:val="nil"/>
            </w:tcBorders>
            <w:vAlign w:val="center"/>
          </w:tcPr>
          <w:p w:rsidR="00796DAE" w:rsidRPr="003B6B9A" w:rsidRDefault="00796DAE" w:rsidP="001040FB">
            <w:pPr>
              <w:adjustRightInd w:val="0"/>
              <w:snapToGrid w:val="0"/>
              <w:jc w:val="right"/>
              <w:rPr>
                <w:rFonts w:eastAsia="標楷體"/>
                <w:b/>
                <w:bCs/>
              </w:rPr>
            </w:pPr>
            <w:r w:rsidRPr="003B6B9A">
              <w:rPr>
                <w:rFonts w:eastAsia="標楷體"/>
                <w:b/>
                <w:bCs/>
              </w:rPr>
              <w:t>145,376</w:t>
            </w:r>
          </w:p>
        </w:tc>
        <w:tc>
          <w:tcPr>
            <w:tcW w:w="97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2.7</w:t>
            </w:r>
          </w:p>
        </w:tc>
        <w:tc>
          <w:tcPr>
            <w:tcW w:w="109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101,173</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2.2</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40,074</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3.9</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4,129</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bCs/>
              </w:rPr>
            </w:pPr>
            <w:r w:rsidRPr="003B6B9A">
              <w:rPr>
                <w:rFonts w:eastAsia="標楷體"/>
                <w:b/>
                <w:bCs/>
              </w:rPr>
              <w:t>3.1</w:t>
            </w:r>
          </w:p>
        </w:tc>
      </w:tr>
      <w:tr w:rsidR="00796DAE" w:rsidRPr="003B6B9A" w:rsidTr="001040FB">
        <w:trPr>
          <w:trHeight w:val="360"/>
        </w:trPr>
        <w:tc>
          <w:tcPr>
            <w:tcW w:w="1640" w:type="dxa"/>
            <w:tcBorders>
              <w:top w:val="nil"/>
              <w:left w:val="nil"/>
              <w:bottom w:val="nil"/>
              <w:right w:val="double" w:sz="4" w:space="0" w:color="auto"/>
            </w:tcBorders>
            <w:vAlign w:val="center"/>
          </w:tcPr>
          <w:p w:rsidR="00796DAE" w:rsidRPr="003B6B9A" w:rsidRDefault="00796DAE" w:rsidP="001040FB">
            <w:pPr>
              <w:adjustRightInd w:val="0"/>
              <w:snapToGrid w:val="0"/>
              <w:ind w:left="284" w:firstLineChars="50" w:firstLine="120"/>
              <w:jc w:val="center"/>
              <w:rPr>
                <w:rFonts w:eastAsia="標楷體"/>
              </w:rPr>
            </w:pPr>
            <w:r w:rsidRPr="003B6B9A">
              <w:rPr>
                <w:rFonts w:eastAsia="標楷體"/>
              </w:rPr>
              <w:t>4</w:t>
            </w:r>
            <w:r w:rsidRPr="003B6B9A">
              <w:rPr>
                <w:rFonts w:eastAsia="標楷體"/>
              </w:rPr>
              <w:t>月</w:t>
            </w:r>
          </w:p>
        </w:tc>
        <w:tc>
          <w:tcPr>
            <w:tcW w:w="880" w:type="dxa"/>
            <w:tcBorders>
              <w:top w:val="nil"/>
              <w:left w:val="double" w:sz="4" w:space="0" w:color="auto"/>
              <w:bottom w:val="nil"/>
              <w:right w:val="nil"/>
            </w:tcBorders>
            <w:vAlign w:val="center"/>
          </w:tcPr>
          <w:p w:rsidR="00796DAE" w:rsidRPr="003B6B9A" w:rsidRDefault="00796DAE" w:rsidP="001040FB">
            <w:pPr>
              <w:adjustRightInd w:val="0"/>
              <w:snapToGrid w:val="0"/>
              <w:jc w:val="right"/>
              <w:rPr>
                <w:rFonts w:eastAsia="標楷體"/>
              </w:rPr>
            </w:pPr>
            <w:r w:rsidRPr="003B6B9A">
              <w:rPr>
                <w:rFonts w:eastAsia="標楷體"/>
              </w:rPr>
              <w:t>11,925</w:t>
            </w:r>
          </w:p>
        </w:tc>
        <w:tc>
          <w:tcPr>
            <w:tcW w:w="97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5.0</w:t>
            </w:r>
          </w:p>
        </w:tc>
        <w:tc>
          <w:tcPr>
            <w:tcW w:w="109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8,394</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5.3</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3,211</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4.1</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321</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5.0</w:t>
            </w:r>
          </w:p>
        </w:tc>
      </w:tr>
      <w:tr w:rsidR="00796DAE" w:rsidRPr="003B6B9A" w:rsidTr="001040FB">
        <w:trPr>
          <w:trHeight w:val="360"/>
        </w:trPr>
        <w:tc>
          <w:tcPr>
            <w:tcW w:w="1640" w:type="dxa"/>
            <w:tcBorders>
              <w:top w:val="nil"/>
              <w:left w:val="nil"/>
              <w:bottom w:val="nil"/>
              <w:right w:val="double" w:sz="4" w:space="0" w:color="auto"/>
            </w:tcBorders>
            <w:vAlign w:val="center"/>
          </w:tcPr>
          <w:p w:rsidR="00796DAE" w:rsidRPr="003B6B9A" w:rsidRDefault="00796DAE" w:rsidP="001040FB">
            <w:pPr>
              <w:adjustRightInd w:val="0"/>
              <w:snapToGrid w:val="0"/>
              <w:ind w:left="284" w:firstLineChars="50" w:firstLine="120"/>
              <w:jc w:val="center"/>
              <w:rPr>
                <w:rFonts w:eastAsia="標楷體"/>
              </w:rPr>
            </w:pPr>
            <w:r w:rsidRPr="003B6B9A">
              <w:rPr>
                <w:rFonts w:eastAsia="標楷體"/>
              </w:rPr>
              <w:t>5</w:t>
            </w:r>
            <w:r w:rsidRPr="003B6B9A">
              <w:rPr>
                <w:rFonts w:eastAsia="標楷體"/>
              </w:rPr>
              <w:t>月</w:t>
            </w:r>
          </w:p>
        </w:tc>
        <w:tc>
          <w:tcPr>
            <w:tcW w:w="880" w:type="dxa"/>
            <w:tcBorders>
              <w:top w:val="nil"/>
              <w:left w:val="double" w:sz="4" w:space="0" w:color="auto"/>
              <w:bottom w:val="nil"/>
              <w:right w:val="nil"/>
            </w:tcBorders>
            <w:vAlign w:val="center"/>
          </w:tcPr>
          <w:p w:rsidR="00796DAE" w:rsidRPr="003B6B9A" w:rsidRDefault="00796DAE" w:rsidP="001040FB">
            <w:pPr>
              <w:adjustRightInd w:val="0"/>
              <w:snapToGrid w:val="0"/>
              <w:jc w:val="right"/>
              <w:rPr>
                <w:rFonts w:eastAsia="標楷體"/>
              </w:rPr>
            </w:pPr>
            <w:r w:rsidRPr="003B6B9A">
              <w:rPr>
                <w:rFonts w:eastAsia="標楷體"/>
              </w:rPr>
              <w:t>12,191</w:t>
            </w:r>
          </w:p>
        </w:tc>
        <w:tc>
          <w:tcPr>
            <w:tcW w:w="97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4.0</w:t>
            </w:r>
          </w:p>
        </w:tc>
        <w:tc>
          <w:tcPr>
            <w:tcW w:w="109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8,541</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3.8</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3,297</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4.4</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353</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5.0</w:t>
            </w:r>
          </w:p>
        </w:tc>
      </w:tr>
      <w:tr w:rsidR="00796DAE" w:rsidRPr="003B6B9A" w:rsidTr="001040FB">
        <w:trPr>
          <w:trHeight w:val="360"/>
        </w:trPr>
        <w:tc>
          <w:tcPr>
            <w:tcW w:w="1640" w:type="dxa"/>
            <w:tcBorders>
              <w:top w:val="nil"/>
              <w:left w:val="nil"/>
              <w:bottom w:val="nil"/>
              <w:right w:val="double" w:sz="4" w:space="0" w:color="auto"/>
            </w:tcBorders>
            <w:vAlign w:val="center"/>
          </w:tcPr>
          <w:p w:rsidR="00796DAE" w:rsidRPr="003B6B9A" w:rsidRDefault="00796DAE" w:rsidP="001040FB">
            <w:pPr>
              <w:adjustRightInd w:val="0"/>
              <w:snapToGrid w:val="0"/>
              <w:ind w:left="284" w:firstLineChars="50" w:firstLine="120"/>
              <w:jc w:val="center"/>
              <w:rPr>
                <w:rFonts w:eastAsia="標楷體"/>
              </w:rPr>
            </w:pPr>
            <w:r w:rsidRPr="003B6B9A">
              <w:rPr>
                <w:rFonts w:eastAsia="標楷體"/>
              </w:rPr>
              <w:t>6</w:t>
            </w:r>
            <w:r w:rsidRPr="003B6B9A">
              <w:rPr>
                <w:rFonts w:eastAsia="標楷體"/>
              </w:rPr>
              <w:t>月</w:t>
            </w:r>
          </w:p>
        </w:tc>
        <w:tc>
          <w:tcPr>
            <w:tcW w:w="880" w:type="dxa"/>
            <w:tcBorders>
              <w:top w:val="nil"/>
              <w:left w:val="double" w:sz="4" w:space="0" w:color="auto"/>
              <w:bottom w:val="nil"/>
              <w:right w:val="nil"/>
            </w:tcBorders>
            <w:vAlign w:val="center"/>
          </w:tcPr>
          <w:p w:rsidR="00796DAE" w:rsidRPr="003B6B9A" w:rsidRDefault="00796DAE" w:rsidP="001040FB">
            <w:pPr>
              <w:adjustRightInd w:val="0"/>
              <w:snapToGrid w:val="0"/>
              <w:jc w:val="right"/>
              <w:rPr>
                <w:rFonts w:eastAsia="標楷體"/>
              </w:rPr>
            </w:pPr>
            <w:r w:rsidRPr="003B6B9A">
              <w:rPr>
                <w:rFonts w:eastAsia="標楷體"/>
              </w:rPr>
              <w:t>12,337</w:t>
            </w:r>
          </w:p>
        </w:tc>
        <w:tc>
          <w:tcPr>
            <w:tcW w:w="97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4.1</w:t>
            </w:r>
          </w:p>
        </w:tc>
        <w:tc>
          <w:tcPr>
            <w:tcW w:w="109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8,654</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3.6</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3,330</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5.5</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353</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3.8</w:t>
            </w:r>
          </w:p>
        </w:tc>
      </w:tr>
      <w:tr w:rsidR="00796DAE" w:rsidRPr="003B6B9A" w:rsidTr="001040FB">
        <w:trPr>
          <w:trHeight w:val="360"/>
        </w:trPr>
        <w:tc>
          <w:tcPr>
            <w:tcW w:w="1640" w:type="dxa"/>
            <w:tcBorders>
              <w:top w:val="nil"/>
              <w:left w:val="nil"/>
              <w:bottom w:val="nil"/>
              <w:right w:val="double" w:sz="4" w:space="0" w:color="auto"/>
            </w:tcBorders>
            <w:vAlign w:val="center"/>
          </w:tcPr>
          <w:p w:rsidR="00796DAE" w:rsidRPr="003B6B9A" w:rsidRDefault="00796DAE" w:rsidP="001040FB">
            <w:pPr>
              <w:adjustRightInd w:val="0"/>
              <w:snapToGrid w:val="0"/>
              <w:ind w:left="284" w:firstLineChars="50" w:firstLine="120"/>
              <w:jc w:val="center"/>
              <w:rPr>
                <w:rFonts w:eastAsia="標楷體"/>
              </w:rPr>
            </w:pPr>
            <w:r w:rsidRPr="003B6B9A">
              <w:rPr>
                <w:rFonts w:eastAsia="標楷體"/>
              </w:rPr>
              <w:t>7</w:t>
            </w:r>
            <w:r w:rsidRPr="003B6B9A">
              <w:rPr>
                <w:rFonts w:eastAsia="標楷體"/>
              </w:rPr>
              <w:t>月</w:t>
            </w:r>
          </w:p>
        </w:tc>
        <w:tc>
          <w:tcPr>
            <w:tcW w:w="880" w:type="dxa"/>
            <w:tcBorders>
              <w:top w:val="nil"/>
              <w:left w:val="double" w:sz="4" w:space="0" w:color="auto"/>
              <w:bottom w:val="nil"/>
              <w:right w:val="nil"/>
            </w:tcBorders>
            <w:vAlign w:val="center"/>
          </w:tcPr>
          <w:p w:rsidR="00796DAE" w:rsidRPr="003B6B9A" w:rsidRDefault="00796DAE" w:rsidP="001040FB">
            <w:pPr>
              <w:adjustRightInd w:val="0"/>
              <w:snapToGrid w:val="0"/>
              <w:jc w:val="right"/>
              <w:rPr>
                <w:rFonts w:eastAsia="標楷體"/>
              </w:rPr>
            </w:pPr>
            <w:r w:rsidRPr="003B6B9A">
              <w:rPr>
                <w:rFonts w:eastAsia="標楷體"/>
              </w:rPr>
              <w:t>12,443</w:t>
            </w:r>
          </w:p>
        </w:tc>
        <w:tc>
          <w:tcPr>
            <w:tcW w:w="97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2.9</w:t>
            </w:r>
          </w:p>
        </w:tc>
        <w:tc>
          <w:tcPr>
            <w:tcW w:w="109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8,665</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1.8</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3,425</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5.5</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353</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3.5</w:t>
            </w:r>
          </w:p>
        </w:tc>
      </w:tr>
      <w:tr w:rsidR="00796DAE" w:rsidRPr="003B6B9A" w:rsidTr="001040FB">
        <w:trPr>
          <w:trHeight w:val="360"/>
        </w:trPr>
        <w:tc>
          <w:tcPr>
            <w:tcW w:w="1640" w:type="dxa"/>
            <w:tcBorders>
              <w:top w:val="nil"/>
              <w:left w:val="nil"/>
              <w:bottom w:val="nil"/>
              <w:right w:val="double" w:sz="4" w:space="0" w:color="auto"/>
            </w:tcBorders>
            <w:vAlign w:val="center"/>
          </w:tcPr>
          <w:p w:rsidR="00796DAE" w:rsidRPr="003B6B9A" w:rsidRDefault="00796DAE" w:rsidP="001040FB">
            <w:pPr>
              <w:adjustRightInd w:val="0"/>
              <w:snapToGrid w:val="0"/>
              <w:ind w:left="284" w:firstLineChars="50" w:firstLine="120"/>
              <w:jc w:val="center"/>
              <w:rPr>
                <w:rFonts w:eastAsia="標楷體"/>
              </w:rPr>
            </w:pPr>
            <w:r w:rsidRPr="003B6B9A">
              <w:rPr>
                <w:rFonts w:eastAsia="標楷體"/>
              </w:rPr>
              <w:t>8</w:t>
            </w:r>
            <w:r w:rsidRPr="003B6B9A">
              <w:rPr>
                <w:rFonts w:eastAsia="標楷體"/>
              </w:rPr>
              <w:t>月</w:t>
            </w:r>
          </w:p>
        </w:tc>
        <w:tc>
          <w:tcPr>
            <w:tcW w:w="880" w:type="dxa"/>
            <w:tcBorders>
              <w:top w:val="nil"/>
              <w:left w:val="double" w:sz="4" w:space="0" w:color="auto"/>
              <w:bottom w:val="nil"/>
              <w:right w:val="nil"/>
            </w:tcBorders>
            <w:vAlign w:val="center"/>
          </w:tcPr>
          <w:p w:rsidR="00796DAE" w:rsidRPr="003B6B9A" w:rsidRDefault="00796DAE" w:rsidP="001040FB">
            <w:pPr>
              <w:adjustRightInd w:val="0"/>
              <w:snapToGrid w:val="0"/>
              <w:jc w:val="right"/>
              <w:rPr>
                <w:rFonts w:eastAsia="標楷體"/>
              </w:rPr>
            </w:pPr>
            <w:r w:rsidRPr="003B6B9A">
              <w:rPr>
                <w:rFonts w:eastAsia="標楷體"/>
              </w:rPr>
              <w:t>12,064</w:t>
            </w:r>
          </w:p>
        </w:tc>
        <w:tc>
          <w:tcPr>
            <w:tcW w:w="97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2.2</w:t>
            </w:r>
          </w:p>
        </w:tc>
        <w:tc>
          <w:tcPr>
            <w:tcW w:w="109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8,391</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1.2</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3,308</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4.5</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365</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4.9</w:t>
            </w:r>
          </w:p>
        </w:tc>
      </w:tr>
      <w:tr w:rsidR="00796DAE" w:rsidRPr="003B6B9A" w:rsidTr="001040FB">
        <w:trPr>
          <w:trHeight w:val="360"/>
        </w:trPr>
        <w:tc>
          <w:tcPr>
            <w:tcW w:w="1640" w:type="dxa"/>
            <w:tcBorders>
              <w:top w:val="nil"/>
              <w:left w:val="nil"/>
              <w:bottom w:val="nil"/>
              <w:right w:val="double" w:sz="4" w:space="0" w:color="auto"/>
            </w:tcBorders>
            <w:vAlign w:val="center"/>
          </w:tcPr>
          <w:p w:rsidR="00796DAE" w:rsidRPr="003B6B9A" w:rsidRDefault="00796DAE" w:rsidP="001040FB">
            <w:pPr>
              <w:adjustRightInd w:val="0"/>
              <w:snapToGrid w:val="0"/>
              <w:ind w:left="284" w:firstLineChars="50" w:firstLine="120"/>
              <w:jc w:val="center"/>
              <w:rPr>
                <w:rFonts w:eastAsia="標楷體"/>
              </w:rPr>
            </w:pPr>
            <w:r w:rsidRPr="003B6B9A">
              <w:rPr>
                <w:rFonts w:eastAsia="標楷體"/>
              </w:rPr>
              <w:t>9</w:t>
            </w:r>
            <w:r w:rsidRPr="003B6B9A">
              <w:rPr>
                <w:rFonts w:eastAsia="標楷體"/>
              </w:rPr>
              <w:t>月</w:t>
            </w:r>
          </w:p>
        </w:tc>
        <w:tc>
          <w:tcPr>
            <w:tcW w:w="880" w:type="dxa"/>
            <w:tcBorders>
              <w:top w:val="nil"/>
              <w:left w:val="double" w:sz="4" w:space="0" w:color="auto"/>
              <w:bottom w:val="nil"/>
              <w:right w:val="nil"/>
            </w:tcBorders>
            <w:vAlign w:val="center"/>
          </w:tcPr>
          <w:p w:rsidR="00796DAE" w:rsidRPr="003B6B9A" w:rsidRDefault="00796DAE" w:rsidP="001040FB">
            <w:pPr>
              <w:adjustRightInd w:val="0"/>
              <w:snapToGrid w:val="0"/>
              <w:jc w:val="right"/>
              <w:rPr>
                <w:rFonts w:eastAsia="標楷體"/>
              </w:rPr>
            </w:pPr>
            <w:r w:rsidRPr="003B6B9A">
              <w:rPr>
                <w:rFonts w:eastAsia="標楷體"/>
              </w:rPr>
              <w:t>12,447</w:t>
            </w:r>
          </w:p>
        </w:tc>
        <w:tc>
          <w:tcPr>
            <w:tcW w:w="97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2.5</w:t>
            </w:r>
          </w:p>
        </w:tc>
        <w:tc>
          <w:tcPr>
            <w:tcW w:w="109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8,809</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2.0</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3,310</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4.2</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327</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-0.8</w:t>
            </w:r>
          </w:p>
        </w:tc>
      </w:tr>
      <w:tr w:rsidR="00796DAE" w:rsidRPr="003B6B9A" w:rsidTr="001040FB">
        <w:trPr>
          <w:trHeight w:val="360"/>
        </w:trPr>
        <w:tc>
          <w:tcPr>
            <w:tcW w:w="1640" w:type="dxa"/>
            <w:tcBorders>
              <w:top w:val="nil"/>
              <w:left w:val="nil"/>
              <w:bottom w:val="nil"/>
              <w:right w:val="double" w:sz="4" w:space="0" w:color="auto"/>
            </w:tcBorders>
            <w:vAlign w:val="center"/>
          </w:tcPr>
          <w:p w:rsidR="00796DAE" w:rsidRPr="003B6B9A" w:rsidRDefault="00796DAE" w:rsidP="001040FB">
            <w:pPr>
              <w:adjustRightInd w:val="0"/>
              <w:snapToGrid w:val="0"/>
              <w:ind w:left="284" w:firstLineChars="50" w:firstLine="120"/>
              <w:jc w:val="center"/>
              <w:rPr>
                <w:rFonts w:eastAsia="標楷體"/>
              </w:rPr>
            </w:pPr>
            <w:r w:rsidRPr="003B6B9A">
              <w:rPr>
                <w:rFonts w:eastAsia="標楷體"/>
              </w:rPr>
              <w:t>10</w:t>
            </w:r>
            <w:r w:rsidRPr="003B6B9A">
              <w:rPr>
                <w:rFonts w:eastAsia="標楷體"/>
              </w:rPr>
              <w:t>月</w:t>
            </w:r>
          </w:p>
        </w:tc>
        <w:tc>
          <w:tcPr>
            <w:tcW w:w="880" w:type="dxa"/>
            <w:tcBorders>
              <w:top w:val="nil"/>
              <w:left w:val="double" w:sz="4" w:space="0" w:color="auto"/>
              <w:bottom w:val="nil"/>
              <w:right w:val="nil"/>
            </w:tcBorders>
            <w:vAlign w:val="center"/>
          </w:tcPr>
          <w:p w:rsidR="00796DAE" w:rsidRPr="003B6B9A" w:rsidRDefault="00796DAE" w:rsidP="001040FB">
            <w:pPr>
              <w:adjustRightInd w:val="0"/>
              <w:snapToGrid w:val="0"/>
              <w:jc w:val="right"/>
              <w:rPr>
                <w:rFonts w:eastAsia="標楷體"/>
              </w:rPr>
            </w:pPr>
            <w:r w:rsidRPr="003B6B9A">
              <w:rPr>
                <w:rFonts w:eastAsia="標楷體"/>
              </w:rPr>
              <w:t>12,481</w:t>
            </w:r>
          </w:p>
        </w:tc>
        <w:tc>
          <w:tcPr>
            <w:tcW w:w="97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1.5</w:t>
            </w:r>
          </w:p>
        </w:tc>
        <w:tc>
          <w:tcPr>
            <w:tcW w:w="109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8,622</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0.8</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3,535</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3.3</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324</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rPr>
            </w:pPr>
            <w:r w:rsidRPr="003B6B9A">
              <w:rPr>
                <w:rFonts w:eastAsia="標楷體"/>
              </w:rPr>
              <w:t>0.9</w:t>
            </w:r>
          </w:p>
        </w:tc>
      </w:tr>
      <w:tr w:rsidR="00796DAE" w:rsidRPr="003B6B9A" w:rsidTr="001040FB">
        <w:trPr>
          <w:trHeight w:val="360"/>
        </w:trPr>
        <w:tc>
          <w:tcPr>
            <w:tcW w:w="1640" w:type="dxa"/>
            <w:tcBorders>
              <w:top w:val="nil"/>
              <w:left w:val="nil"/>
              <w:bottom w:val="nil"/>
              <w:right w:val="double" w:sz="4" w:space="0" w:color="auto"/>
            </w:tcBorders>
            <w:vAlign w:val="center"/>
          </w:tcPr>
          <w:p w:rsidR="00796DAE" w:rsidRPr="003B6B9A" w:rsidRDefault="00796DAE" w:rsidP="001040FB">
            <w:pPr>
              <w:adjustRightInd w:val="0"/>
              <w:snapToGrid w:val="0"/>
              <w:ind w:left="284" w:firstLineChars="50" w:firstLine="120"/>
              <w:jc w:val="center"/>
              <w:rPr>
                <w:rFonts w:eastAsia="標楷體"/>
              </w:rPr>
            </w:pPr>
            <w:r w:rsidRPr="003B6B9A">
              <w:rPr>
                <w:rFonts w:eastAsia="標楷體"/>
              </w:rPr>
              <w:t>11</w:t>
            </w:r>
            <w:r w:rsidRPr="003B6B9A">
              <w:rPr>
                <w:rFonts w:eastAsia="標楷體"/>
              </w:rPr>
              <w:t>月</w:t>
            </w:r>
          </w:p>
        </w:tc>
        <w:tc>
          <w:tcPr>
            <w:tcW w:w="880" w:type="dxa"/>
            <w:tcBorders>
              <w:top w:val="nil"/>
              <w:left w:val="double" w:sz="4" w:space="0" w:color="auto"/>
              <w:bottom w:val="nil"/>
              <w:right w:val="nil"/>
            </w:tcBorders>
          </w:tcPr>
          <w:p w:rsidR="00796DAE" w:rsidRPr="003B6B9A" w:rsidRDefault="00796DAE" w:rsidP="001040FB">
            <w:pPr>
              <w:adjustRightInd w:val="0"/>
              <w:snapToGrid w:val="0"/>
              <w:jc w:val="right"/>
              <w:rPr>
                <w:rFonts w:eastAsia="標楷體"/>
              </w:rPr>
            </w:pPr>
            <w:r w:rsidRPr="003B6B9A">
              <w:rPr>
                <w:rFonts w:eastAsia="標楷體"/>
              </w:rPr>
              <w:t xml:space="preserve">12,052 </w:t>
            </w:r>
          </w:p>
        </w:tc>
        <w:tc>
          <w:tcPr>
            <w:tcW w:w="976"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0.8</w:t>
            </w:r>
          </w:p>
        </w:tc>
        <w:tc>
          <w:tcPr>
            <w:tcW w:w="1096"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8,324</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0.4</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3,403</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1.8</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325</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0.1</w:t>
            </w:r>
          </w:p>
        </w:tc>
      </w:tr>
      <w:tr w:rsidR="00796DAE" w:rsidRPr="003B6B9A" w:rsidTr="001040FB">
        <w:trPr>
          <w:trHeight w:val="360"/>
        </w:trPr>
        <w:tc>
          <w:tcPr>
            <w:tcW w:w="1640" w:type="dxa"/>
            <w:tcBorders>
              <w:top w:val="nil"/>
              <w:left w:val="nil"/>
              <w:bottom w:val="nil"/>
              <w:right w:val="double" w:sz="4" w:space="0" w:color="auto"/>
            </w:tcBorders>
            <w:vAlign w:val="center"/>
          </w:tcPr>
          <w:p w:rsidR="00796DAE" w:rsidRPr="003B6B9A" w:rsidRDefault="00796DAE" w:rsidP="001040FB">
            <w:pPr>
              <w:adjustRightInd w:val="0"/>
              <w:snapToGrid w:val="0"/>
              <w:ind w:left="284" w:firstLineChars="50" w:firstLine="120"/>
              <w:jc w:val="center"/>
              <w:rPr>
                <w:rFonts w:eastAsia="標楷體"/>
              </w:rPr>
            </w:pPr>
            <w:r w:rsidRPr="003B6B9A">
              <w:rPr>
                <w:rFonts w:eastAsia="標楷體"/>
              </w:rPr>
              <w:t>12</w:t>
            </w:r>
            <w:r w:rsidRPr="003B6B9A">
              <w:rPr>
                <w:rFonts w:eastAsia="標楷體"/>
              </w:rPr>
              <w:t>月</w:t>
            </w:r>
          </w:p>
        </w:tc>
        <w:tc>
          <w:tcPr>
            <w:tcW w:w="880" w:type="dxa"/>
            <w:tcBorders>
              <w:top w:val="nil"/>
              <w:left w:val="double" w:sz="4" w:space="0" w:color="auto"/>
              <w:bottom w:val="nil"/>
              <w:right w:val="nil"/>
            </w:tcBorders>
          </w:tcPr>
          <w:p w:rsidR="00796DAE" w:rsidRPr="003B6B9A" w:rsidRDefault="00796DAE" w:rsidP="001040FB">
            <w:pPr>
              <w:adjustRightInd w:val="0"/>
              <w:snapToGrid w:val="0"/>
              <w:jc w:val="right"/>
              <w:rPr>
                <w:rFonts w:eastAsia="標楷體"/>
              </w:rPr>
            </w:pPr>
            <w:r w:rsidRPr="003B6B9A">
              <w:rPr>
                <w:rFonts w:eastAsia="標楷體"/>
              </w:rPr>
              <w:t xml:space="preserve">12,736 </w:t>
            </w:r>
          </w:p>
        </w:tc>
        <w:tc>
          <w:tcPr>
            <w:tcW w:w="976"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2.5</w:t>
            </w:r>
          </w:p>
        </w:tc>
        <w:tc>
          <w:tcPr>
            <w:tcW w:w="1096"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8,786</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1.9</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3,598</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4.1</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352</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0.0</w:t>
            </w:r>
          </w:p>
        </w:tc>
      </w:tr>
      <w:tr w:rsidR="00796DAE" w:rsidRPr="003B6B9A" w:rsidTr="001040FB">
        <w:trPr>
          <w:trHeight w:val="360"/>
        </w:trPr>
        <w:tc>
          <w:tcPr>
            <w:tcW w:w="1640" w:type="dxa"/>
            <w:tcBorders>
              <w:top w:val="nil"/>
              <w:left w:val="nil"/>
              <w:bottom w:val="nil"/>
              <w:right w:val="double" w:sz="4" w:space="0" w:color="auto"/>
            </w:tcBorders>
            <w:vAlign w:val="center"/>
          </w:tcPr>
          <w:p w:rsidR="00796DAE" w:rsidRPr="003B6B9A" w:rsidRDefault="00796DAE" w:rsidP="001040FB">
            <w:pPr>
              <w:snapToGrid w:val="0"/>
              <w:spacing w:line="300" w:lineRule="exact"/>
              <w:jc w:val="both"/>
              <w:rPr>
                <w:rFonts w:eastAsia="標楷體"/>
                <w:b/>
                <w:bCs/>
              </w:rPr>
            </w:pPr>
            <w:r w:rsidRPr="003B6B9A">
              <w:rPr>
                <w:rFonts w:eastAsia="標楷體"/>
                <w:b/>
                <w:bCs/>
              </w:rPr>
              <w:t xml:space="preserve"> 104</w:t>
            </w:r>
            <w:r w:rsidRPr="003B6B9A">
              <w:rPr>
                <w:rFonts w:eastAsia="標楷體"/>
                <w:b/>
                <w:bCs/>
              </w:rPr>
              <w:t>年</w:t>
            </w:r>
            <w:r w:rsidRPr="003B6B9A">
              <w:rPr>
                <w:rFonts w:eastAsia="標楷體"/>
                <w:b/>
                <w:bCs/>
              </w:rPr>
              <w:t>1~4</w:t>
            </w:r>
            <w:r w:rsidRPr="003B6B9A">
              <w:rPr>
                <w:rFonts w:eastAsia="標楷體"/>
                <w:b/>
                <w:bCs/>
              </w:rPr>
              <w:t>月</w:t>
            </w:r>
          </w:p>
        </w:tc>
        <w:tc>
          <w:tcPr>
            <w:tcW w:w="880" w:type="dxa"/>
            <w:tcBorders>
              <w:top w:val="nil"/>
              <w:left w:val="double" w:sz="4" w:space="0" w:color="auto"/>
              <w:bottom w:val="nil"/>
              <w:right w:val="nil"/>
            </w:tcBorders>
            <w:vAlign w:val="center"/>
          </w:tcPr>
          <w:p w:rsidR="00796DAE" w:rsidRPr="003B6B9A" w:rsidRDefault="00796DAE" w:rsidP="001040FB">
            <w:pPr>
              <w:adjustRightInd w:val="0"/>
              <w:snapToGrid w:val="0"/>
              <w:jc w:val="right"/>
              <w:rPr>
                <w:rFonts w:eastAsia="標楷體"/>
                <w:b/>
              </w:rPr>
            </w:pPr>
            <w:r w:rsidRPr="003B6B9A">
              <w:rPr>
                <w:rFonts w:eastAsia="標楷體"/>
                <w:b/>
              </w:rPr>
              <w:t>46,346</w:t>
            </w:r>
          </w:p>
        </w:tc>
        <w:tc>
          <w:tcPr>
            <w:tcW w:w="97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rPr>
            </w:pPr>
            <w:r w:rsidRPr="003B6B9A">
              <w:rPr>
                <w:rFonts w:eastAsia="標楷體"/>
                <w:b/>
              </w:rPr>
              <w:t>-0.6</w:t>
            </w:r>
          </w:p>
        </w:tc>
        <w:tc>
          <w:tcPr>
            <w:tcW w:w="1096"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rPr>
            </w:pPr>
            <w:r w:rsidRPr="003B6B9A">
              <w:rPr>
                <w:rFonts w:eastAsia="標楷體"/>
                <w:b/>
              </w:rPr>
              <w:t>31,890</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rPr>
            </w:pPr>
            <w:r w:rsidRPr="003B6B9A">
              <w:rPr>
                <w:rFonts w:eastAsia="標楷體"/>
                <w:b/>
              </w:rPr>
              <w:t>-1.5</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rPr>
            </w:pPr>
            <w:r w:rsidRPr="003B6B9A">
              <w:rPr>
                <w:rFonts w:eastAsia="標楷體"/>
                <w:b/>
              </w:rPr>
              <w:t>13,051</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rPr>
            </w:pPr>
            <w:r w:rsidRPr="003B6B9A">
              <w:rPr>
                <w:rFonts w:eastAsia="標楷體"/>
                <w:b/>
              </w:rPr>
              <w:t>1.4</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rPr>
            </w:pPr>
            <w:r w:rsidRPr="003B6B9A">
              <w:rPr>
                <w:rFonts w:eastAsia="標楷體"/>
                <w:b/>
              </w:rPr>
              <w:t>1,406</w:t>
            </w:r>
          </w:p>
        </w:tc>
        <w:tc>
          <w:tcPr>
            <w:tcW w:w="1020" w:type="dxa"/>
            <w:tcBorders>
              <w:top w:val="nil"/>
              <w:left w:val="nil"/>
              <w:bottom w:val="nil"/>
              <w:right w:val="nil"/>
            </w:tcBorders>
            <w:vAlign w:val="center"/>
          </w:tcPr>
          <w:p w:rsidR="00796DAE" w:rsidRPr="003B6B9A" w:rsidRDefault="00796DAE" w:rsidP="001040FB">
            <w:pPr>
              <w:adjustRightInd w:val="0"/>
              <w:snapToGrid w:val="0"/>
              <w:ind w:left="28" w:rightChars="75" w:right="180"/>
              <w:jc w:val="right"/>
              <w:rPr>
                <w:rFonts w:eastAsia="標楷體"/>
                <w:b/>
              </w:rPr>
            </w:pPr>
            <w:r w:rsidRPr="003B6B9A">
              <w:rPr>
                <w:rFonts w:eastAsia="標楷體"/>
                <w:b/>
              </w:rPr>
              <w:t>2.0</w:t>
            </w:r>
          </w:p>
        </w:tc>
      </w:tr>
      <w:tr w:rsidR="00796DAE" w:rsidRPr="003B6B9A" w:rsidTr="001040FB">
        <w:trPr>
          <w:trHeight w:val="261"/>
        </w:trPr>
        <w:tc>
          <w:tcPr>
            <w:tcW w:w="1640" w:type="dxa"/>
            <w:tcBorders>
              <w:top w:val="nil"/>
              <w:left w:val="nil"/>
              <w:bottom w:val="nil"/>
              <w:right w:val="double" w:sz="4" w:space="0" w:color="auto"/>
            </w:tcBorders>
            <w:vAlign w:val="center"/>
          </w:tcPr>
          <w:p w:rsidR="00796DAE" w:rsidRPr="003B6B9A" w:rsidRDefault="00796DAE" w:rsidP="001040FB">
            <w:pPr>
              <w:adjustRightInd w:val="0"/>
              <w:snapToGrid w:val="0"/>
              <w:ind w:left="284" w:firstLineChars="50" w:firstLine="120"/>
              <w:jc w:val="center"/>
              <w:rPr>
                <w:rFonts w:eastAsia="標楷體"/>
              </w:rPr>
            </w:pPr>
            <w:r w:rsidRPr="003B6B9A">
              <w:rPr>
                <w:rFonts w:eastAsia="標楷體"/>
              </w:rPr>
              <w:t>1</w:t>
            </w:r>
            <w:r w:rsidRPr="003B6B9A">
              <w:rPr>
                <w:rFonts w:eastAsia="標楷體"/>
              </w:rPr>
              <w:t>月</w:t>
            </w:r>
          </w:p>
        </w:tc>
        <w:tc>
          <w:tcPr>
            <w:tcW w:w="880" w:type="dxa"/>
            <w:tcBorders>
              <w:top w:val="nil"/>
              <w:left w:val="double" w:sz="4" w:space="0" w:color="auto"/>
              <w:bottom w:val="nil"/>
              <w:right w:val="nil"/>
            </w:tcBorders>
          </w:tcPr>
          <w:p w:rsidR="00796DAE" w:rsidRPr="003B6B9A" w:rsidRDefault="00796DAE" w:rsidP="001040FB">
            <w:pPr>
              <w:adjustRightInd w:val="0"/>
              <w:snapToGrid w:val="0"/>
              <w:jc w:val="right"/>
              <w:rPr>
                <w:rFonts w:eastAsia="標楷體"/>
              </w:rPr>
            </w:pPr>
            <w:r w:rsidRPr="003B6B9A">
              <w:rPr>
                <w:rFonts w:eastAsia="標楷體"/>
              </w:rPr>
              <w:t>12,311</w:t>
            </w:r>
          </w:p>
        </w:tc>
        <w:tc>
          <w:tcPr>
            <w:tcW w:w="976"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-0.6</w:t>
            </w:r>
          </w:p>
        </w:tc>
        <w:tc>
          <w:tcPr>
            <w:tcW w:w="1096"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8,580</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1.6</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3,382</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-5.1</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349</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-6.4</w:t>
            </w:r>
          </w:p>
        </w:tc>
      </w:tr>
      <w:tr w:rsidR="00796DAE" w:rsidRPr="003B6B9A" w:rsidTr="001040FB">
        <w:trPr>
          <w:trHeight w:val="360"/>
        </w:trPr>
        <w:tc>
          <w:tcPr>
            <w:tcW w:w="1640" w:type="dxa"/>
            <w:tcBorders>
              <w:top w:val="nil"/>
              <w:left w:val="nil"/>
              <w:bottom w:val="nil"/>
              <w:right w:val="double" w:sz="4" w:space="0" w:color="auto"/>
            </w:tcBorders>
            <w:vAlign w:val="center"/>
          </w:tcPr>
          <w:p w:rsidR="00796DAE" w:rsidRPr="003B6B9A" w:rsidRDefault="00796DAE" w:rsidP="001040FB">
            <w:pPr>
              <w:adjustRightInd w:val="0"/>
              <w:snapToGrid w:val="0"/>
              <w:ind w:left="284" w:firstLineChars="50" w:firstLine="120"/>
              <w:jc w:val="center"/>
              <w:rPr>
                <w:rFonts w:eastAsia="標楷體"/>
              </w:rPr>
            </w:pPr>
            <w:r w:rsidRPr="003B6B9A">
              <w:rPr>
                <w:rFonts w:eastAsia="標楷體"/>
              </w:rPr>
              <w:t>2</w:t>
            </w:r>
            <w:r w:rsidRPr="003B6B9A">
              <w:rPr>
                <w:rFonts w:eastAsia="標楷體"/>
              </w:rPr>
              <w:t>月</w:t>
            </w:r>
          </w:p>
        </w:tc>
        <w:tc>
          <w:tcPr>
            <w:tcW w:w="880" w:type="dxa"/>
            <w:tcBorders>
              <w:top w:val="nil"/>
              <w:left w:val="double" w:sz="4" w:space="0" w:color="auto"/>
              <w:bottom w:val="nil"/>
              <w:right w:val="nil"/>
            </w:tcBorders>
          </w:tcPr>
          <w:p w:rsidR="00796DAE" w:rsidRPr="003B6B9A" w:rsidRDefault="00796DAE" w:rsidP="001040FB">
            <w:pPr>
              <w:adjustRightInd w:val="0"/>
              <w:snapToGrid w:val="0"/>
              <w:jc w:val="right"/>
              <w:rPr>
                <w:rFonts w:eastAsia="標楷體"/>
              </w:rPr>
            </w:pPr>
            <w:r w:rsidRPr="003B6B9A">
              <w:rPr>
                <w:rFonts w:eastAsia="標楷體"/>
              </w:rPr>
              <w:t>10,548</w:t>
            </w:r>
          </w:p>
        </w:tc>
        <w:tc>
          <w:tcPr>
            <w:tcW w:w="976"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0.9</w:t>
            </w:r>
          </w:p>
        </w:tc>
        <w:tc>
          <w:tcPr>
            <w:tcW w:w="1096"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6,865</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-3.7</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3,298</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10.7</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385</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10.7</w:t>
            </w:r>
          </w:p>
        </w:tc>
      </w:tr>
      <w:tr w:rsidR="00796DAE" w:rsidRPr="003B6B9A" w:rsidTr="001040FB">
        <w:trPr>
          <w:trHeight w:val="360"/>
        </w:trPr>
        <w:tc>
          <w:tcPr>
            <w:tcW w:w="1640" w:type="dxa"/>
            <w:tcBorders>
              <w:top w:val="nil"/>
              <w:left w:val="nil"/>
              <w:bottom w:val="nil"/>
              <w:right w:val="double" w:sz="4" w:space="0" w:color="auto"/>
            </w:tcBorders>
            <w:vAlign w:val="center"/>
          </w:tcPr>
          <w:p w:rsidR="00796DAE" w:rsidRPr="003B6B9A" w:rsidRDefault="00796DAE" w:rsidP="001040FB">
            <w:pPr>
              <w:adjustRightInd w:val="0"/>
              <w:snapToGrid w:val="0"/>
              <w:ind w:left="284" w:firstLineChars="50" w:firstLine="120"/>
              <w:jc w:val="center"/>
              <w:rPr>
                <w:rFonts w:eastAsia="標楷體"/>
              </w:rPr>
            </w:pPr>
            <w:r w:rsidRPr="003B6B9A">
              <w:rPr>
                <w:rFonts w:eastAsia="標楷體"/>
              </w:rPr>
              <w:t>3</w:t>
            </w:r>
            <w:r w:rsidRPr="003B6B9A">
              <w:rPr>
                <w:rFonts w:eastAsia="標楷體"/>
              </w:rPr>
              <w:t>月</w:t>
            </w:r>
          </w:p>
        </w:tc>
        <w:tc>
          <w:tcPr>
            <w:tcW w:w="880" w:type="dxa"/>
            <w:tcBorders>
              <w:top w:val="nil"/>
              <w:left w:val="double" w:sz="4" w:space="0" w:color="auto"/>
              <w:bottom w:val="nil"/>
              <w:right w:val="nil"/>
            </w:tcBorders>
          </w:tcPr>
          <w:p w:rsidR="00796DAE" w:rsidRPr="003B6B9A" w:rsidRDefault="00796DAE" w:rsidP="001040FB">
            <w:pPr>
              <w:adjustRightInd w:val="0"/>
              <w:snapToGrid w:val="0"/>
              <w:jc w:val="right"/>
              <w:rPr>
                <w:rFonts w:eastAsia="標楷體"/>
              </w:rPr>
            </w:pPr>
            <w:r w:rsidRPr="003B6B9A">
              <w:rPr>
                <w:rFonts w:eastAsia="標楷體"/>
              </w:rPr>
              <w:t>11,798</w:t>
            </w:r>
          </w:p>
        </w:tc>
        <w:tc>
          <w:tcPr>
            <w:tcW w:w="976"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-0.6</w:t>
            </w:r>
          </w:p>
        </w:tc>
        <w:tc>
          <w:tcPr>
            <w:tcW w:w="1096"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8,293</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-1.5</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3,162</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1.5</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343</w:t>
            </w:r>
          </w:p>
        </w:tc>
        <w:tc>
          <w:tcPr>
            <w:tcW w:w="1020" w:type="dxa"/>
            <w:tcBorders>
              <w:top w:val="nil"/>
              <w:left w:val="nil"/>
              <w:bottom w:val="nil"/>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1.9</w:t>
            </w:r>
          </w:p>
        </w:tc>
      </w:tr>
      <w:tr w:rsidR="00796DAE" w:rsidRPr="003B6B9A" w:rsidTr="001040FB">
        <w:trPr>
          <w:trHeight w:val="360"/>
        </w:trPr>
        <w:tc>
          <w:tcPr>
            <w:tcW w:w="1640" w:type="dxa"/>
            <w:tcBorders>
              <w:top w:val="nil"/>
              <w:left w:val="nil"/>
              <w:bottom w:val="single" w:sz="4" w:space="0" w:color="auto"/>
              <w:right w:val="double" w:sz="4" w:space="0" w:color="auto"/>
            </w:tcBorders>
            <w:vAlign w:val="center"/>
          </w:tcPr>
          <w:p w:rsidR="00796DAE" w:rsidRPr="003B6B9A" w:rsidRDefault="00796DAE" w:rsidP="001040FB">
            <w:pPr>
              <w:adjustRightInd w:val="0"/>
              <w:snapToGrid w:val="0"/>
              <w:ind w:left="284" w:firstLineChars="50" w:firstLine="120"/>
              <w:jc w:val="center"/>
              <w:rPr>
                <w:rFonts w:eastAsia="標楷體"/>
              </w:rPr>
            </w:pPr>
            <w:r w:rsidRPr="003B6B9A">
              <w:rPr>
                <w:rFonts w:eastAsia="標楷體"/>
              </w:rPr>
              <w:t>4</w:t>
            </w:r>
            <w:r w:rsidRPr="003B6B9A">
              <w:rPr>
                <w:rFonts w:eastAsia="標楷體"/>
              </w:rPr>
              <w:t>月</w:t>
            </w:r>
          </w:p>
        </w:tc>
        <w:tc>
          <w:tcPr>
            <w:tcW w:w="880" w:type="dxa"/>
            <w:tcBorders>
              <w:top w:val="nil"/>
              <w:left w:val="double" w:sz="4" w:space="0" w:color="auto"/>
              <w:bottom w:val="single" w:sz="4" w:space="0" w:color="auto"/>
              <w:right w:val="nil"/>
            </w:tcBorders>
          </w:tcPr>
          <w:p w:rsidR="00796DAE" w:rsidRPr="003B6B9A" w:rsidRDefault="00796DAE" w:rsidP="001040FB">
            <w:pPr>
              <w:adjustRightInd w:val="0"/>
              <w:snapToGrid w:val="0"/>
              <w:jc w:val="right"/>
              <w:rPr>
                <w:rFonts w:eastAsia="標楷體"/>
              </w:rPr>
            </w:pPr>
            <w:r w:rsidRPr="003B6B9A">
              <w:rPr>
                <w:rFonts w:eastAsia="標楷體"/>
              </w:rPr>
              <w:t>11,690</w:t>
            </w:r>
          </w:p>
        </w:tc>
        <w:tc>
          <w:tcPr>
            <w:tcW w:w="976" w:type="dxa"/>
            <w:tcBorders>
              <w:top w:val="nil"/>
              <w:left w:val="nil"/>
              <w:bottom w:val="single" w:sz="4" w:space="0" w:color="auto"/>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-2.0</w:t>
            </w:r>
          </w:p>
        </w:tc>
        <w:tc>
          <w:tcPr>
            <w:tcW w:w="1096" w:type="dxa"/>
            <w:tcBorders>
              <w:top w:val="nil"/>
              <w:left w:val="nil"/>
              <w:bottom w:val="single" w:sz="4" w:space="0" w:color="auto"/>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8,152</w:t>
            </w:r>
          </w:p>
        </w:tc>
        <w:tc>
          <w:tcPr>
            <w:tcW w:w="1020" w:type="dxa"/>
            <w:tcBorders>
              <w:top w:val="nil"/>
              <w:left w:val="nil"/>
              <w:bottom w:val="single" w:sz="4" w:space="0" w:color="auto"/>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-2.9</w:t>
            </w:r>
          </w:p>
        </w:tc>
        <w:tc>
          <w:tcPr>
            <w:tcW w:w="1020" w:type="dxa"/>
            <w:tcBorders>
              <w:top w:val="nil"/>
              <w:left w:val="nil"/>
              <w:bottom w:val="single" w:sz="4" w:space="0" w:color="auto"/>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3,209</w:t>
            </w:r>
          </w:p>
        </w:tc>
        <w:tc>
          <w:tcPr>
            <w:tcW w:w="1020" w:type="dxa"/>
            <w:tcBorders>
              <w:top w:val="nil"/>
              <w:left w:val="nil"/>
              <w:bottom w:val="single" w:sz="4" w:space="0" w:color="auto"/>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-0.1</w:t>
            </w:r>
          </w:p>
        </w:tc>
        <w:tc>
          <w:tcPr>
            <w:tcW w:w="1020" w:type="dxa"/>
            <w:tcBorders>
              <w:top w:val="nil"/>
              <w:left w:val="nil"/>
              <w:bottom w:val="single" w:sz="4" w:space="0" w:color="auto"/>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329</w:t>
            </w:r>
          </w:p>
        </w:tc>
        <w:tc>
          <w:tcPr>
            <w:tcW w:w="1020" w:type="dxa"/>
            <w:tcBorders>
              <w:top w:val="nil"/>
              <w:left w:val="nil"/>
              <w:bottom w:val="single" w:sz="4" w:space="0" w:color="auto"/>
              <w:right w:val="nil"/>
            </w:tcBorders>
          </w:tcPr>
          <w:p w:rsidR="00796DAE" w:rsidRPr="003B6B9A" w:rsidRDefault="00796DAE" w:rsidP="001040FB">
            <w:pPr>
              <w:adjustRightInd w:val="0"/>
              <w:snapToGrid w:val="0"/>
              <w:ind w:left="28" w:rightChars="75" w:right="180"/>
              <w:jc w:val="right"/>
              <w:rPr>
                <w:rFonts w:eastAsia="標楷體"/>
              </w:rPr>
            </w:pPr>
            <w:r w:rsidRPr="003B6B9A">
              <w:rPr>
                <w:rFonts w:eastAsia="標楷體"/>
              </w:rPr>
              <w:t>2.5</w:t>
            </w:r>
          </w:p>
        </w:tc>
      </w:tr>
    </w:tbl>
    <w:p w:rsidR="003F3F99" w:rsidRPr="00B118E9" w:rsidRDefault="003F3F99" w:rsidP="003F3F99">
      <w:pPr>
        <w:tabs>
          <w:tab w:val="left" w:pos="540"/>
          <w:tab w:val="left" w:pos="900"/>
        </w:tabs>
        <w:snapToGrid w:val="0"/>
        <w:spacing w:line="320" w:lineRule="exact"/>
        <w:jc w:val="both"/>
        <w:rPr>
          <w:rFonts w:eastAsia="標楷體"/>
          <w:sz w:val="22"/>
          <w:szCs w:val="22"/>
        </w:rPr>
      </w:pPr>
      <w:r w:rsidRPr="00B118E9">
        <w:rPr>
          <w:rFonts w:eastAsia="標楷體"/>
          <w:sz w:val="22"/>
          <w:szCs w:val="22"/>
        </w:rPr>
        <w:t>資料來源：經濟部統計處。</w:t>
      </w:r>
    </w:p>
    <w:p w:rsidR="003F3F99" w:rsidRPr="00B118E9" w:rsidRDefault="003F3F99" w:rsidP="003F3F99">
      <w:pPr>
        <w:widowControl/>
        <w:tabs>
          <w:tab w:val="left" w:pos="540"/>
        </w:tabs>
        <w:snapToGrid w:val="0"/>
        <w:spacing w:beforeLines="50" w:before="180" w:line="300" w:lineRule="auto"/>
        <w:jc w:val="both"/>
        <w:rPr>
          <w:rFonts w:eastAsia="標楷體"/>
          <w:b/>
          <w:bCs/>
          <w:kern w:val="0"/>
          <w:sz w:val="28"/>
          <w:szCs w:val="20"/>
        </w:rPr>
      </w:pPr>
      <w:r w:rsidRPr="00B118E9">
        <w:rPr>
          <w:rFonts w:eastAsia="標楷體"/>
          <w:b/>
          <w:bCs/>
          <w:color w:val="FF0000"/>
          <w:kern w:val="0"/>
          <w:sz w:val="28"/>
          <w:szCs w:val="20"/>
        </w:rPr>
        <w:br w:type="page"/>
      </w:r>
      <w:r w:rsidRPr="00B118E9">
        <w:rPr>
          <w:rFonts w:eastAsia="標楷體"/>
          <w:b/>
          <w:bCs/>
          <w:kern w:val="0"/>
          <w:sz w:val="28"/>
          <w:szCs w:val="20"/>
        </w:rPr>
        <w:t>２、</w:t>
      </w:r>
      <w:r w:rsidR="00796DAE" w:rsidRPr="003B6B9A">
        <w:rPr>
          <w:rFonts w:eastAsia="標楷體"/>
          <w:b/>
          <w:bCs/>
          <w:kern w:val="0"/>
          <w:sz w:val="28"/>
          <w:szCs w:val="20"/>
        </w:rPr>
        <w:t>104</w:t>
      </w:r>
      <w:r w:rsidR="00796DAE" w:rsidRPr="003B6B9A">
        <w:rPr>
          <w:rFonts w:eastAsia="標楷體"/>
          <w:b/>
          <w:bCs/>
          <w:kern w:val="0"/>
          <w:sz w:val="28"/>
          <w:szCs w:val="20"/>
        </w:rPr>
        <w:t>年</w:t>
      </w:r>
      <w:r w:rsidR="00796DAE" w:rsidRPr="003B6B9A">
        <w:rPr>
          <w:rFonts w:eastAsia="標楷體"/>
          <w:b/>
          <w:bCs/>
          <w:kern w:val="0"/>
          <w:sz w:val="28"/>
          <w:szCs w:val="20"/>
        </w:rPr>
        <w:t>4</w:t>
      </w:r>
      <w:r w:rsidR="00796DAE" w:rsidRPr="003B6B9A">
        <w:rPr>
          <w:rFonts w:eastAsia="標楷體"/>
          <w:b/>
          <w:bCs/>
          <w:kern w:val="0"/>
          <w:sz w:val="28"/>
          <w:szCs w:val="20"/>
        </w:rPr>
        <w:t>月批發業營業額減少</w:t>
      </w:r>
      <w:r w:rsidR="00796DAE" w:rsidRPr="003B6B9A">
        <w:rPr>
          <w:rFonts w:eastAsia="標楷體"/>
          <w:b/>
          <w:bCs/>
          <w:kern w:val="0"/>
          <w:sz w:val="28"/>
          <w:szCs w:val="20"/>
        </w:rPr>
        <w:t>2.9%</w:t>
      </w:r>
    </w:p>
    <w:p w:rsidR="003F3F99" w:rsidRPr="00B118E9" w:rsidRDefault="00796DAE"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3B6B9A">
        <w:rPr>
          <w:rFonts w:eastAsia="標楷體"/>
          <w:kern w:val="0"/>
          <w:sz w:val="28"/>
          <w:szCs w:val="20"/>
        </w:rPr>
        <w:t>104</w:t>
      </w:r>
      <w:r w:rsidRPr="003B6B9A">
        <w:rPr>
          <w:rFonts w:eastAsia="標楷體"/>
          <w:kern w:val="0"/>
          <w:sz w:val="28"/>
          <w:szCs w:val="20"/>
        </w:rPr>
        <w:t>年</w:t>
      </w:r>
      <w:r w:rsidRPr="003B6B9A">
        <w:rPr>
          <w:rFonts w:eastAsia="標楷體"/>
          <w:kern w:val="0"/>
          <w:sz w:val="28"/>
          <w:szCs w:val="20"/>
        </w:rPr>
        <w:t>4</w:t>
      </w:r>
      <w:r w:rsidRPr="003B6B9A">
        <w:rPr>
          <w:rFonts w:eastAsia="標楷體"/>
          <w:kern w:val="0"/>
          <w:sz w:val="28"/>
          <w:szCs w:val="20"/>
        </w:rPr>
        <w:t>月批發業營業額為</w:t>
      </w:r>
      <w:r w:rsidRPr="003B6B9A">
        <w:rPr>
          <w:rFonts w:eastAsia="標楷體"/>
          <w:kern w:val="0"/>
          <w:sz w:val="28"/>
          <w:szCs w:val="20"/>
        </w:rPr>
        <w:t>8,152</w:t>
      </w:r>
      <w:r w:rsidRPr="003B6B9A">
        <w:rPr>
          <w:rFonts w:eastAsia="標楷體"/>
          <w:kern w:val="0"/>
          <w:sz w:val="28"/>
          <w:szCs w:val="20"/>
        </w:rPr>
        <w:t>億元，較上年同月減少</w:t>
      </w:r>
      <w:r w:rsidRPr="003B6B9A">
        <w:rPr>
          <w:rFonts w:eastAsia="標楷體"/>
          <w:kern w:val="0"/>
          <w:sz w:val="28"/>
          <w:szCs w:val="20"/>
        </w:rPr>
        <w:t>2.9%</w:t>
      </w:r>
      <w:r w:rsidRPr="003B6B9A">
        <w:rPr>
          <w:rFonts w:eastAsia="標楷體"/>
          <w:kern w:val="0"/>
          <w:sz w:val="28"/>
          <w:szCs w:val="20"/>
        </w:rPr>
        <w:t>，其中汽機車批發業年減</w:t>
      </w:r>
      <w:r w:rsidRPr="003B6B9A">
        <w:rPr>
          <w:rFonts w:eastAsia="標楷體"/>
          <w:kern w:val="0"/>
          <w:sz w:val="28"/>
          <w:szCs w:val="20"/>
        </w:rPr>
        <w:t>11.6%</w:t>
      </w:r>
      <w:r w:rsidRPr="003B6B9A">
        <w:rPr>
          <w:rFonts w:eastAsia="標楷體"/>
          <w:kern w:val="0"/>
          <w:sz w:val="28"/>
          <w:szCs w:val="20"/>
        </w:rPr>
        <w:t>，主因部分汽車廠進行產線設備更新作業，交車量減少；食品、飲料及菸草批發業年減</w:t>
      </w:r>
      <w:r w:rsidRPr="003B6B9A">
        <w:rPr>
          <w:rFonts w:eastAsia="標楷體"/>
          <w:kern w:val="0"/>
          <w:sz w:val="28"/>
          <w:szCs w:val="20"/>
        </w:rPr>
        <w:t>6.9%</w:t>
      </w:r>
      <w:r w:rsidRPr="003B6B9A">
        <w:rPr>
          <w:rFonts w:eastAsia="標楷體"/>
          <w:kern w:val="0"/>
          <w:sz w:val="28"/>
          <w:szCs w:val="20"/>
        </w:rPr>
        <w:t>，主因進入淡季，加上遠洋水產價格下跌及部分零售門市停止菸品銷售；建材批發業因鋼價下跌，外銷需求觀望，致年減</w:t>
      </w:r>
      <w:r w:rsidRPr="003B6B9A">
        <w:rPr>
          <w:rFonts w:eastAsia="標楷體"/>
          <w:kern w:val="0"/>
          <w:sz w:val="28"/>
          <w:szCs w:val="20"/>
        </w:rPr>
        <w:t>6.1%</w:t>
      </w:r>
      <w:r w:rsidRPr="003B6B9A">
        <w:rPr>
          <w:rFonts w:eastAsia="標楷體"/>
          <w:kern w:val="0"/>
          <w:sz w:val="28"/>
          <w:szCs w:val="20"/>
        </w:rPr>
        <w:t>。累計</w:t>
      </w:r>
      <w:r w:rsidRPr="003B6B9A">
        <w:rPr>
          <w:rFonts w:eastAsia="標楷體"/>
          <w:kern w:val="0"/>
          <w:sz w:val="28"/>
          <w:szCs w:val="20"/>
        </w:rPr>
        <w:t>1</w:t>
      </w:r>
      <w:r w:rsidRPr="003B6B9A">
        <w:rPr>
          <w:rFonts w:eastAsia="標楷體"/>
          <w:kern w:val="0"/>
          <w:sz w:val="28"/>
          <w:szCs w:val="20"/>
        </w:rPr>
        <w:t>至</w:t>
      </w:r>
      <w:r w:rsidRPr="003B6B9A">
        <w:rPr>
          <w:rFonts w:eastAsia="標楷體"/>
          <w:kern w:val="0"/>
          <w:sz w:val="28"/>
          <w:szCs w:val="20"/>
        </w:rPr>
        <w:t>4</w:t>
      </w:r>
      <w:r w:rsidRPr="003B6B9A">
        <w:rPr>
          <w:rFonts w:eastAsia="標楷體"/>
          <w:kern w:val="0"/>
          <w:sz w:val="28"/>
          <w:szCs w:val="20"/>
        </w:rPr>
        <w:t>月批發業營業額</w:t>
      </w:r>
      <w:r w:rsidRPr="003B6B9A">
        <w:rPr>
          <w:rFonts w:eastAsia="標楷體" w:hint="eastAsia"/>
          <w:kern w:val="0"/>
          <w:sz w:val="28"/>
          <w:szCs w:val="20"/>
        </w:rPr>
        <w:t>31,890</w:t>
      </w:r>
      <w:r w:rsidRPr="003B6B9A">
        <w:rPr>
          <w:rFonts w:eastAsia="標楷體" w:hint="eastAsia"/>
          <w:kern w:val="0"/>
          <w:sz w:val="28"/>
          <w:szCs w:val="20"/>
        </w:rPr>
        <w:t>億元，</w:t>
      </w:r>
      <w:r w:rsidRPr="003B6B9A">
        <w:rPr>
          <w:rFonts w:eastAsia="標楷體"/>
          <w:kern w:val="0"/>
          <w:sz w:val="28"/>
          <w:szCs w:val="20"/>
        </w:rPr>
        <w:t>較上年同期減少</w:t>
      </w:r>
      <w:r w:rsidRPr="003B6B9A">
        <w:rPr>
          <w:rFonts w:eastAsia="標楷體"/>
          <w:kern w:val="0"/>
          <w:sz w:val="28"/>
          <w:szCs w:val="20"/>
        </w:rPr>
        <w:t>1.5%</w:t>
      </w:r>
      <w:r w:rsidRPr="003B6B9A">
        <w:rPr>
          <w:rFonts w:eastAsia="標楷體"/>
          <w:kern w:val="0"/>
          <w:sz w:val="28"/>
          <w:szCs w:val="20"/>
        </w:rPr>
        <w:t>。</w:t>
      </w:r>
    </w:p>
    <w:p w:rsidR="003F3F99" w:rsidRPr="00B118E9" w:rsidRDefault="003F3F99"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p>
    <w:p w:rsidR="003F3F99" w:rsidRPr="00B118E9" w:rsidRDefault="003F3F99" w:rsidP="003F3F99">
      <w:pPr>
        <w:snapToGrid w:val="0"/>
        <w:spacing w:afterLines="20" w:after="72"/>
        <w:ind w:right="-142"/>
        <w:jc w:val="center"/>
        <w:rPr>
          <w:rFonts w:eastAsia="標楷體"/>
          <w:sz w:val="28"/>
        </w:rPr>
      </w:pPr>
      <w:r w:rsidRPr="00B118E9">
        <w:rPr>
          <w:rFonts w:eastAsia="標楷體"/>
          <w:b/>
          <w:bCs/>
          <w:sz w:val="28"/>
        </w:rPr>
        <w:t>表</w:t>
      </w:r>
      <w:r w:rsidRPr="00B118E9">
        <w:rPr>
          <w:rFonts w:eastAsia="標楷體"/>
          <w:b/>
          <w:bCs/>
          <w:sz w:val="28"/>
        </w:rPr>
        <w:t>2-3-2</w:t>
      </w:r>
      <w:r w:rsidRPr="00B118E9">
        <w:rPr>
          <w:rFonts w:eastAsia="標楷體"/>
          <w:b/>
          <w:spacing w:val="20"/>
          <w:sz w:val="28"/>
        </w:rPr>
        <w:t xml:space="preserve">  </w:t>
      </w:r>
      <w:r w:rsidRPr="00B118E9">
        <w:rPr>
          <w:rFonts w:eastAsia="標楷體"/>
          <w:b/>
          <w:bCs/>
          <w:sz w:val="28"/>
        </w:rPr>
        <w:t>批發業營業額變動概況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796DAE" w:rsidRPr="003B6B9A" w:rsidTr="001040FB">
        <w:tc>
          <w:tcPr>
            <w:tcW w:w="2722" w:type="dxa"/>
            <w:vMerge w:val="restart"/>
            <w:tcBorders>
              <w:top w:val="single" w:sz="4" w:space="0" w:color="auto"/>
              <w:right w:val="single" w:sz="4" w:space="0" w:color="auto"/>
            </w:tcBorders>
            <w:vAlign w:val="center"/>
          </w:tcPr>
          <w:p w:rsidR="00796DAE" w:rsidRPr="003B6B9A" w:rsidRDefault="00796DAE" w:rsidP="001040FB">
            <w:pPr>
              <w:snapToGrid w:val="0"/>
              <w:spacing w:line="300" w:lineRule="exact"/>
              <w:ind w:left="28" w:right="-28"/>
              <w:jc w:val="center"/>
              <w:rPr>
                <w:rFonts w:eastAsia="標楷體"/>
              </w:rPr>
            </w:pPr>
            <w:r w:rsidRPr="003B6B9A">
              <w:rPr>
                <w:rFonts w:eastAsia="標楷體"/>
              </w:rPr>
              <w:t>行業別</w:t>
            </w:r>
          </w:p>
        </w:tc>
        <w:tc>
          <w:tcPr>
            <w:tcW w:w="1559" w:type="dxa"/>
            <w:tcBorders>
              <w:top w:val="single" w:sz="4" w:space="0" w:color="auto"/>
            </w:tcBorders>
          </w:tcPr>
          <w:p w:rsidR="00796DAE" w:rsidRPr="003B6B9A" w:rsidRDefault="00796DAE" w:rsidP="001040FB">
            <w:pPr>
              <w:snapToGrid w:val="0"/>
              <w:spacing w:line="300" w:lineRule="exact"/>
              <w:ind w:left="28"/>
              <w:jc w:val="center"/>
              <w:rPr>
                <w:rFonts w:eastAsia="標楷體"/>
              </w:rPr>
            </w:pPr>
            <w:r w:rsidRPr="003B6B9A">
              <w:rPr>
                <w:rFonts w:eastAsia="標楷體"/>
              </w:rPr>
              <w:t>104</w:t>
            </w:r>
            <w:r w:rsidRPr="003B6B9A">
              <w:rPr>
                <w:rFonts w:eastAsia="標楷體"/>
              </w:rPr>
              <w:t>年</w:t>
            </w:r>
            <w:r w:rsidRPr="003B6B9A">
              <w:rPr>
                <w:rFonts w:eastAsia="標楷體"/>
              </w:rPr>
              <w:t>4</w:t>
            </w:r>
            <w:r w:rsidRPr="003B6B9A">
              <w:rPr>
                <w:rFonts w:eastAsia="標楷體"/>
              </w:rPr>
              <w:t>月</w:t>
            </w:r>
          </w:p>
        </w:tc>
        <w:tc>
          <w:tcPr>
            <w:tcW w:w="1559" w:type="dxa"/>
            <w:tcBorders>
              <w:top w:val="single" w:sz="4" w:space="0" w:color="auto"/>
              <w:bottom w:val="single" w:sz="4" w:space="0" w:color="auto"/>
              <w:right w:val="double" w:sz="4" w:space="0" w:color="auto"/>
            </w:tcBorders>
            <w:vAlign w:val="center"/>
          </w:tcPr>
          <w:p w:rsidR="00796DAE" w:rsidRPr="003B6B9A" w:rsidRDefault="00796DAE" w:rsidP="001040FB">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796DAE" w:rsidRPr="003B6B9A" w:rsidRDefault="00796DAE" w:rsidP="001040FB">
            <w:pPr>
              <w:snapToGrid w:val="0"/>
              <w:spacing w:line="300" w:lineRule="exact"/>
              <w:ind w:left="28"/>
              <w:jc w:val="center"/>
              <w:rPr>
                <w:rFonts w:eastAsia="標楷體"/>
              </w:rPr>
            </w:pPr>
            <w:r w:rsidRPr="003B6B9A">
              <w:rPr>
                <w:rFonts w:eastAsia="標楷體"/>
              </w:rPr>
              <w:t>104</w:t>
            </w:r>
            <w:r w:rsidRPr="003B6B9A">
              <w:rPr>
                <w:rFonts w:eastAsia="標楷體"/>
              </w:rPr>
              <w:t>年</w:t>
            </w:r>
            <w:r w:rsidRPr="003B6B9A">
              <w:rPr>
                <w:rFonts w:eastAsia="標楷體"/>
              </w:rPr>
              <w:t>1~4</w:t>
            </w:r>
            <w:r w:rsidRPr="003B6B9A">
              <w:rPr>
                <w:rFonts w:eastAsia="標楷體"/>
              </w:rPr>
              <w:t>月</w:t>
            </w:r>
          </w:p>
        </w:tc>
        <w:tc>
          <w:tcPr>
            <w:tcW w:w="1560" w:type="dxa"/>
            <w:tcBorders>
              <w:top w:val="single" w:sz="4" w:space="0" w:color="auto"/>
              <w:left w:val="nil"/>
              <w:bottom w:val="single" w:sz="4" w:space="0" w:color="auto"/>
            </w:tcBorders>
            <w:vAlign w:val="center"/>
          </w:tcPr>
          <w:p w:rsidR="00796DAE" w:rsidRPr="003B6B9A" w:rsidRDefault="00796DAE" w:rsidP="001040FB">
            <w:pPr>
              <w:snapToGrid w:val="0"/>
              <w:spacing w:line="300" w:lineRule="exact"/>
              <w:ind w:left="28" w:right="-142"/>
              <w:jc w:val="center"/>
              <w:rPr>
                <w:rFonts w:eastAsia="標楷體"/>
              </w:rPr>
            </w:pPr>
          </w:p>
        </w:tc>
      </w:tr>
      <w:tr w:rsidR="00796DAE" w:rsidRPr="003B6B9A" w:rsidTr="001040FB">
        <w:tc>
          <w:tcPr>
            <w:tcW w:w="2722" w:type="dxa"/>
            <w:vMerge/>
            <w:tcBorders>
              <w:bottom w:val="single" w:sz="4" w:space="0" w:color="auto"/>
              <w:right w:val="single" w:sz="4" w:space="0" w:color="auto"/>
            </w:tcBorders>
            <w:vAlign w:val="center"/>
          </w:tcPr>
          <w:p w:rsidR="00796DAE" w:rsidRPr="003B6B9A" w:rsidRDefault="00796DAE" w:rsidP="001040FB">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796DAE" w:rsidRPr="003B6B9A" w:rsidRDefault="00796DAE" w:rsidP="001040FB">
            <w:pPr>
              <w:snapToGrid w:val="0"/>
              <w:spacing w:line="300" w:lineRule="exact"/>
              <w:ind w:left="28"/>
              <w:jc w:val="center"/>
              <w:rPr>
                <w:rFonts w:eastAsia="標楷體"/>
              </w:rPr>
            </w:pPr>
            <w:r w:rsidRPr="003B6B9A">
              <w:rPr>
                <w:rFonts w:eastAsia="標楷體"/>
              </w:rPr>
              <w:t>營業額</w:t>
            </w:r>
          </w:p>
          <w:p w:rsidR="00796DAE" w:rsidRPr="003B6B9A" w:rsidRDefault="00796DAE" w:rsidP="001040FB">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59" w:type="dxa"/>
            <w:tcBorders>
              <w:top w:val="single" w:sz="4" w:space="0" w:color="auto"/>
              <w:left w:val="single" w:sz="4" w:space="0" w:color="auto"/>
              <w:bottom w:val="single" w:sz="4" w:space="0" w:color="auto"/>
              <w:right w:val="double" w:sz="4" w:space="0" w:color="auto"/>
            </w:tcBorders>
            <w:vAlign w:val="center"/>
          </w:tcPr>
          <w:p w:rsidR="00796DAE" w:rsidRPr="003B6B9A" w:rsidRDefault="00796DAE" w:rsidP="001040FB">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年同月</w:t>
            </w:r>
          </w:p>
          <w:p w:rsidR="00796DAE" w:rsidRPr="003B6B9A" w:rsidRDefault="00796DAE"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c>
          <w:tcPr>
            <w:tcW w:w="1559" w:type="dxa"/>
            <w:tcBorders>
              <w:left w:val="double" w:sz="4" w:space="0" w:color="auto"/>
              <w:bottom w:val="single" w:sz="4" w:space="0" w:color="auto"/>
              <w:right w:val="single" w:sz="4" w:space="0" w:color="auto"/>
            </w:tcBorders>
          </w:tcPr>
          <w:p w:rsidR="00796DAE" w:rsidRPr="003B6B9A" w:rsidRDefault="00796DAE" w:rsidP="001040FB">
            <w:pPr>
              <w:snapToGrid w:val="0"/>
              <w:spacing w:line="300" w:lineRule="exact"/>
              <w:ind w:left="28"/>
              <w:jc w:val="center"/>
              <w:rPr>
                <w:rFonts w:eastAsia="標楷體"/>
              </w:rPr>
            </w:pPr>
            <w:r w:rsidRPr="003B6B9A">
              <w:rPr>
                <w:rFonts w:eastAsia="標楷體"/>
              </w:rPr>
              <w:t>營業額</w:t>
            </w:r>
          </w:p>
          <w:p w:rsidR="00796DAE" w:rsidRPr="003B6B9A" w:rsidRDefault="00796DAE" w:rsidP="001040FB">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60" w:type="dxa"/>
            <w:tcBorders>
              <w:top w:val="single" w:sz="4" w:space="0" w:color="auto"/>
              <w:left w:val="single" w:sz="4" w:space="0" w:color="auto"/>
              <w:bottom w:val="single" w:sz="4" w:space="0" w:color="auto"/>
            </w:tcBorders>
            <w:vAlign w:val="center"/>
          </w:tcPr>
          <w:p w:rsidR="00796DAE" w:rsidRPr="003B6B9A" w:rsidRDefault="00796DAE" w:rsidP="001040FB">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年同期</w:t>
            </w:r>
          </w:p>
          <w:p w:rsidR="00796DAE" w:rsidRPr="003B6B9A" w:rsidRDefault="00796DAE"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r>
      <w:tr w:rsidR="00796DAE" w:rsidRPr="003B6B9A" w:rsidTr="001040FB">
        <w:tc>
          <w:tcPr>
            <w:tcW w:w="2722" w:type="dxa"/>
            <w:tcBorders>
              <w:top w:val="single" w:sz="4" w:space="0" w:color="auto"/>
              <w:right w:val="single" w:sz="4" w:space="0" w:color="auto"/>
            </w:tcBorders>
          </w:tcPr>
          <w:p w:rsidR="00796DAE" w:rsidRPr="003B6B9A" w:rsidRDefault="00796DAE" w:rsidP="001040FB">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796DAE" w:rsidRPr="003B6B9A" w:rsidRDefault="00796DAE" w:rsidP="001040FB">
            <w:pPr>
              <w:ind w:rightChars="165" w:right="396"/>
              <w:jc w:val="right"/>
              <w:rPr>
                <w:rFonts w:eastAsia="標楷體"/>
              </w:rPr>
            </w:pPr>
            <w:r w:rsidRPr="003B6B9A">
              <w:rPr>
                <w:rFonts w:eastAsia="標楷體"/>
              </w:rPr>
              <w:t>8,152</w:t>
            </w:r>
          </w:p>
        </w:tc>
        <w:tc>
          <w:tcPr>
            <w:tcW w:w="1559" w:type="dxa"/>
            <w:tcBorders>
              <w:top w:val="single" w:sz="4" w:space="0" w:color="auto"/>
              <w:left w:val="nil"/>
              <w:right w:val="double" w:sz="4" w:space="0" w:color="auto"/>
            </w:tcBorders>
          </w:tcPr>
          <w:p w:rsidR="00796DAE" w:rsidRPr="003B6B9A" w:rsidRDefault="00796DAE" w:rsidP="001040FB">
            <w:pPr>
              <w:ind w:rightChars="283" w:right="679"/>
              <w:jc w:val="right"/>
              <w:rPr>
                <w:rFonts w:eastAsia="標楷體"/>
              </w:rPr>
            </w:pPr>
            <w:r w:rsidRPr="003B6B9A">
              <w:rPr>
                <w:rFonts w:eastAsia="標楷體"/>
              </w:rPr>
              <w:t>-2.9</w:t>
            </w:r>
          </w:p>
        </w:tc>
        <w:tc>
          <w:tcPr>
            <w:tcW w:w="1559" w:type="dxa"/>
            <w:tcBorders>
              <w:top w:val="single" w:sz="4" w:space="0" w:color="auto"/>
              <w:left w:val="double" w:sz="4" w:space="0" w:color="auto"/>
            </w:tcBorders>
          </w:tcPr>
          <w:p w:rsidR="00796DAE" w:rsidRPr="003B6B9A" w:rsidRDefault="00796DAE" w:rsidP="001040FB">
            <w:pPr>
              <w:ind w:rightChars="165" w:right="396"/>
              <w:jc w:val="right"/>
              <w:rPr>
                <w:rFonts w:eastAsia="標楷體"/>
              </w:rPr>
            </w:pPr>
            <w:r w:rsidRPr="003B6B9A">
              <w:rPr>
                <w:rFonts w:eastAsia="標楷體"/>
              </w:rPr>
              <w:t>31,890</w:t>
            </w:r>
          </w:p>
        </w:tc>
        <w:tc>
          <w:tcPr>
            <w:tcW w:w="1560" w:type="dxa"/>
            <w:tcBorders>
              <w:top w:val="single" w:sz="4" w:space="0" w:color="auto"/>
            </w:tcBorders>
          </w:tcPr>
          <w:p w:rsidR="00796DAE" w:rsidRPr="003B6B9A" w:rsidRDefault="00796DAE" w:rsidP="001040FB">
            <w:pPr>
              <w:ind w:rightChars="283" w:right="679"/>
              <w:jc w:val="right"/>
              <w:rPr>
                <w:rFonts w:eastAsia="標楷體"/>
              </w:rPr>
            </w:pPr>
            <w:r w:rsidRPr="003B6B9A">
              <w:rPr>
                <w:rFonts w:eastAsia="標楷體"/>
              </w:rPr>
              <w:t>-1.5</w:t>
            </w:r>
          </w:p>
        </w:tc>
      </w:tr>
      <w:tr w:rsidR="00796DAE" w:rsidRPr="003B6B9A" w:rsidTr="001040FB">
        <w:tc>
          <w:tcPr>
            <w:tcW w:w="2722" w:type="dxa"/>
            <w:tcBorders>
              <w:right w:val="single" w:sz="4" w:space="0" w:color="auto"/>
            </w:tcBorders>
            <w:vAlign w:val="bottom"/>
          </w:tcPr>
          <w:p w:rsidR="00796DAE" w:rsidRPr="003B6B9A" w:rsidRDefault="00796DAE" w:rsidP="001040FB">
            <w:pPr>
              <w:ind w:leftChars="100" w:left="240"/>
              <w:rPr>
                <w:rFonts w:eastAsia="標楷體"/>
              </w:rPr>
            </w:pPr>
            <w:r w:rsidRPr="003B6B9A">
              <w:rPr>
                <w:rFonts w:eastAsia="標楷體"/>
              </w:rPr>
              <w:t>機械器具業</w:t>
            </w:r>
            <w:r w:rsidRPr="003B6B9A">
              <w:rPr>
                <w:rFonts w:eastAsia="標楷體"/>
              </w:rPr>
              <w:t>(</w:t>
            </w:r>
            <w:r w:rsidRPr="003B6B9A">
              <w:rPr>
                <w:rFonts w:eastAsia="標楷體"/>
              </w:rPr>
              <w:t>註</w:t>
            </w:r>
            <w:r w:rsidRPr="003B6B9A">
              <w:rPr>
                <w:rFonts w:eastAsia="標楷體"/>
              </w:rPr>
              <w:t>1)</w:t>
            </w:r>
          </w:p>
        </w:tc>
        <w:tc>
          <w:tcPr>
            <w:tcW w:w="1559" w:type="dxa"/>
          </w:tcPr>
          <w:p w:rsidR="00796DAE" w:rsidRPr="003B6B9A" w:rsidRDefault="00796DAE" w:rsidP="001040FB">
            <w:pPr>
              <w:ind w:rightChars="165" w:right="396"/>
              <w:jc w:val="right"/>
              <w:rPr>
                <w:rFonts w:eastAsia="標楷體"/>
              </w:rPr>
            </w:pPr>
            <w:r w:rsidRPr="003B6B9A">
              <w:rPr>
                <w:rFonts w:eastAsia="標楷體"/>
              </w:rPr>
              <w:t>3,285</w:t>
            </w:r>
          </w:p>
        </w:tc>
        <w:tc>
          <w:tcPr>
            <w:tcW w:w="1559" w:type="dxa"/>
            <w:tcBorders>
              <w:left w:val="nil"/>
              <w:right w:val="double" w:sz="4" w:space="0" w:color="auto"/>
            </w:tcBorders>
          </w:tcPr>
          <w:p w:rsidR="00796DAE" w:rsidRPr="003B6B9A" w:rsidRDefault="00796DAE" w:rsidP="001040FB">
            <w:pPr>
              <w:ind w:rightChars="283" w:right="679"/>
              <w:jc w:val="right"/>
              <w:rPr>
                <w:rFonts w:eastAsia="標楷體"/>
              </w:rPr>
            </w:pPr>
            <w:r w:rsidRPr="003B6B9A">
              <w:rPr>
                <w:rFonts w:eastAsia="標楷體"/>
              </w:rPr>
              <w:t>-0.6</w:t>
            </w:r>
          </w:p>
        </w:tc>
        <w:tc>
          <w:tcPr>
            <w:tcW w:w="1559" w:type="dxa"/>
            <w:tcBorders>
              <w:left w:val="double" w:sz="4" w:space="0" w:color="auto"/>
            </w:tcBorders>
          </w:tcPr>
          <w:p w:rsidR="00796DAE" w:rsidRPr="003B6B9A" w:rsidRDefault="00796DAE" w:rsidP="001040FB">
            <w:pPr>
              <w:ind w:rightChars="165" w:right="396"/>
              <w:jc w:val="right"/>
              <w:rPr>
                <w:rFonts w:eastAsia="標楷體"/>
              </w:rPr>
            </w:pPr>
            <w:r w:rsidRPr="003B6B9A">
              <w:rPr>
                <w:rFonts w:eastAsia="標楷體"/>
              </w:rPr>
              <w:t>12,911</w:t>
            </w:r>
          </w:p>
        </w:tc>
        <w:tc>
          <w:tcPr>
            <w:tcW w:w="1560" w:type="dxa"/>
          </w:tcPr>
          <w:p w:rsidR="00796DAE" w:rsidRPr="003B6B9A" w:rsidRDefault="00796DAE" w:rsidP="001040FB">
            <w:pPr>
              <w:ind w:rightChars="283" w:right="679"/>
              <w:jc w:val="right"/>
              <w:rPr>
                <w:rFonts w:eastAsia="標楷體"/>
              </w:rPr>
            </w:pPr>
            <w:r w:rsidRPr="003B6B9A">
              <w:rPr>
                <w:rFonts w:eastAsia="標楷體"/>
              </w:rPr>
              <w:t>-1.7</w:t>
            </w:r>
          </w:p>
        </w:tc>
      </w:tr>
      <w:tr w:rsidR="00796DAE" w:rsidRPr="003B6B9A" w:rsidTr="001040FB">
        <w:tc>
          <w:tcPr>
            <w:tcW w:w="2722" w:type="dxa"/>
            <w:tcBorders>
              <w:right w:val="single" w:sz="4" w:space="0" w:color="auto"/>
            </w:tcBorders>
            <w:vAlign w:val="bottom"/>
          </w:tcPr>
          <w:p w:rsidR="00796DAE" w:rsidRPr="003B6B9A" w:rsidRDefault="00796DAE" w:rsidP="001040FB">
            <w:pPr>
              <w:ind w:leftChars="100" w:left="240"/>
              <w:rPr>
                <w:rFonts w:eastAsia="標楷體"/>
              </w:rPr>
            </w:pPr>
            <w:r w:rsidRPr="003B6B9A">
              <w:rPr>
                <w:rFonts w:eastAsia="標楷體"/>
              </w:rPr>
              <w:t>食品、飲料及菸草業</w:t>
            </w:r>
          </w:p>
        </w:tc>
        <w:tc>
          <w:tcPr>
            <w:tcW w:w="1559" w:type="dxa"/>
          </w:tcPr>
          <w:p w:rsidR="00796DAE" w:rsidRPr="003B6B9A" w:rsidRDefault="00796DAE" w:rsidP="001040FB">
            <w:pPr>
              <w:ind w:rightChars="165" w:right="396"/>
              <w:jc w:val="right"/>
              <w:rPr>
                <w:rFonts w:eastAsia="標楷體"/>
              </w:rPr>
            </w:pPr>
            <w:r w:rsidRPr="003B6B9A">
              <w:rPr>
                <w:rFonts w:eastAsia="標楷體"/>
              </w:rPr>
              <w:t>687</w:t>
            </w:r>
          </w:p>
        </w:tc>
        <w:tc>
          <w:tcPr>
            <w:tcW w:w="1559" w:type="dxa"/>
            <w:tcBorders>
              <w:left w:val="nil"/>
              <w:right w:val="double" w:sz="4" w:space="0" w:color="auto"/>
            </w:tcBorders>
          </w:tcPr>
          <w:p w:rsidR="00796DAE" w:rsidRPr="003B6B9A" w:rsidRDefault="00796DAE" w:rsidP="001040FB">
            <w:pPr>
              <w:ind w:rightChars="283" w:right="679"/>
              <w:jc w:val="right"/>
              <w:rPr>
                <w:rFonts w:eastAsia="標楷體"/>
              </w:rPr>
            </w:pPr>
            <w:r w:rsidRPr="003B6B9A">
              <w:rPr>
                <w:rFonts w:eastAsia="標楷體"/>
              </w:rPr>
              <w:t>-6.9</w:t>
            </w:r>
          </w:p>
        </w:tc>
        <w:tc>
          <w:tcPr>
            <w:tcW w:w="1559" w:type="dxa"/>
            <w:tcBorders>
              <w:left w:val="double" w:sz="4" w:space="0" w:color="auto"/>
            </w:tcBorders>
          </w:tcPr>
          <w:p w:rsidR="00796DAE" w:rsidRPr="003B6B9A" w:rsidRDefault="00796DAE" w:rsidP="001040FB">
            <w:pPr>
              <w:ind w:rightChars="165" w:right="396"/>
              <w:jc w:val="right"/>
              <w:rPr>
                <w:rFonts w:eastAsia="標楷體"/>
              </w:rPr>
            </w:pPr>
            <w:r w:rsidRPr="003B6B9A">
              <w:rPr>
                <w:rFonts w:eastAsia="標楷體"/>
              </w:rPr>
              <w:t>2,909</w:t>
            </w:r>
          </w:p>
        </w:tc>
        <w:tc>
          <w:tcPr>
            <w:tcW w:w="1560" w:type="dxa"/>
          </w:tcPr>
          <w:p w:rsidR="00796DAE" w:rsidRPr="003B6B9A" w:rsidRDefault="00796DAE" w:rsidP="001040FB">
            <w:pPr>
              <w:ind w:rightChars="283" w:right="679"/>
              <w:jc w:val="right"/>
              <w:rPr>
                <w:rFonts w:eastAsia="標楷體"/>
              </w:rPr>
            </w:pPr>
            <w:r w:rsidRPr="003B6B9A">
              <w:rPr>
                <w:rFonts w:eastAsia="標楷體"/>
              </w:rPr>
              <w:t>-0.8</w:t>
            </w:r>
          </w:p>
        </w:tc>
      </w:tr>
      <w:tr w:rsidR="00796DAE" w:rsidRPr="003B6B9A" w:rsidTr="001040FB">
        <w:tc>
          <w:tcPr>
            <w:tcW w:w="2722" w:type="dxa"/>
            <w:tcBorders>
              <w:right w:val="single" w:sz="4" w:space="0" w:color="auto"/>
            </w:tcBorders>
            <w:vAlign w:val="bottom"/>
          </w:tcPr>
          <w:p w:rsidR="00796DAE" w:rsidRPr="003B6B9A" w:rsidRDefault="00796DAE" w:rsidP="001040FB">
            <w:pPr>
              <w:ind w:leftChars="100" w:left="240"/>
              <w:rPr>
                <w:rFonts w:eastAsia="標楷體"/>
              </w:rPr>
            </w:pPr>
            <w:r w:rsidRPr="003B6B9A">
              <w:rPr>
                <w:rFonts w:eastAsia="標楷體"/>
              </w:rPr>
              <w:t>建材業</w:t>
            </w:r>
          </w:p>
        </w:tc>
        <w:tc>
          <w:tcPr>
            <w:tcW w:w="1559" w:type="dxa"/>
          </w:tcPr>
          <w:p w:rsidR="00796DAE" w:rsidRPr="003B6B9A" w:rsidRDefault="00796DAE" w:rsidP="001040FB">
            <w:pPr>
              <w:ind w:rightChars="165" w:right="396"/>
              <w:jc w:val="right"/>
              <w:rPr>
                <w:rFonts w:eastAsia="標楷體"/>
              </w:rPr>
            </w:pPr>
            <w:r w:rsidRPr="003B6B9A">
              <w:rPr>
                <w:rFonts w:eastAsia="標楷體"/>
              </w:rPr>
              <w:t>686</w:t>
            </w:r>
          </w:p>
        </w:tc>
        <w:tc>
          <w:tcPr>
            <w:tcW w:w="1559" w:type="dxa"/>
            <w:tcBorders>
              <w:left w:val="nil"/>
              <w:right w:val="double" w:sz="4" w:space="0" w:color="auto"/>
            </w:tcBorders>
          </w:tcPr>
          <w:p w:rsidR="00796DAE" w:rsidRPr="003B6B9A" w:rsidRDefault="00796DAE" w:rsidP="001040FB">
            <w:pPr>
              <w:ind w:rightChars="283" w:right="679"/>
              <w:jc w:val="right"/>
              <w:rPr>
                <w:rFonts w:eastAsia="標楷體"/>
              </w:rPr>
            </w:pPr>
            <w:r w:rsidRPr="003B6B9A">
              <w:rPr>
                <w:rFonts w:eastAsia="標楷體"/>
              </w:rPr>
              <w:t>-6.1</w:t>
            </w:r>
          </w:p>
        </w:tc>
        <w:tc>
          <w:tcPr>
            <w:tcW w:w="1559" w:type="dxa"/>
            <w:tcBorders>
              <w:left w:val="double" w:sz="4" w:space="0" w:color="auto"/>
            </w:tcBorders>
          </w:tcPr>
          <w:p w:rsidR="00796DAE" w:rsidRPr="003B6B9A" w:rsidRDefault="00796DAE" w:rsidP="001040FB">
            <w:pPr>
              <w:ind w:rightChars="165" w:right="396"/>
              <w:jc w:val="right"/>
              <w:rPr>
                <w:rFonts w:eastAsia="標楷體"/>
              </w:rPr>
            </w:pPr>
            <w:r w:rsidRPr="003B6B9A">
              <w:rPr>
                <w:rFonts w:eastAsia="標楷體"/>
              </w:rPr>
              <w:t>2,603</w:t>
            </w:r>
          </w:p>
        </w:tc>
        <w:tc>
          <w:tcPr>
            <w:tcW w:w="1560" w:type="dxa"/>
          </w:tcPr>
          <w:p w:rsidR="00796DAE" w:rsidRPr="003B6B9A" w:rsidRDefault="00796DAE" w:rsidP="001040FB">
            <w:pPr>
              <w:ind w:rightChars="283" w:right="679"/>
              <w:jc w:val="right"/>
              <w:rPr>
                <w:rFonts w:eastAsia="標楷體"/>
              </w:rPr>
            </w:pPr>
            <w:r w:rsidRPr="003B6B9A">
              <w:rPr>
                <w:rFonts w:eastAsia="標楷體"/>
              </w:rPr>
              <w:t>-4.3</w:t>
            </w:r>
          </w:p>
        </w:tc>
      </w:tr>
      <w:tr w:rsidR="00796DAE" w:rsidRPr="003B6B9A" w:rsidTr="001040FB">
        <w:tc>
          <w:tcPr>
            <w:tcW w:w="2722" w:type="dxa"/>
            <w:tcBorders>
              <w:right w:val="single" w:sz="4" w:space="0" w:color="auto"/>
            </w:tcBorders>
            <w:vAlign w:val="bottom"/>
          </w:tcPr>
          <w:p w:rsidR="00796DAE" w:rsidRPr="003B6B9A" w:rsidRDefault="00796DAE" w:rsidP="001040FB">
            <w:pPr>
              <w:ind w:leftChars="100" w:left="240"/>
              <w:rPr>
                <w:rFonts w:eastAsia="標楷體"/>
              </w:rPr>
            </w:pPr>
            <w:r w:rsidRPr="003B6B9A">
              <w:rPr>
                <w:rFonts w:eastAsia="標楷體"/>
              </w:rPr>
              <w:t>家庭器具業</w:t>
            </w:r>
            <w:r w:rsidRPr="003B6B9A">
              <w:rPr>
                <w:rFonts w:eastAsia="標楷體"/>
              </w:rPr>
              <w:t>(</w:t>
            </w:r>
            <w:r w:rsidRPr="003B6B9A">
              <w:rPr>
                <w:rFonts w:eastAsia="標楷體"/>
              </w:rPr>
              <w:t>註</w:t>
            </w:r>
            <w:r w:rsidRPr="003B6B9A">
              <w:rPr>
                <w:rFonts w:eastAsia="標楷體"/>
              </w:rPr>
              <w:t>2)</w:t>
            </w:r>
          </w:p>
        </w:tc>
        <w:tc>
          <w:tcPr>
            <w:tcW w:w="1559" w:type="dxa"/>
          </w:tcPr>
          <w:p w:rsidR="00796DAE" w:rsidRPr="003B6B9A" w:rsidRDefault="00796DAE" w:rsidP="001040FB">
            <w:pPr>
              <w:ind w:rightChars="165" w:right="396"/>
              <w:jc w:val="right"/>
              <w:rPr>
                <w:rFonts w:eastAsia="標楷體"/>
              </w:rPr>
            </w:pPr>
            <w:r w:rsidRPr="003B6B9A">
              <w:rPr>
                <w:rFonts w:eastAsia="標楷體"/>
              </w:rPr>
              <w:t>659</w:t>
            </w:r>
          </w:p>
        </w:tc>
        <w:tc>
          <w:tcPr>
            <w:tcW w:w="1559" w:type="dxa"/>
            <w:tcBorders>
              <w:left w:val="nil"/>
              <w:right w:val="double" w:sz="4" w:space="0" w:color="auto"/>
            </w:tcBorders>
          </w:tcPr>
          <w:p w:rsidR="00796DAE" w:rsidRPr="003B6B9A" w:rsidRDefault="00796DAE" w:rsidP="001040FB">
            <w:pPr>
              <w:ind w:rightChars="283" w:right="679"/>
              <w:jc w:val="right"/>
              <w:rPr>
                <w:rFonts w:eastAsia="標楷體"/>
              </w:rPr>
            </w:pPr>
            <w:r w:rsidRPr="003B6B9A">
              <w:rPr>
                <w:rFonts w:eastAsia="標楷體"/>
              </w:rPr>
              <w:t>0.7</w:t>
            </w:r>
          </w:p>
        </w:tc>
        <w:tc>
          <w:tcPr>
            <w:tcW w:w="1559" w:type="dxa"/>
            <w:tcBorders>
              <w:left w:val="double" w:sz="4" w:space="0" w:color="auto"/>
            </w:tcBorders>
          </w:tcPr>
          <w:p w:rsidR="00796DAE" w:rsidRPr="003B6B9A" w:rsidRDefault="00796DAE" w:rsidP="001040FB">
            <w:pPr>
              <w:ind w:rightChars="165" w:right="396"/>
              <w:jc w:val="right"/>
              <w:rPr>
                <w:rFonts w:eastAsia="標楷體"/>
              </w:rPr>
            </w:pPr>
            <w:r w:rsidRPr="003B6B9A">
              <w:rPr>
                <w:rFonts w:eastAsia="標楷體"/>
              </w:rPr>
              <w:t>2,539</w:t>
            </w:r>
          </w:p>
        </w:tc>
        <w:tc>
          <w:tcPr>
            <w:tcW w:w="1560" w:type="dxa"/>
          </w:tcPr>
          <w:p w:rsidR="00796DAE" w:rsidRPr="003B6B9A" w:rsidRDefault="00796DAE" w:rsidP="001040FB">
            <w:pPr>
              <w:ind w:rightChars="283" w:right="679"/>
              <w:jc w:val="right"/>
              <w:rPr>
                <w:rFonts w:eastAsia="標楷體"/>
              </w:rPr>
            </w:pPr>
            <w:r w:rsidRPr="003B6B9A">
              <w:rPr>
                <w:rFonts w:eastAsia="標楷體"/>
              </w:rPr>
              <w:t>2.7</w:t>
            </w:r>
          </w:p>
        </w:tc>
      </w:tr>
      <w:tr w:rsidR="00796DAE" w:rsidRPr="003B6B9A" w:rsidTr="001040FB">
        <w:tc>
          <w:tcPr>
            <w:tcW w:w="2722" w:type="dxa"/>
            <w:tcBorders>
              <w:right w:val="single" w:sz="4" w:space="0" w:color="auto"/>
            </w:tcBorders>
          </w:tcPr>
          <w:p w:rsidR="00796DAE" w:rsidRPr="003B6B9A" w:rsidRDefault="00796DAE" w:rsidP="001040FB">
            <w:pPr>
              <w:ind w:leftChars="100" w:left="240"/>
              <w:rPr>
                <w:rFonts w:eastAsia="標楷體"/>
              </w:rPr>
            </w:pPr>
            <w:r w:rsidRPr="003B6B9A">
              <w:rPr>
                <w:rFonts w:eastAsia="標楷體"/>
              </w:rPr>
              <w:t>汽機車業</w:t>
            </w:r>
          </w:p>
        </w:tc>
        <w:tc>
          <w:tcPr>
            <w:tcW w:w="1559" w:type="dxa"/>
          </w:tcPr>
          <w:p w:rsidR="00796DAE" w:rsidRPr="003B6B9A" w:rsidRDefault="00796DAE" w:rsidP="001040FB">
            <w:pPr>
              <w:ind w:rightChars="165" w:right="396"/>
              <w:jc w:val="right"/>
              <w:rPr>
                <w:rFonts w:eastAsia="標楷體"/>
              </w:rPr>
            </w:pPr>
            <w:r w:rsidRPr="003B6B9A">
              <w:rPr>
                <w:rFonts w:eastAsia="標楷體"/>
              </w:rPr>
              <w:t>494</w:t>
            </w:r>
          </w:p>
        </w:tc>
        <w:tc>
          <w:tcPr>
            <w:tcW w:w="1559" w:type="dxa"/>
            <w:tcBorders>
              <w:left w:val="nil"/>
              <w:right w:val="double" w:sz="4" w:space="0" w:color="auto"/>
            </w:tcBorders>
          </w:tcPr>
          <w:p w:rsidR="00796DAE" w:rsidRPr="003B6B9A" w:rsidRDefault="00796DAE" w:rsidP="001040FB">
            <w:pPr>
              <w:ind w:rightChars="283" w:right="679"/>
              <w:jc w:val="right"/>
              <w:rPr>
                <w:rFonts w:eastAsia="標楷體"/>
              </w:rPr>
            </w:pPr>
            <w:r w:rsidRPr="003B6B9A">
              <w:rPr>
                <w:rFonts w:eastAsia="標楷體"/>
              </w:rPr>
              <w:t>-11.6</w:t>
            </w:r>
          </w:p>
        </w:tc>
        <w:tc>
          <w:tcPr>
            <w:tcW w:w="1559" w:type="dxa"/>
            <w:tcBorders>
              <w:left w:val="double" w:sz="4" w:space="0" w:color="auto"/>
            </w:tcBorders>
          </w:tcPr>
          <w:p w:rsidR="00796DAE" w:rsidRPr="003B6B9A" w:rsidRDefault="00796DAE" w:rsidP="001040FB">
            <w:pPr>
              <w:ind w:rightChars="165" w:right="396"/>
              <w:jc w:val="right"/>
              <w:rPr>
                <w:rFonts w:eastAsia="標楷體"/>
              </w:rPr>
            </w:pPr>
            <w:r w:rsidRPr="003B6B9A">
              <w:rPr>
                <w:rFonts w:eastAsia="標楷體"/>
              </w:rPr>
              <w:t>2,033</w:t>
            </w:r>
          </w:p>
        </w:tc>
        <w:tc>
          <w:tcPr>
            <w:tcW w:w="1560" w:type="dxa"/>
          </w:tcPr>
          <w:p w:rsidR="00796DAE" w:rsidRPr="003B6B9A" w:rsidRDefault="00796DAE" w:rsidP="001040FB">
            <w:pPr>
              <w:ind w:rightChars="283" w:right="679"/>
              <w:jc w:val="right"/>
              <w:rPr>
                <w:rFonts w:eastAsia="標楷體"/>
              </w:rPr>
            </w:pPr>
            <w:r w:rsidRPr="003B6B9A">
              <w:rPr>
                <w:rFonts w:eastAsia="標楷體"/>
              </w:rPr>
              <w:t>-3.0</w:t>
            </w:r>
          </w:p>
        </w:tc>
      </w:tr>
      <w:tr w:rsidR="00796DAE" w:rsidRPr="003B6B9A" w:rsidTr="001040FB">
        <w:tc>
          <w:tcPr>
            <w:tcW w:w="2722" w:type="dxa"/>
            <w:tcBorders>
              <w:right w:val="single" w:sz="4" w:space="0" w:color="auto"/>
            </w:tcBorders>
          </w:tcPr>
          <w:p w:rsidR="00796DAE" w:rsidRPr="003B6B9A" w:rsidRDefault="00796DAE" w:rsidP="001040FB">
            <w:pPr>
              <w:ind w:leftChars="100" w:left="240"/>
              <w:rPr>
                <w:rFonts w:eastAsia="標楷體"/>
              </w:rPr>
            </w:pPr>
            <w:r w:rsidRPr="003B6B9A">
              <w:rPr>
                <w:rFonts w:eastAsia="標楷體"/>
              </w:rPr>
              <w:t>綜合商品業</w:t>
            </w:r>
          </w:p>
        </w:tc>
        <w:tc>
          <w:tcPr>
            <w:tcW w:w="1559" w:type="dxa"/>
          </w:tcPr>
          <w:p w:rsidR="00796DAE" w:rsidRPr="003B6B9A" w:rsidRDefault="00796DAE" w:rsidP="001040FB">
            <w:pPr>
              <w:ind w:rightChars="165" w:right="396"/>
              <w:jc w:val="right"/>
              <w:rPr>
                <w:rFonts w:eastAsia="標楷體"/>
              </w:rPr>
            </w:pPr>
            <w:r w:rsidRPr="003B6B9A">
              <w:rPr>
                <w:rFonts w:eastAsia="標楷體"/>
              </w:rPr>
              <w:t>500</w:t>
            </w:r>
          </w:p>
        </w:tc>
        <w:tc>
          <w:tcPr>
            <w:tcW w:w="1559" w:type="dxa"/>
            <w:tcBorders>
              <w:left w:val="nil"/>
              <w:right w:val="double" w:sz="4" w:space="0" w:color="auto"/>
            </w:tcBorders>
          </w:tcPr>
          <w:p w:rsidR="00796DAE" w:rsidRPr="003B6B9A" w:rsidRDefault="00796DAE" w:rsidP="001040FB">
            <w:pPr>
              <w:ind w:rightChars="283" w:right="679"/>
              <w:jc w:val="right"/>
              <w:rPr>
                <w:rFonts w:eastAsia="標楷體"/>
              </w:rPr>
            </w:pPr>
            <w:r w:rsidRPr="003B6B9A">
              <w:rPr>
                <w:rFonts w:eastAsia="標楷體"/>
              </w:rPr>
              <w:t>-5.9</w:t>
            </w:r>
          </w:p>
        </w:tc>
        <w:tc>
          <w:tcPr>
            <w:tcW w:w="1559" w:type="dxa"/>
            <w:tcBorders>
              <w:left w:val="double" w:sz="4" w:space="0" w:color="auto"/>
            </w:tcBorders>
          </w:tcPr>
          <w:p w:rsidR="00796DAE" w:rsidRPr="003B6B9A" w:rsidRDefault="00796DAE" w:rsidP="001040FB">
            <w:pPr>
              <w:ind w:rightChars="165" w:right="396"/>
              <w:jc w:val="right"/>
              <w:rPr>
                <w:rFonts w:eastAsia="標楷體"/>
              </w:rPr>
            </w:pPr>
            <w:r w:rsidRPr="003B6B9A">
              <w:rPr>
                <w:rFonts w:eastAsia="標楷體"/>
              </w:rPr>
              <w:t>2,037</w:t>
            </w:r>
          </w:p>
        </w:tc>
        <w:tc>
          <w:tcPr>
            <w:tcW w:w="1560" w:type="dxa"/>
          </w:tcPr>
          <w:p w:rsidR="00796DAE" w:rsidRPr="003B6B9A" w:rsidRDefault="00796DAE" w:rsidP="001040FB">
            <w:pPr>
              <w:ind w:rightChars="283" w:right="679"/>
              <w:jc w:val="right"/>
              <w:rPr>
                <w:rFonts w:eastAsia="標楷體"/>
              </w:rPr>
            </w:pPr>
            <w:r w:rsidRPr="003B6B9A">
              <w:rPr>
                <w:rFonts w:eastAsia="標楷體"/>
              </w:rPr>
              <w:t>-1.8</w:t>
            </w:r>
          </w:p>
        </w:tc>
      </w:tr>
      <w:tr w:rsidR="00796DAE" w:rsidRPr="003B6B9A" w:rsidTr="001040FB">
        <w:trPr>
          <w:trHeight w:val="80"/>
        </w:trPr>
        <w:tc>
          <w:tcPr>
            <w:tcW w:w="2722" w:type="dxa"/>
            <w:tcBorders>
              <w:right w:val="single" w:sz="4" w:space="0" w:color="auto"/>
            </w:tcBorders>
          </w:tcPr>
          <w:p w:rsidR="00796DAE" w:rsidRPr="003B6B9A" w:rsidRDefault="00796DAE" w:rsidP="001040FB">
            <w:pPr>
              <w:ind w:leftChars="100" w:left="240"/>
              <w:rPr>
                <w:rFonts w:eastAsia="標楷體"/>
              </w:rPr>
            </w:pPr>
            <w:r w:rsidRPr="003B6B9A">
              <w:rPr>
                <w:rFonts w:eastAsia="標楷體"/>
              </w:rPr>
              <w:t>布疋及服飾品業</w:t>
            </w:r>
          </w:p>
        </w:tc>
        <w:tc>
          <w:tcPr>
            <w:tcW w:w="1559" w:type="dxa"/>
          </w:tcPr>
          <w:p w:rsidR="00796DAE" w:rsidRPr="003B6B9A" w:rsidRDefault="00796DAE" w:rsidP="001040FB">
            <w:pPr>
              <w:ind w:rightChars="165" w:right="396"/>
              <w:jc w:val="right"/>
              <w:rPr>
                <w:rFonts w:eastAsia="標楷體"/>
              </w:rPr>
            </w:pPr>
            <w:r w:rsidRPr="003B6B9A">
              <w:rPr>
                <w:rFonts w:eastAsia="標楷體"/>
              </w:rPr>
              <w:t>483</w:t>
            </w:r>
          </w:p>
        </w:tc>
        <w:tc>
          <w:tcPr>
            <w:tcW w:w="1559" w:type="dxa"/>
            <w:tcBorders>
              <w:left w:val="nil"/>
              <w:right w:val="double" w:sz="4" w:space="0" w:color="auto"/>
            </w:tcBorders>
          </w:tcPr>
          <w:p w:rsidR="00796DAE" w:rsidRPr="003B6B9A" w:rsidRDefault="00796DAE" w:rsidP="001040FB">
            <w:pPr>
              <w:ind w:rightChars="283" w:right="679"/>
              <w:jc w:val="right"/>
              <w:rPr>
                <w:rFonts w:eastAsia="標楷體"/>
              </w:rPr>
            </w:pPr>
            <w:r w:rsidRPr="003B6B9A">
              <w:rPr>
                <w:rFonts w:eastAsia="標楷體"/>
              </w:rPr>
              <w:t>2.8</w:t>
            </w:r>
          </w:p>
        </w:tc>
        <w:tc>
          <w:tcPr>
            <w:tcW w:w="1559" w:type="dxa"/>
            <w:tcBorders>
              <w:left w:val="double" w:sz="4" w:space="0" w:color="auto"/>
            </w:tcBorders>
          </w:tcPr>
          <w:p w:rsidR="00796DAE" w:rsidRPr="003B6B9A" w:rsidRDefault="00796DAE" w:rsidP="001040FB">
            <w:pPr>
              <w:ind w:rightChars="165" w:right="396"/>
              <w:jc w:val="right"/>
              <w:rPr>
                <w:rFonts w:eastAsia="標楷體"/>
              </w:rPr>
            </w:pPr>
            <w:r w:rsidRPr="003B6B9A">
              <w:rPr>
                <w:rFonts w:eastAsia="標楷體"/>
              </w:rPr>
              <w:t>1,773</w:t>
            </w:r>
          </w:p>
        </w:tc>
        <w:tc>
          <w:tcPr>
            <w:tcW w:w="1560" w:type="dxa"/>
          </w:tcPr>
          <w:p w:rsidR="00796DAE" w:rsidRPr="003B6B9A" w:rsidRDefault="00796DAE" w:rsidP="001040FB">
            <w:pPr>
              <w:ind w:rightChars="283" w:right="679"/>
              <w:jc w:val="right"/>
              <w:rPr>
                <w:rFonts w:eastAsia="標楷體"/>
              </w:rPr>
            </w:pPr>
            <w:r w:rsidRPr="003B6B9A">
              <w:rPr>
                <w:rFonts w:eastAsia="標楷體"/>
              </w:rPr>
              <w:t>1.1</w:t>
            </w:r>
          </w:p>
        </w:tc>
      </w:tr>
      <w:tr w:rsidR="00796DAE" w:rsidRPr="003B6B9A" w:rsidTr="001040FB">
        <w:trPr>
          <w:trHeight w:val="80"/>
        </w:trPr>
        <w:tc>
          <w:tcPr>
            <w:tcW w:w="2722" w:type="dxa"/>
            <w:tcBorders>
              <w:right w:val="single" w:sz="4" w:space="0" w:color="auto"/>
            </w:tcBorders>
          </w:tcPr>
          <w:p w:rsidR="00796DAE" w:rsidRPr="003B6B9A" w:rsidRDefault="00796DAE" w:rsidP="001040FB">
            <w:pPr>
              <w:ind w:leftChars="100" w:left="240"/>
              <w:rPr>
                <w:rFonts w:eastAsia="標楷體"/>
              </w:rPr>
            </w:pPr>
            <w:r w:rsidRPr="003B6B9A">
              <w:rPr>
                <w:rFonts w:eastAsia="標楷體"/>
              </w:rPr>
              <w:t>化學業</w:t>
            </w:r>
          </w:p>
        </w:tc>
        <w:tc>
          <w:tcPr>
            <w:tcW w:w="1559" w:type="dxa"/>
          </w:tcPr>
          <w:p w:rsidR="00796DAE" w:rsidRPr="003B6B9A" w:rsidRDefault="00796DAE" w:rsidP="001040FB">
            <w:pPr>
              <w:ind w:rightChars="165" w:right="396"/>
              <w:jc w:val="right"/>
              <w:rPr>
                <w:rFonts w:eastAsia="標楷體"/>
              </w:rPr>
            </w:pPr>
            <w:r w:rsidRPr="003B6B9A">
              <w:rPr>
                <w:rFonts w:eastAsia="標楷體"/>
              </w:rPr>
              <w:t>377</w:t>
            </w:r>
          </w:p>
        </w:tc>
        <w:tc>
          <w:tcPr>
            <w:tcW w:w="1559" w:type="dxa"/>
            <w:tcBorders>
              <w:left w:val="nil"/>
              <w:right w:val="double" w:sz="4" w:space="0" w:color="auto"/>
            </w:tcBorders>
          </w:tcPr>
          <w:p w:rsidR="00796DAE" w:rsidRPr="003B6B9A" w:rsidRDefault="00796DAE" w:rsidP="001040FB">
            <w:pPr>
              <w:ind w:rightChars="283" w:right="679"/>
              <w:jc w:val="right"/>
              <w:rPr>
                <w:rFonts w:eastAsia="標楷體"/>
              </w:rPr>
            </w:pPr>
            <w:r w:rsidRPr="003B6B9A">
              <w:rPr>
                <w:rFonts w:eastAsia="標楷體"/>
              </w:rPr>
              <w:t>-3.7</w:t>
            </w:r>
          </w:p>
        </w:tc>
        <w:tc>
          <w:tcPr>
            <w:tcW w:w="1559" w:type="dxa"/>
            <w:tcBorders>
              <w:left w:val="double" w:sz="4" w:space="0" w:color="auto"/>
            </w:tcBorders>
          </w:tcPr>
          <w:p w:rsidR="00796DAE" w:rsidRPr="003B6B9A" w:rsidRDefault="00796DAE" w:rsidP="001040FB">
            <w:pPr>
              <w:ind w:rightChars="165" w:right="396"/>
              <w:jc w:val="right"/>
              <w:rPr>
                <w:rFonts w:eastAsia="標楷體"/>
              </w:rPr>
            </w:pPr>
            <w:r w:rsidRPr="003B6B9A">
              <w:rPr>
                <w:rFonts w:eastAsia="標楷體"/>
              </w:rPr>
              <w:t>1,373</w:t>
            </w:r>
          </w:p>
        </w:tc>
        <w:tc>
          <w:tcPr>
            <w:tcW w:w="1560" w:type="dxa"/>
          </w:tcPr>
          <w:p w:rsidR="00796DAE" w:rsidRPr="003B6B9A" w:rsidRDefault="00796DAE" w:rsidP="001040FB">
            <w:pPr>
              <w:ind w:rightChars="283" w:right="679"/>
              <w:jc w:val="right"/>
              <w:rPr>
                <w:rFonts w:eastAsia="標楷體"/>
              </w:rPr>
            </w:pPr>
            <w:r w:rsidRPr="003B6B9A">
              <w:rPr>
                <w:rFonts w:eastAsia="標楷體"/>
              </w:rPr>
              <w:t>-2.5</w:t>
            </w:r>
          </w:p>
        </w:tc>
      </w:tr>
      <w:tr w:rsidR="00796DAE" w:rsidRPr="003B6B9A" w:rsidTr="001040FB">
        <w:trPr>
          <w:trHeight w:val="80"/>
        </w:trPr>
        <w:tc>
          <w:tcPr>
            <w:tcW w:w="2722" w:type="dxa"/>
            <w:tcBorders>
              <w:bottom w:val="single" w:sz="4" w:space="0" w:color="auto"/>
              <w:right w:val="single" w:sz="4" w:space="0" w:color="auto"/>
            </w:tcBorders>
            <w:vAlign w:val="bottom"/>
          </w:tcPr>
          <w:p w:rsidR="00796DAE" w:rsidRPr="003B6B9A" w:rsidRDefault="00796DAE" w:rsidP="001040FB">
            <w:pPr>
              <w:ind w:leftChars="100" w:left="240"/>
              <w:rPr>
                <w:rFonts w:eastAsia="標楷體"/>
              </w:rPr>
            </w:pPr>
            <w:r w:rsidRPr="003B6B9A">
              <w:rPr>
                <w:rFonts w:eastAsia="標楷體"/>
              </w:rPr>
              <w:t>其他批發業</w:t>
            </w:r>
            <w:r w:rsidRPr="003B6B9A">
              <w:rPr>
                <w:rFonts w:eastAsia="標楷體"/>
              </w:rPr>
              <w:t>(</w:t>
            </w:r>
            <w:r w:rsidRPr="003B6B9A">
              <w:rPr>
                <w:rFonts w:eastAsia="標楷體"/>
              </w:rPr>
              <w:t>註</w:t>
            </w:r>
            <w:r w:rsidRPr="003B6B9A">
              <w:rPr>
                <w:rFonts w:eastAsia="標楷體"/>
              </w:rPr>
              <w:t>3)</w:t>
            </w:r>
          </w:p>
        </w:tc>
        <w:tc>
          <w:tcPr>
            <w:tcW w:w="1559" w:type="dxa"/>
            <w:tcBorders>
              <w:bottom w:val="single" w:sz="4" w:space="0" w:color="auto"/>
            </w:tcBorders>
          </w:tcPr>
          <w:p w:rsidR="00796DAE" w:rsidRPr="003B6B9A" w:rsidRDefault="00796DAE" w:rsidP="001040FB">
            <w:pPr>
              <w:ind w:rightChars="165" w:right="396"/>
              <w:jc w:val="right"/>
              <w:rPr>
                <w:rFonts w:eastAsia="標楷體"/>
              </w:rPr>
            </w:pPr>
            <w:r w:rsidRPr="003B6B9A">
              <w:rPr>
                <w:rFonts w:eastAsia="標楷體"/>
              </w:rPr>
              <w:t>982</w:t>
            </w:r>
          </w:p>
        </w:tc>
        <w:tc>
          <w:tcPr>
            <w:tcW w:w="1559" w:type="dxa"/>
            <w:tcBorders>
              <w:left w:val="nil"/>
              <w:bottom w:val="single" w:sz="4" w:space="0" w:color="auto"/>
              <w:right w:val="double" w:sz="4" w:space="0" w:color="auto"/>
            </w:tcBorders>
          </w:tcPr>
          <w:p w:rsidR="00796DAE" w:rsidRPr="003B6B9A" w:rsidRDefault="00796DAE" w:rsidP="001040FB">
            <w:pPr>
              <w:ind w:rightChars="283" w:right="679"/>
              <w:jc w:val="right"/>
              <w:rPr>
                <w:rFonts w:eastAsia="標楷體"/>
              </w:rPr>
            </w:pPr>
            <w:r w:rsidRPr="003B6B9A">
              <w:rPr>
                <w:rFonts w:eastAsia="標楷體"/>
              </w:rPr>
              <w:t>-3.3</w:t>
            </w:r>
          </w:p>
        </w:tc>
        <w:tc>
          <w:tcPr>
            <w:tcW w:w="1559" w:type="dxa"/>
            <w:tcBorders>
              <w:left w:val="double" w:sz="4" w:space="0" w:color="auto"/>
              <w:bottom w:val="single" w:sz="4" w:space="0" w:color="auto"/>
            </w:tcBorders>
          </w:tcPr>
          <w:p w:rsidR="00796DAE" w:rsidRPr="003B6B9A" w:rsidRDefault="00796DAE" w:rsidP="001040FB">
            <w:pPr>
              <w:ind w:rightChars="165" w:right="396"/>
              <w:jc w:val="right"/>
              <w:rPr>
                <w:rFonts w:eastAsia="標楷體"/>
              </w:rPr>
            </w:pPr>
            <w:r w:rsidRPr="003B6B9A">
              <w:rPr>
                <w:rFonts w:eastAsia="標楷體"/>
              </w:rPr>
              <w:t>3,714</w:t>
            </w:r>
          </w:p>
        </w:tc>
        <w:tc>
          <w:tcPr>
            <w:tcW w:w="1560" w:type="dxa"/>
            <w:tcBorders>
              <w:bottom w:val="single" w:sz="4" w:space="0" w:color="auto"/>
            </w:tcBorders>
          </w:tcPr>
          <w:p w:rsidR="00796DAE" w:rsidRPr="003B6B9A" w:rsidRDefault="00796DAE" w:rsidP="001040FB">
            <w:pPr>
              <w:ind w:rightChars="283" w:right="679"/>
              <w:jc w:val="right"/>
              <w:rPr>
                <w:rFonts w:eastAsia="標楷體"/>
              </w:rPr>
            </w:pPr>
            <w:r w:rsidRPr="003B6B9A">
              <w:rPr>
                <w:rFonts w:eastAsia="標楷體"/>
              </w:rPr>
              <w:t>-2.0</w:t>
            </w:r>
          </w:p>
        </w:tc>
      </w:tr>
    </w:tbl>
    <w:p w:rsidR="00796DAE" w:rsidRPr="003B6B9A" w:rsidRDefault="00796DAE" w:rsidP="00796DAE">
      <w:pPr>
        <w:widowControl/>
        <w:tabs>
          <w:tab w:val="left" w:pos="426"/>
        </w:tabs>
        <w:snapToGrid w:val="0"/>
        <w:ind w:firstLineChars="193" w:firstLine="425"/>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1.</w:t>
      </w:r>
      <w:r w:rsidRPr="003B6B9A">
        <w:rPr>
          <w:rFonts w:eastAsia="標楷體"/>
          <w:kern w:val="0"/>
          <w:sz w:val="22"/>
          <w:szCs w:val="22"/>
        </w:rPr>
        <w:t>機械器具業：包括電腦、手持行動裝置、電子與電力設備、機械及其配備等。</w:t>
      </w:r>
    </w:p>
    <w:p w:rsidR="00796DAE" w:rsidRPr="003B6B9A" w:rsidRDefault="00796DAE" w:rsidP="00796DAE">
      <w:pPr>
        <w:widowControl/>
        <w:tabs>
          <w:tab w:val="left" w:pos="426"/>
        </w:tabs>
        <w:snapToGrid w:val="0"/>
        <w:ind w:firstLineChars="386" w:firstLine="849"/>
        <w:jc w:val="both"/>
        <w:rPr>
          <w:rFonts w:eastAsia="標楷體"/>
          <w:kern w:val="0"/>
          <w:sz w:val="22"/>
          <w:szCs w:val="22"/>
        </w:rPr>
      </w:pPr>
      <w:r w:rsidRPr="003B6B9A">
        <w:rPr>
          <w:rFonts w:eastAsia="標楷體"/>
          <w:kern w:val="0"/>
          <w:sz w:val="22"/>
          <w:szCs w:val="22"/>
        </w:rPr>
        <w:t>2.</w:t>
      </w:r>
      <w:r w:rsidRPr="003B6B9A">
        <w:rPr>
          <w:rFonts w:eastAsia="標楷體"/>
          <w:kern w:val="0"/>
          <w:sz w:val="22"/>
          <w:szCs w:val="22"/>
        </w:rPr>
        <w:t>家庭器具</w:t>
      </w:r>
      <w:r w:rsidRPr="003B6B9A">
        <w:rPr>
          <w:rFonts w:eastAsia="標楷體"/>
          <w:bCs/>
          <w:kern w:val="0"/>
          <w:sz w:val="22"/>
          <w:szCs w:val="22"/>
        </w:rPr>
        <w:t>及用品業</w:t>
      </w:r>
      <w:r w:rsidRPr="003B6B9A">
        <w:rPr>
          <w:rFonts w:eastAsia="標楷體"/>
          <w:kern w:val="0"/>
          <w:sz w:val="22"/>
          <w:szCs w:val="22"/>
        </w:rPr>
        <w:t>：包括電器、家具、光學器材、黃金白銀貴金屬等。</w:t>
      </w:r>
    </w:p>
    <w:p w:rsidR="00796DAE" w:rsidRPr="003B6B9A" w:rsidRDefault="00796DAE" w:rsidP="00796DAE">
      <w:pPr>
        <w:widowControl/>
        <w:tabs>
          <w:tab w:val="left" w:pos="426"/>
        </w:tabs>
        <w:snapToGrid w:val="0"/>
        <w:ind w:firstLineChars="386" w:firstLine="849"/>
        <w:jc w:val="both"/>
        <w:rPr>
          <w:rFonts w:eastAsia="標楷體"/>
          <w:kern w:val="0"/>
          <w:sz w:val="22"/>
          <w:szCs w:val="22"/>
        </w:rPr>
      </w:pPr>
      <w:r w:rsidRPr="003B6B9A">
        <w:rPr>
          <w:rFonts w:eastAsia="標楷體"/>
          <w:kern w:val="0"/>
          <w:sz w:val="22"/>
          <w:szCs w:val="22"/>
        </w:rPr>
        <w:t>3.</w:t>
      </w:r>
      <w:r w:rsidRPr="003B6B9A">
        <w:rPr>
          <w:rFonts w:eastAsia="標楷體"/>
          <w:kern w:val="0"/>
          <w:sz w:val="22"/>
          <w:szCs w:val="22"/>
        </w:rPr>
        <w:t>其他批發業：包含藥品及化妝品、文教、育樂用品等</w:t>
      </w:r>
      <w:r w:rsidRPr="003B6B9A">
        <w:rPr>
          <w:rFonts w:eastAsia="標楷體"/>
          <w:kern w:val="0"/>
          <w:sz w:val="22"/>
          <w:szCs w:val="22"/>
        </w:rPr>
        <w:t>6</w:t>
      </w:r>
      <w:r w:rsidRPr="003B6B9A">
        <w:rPr>
          <w:rFonts w:eastAsia="標楷體"/>
          <w:kern w:val="0"/>
          <w:sz w:val="22"/>
          <w:szCs w:val="22"/>
        </w:rPr>
        <w:t>項中業別。</w:t>
      </w:r>
    </w:p>
    <w:p w:rsidR="00796DAE" w:rsidRPr="003B6B9A" w:rsidRDefault="00796DAE" w:rsidP="00796DAE">
      <w:pPr>
        <w:widowControl/>
        <w:tabs>
          <w:tab w:val="left" w:pos="426"/>
        </w:tabs>
        <w:snapToGrid w:val="0"/>
        <w:ind w:firstLineChars="193" w:firstLine="425"/>
        <w:jc w:val="both"/>
        <w:rPr>
          <w:rFonts w:eastAsia="標楷體"/>
          <w:kern w:val="0"/>
          <w:sz w:val="22"/>
          <w:szCs w:val="22"/>
        </w:rPr>
      </w:pPr>
      <w:r w:rsidRPr="003B6B9A">
        <w:rPr>
          <w:rFonts w:eastAsia="標楷體"/>
          <w:kern w:val="0"/>
          <w:sz w:val="22"/>
          <w:szCs w:val="22"/>
        </w:rPr>
        <w:t>資料來源：經濟部統計處。</w:t>
      </w:r>
    </w:p>
    <w:p w:rsidR="00796DAE" w:rsidRPr="003B6B9A" w:rsidRDefault="00796DAE" w:rsidP="00796DAE">
      <w:pPr>
        <w:widowControl/>
        <w:rPr>
          <w:rFonts w:eastAsia="標楷體"/>
          <w:kern w:val="0"/>
          <w:sz w:val="22"/>
          <w:szCs w:val="22"/>
        </w:rPr>
      </w:pPr>
      <w:r w:rsidRPr="003B6B9A">
        <w:rPr>
          <w:sz w:val="22"/>
          <w:szCs w:val="22"/>
        </w:rPr>
        <w:br w:type="page"/>
      </w:r>
    </w:p>
    <w:p w:rsidR="003F3F99" w:rsidRPr="00B118E9" w:rsidRDefault="003F3F99" w:rsidP="003F3F99">
      <w:pPr>
        <w:widowControl/>
        <w:tabs>
          <w:tab w:val="left" w:pos="540"/>
        </w:tabs>
        <w:snapToGrid w:val="0"/>
        <w:spacing w:beforeLines="100" w:before="360" w:line="300" w:lineRule="auto"/>
        <w:ind w:left="566" w:hangingChars="202" w:hanging="566"/>
        <w:jc w:val="both"/>
        <w:rPr>
          <w:rFonts w:eastAsia="標楷體"/>
          <w:b/>
          <w:bCs/>
          <w:color w:val="FF0000"/>
          <w:kern w:val="0"/>
          <w:sz w:val="28"/>
          <w:szCs w:val="20"/>
        </w:rPr>
      </w:pPr>
      <w:r w:rsidRPr="00B118E9">
        <w:rPr>
          <w:rFonts w:eastAsia="標楷體"/>
          <w:b/>
          <w:bCs/>
          <w:kern w:val="0"/>
          <w:sz w:val="28"/>
          <w:szCs w:val="20"/>
        </w:rPr>
        <w:t>３、</w:t>
      </w:r>
      <w:r w:rsidR="00E62664" w:rsidRPr="003B6B9A">
        <w:rPr>
          <w:rFonts w:eastAsia="標楷體"/>
          <w:b/>
          <w:bCs/>
          <w:kern w:val="0"/>
          <w:sz w:val="28"/>
          <w:szCs w:val="20"/>
        </w:rPr>
        <w:t>104</w:t>
      </w:r>
      <w:r w:rsidR="00E62664" w:rsidRPr="003B6B9A">
        <w:rPr>
          <w:rFonts w:eastAsia="標楷體"/>
          <w:b/>
          <w:bCs/>
          <w:kern w:val="0"/>
          <w:sz w:val="28"/>
          <w:szCs w:val="20"/>
        </w:rPr>
        <w:t>年</w:t>
      </w:r>
      <w:r w:rsidR="00E62664" w:rsidRPr="003B6B9A">
        <w:rPr>
          <w:rFonts w:eastAsia="標楷體"/>
          <w:b/>
          <w:bCs/>
          <w:kern w:val="0"/>
          <w:sz w:val="28"/>
          <w:szCs w:val="20"/>
        </w:rPr>
        <w:t>4</w:t>
      </w:r>
      <w:r w:rsidR="00E62664" w:rsidRPr="003B6B9A">
        <w:rPr>
          <w:rFonts w:eastAsia="標楷體"/>
          <w:b/>
          <w:bCs/>
          <w:kern w:val="0"/>
          <w:sz w:val="28"/>
          <w:szCs w:val="20"/>
        </w:rPr>
        <w:t>月零售業營業額減少</w:t>
      </w:r>
      <w:r w:rsidR="00E62664" w:rsidRPr="003B6B9A">
        <w:rPr>
          <w:rFonts w:eastAsia="標楷體"/>
          <w:b/>
          <w:bCs/>
          <w:kern w:val="0"/>
          <w:sz w:val="28"/>
          <w:szCs w:val="20"/>
        </w:rPr>
        <w:t>0.1%</w:t>
      </w:r>
      <w:r w:rsidR="00E62664" w:rsidRPr="003B6B9A">
        <w:rPr>
          <w:rFonts w:eastAsia="標楷體"/>
          <w:b/>
          <w:bCs/>
          <w:kern w:val="0"/>
          <w:sz w:val="28"/>
          <w:szCs w:val="20"/>
        </w:rPr>
        <w:t>，其中綜合商品零售業營業額增加</w:t>
      </w:r>
      <w:r w:rsidR="00E62664" w:rsidRPr="003B6B9A">
        <w:rPr>
          <w:rFonts w:eastAsia="標楷體"/>
          <w:b/>
          <w:bCs/>
          <w:kern w:val="0"/>
          <w:sz w:val="28"/>
          <w:szCs w:val="20"/>
        </w:rPr>
        <w:t>4.5%</w:t>
      </w:r>
    </w:p>
    <w:p w:rsidR="003F3F99" w:rsidRPr="00B118E9" w:rsidRDefault="00E62664" w:rsidP="003F3F99">
      <w:pPr>
        <w:widowControl/>
        <w:topLinePunct/>
        <w:snapToGrid w:val="0"/>
        <w:spacing w:beforeLines="100" w:before="360" w:line="300" w:lineRule="auto"/>
        <w:ind w:rightChars="-59" w:right="-142" w:firstLineChars="202" w:firstLine="566"/>
        <w:jc w:val="both"/>
        <w:rPr>
          <w:rFonts w:eastAsia="標楷體"/>
          <w:color w:val="FF0000"/>
          <w:kern w:val="0"/>
          <w:sz w:val="28"/>
          <w:szCs w:val="20"/>
        </w:rPr>
      </w:pPr>
      <w:r w:rsidRPr="003B6B9A">
        <w:rPr>
          <w:rFonts w:eastAsia="標楷體"/>
          <w:kern w:val="0"/>
          <w:sz w:val="28"/>
          <w:szCs w:val="20"/>
        </w:rPr>
        <w:t>104</w:t>
      </w:r>
      <w:r w:rsidRPr="003B6B9A">
        <w:rPr>
          <w:rFonts w:eastAsia="標楷體"/>
          <w:kern w:val="0"/>
          <w:sz w:val="28"/>
          <w:szCs w:val="20"/>
        </w:rPr>
        <w:t>年</w:t>
      </w:r>
      <w:r w:rsidRPr="003B6B9A">
        <w:rPr>
          <w:rFonts w:eastAsia="標楷體"/>
          <w:kern w:val="0"/>
          <w:sz w:val="28"/>
          <w:szCs w:val="20"/>
        </w:rPr>
        <w:t>4</w:t>
      </w:r>
      <w:r w:rsidRPr="003B6B9A">
        <w:rPr>
          <w:rFonts w:eastAsia="標楷體"/>
          <w:kern w:val="0"/>
          <w:sz w:val="28"/>
          <w:szCs w:val="20"/>
        </w:rPr>
        <w:t>月零售業營業額為</w:t>
      </w:r>
      <w:r w:rsidRPr="003B6B9A">
        <w:rPr>
          <w:rFonts w:eastAsia="標楷體"/>
          <w:kern w:val="0"/>
          <w:sz w:val="28"/>
          <w:szCs w:val="20"/>
        </w:rPr>
        <w:t>3,209</w:t>
      </w:r>
      <w:r w:rsidRPr="003B6B9A">
        <w:rPr>
          <w:rFonts w:eastAsia="標楷體"/>
          <w:kern w:val="0"/>
          <w:sz w:val="28"/>
          <w:szCs w:val="20"/>
        </w:rPr>
        <w:t>億元，較上年同月減少</w:t>
      </w:r>
      <w:r w:rsidRPr="003B6B9A">
        <w:rPr>
          <w:rFonts w:eastAsia="標楷體"/>
          <w:kern w:val="0"/>
          <w:sz w:val="28"/>
          <w:szCs w:val="20"/>
        </w:rPr>
        <w:t>0.1%</w:t>
      </w:r>
      <w:r w:rsidRPr="003B6B9A">
        <w:rPr>
          <w:rFonts w:eastAsia="標楷體"/>
          <w:kern w:val="0"/>
          <w:sz w:val="28"/>
          <w:szCs w:val="20"/>
        </w:rPr>
        <w:t>，其中受油價下跌影響，燃料零售業年減</w:t>
      </w:r>
      <w:r w:rsidRPr="003B6B9A">
        <w:rPr>
          <w:rFonts w:eastAsia="標楷體"/>
          <w:kern w:val="0"/>
          <w:sz w:val="28"/>
          <w:szCs w:val="20"/>
        </w:rPr>
        <w:t>24.3%</w:t>
      </w:r>
      <w:r w:rsidRPr="003B6B9A">
        <w:rPr>
          <w:rFonts w:eastAsia="標楷體"/>
          <w:kern w:val="0"/>
          <w:sz w:val="28"/>
          <w:szCs w:val="20"/>
        </w:rPr>
        <w:t>，以及汽車零售業受到上游車廠及代理商交車量減少而微減</w:t>
      </w:r>
      <w:r w:rsidRPr="003B6B9A">
        <w:rPr>
          <w:rFonts w:eastAsia="標楷體"/>
          <w:kern w:val="0"/>
          <w:sz w:val="28"/>
          <w:szCs w:val="20"/>
        </w:rPr>
        <w:t>0.5%</w:t>
      </w:r>
      <w:r w:rsidRPr="003B6B9A">
        <w:rPr>
          <w:rFonts w:eastAsia="標楷體"/>
          <w:kern w:val="0"/>
          <w:sz w:val="28"/>
          <w:szCs w:val="20"/>
        </w:rPr>
        <w:t>，而綜合商品、食品、藥粧、無店面等零售通路因清明節需求、母親節檔期促銷、夏日美粧產品熱銷及展店效應，均為正成長。累計</w:t>
      </w:r>
      <w:r w:rsidRPr="003B6B9A">
        <w:rPr>
          <w:rFonts w:eastAsia="標楷體"/>
          <w:kern w:val="0"/>
          <w:sz w:val="28"/>
          <w:szCs w:val="20"/>
        </w:rPr>
        <w:t>1</w:t>
      </w:r>
      <w:r w:rsidRPr="003B6B9A">
        <w:rPr>
          <w:rFonts w:eastAsia="標楷體"/>
          <w:kern w:val="0"/>
          <w:sz w:val="28"/>
          <w:szCs w:val="20"/>
        </w:rPr>
        <w:t>至</w:t>
      </w:r>
      <w:r w:rsidRPr="003B6B9A">
        <w:rPr>
          <w:rFonts w:eastAsia="標楷體"/>
          <w:kern w:val="0"/>
          <w:sz w:val="28"/>
          <w:szCs w:val="20"/>
        </w:rPr>
        <w:t>4</w:t>
      </w:r>
      <w:r w:rsidRPr="003B6B9A">
        <w:rPr>
          <w:rFonts w:eastAsia="標楷體"/>
          <w:kern w:val="0"/>
          <w:sz w:val="28"/>
          <w:szCs w:val="20"/>
        </w:rPr>
        <w:t>月零售業</w:t>
      </w:r>
      <w:r w:rsidRPr="003B6B9A">
        <w:rPr>
          <w:rFonts w:eastAsia="標楷體" w:hint="eastAsia"/>
          <w:kern w:val="0"/>
          <w:sz w:val="28"/>
          <w:szCs w:val="20"/>
        </w:rPr>
        <w:t>營業額</w:t>
      </w:r>
      <w:r w:rsidRPr="003B6B9A">
        <w:rPr>
          <w:rFonts w:eastAsia="標楷體" w:hint="eastAsia"/>
          <w:kern w:val="0"/>
          <w:sz w:val="28"/>
          <w:szCs w:val="20"/>
        </w:rPr>
        <w:t>13,051</w:t>
      </w:r>
      <w:r w:rsidRPr="003B6B9A">
        <w:rPr>
          <w:rFonts w:eastAsia="標楷體" w:hint="eastAsia"/>
          <w:kern w:val="0"/>
          <w:sz w:val="28"/>
          <w:szCs w:val="20"/>
        </w:rPr>
        <w:t>億元，</w:t>
      </w:r>
      <w:r w:rsidRPr="003B6B9A">
        <w:rPr>
          <w:rFonts w:eastAsia="標楷體"/>
          <w:kern w:val="0"/>
          <w:sz w:val="28"/>
          <w:szCs w:val="20"/>
        </w:rPr>
        <w:t>較上年同期增加</w:t>
      </w:r>
      <w:r w:rsidRPr="003B6B9A">
        <w:rPr>
          <w:rFonts w:eastAsia="標楷體"/>
          <w:kern w:val="0"/>
          <w:sz w:val="28"/>
          <w:szCs w:val="20"/>
        </w:rPr>
        <w:t>1.4%</w:t>
      </w:r>
      <w:r w:rsidRPr="003B6B9A">
        <w:rPr>
          <w:rFonts w:eastAsia="標楷體"/>
          <w:kern w:val="0"/>
          <w:sz w:val="28"/>
          <w:szCs w:val="20"/>
        </w:rPr>
        <w:t>。</w:t>
      </w:r>
    </w:p>
    <w:p w:rsidR="003F3F99" w:rsidRPr="00B118E9" w:rsidRDefault="003F3F99" w:rsidP="003F3F99">
      <w:pPr>
        <w:snapToGrid w:val="0"/>
        <w:spacing w:beforeLines="100" w:before="360" w:afterLines="50" w:after="180" w:line="300" w:lineRule="auto"/>
        <w:ind w:right="-153"/>
        <w:jc w:val="center"/>
        <w:rPr>
          <w:rFonts w:eastAsia="標楷體"/>
        </w:rPr>
      </w:pPr>
      <w:r w:rsidRPr="00B118E9">
        <w:rPr>
          <w:rFonts w:eastAsia="標楷體"/>
          <w:b/>
          <w:sz w:val="28"/>
        </w:rPr>
        <w:t>表</w:t>
      </w:r>
      <w:r w:rsidRPr="00B118E9">
        <w:rPr>
          <w:rFonts w:eastAsia="標楷體"/>
          <w:b/>
          <w:sz w:val="28"/>
        </w:rPr>
        <w:t xml:space="preserve">2-3-3  </w:t>
      </w:r>
      <w:r w:rsidRPr="00B118E9">
        <w:rPr>
          <w:rFonts w:eastAsia="標楷體"/>
          <w:b/>
          <w:sz w:val="28"/>
        </w:rPr>
        <w:t>零售業營業額變動概況</w:t>
      </w:r>
      <w:r w:rsidRPr="00B118E9">
        <w:rPr>
          <w:rFonts w:eastAsia="標楷體"/>
        </w:rPr>
        <w:t xml:space="preserve"> </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E62664" w:rsidRPr="003B6B9A" w:rsidTr="001040FB">
        <w:tc>
          <w:tcPr>
            <w:tcW w:w="2722" w:type="dxa"/>
            <w:vMerge w:val="restart"/>
            <w:tcBorders>
              <w:top w:val="single" w:sz="4" w:space="0" w:color="auto"/>
              <w:right w:val="single" w:sz="4" w:space="0" w:color="auto"/>
            </w:tcBorders>
            <w:vAlign w:val="center"/>
          </w:tcPr>
          <w:p w:rsidR="00E62664" w:rsidRPr="003B6B9A" w:rsidRDefault="00E62664" w:rsidP="001040FB">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E62664" w:rsidRPr="003B6B9A" w:rsidRDefault="00E62664" w:rsidP="001040FB">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4</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E62664" w:rsidRPr="003B6B9A" w:rsidRDefault="00E62664" w:rsidP="001040FB">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E62664" w:rsidRPr="003B6B9A" w:rsidRDefault="00E62664" w:rsidP="001040FB">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1~4</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E62664" w:rsidRPr="003B6B9A" w:rsidRDefault="00E62664" w:rsidP="001040FB">
            <w:pPr>
              <w:snapToGrid w:val="0"/>
              <w:spacing w:line="300" w:lineRule="exact"/>
              <w:ind w:left="28" w:right="-142"/>
              <w:jc w:val="center"/>
              <w:rPr>
                <w:rFonts w:eastAsia="標楷體"/>
              </w:rPr>
            </w:pPr>
          </w:p>
        </w:tc>
      </w:tr>
      <w:tr w:rsidR="00E62664" w:rsidRPr="003B6B9A" w:rsidTr="001040FB">
        <w:tc>
          <w:tcPr>
            <w:tcW w:w="2722" w:type="dxa"/>
            <w:vMerge/>
            <w:tcBorders>
              <w:bottom w:val="single" w:sz="4" w:space="0" w:color="auto"/>
              <w:right w:val="single" w:sz="4" w:space="0" w:color="auto"/>
            </w:tcBorders>
            <w:vAlign w:val="center"/>
          </w:tcPr>
          <w:p w:rsidR="00E62664" w:rsidRPr="003B6B9A" w:rsidRDefault="00E62664" w:rsidP="001040FB">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E62664" w:rsidRPr="003B6B9A" w:rsidRDefault="00E62664" w:rsidP="001040FB">
            <w:pPr>
              <w:snapToGrid w:val="0"/>
              <w:spacing w:line="300" w:lineRule="exact"/>
              <w:ind w:left="28"/>
              <w:jc w:val="center"/>
              <w:rPr>
                <w:rFonts w:eastAsia="標楷體"/>
              </w:rPr>
            </w:pPr>
            <w:r w:rsidRPr="003B6B9A">
              <w:rPr>
                <w:rFonts w:eastAsia="標楷體" w:hint="eastAsia"/>
              </w:rPr>
              <w:t>營業額</w:t>
            </w:r>
          </w:p>
          <w:p w:rsidR="00E62664" w:rsidRPr="003B6B9A" w:rsidRDefault="00E62664" w:rsidP="001040FB">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E62664" w:rsidRPr="003B6B9A" w:rsidRDefault="00E62664" w:rsidP="001040FB">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E62664" w:rsidRPr="003B6B9A" w:rsidRDefault="00E62664"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E62664" w:rsidRPr="003B6B9A" w:rsidRDefault="00E62664" w:rsidP="001040FB">
            <w:pPr>
              <w:snapToGrid w:val="0"/>
              <w:spacing w:line="300" w:lineRule="exact"/>
              <w:ind w:left="28"/>
              <w:jc w:val="center"/>
              <w:rPr>
                <w:rFonts w:eastAsia="標楷體"/>
              </w:rPr>
            </w:pPr>
            <w:r w:rsidRPr="003B6B9A">
              <w:rPr>
                <w:rFonts w:eastAsia="標楷體" w:hint="eastAsia"/>
              </w:rPr>
              <w:t>營業額</w:t>
            </w:r>
          </w:p>
          <w:p w:rsidR="00E62664" w:rsidRPr="003B6B9A" w:rsidRDefault="00E62664" w:rsidP="001040FB">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E62664" w:rsidRPr="003B6B9A" w:rsidRDefault="00E62664" w:rsidP="001040FB">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E62664" w:rsidRPr="003B6B9A" w:rsidRDefault="00E62664"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E62664" w:rsidRPr="003B6B9A" w:rsidTr="001040FB">
        <w:tc>
          <w:tcPr>
            <w:tcW w:w="2722" w:type="dxa"/>
            <w:tcBorders>
              <w:top w:val="single" w:sz="4" w:space="0" w:color="auto"/>
              <w:right w:val="single" w:sz="4" w:space="0" w:color="auto"/>
            </w:tcBorders>
          </w:tcPr>
          <w:p w:rsidR="00E62664" w:rsidRPr="003B6B9A" w:rsidRDefault="00E62664" w:rsidP="001040FB">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3,209</w:t>
            </w:r>
          </w:p>
        </w:tc>
        <w:tc>
          <w:tcPr>
            <w:tcW w:w="1559" w:type="dxa"/>
            <w:tcBorders>
              <w:top w:val="single" w:sz="4" w:space="0" w:color="auto"/>
              <w:left w:val="nil"/>
              <w:right w:val="double" w:sz="4" w:space="0" w:color="auto"/>
            </w:tcBorders>
          </w:tcPr>
          <w:p w:rsidR="00E62664" w:rsidRPr="003B6B9A" w:rsidRDefault="00E62664" w:rsidP="001040FB">
            <w:pPr>
              <w:ind w:rightChars="283" w:right="679"/>
              <w:jc w:val="right"/>
              <w:rPr>
                <w:rFonts w:eastAsia="標楷體"/>
              </w:rPr>
            </w:pPr>
            <w:r w:rsidRPr="003B6B9A">
              <w:rPr>
                <w:rFonts w:eastAsia="標楷體" w:hint="eastAsia"/>
              </w:rPr>
              <w:t>-0.1</w:t>
            </w:r>
          </w:p>
        </w:tc>
        <w:tc>
          <w:tcPr>
            <w:tcW w:w="1559" w:type="dxa"/>
            <w:tcBorders>
              <w:top w:val="single" w:sz="4" w:space="0" w:color="auto"/>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13,051</w:t>
            </w:r>
          </w:p>
        </w:tc>
        <w:tc>
          <w:tcPr>
            <w:tcW w:w="1560" w:type="dxa"/>
            <w:tcBorders>
              <w:top w:val="single" w:sz="4" w:space="0" w:color="auto"/>
            </w:tcBorders>
          </w:tcPr>
          <w:p w:rsidR="00E62664" w:rsidRPr="003B6B9A" w:rsidRDefault="00E62664" w:rsidP="001040FB">
            <w:pPr>
              <w:ind w:rightChars="283" w:right="679"/>
              <w:jc w:val="right"/>
              <w:rPr>
                <w:rFonts w:eastAsia="標楷體"/>
              </w:rPr>
            </w:pPr>
            <w:r w:rsidRPr="003B6B9A">
              <w:rPr>
                <w:rFonts w:eastAsia="標楷體" w:hint="eastAsia"/>
              </w:rPr>
              <w:t>1.4</w:t>
            </w:r>
          </w:p>
        </w:tc>
      </w:tr>
      <w:tr w:rsidR="00E62664" w:rsidRPr="003B6B9A" w:rsidTr="001040FB">
        <w:tc>
          <w:tcPr>
            <w:tcW w:w="2722" w:type="dxa"/>
            <w:tcBorders>
              <w:right w:val="single" w:sz="4" w:space="0" w:color="auto"/>
            </w:tcBorders>
            <w:vAlign w:val="bottom"/>
          </w:tcPr>
          <w:p w:rsidR="00E62664" w:rsidRPr="003B6B9A" w:rsidRDefault="00E62664" w:rsidP="001040FB">
            <w:pPr>
              <w:ind w:leftChars="100" w:left="240"/>
              <w:rPr>
                <w:rFonts w:eastAsia="標楷體"/>
              </w:rPr>
            </w:pPr>
            <w:r w:rsidRPr="003B6B9A">
              <w:rPr>
                <w:rFonts w:eastAsia="標楷體"/>
              </w:rPr>
              <w:t>綜合商品零售業</w:t>
            </w:r>
          </w:p>
        </w:tc>
        <w:tc>
          <w:tcPr>
            <w:tcW w:w="1559" w:type="dxa"/>
          </w:tcPr>
          <w:p w:rsidR="00E62664" w:rsidRPr="003B6B9A" w:rsidRDefault="00E62664" w:rsidP="001040FB">
            <w:pPr>
              <w:ind w:rightChars="165" w:right="396"/>
              <w:jc w:val="right"/>
              <w:rPr>
                <w:rFonts w:eastAsia="標楷體"/>
              </w:rPr>
            </w:pPr>
            <w:r w:rsidRPr="003B6B9A">
              <w:rPr>
                <w:rFonts w:eastAsia="標楷體" w:hint="eastAsia"/>
              </w:rPr>
              <w:t>909</w:t>
            </w:r>
          </w:p>
        </w:tc>
        <w:tc>
          <w:tcPr>
            <w:tcW w:w="1559" w:type="dxa"/>
            <w:tcBorders>
              <w:left w:val="nil"/>
              <w:right w:val="double" w:sz="4" w:space="0" w:color="auto"/>
            </w:tcBorders>
          </w:tcPr>
          <w:p w:rsidR="00E62664" w:rsidRPr="003B6B9A" w:rsidRDefault="00E62664" w:rsidP="001040FB">
            <w:pPr>
              <w:ind w:rightChars="283" w:right="679"/>
              <w:jc w:val="right"/>
              <w:rPr>
                <w:rFonts w:eastAsia="標楷體"/>
              </w:rPr>
            </w:pPr>
            <w:r w:rsidRPr="003B6B9A">
              <w:rPr>
                <w:rFonts w:eastAsia="標楷體" w:hint="eastAsia"/>
              </w:rPr>
              <w:t>4.5</w:t>
            </w:r>
          </w:p>
        </w:tc>
        <w:tc>
          <w:tcPr>
            <w:tcW w:w="1559" w:type="dxa"/>
            <w:tcBorders>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3,664</w:t>
            </w:r>
          </w:p>
        </w:tc>
        <w:tc>
          <w:tcPr>
            <w:tcW w:w="1560" w:type="dxa"/>
          </w:tcPr>
          <w:p w:rsidR="00E62664" w:rsidRPr="003B6B9A" w:rsidRDefault="00E62664" w:rsidP="001040FB">
            <w:pPr>
              <w:ind w:rightChars="283" w:right="679"/>
              <w:jc w:val="right"/>
              <w:rPr>
                <w:rFonts w:eastAsia="標楷體"/>
              </w:rPr>
            </w:pPr>
            <w:r w:rsidRPr="003B6B9A">
              <w:rPr>
                <w:rFonts w:eastAsia="標楷體" w:hint="eastAsia"/>
              </w:rPr>
              <w:t>4.7</w:t>
            </w:r>
          </w:p>
        </w:tc>
      </w:tr>
      <w:tr w:rsidR="00E62664" w:rsidRPr="003B6B9A" w:rsidTr="001040FB">
        <w:tc>
          <w:tcPr>
            <w:tcW w:w="2722" w:type="dxa"/>
            <w:tcBorders>
              <w:right w:val="single" w:sz="4" w:space="0" w:color="auto"/>
            </w:tcBorders>
            <w:vAlign w:val="bottom"/>
          </w:tcPr>
          <w:p w:rsidR="00E62664" w:rsidRPr="003B6B9A" w:rsidRDefault="00E62664" w:rsidP="001040FB">
            <w:pPr>
              <w:ind w:leftChars="100" w:left="240"/>
              <w:rPr>
                <w:rFonts w:eastAsia="標楷體"/>
              </w:rPr>
            </w:pPr>
            <w:r w:rsidRPr="003B6B9A">
              <w:rPr>
                <w:rFonts w:eastAsia="標楷體"/>
              </w:rPr>
              <w:t>汽機車業</w:t>
            </w:r>
          </w:p>
        </w:tc>
        <w:tc>
          <w:tcPr>
            <w:tcW w:w="1559" w:type="dxa"/>
          </w:tcPr>
          <w:p w:rsidR="00E62664" w:rsidRPr="003B6B9A" w:rsidRDefault="00E62664" w:rsidP="001040FB">
            <w:pPr>
              <w:ind w:rightChars="165" w:right="396"/>
              <w:jc w:val="right"/>
              <w:rPr>
                <w:rFonts w:eastAsia="標楷體"/>
              </w:rPr>
            </w:pPr>
            <w:r w:rsidRPr="003B6B9A">
              <w:rPr>
                <w:rFonts w:eastAsia="標楷體" w:hint="eastAsia"/>
              </w:rPr>
              <w:t>478</w:t>
            </w:r>
          </w:p>
        </w:tc>
        <w:tc>
          <w:tcPr>
            <w:tcW w:w="1559" w:type="dxa"/>
            <w:tcBorders>
              <w:left w:val="nil"/>
              <w:right w:val="double" w:sz="4" w:space="0" w:color="auto"/>
            </w:tcBorders>
          </w:tcPr>
          <w:p w:rsidR="00E62664" w:rsidRPr="003B6B9A" w:rsidRDefault="00E62664" w:rsidP="001040FB">
            <w:pPr>
              <w:ind w:rightChars="283" w:right="679"/>
              <w:jc w:val="right"/>
              <w:rPr>
                <w:rFonts w:eastAsia="標楷體"/>
              </w:rPr>
            </w:pPr>
            <w:r w:rsidRPr="003B6B9A">
              <w:rPr>
                <w:rFonts w:eastAsia="標楷體" w:hint="eastAsia"/>
              </w:rPr>
              <w:t>-0.5</w:t>
            </w:r>
          </w:p>
        </w:tc>
        <w:tc>
          <w:tcPr>
            <w:tcW w:w="1559" w:type="dxa"/>
            <w:tcBorders>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1,922</w:t>
            </w:r>
          </w:p>
        </w:tc>
        <w:tc>
          <w:tcPr>
            <w:tcW w:w="1560" w:type="dxa"/>
          </w:tcPr>
          <w:p w:rsidR="00E62664" w:rsidRPr="003B6B9A" w:rsidRDefault="00E62664" w:rsidP="001040FB">
            <w:pPr>
              <w:ind w:rightChars="283" w:right="679"/>
              <w:jc w:val="right"/>
              <w:rPr>
                <w:rFonts w:eastAsia="標楷體"/>
              </w:rPr>
            </w:pPr>
            <w:r w:rsidRPr="003B6B9A">
              <w:rPr>
                <w:rFonts w:eastAsia="標楷體" w:hint="eastAsia"/>
              </w:rPr>
              <w:t>5.9</w:t>
            </w:r>
          </w:p>
        </w:tc>
      </w:tr>
      <w:tr w:rsidR="00E62664" w:rsidRPr="003B6B9A" w:rsidTr="001040FB">
        <w:tc>
          <w:tcPr>
            <w:tcW w:w="2722" w:type="dxa"/>
            <w:tcBorders>
              <w:right w:val="single" w:sz="4" w:space="0" w:color="auto"/>
            </w:tcBorders>
            <w:vAlign w:val="bottom"/>
          </w:tcPr>
          <w:p w:rsidR="00E62664" w:rsidRPr="003B6B9A" w:rsidRDefault="00E62664" w:rsidP="001040FB">
            <w:pPr>
              <w:ind w:leftChars="100" w:left="240"/>
              <w:rPr>
                <w:rFonts w:eastAsia="標楷體"/>
              </w:rPr>
            </w:pPr>
            <w:r w:rsidRPr="003B6B9A">
              <w:rPr>
                <w:rFonts w:eastAsia="標楷體"/>
              </w:rPr>
              <w:t>食品、飲料及菸草業</w:t>
            </w:r>
          </w:p>
        </w:tc>
        <w:tc>
          <w:tcPr>
            <w:tcW w:w="1559" w:type="dxa"/>
          </w:tcPr>
          <w:p w:rsidR="00E62664" w:rsidRPr="003B6B9A" w:rsidRDefault="00E62664" w:rsidP="001040FB">
            <w:pPr>
              <w:ind w:rightChars="165" w:right="396"/>
              <w:jc w:val="right"/>
              <w:rPr>
                <w:rFonts w:eastAsia="標楷體"/>
              </w:rPr>
            </w:pPr>
            <w:r w:rsidRPr="003B6B9A">
              <w:rPr>
                <w:rFonts w:eastAsia="標楷體" w:hint="eastAsia"/>
              </w:rPr>
              <w:t>376</w:t>
            </w:r>
          </w:p>
        </w:tc>
        <w:tc>
          <w:tcPr>
            <w:tcW w:w="1559" w:type="dxa"/>
            <w:tcBorders>
              <w:left w:val="nil"/>
              <w:right w:val="double" w:sz="4" w:space="0" w:color="auto"/>
            </w:tcBorders>
          </w:tcPr>
          <w:p w:rsidR="00E62664" w:rsidRPr="003B6B9A" w:rsidRDefault="00E62664" w:rsidP="001040FB">
            <w:pPr>
              <w:ind w:rightChars="283" w:right="679"/>
              <w:jc w:val="right"/>
              <w:rPr>
                <w:rFonts w:eastAsia="標楷體"/>
              </w:rPr>
            </w:pPr>
            <w:r w:rsidRPr="003B6B9A">
              <w:rPr>
                <w:rFonts w:eastAsia="標楷體" w:hint="eastAsia"/>
              </w:rPr>
              <w:t>2.4</w:t>
            </w:r>
          </w:p>
        </w:tc>
        <w:tc>
          <w:tcPr>
            <w:tcW w:w="1559" w:type="dxa"/>
            <w:tcBorders>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1,553</w:t>
            </w:r>
          </w:p>
        </w:tc>
        <w:tc>
          <w:tcPr>
            <w:tcW w:w="1560" w:type="dxa"/>
          </w:tcPr>
          <w:p w:rsidR="00E62664" w:rsidRPr="003B6B9A" w:rsidRDefault="00E62664" w:rsidP="001040FB">
            <w:pPr>
              <w:ind w:rightChars="283" w:right="679"/>
              <w:jc w:val="right"/>
              <w:rPr>
                <w:rFonts w:eastAsia="標楷體"/>
              </w:rPr>
            </w:pPr>
            <w:r w:rsidRPr="003B6B9A">
              <w:rPr>
                <w:rFonts w:eastAsia="標楷體" w:hint="eastAsia"/>
              </w:rPr>
              <w:t>1.9</w:t>
            </w:r>
          </w:p>
        </w:tc>
      </w:tr>
      <w:tr w:rsidR="00E62664" w:rsidRPr="003B6B9A" w:rsidTr="001040FB">
        <w:tc>
          <w:tcPr>
            <w:tcW w:w="2722" w:type="dxa"/>
            <w:tcBorders>
              <w:right w:val="single" w:sz="4" w:space="0" w:color="auto"/>
            </w:tcBorders>
            <w:vAlign w:val="bottom"/>
          </w:tcPr>
          <w:p w:rsidR="00E62664" w:rsidRPr="003B6B9A" w:rsidRDefault="00E62664" w:rsidP="001040FB">
            <w:pPr>
              <w:ind w:leftChars="100" w:left="240"/>
              <w:rPr>
                <w:rFonts w:eastAsia="標楷體"/>
              </w:rPr>
            </w:pPr>
            <w:r w:rsidRPr="003B6B9A">
              <w:rPr>
                <w:rFonts w:eastAsia="標楷體" w:hint="eastAsia"/>
              </w:rPr>
              <w:t>資通訊及家電業</w:t>
            </w:r>
          </w:p>
        </w:tc>
        <w:tc>
          <w:tcPr>
            <w:tcW w:w="1559" w:type="dxa"/>
          </w:tcPr>
          <w:p w:rsidR="00E62664" w:rsidRPr="003B6B9A" w:rsidRDefault="00E62664" w:rsidP="001040FB">
            <w:pPr>
              <w:ind w:rightChars="165" w:right="396"/>
              <w:jc w:val="right"/>
              <w:rPr>
                <w:rFonts w:eastAsia="標楷體"/>
              </w:rPr>
            </w:pPr>
            <w:r w:rsidRPr="003B6B9A">
              <w:rPr>
                <w:rFonts w:eastAsia="標楷體" w:hint="eastAsia"/>
              </w:rPr>
              <w:t>288</w:t>
            </w:r>
          </w:p>
        </w:tc>
        <w:tc>
          <w:tcPr>
            <w:tcW w:w="1559" w:type="dxa"/>
            <w:tcBorders>
              <w:left w:val="nil"/>
              <w:right w:val="double" w:sz="4" w:space="0" w:color="auto"/>
            </w:tcBorders>
          </w:tcPr>
          <w:p w:rsidR="00E62664" w:rsidRPr="003B6B9A" w:rsidRDefault="00E62664" w:rsidP="001040FB">
            <w:pPr>
              <w:ind w:rightChars="283" w:right="679"/>
              <w:jc w:val="right"/>
              <w:rPr>
                <w:rFonts w:eastAsia="標楷體"/>
              </w:rPr>
            </w:pPr>
            <w:r w:rsidRPr="003B6B9A">
              <w:rPr>
                <w:rFonts w:eastAsia="標楷體" w:hint="eastAsia"/>
              </w:rPr>
              <w:t>1.5</w:t>
            </w:r>
          </w:p>
        </w:tc>
        <w:tc>
          <w:tcPr>
            <w:tcW w:w="1559" w:type="dxa"/>
            <w:tcBorders>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1,202</w:t>
            </w:r>
          </w:p>
        </w:tc>
        <w:tc>
          <w:tcPr>
            <w:tcW w:w="1560" w:type="dxa"/>
          </w:tcPr>
          <w:p w:rsidR="00E62664" w:rsidRPr="003B6B9A" w:rsidRDefault="00E62664" w:rsidP="001040FB">
            <w:pPr>
              <w:ind w:rightChars="283" w:right="679"/>
              <w:jc w:val="right"/>
              <w:rPr>
                <w:rFonts w:eastAsia="標楷體"/>
              </w:rPr>
            </w:pPr>
            <w:r w:rsidRPr="003B6B9A">
              <w:rPr>
                <w:rFonts w:eastAsia="標楷體" w:hint="eastAsia"/>
              </w:rPr>
              <w:t>2.0</w:t>
            </w:r>
          </w:p>
        </w:tc>
      </w:tr>
      <w:tr w:rsidR="00E62664" w:rsidRPr="003B6B9A" w:rsidTr="001040FB">
        <w:trPr>
          <w:trHeight w:val="80"/>
        </w:trPr>
        <w:tc>
          <w:tcPr>
            <w:tcW w:w="2722" w:type="dxa"/>
            <w:tcBorders>
              <w:right w:val="single" w:sz="4" w:space="0" w:color="auto"/>
            </w:tcBorders>
            <w:vAlign w:val="bottom"/>
          </w:tcPr>
          <w:p w:rsidR="00E62664" w:rsidRPr="003B6B9A" w:rsidRDefault="00E62664" w:rsidP="001040FB">
            <w:pPr>
              <w:ind w:leftChars="100" w:left="240"/>
              <w:rPr>
                <w:rFonts w:eastAsia="標楷體"/>
              </w:rPr>
            </w:pPr>
            <w:r w:rsidRPr="003B6B9A">
              <w:rPr>
                <w:rFonts w:ascii="Arial" w:eastAsia="標楷體" w:hAnsi="Arial" w:cs="Arial" w:hint="eastAsia"/>
                <w:szCs w:val="22"/>
              </w:rPr>
              <w:t>燃料業</w:t>
            </w:r>
          </w:p>
        </w:tc>
        <w:tc>
          <w:tcPr>
            <w:tcW w:w="1559" w:type="dxa"/>
          </w:tcPr>
          <w:p w:rsidR="00E62664" w:rsidRPr="003B6B9A" w:rsidRDefault="00E62664" w:rsidP="001040FB">
            <w:pPr>
              <w:ind w:rightChars="165" w:right="396"/>
              <w:jc w:val="right"/>
              <w:rPr>
                <w:rFonts w:eastAsia="標楷體"/>
              </w:rPr>
            </w:pPr>
            <w:r w:rsidRPr="003B6B9A">
              <w:rPr>
                <w:rFonts w:eastAsia="標楷體" w:hint="eastAsia"/>
              </w:rPr>
              <w:t>192</w:t>
            </w:r>
          </w:p>
        </w:tc>
        <w:tc>
          <w:tcPr>
            <w:tcW w:w="1559" w:type="dxa"/>
            <w:tcBorders>
              <w:left w:val="nil"/>
              <w:right w:val="double" w:sz="4" w:space="0" w:color="auto"/>
            </w:tcBorders>
          </w:tcPr>
          <w:p w:rsidR="00E62664" w:rsidRPr="003B6B9A" w:rsidRDefault="00E62664" w:rsidP="001040FB">
            <w:pPr>
              <w:ind w:rightChars="283" w:right="679"/>
              <w:jc w:val="right"/>
              <w:rPr>
                <w:rFonts w:eastAsia="標楷體"/>
              </w:rPr>
            </w:pPr>
            <w:r w:rsidRPr="003B6B9A">
              <w:rPr>
                <w:rFonts w:eastAsia="標楷體" w:hint="eastAsia"/>
              </w:rPr>
              <w:t>-24.3</w:t>
            </w:r>
          </w:p>
        </w:tc>
        <w:tc>
          <w:tcPr>
            <w:tcW w:w="1559" w:type="dxa"/>
            <w:tcBorders>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755</w:t>
            </w:r>
          </w:p>
        </w:tc>
        <w:tc>
          <w:tcPr>
            <w:tcW w:w="1560" w:type="dxa"/>
          </w:tcPr>
          <w:p w:rsidR="00E62664" w:rsidRPr="003B6B9A" w:rsidRDefault="00E62664" w:rsidP="001040FB">
            <w:pPr>
              <w:ind w:rightChars="283" w:right="679"/>
              <w:jc w:val="right"/>
              <w:rPr>
                <w:rFonts w:eastAsia="標楷體"/>
              </w:rPr>
            </w:pPr>
            <w:r w:rsidRPr="003B6B9A">
              <w:rPr>
                <w:rFonts w:eastAsia="標楷體" w:hint="eastAsia"/>
              </w:rPr>
              <w:t>-25.8</w:t>
            </w:r>
          </w:p>
        </w:tc>
      </w:tr>
      <w:tr w:rsidR="00E62664" w:rsidRPr="003B6B9A" w:rsidTr="001040FB">
        <w:trPr>
          <w:trHeight w:val="80"/>
        </w:trPr>
        <w:tc>
          <w:tcPr>
            <w:tcW w:w="2722" w:type="dxa"/>
            <w:tcBorders>
              <w:right w:val="single" w:sz="4" w:space="0" w:color="auto"/>
            </w:tcBorders>
            <w:vAlign w:val="bottom"/>
          </w:tcPr>
          <w:p w:rsidR="00E62664" w:rsidRPr="003B6B9A" w:rsidRDefault="00E62664" w:rsidP="001040FB">
            <w:pPr>
              <w:ind w:leftChars="100" w:left="240"/>
              <w:rPr>
                <w:rFonts w:eastAsia="標楷體"/>
              </w:rPr>
            </w:pPr>
            <w:r w:rsidRPr="003B6B9A">
              <w:rPr>
                <w:rFonts w:eastAsia="標楷體" w:hint="eastAsia"/>
              </w:rPr>
              <w:t>無店面零售業</w:t>
            </w:r>
          </w:p>
        </w:tc>
        <w:tc>
          <w:tcPr>
            <w:tcW w:w="1559" w:type="dxa"/>
          </w:tcPr>
          <w:p w:rsidR="00E62664" w:rsidRPr="003B6B9A" w:rsidRDefault="00E62664" w:rsidP="001040FB">
            <w:pPr>
              <w:ind w:rightChars="165" w:right="396"/>
              <w:jc w:val="right"/>
              <w:rPr>
                <w:rFonts w:eastAsia="標楷體"/>
              </w:rPr>
            </w:pPr>
            <w:r w:rsidRPr="003B6B9A">
              <w:rPr>
                <w:rFonts w:eastAsia="標楷體" w:hint="eastAsia"/>
              </w:rPr>
              <w:t>168</w:t>
            </w:r>
          </w:p>
        </w:tc>
        <w:tc>
          <w:tcPr>
            <w:tcW w:w="1559" w:type="dxa"/>
            <w:tcBorders>
              <w:left w:val="nil"/>
              <w:right w:val="double" w:sz="4" w:space="0" w:color="auto"/>
            </w:tcBorders>
          </w:tcPr>
          <w:p w:rsidR="00E62664" w:rsidRPr="003B6B9A" w:rsidRDefault="00E62664" w:rsidP="001040FB">
            <w:pPr>
              <w:ind w:rightChars="283" w:right="679"/>
              <w:jc w:val="right"/>
              <w:rPr>
                <w:rFonts w:eastAsia="標楷體"/>
              </w:rPr>
            </w:pPr>
            <w:r w:rsidRPr="003B6B9A">
              <w:rPr>
                <w:rFonts w:eastAsia="標楷體" w:hint="eastAsia"/>
              </w:rPr>
              <w:t>3.3</w:t>
            </w:r>
          </w:p>
        </w:tc>
        <w:tc>
          <w:tcPr>
            <w:tcW w:w="1559" w:type="dxa"/>
            <w:tcBorders>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704</w:t>
            </w:r>
          </w:p>
        </w:tc>
        <w:tc>
          <w:tcPr>
            <w:tcW w:w="1560" w:type="dxa"/>
          </w:tcPr>
          <w:p w:rsidR="00E62664" w:rsidRPr="003B6B9A" w:rsidRDefault="00E62664" w:rsidP="001040FB">
            <w:pPr>
              <w:ind w:rightChars="283" w:right="679"/>
              <w:jc w:val="right"/>
              <w:rPr>
                <w:rFonts w:eastAsia="標楷體"/>
              </w:rPr>
            </w:pPr>
            <w:r w:rsidRPr="003B6B9A">
              <w:rPr>
                <w:rFonts w:eastAsia="標楷體" w:hint="eastAsia"/>
              </w:rPr>
              <w:t>8.4</w:t>
            </w:r>
          </w:p>
        </w:tc>
      </w:tr>
      <w:tr w:rsidR="00E62664" w:rsidRPr="003B6B9A" w:rsidTr="001040FB">
        <w:trPr>
          <w:trHeight w:val="80"/>
        </w:trPr>
        <w:tc>
          <w:tcPr>
            <w:tcW w:w="2722" w:type="dxa"/>
            <w:tcBorders>
              <w:right w:val="single" w:sz="4" w:space="0" w:color="auto"/>
            </w:tcBorders>
            <w:vAlign w:val="bottom"/>
          </w:tcPr>
          <w:p w:rsidR="00E62664" w:rsidRPr="003B6B9A" w:rsidRDefault="00E62664" w:rsidP="001040FB">
            <w:pPr>
              <w:ind w:leftChars="100" w:left="240"/>
              <w:rPr>
                <w:rFonts w:eastAsia="標楷體"/>
              </w:rPr>
            </w:pPr>
            <w:r w:rsidRPr="003B6B9A">
              <w:rPr>
                <w:rFonts w:eastAsia="標楷體" w:hint="eastAsia"/>
              </w:rPr>
              <w:t>藥品及化粧品零售業</w:t>
            </w:r>
          </w:p>
        </w:tc>
        <w:tc>
          <w:tcPr>
            <w:tcW w:w="1559" w:type="dxa"/>
          </w:tcPr>
          <w:p w:rsidR="00E62664" w:rsidRPr="003B6B9A" w:rsidRDefault="00E62664" w:rsidP="001040FB">
            <w:pPr>
              <w:ind w:rightChars="165" w:right="396"/>
              <w:jc w:val="right"/>
              <w:rPr>
                <w:rFonts w:eastAsia="標楷體"/>
              </w:rPr>
            </w:pPr>
            <w:r w:rsidRPr="003B6B9A">
              <w:rPr>
                <w:rFonts w:eastAsia="標楷體" w:hint="eastAsia"/>
              </w:rPr>
              <w:t>153</w:t>
            </w:r>
          </w:p>
        </w:tc>
        <w:tc>
          <w:tcPr>
            <w:tcW w:w="1559" w:type="dxa"/>
            <w:tcBorders>
              <w:left w:val="nil"/>
              <w:right w:val="double" w:sz="4" w:space="0" w:color="auto"/>
            </w:tcBorders>
          </w:tcPr>
          <w:p w:rsidR="00E62664" w:rsidRPr="003B6B9A" w:rsidRDefault="00E62664" w:rsidP="001040FB">
            <w:pPr>
              <w:ind w:rightChars="283" w:right="679"/>
              <w:jc w:val="right"/>
              <w:rPr>
                <w:rFonts w:eastAsia="標楷體"/>
              </w:rPr>
            </w:pPr>
            <w:r w:rsidRPr="003B6B9A">
              <w:rPr>
                <w:rFonts w:eastAsia="標楷體" w:hint="eastAsia"/>
              </w:rPr>
              <w:t>4.8</w:t>
            </w:r>
          </w:p>
        </w:tc>
        <w:tc>
          <w:tcPr>
            <w:tcW w:w="1559" w:type="dxa"/>
            <w:tcBorders>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590</w:t>
            </w:r>
          </w:p>
        </w:tc>
        <w:tc>
          <w:tcPr>
            <w:tcW w:w="1560" w:type="dxa"/>
          </w:tcPr>
          <w:p w:rsidR="00E62664" w:rsidRPr="003B6B9A" w:rsidRDefault="00E62664" w:rsidP="001040FB">
            <w:pPr>
              <w:ind w:rightChars="283" w:right="679"/>
              <w:jc w:val="right"/>
              <w:rPr>
                <w:rFonts w:eastAsia="標楷體"/>
              </w:rPr>
            </w:pPr>
            <w:r w:rsidRPr="003B6B9A">
              <w:rPr>
                <w:rFonts w:eastAsia="標楷體" w:hint="eastAsia"/>
              </w:rPr>
              <w:t>3.7</w:t>
            </w:r>
          </w:p>
        </w:tc>
      </w:tr>
      <w:tr w:rsidR="00E62664" w:rsidRPr="003B6B9A" w:rsidTr="001040FB">
        <w:trPr>
          <w:trHeight w:val="80"/>
        </w:trPr>
        <w:tc>
          <w:tcPr>
            <w:tcW w:w="2722" w:type="dxa"/>
            <w:tcBorders>
              <w:bottom w:val="single" w:sz="4" w:space="0" w:color="auto"/>
              <w:right w:val="single" w:sz="4" w:space="0" w:color="auto"/>
            </w:tcBorders>
            <w:vAlign w:val="bottom"/>
          </w:tcPr>
          <w:p w:rsidR="00E62664" w:rsidRPr="003B6B9A" w:rsidRDefault="00E62664" w:rsidP="001040FB">
            <w:pPr>
              <w:ind w:leftChars="100" w:left="240"/>
              <w:rPr>
                <w:rFonts w:eastAsia="標楷體"/>
              </w:rPr>
            </w:pPr>
            <w:r w:rsidRPr="003B6B9A">
              <w:rPr>
                <w:rFonts w:eastAsia="標楷體" w:hint="eastAsia"/>
              </w:rPr>
              <w:t>其他零售業</w:t>
            </w:r>
          </w:p>
        </w:tc>
        <w:tc>
          <w:tcPr>
            <w:tcW w:w="1559" w:type="dxa"/>
            <w:tcBorders>
              <w:bottom w:val="sing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644</w:t>
            </w:r>
          </w:p>
        </w:tc>
        <w:tc>
          <w:tcPr>
            <w:tcW w:w="1559" w:type="dxa"/>
            <w:tcBorders>
              <w:left w:val="nil"/>
              <w:bottom w:val="single" w:sz="4" w:space="0" w:color="auto"/>
              <w:right w:val="double" w:sz="4" w:space="0" w:color="auto"/>
            </w:tcBorders>
          </w:tcPr>
          <w:p w:rsidR="00E62664" w:rsidRPr="003B6B9A" w:rsidRDefault="00E62664" w:rsidP="001040FB">
            <w:pPr>
              <w:ind w:rightChars="283" w:right="679"/>
              <w:jc w:val="right"/>
              <w:rPr>
                <w:rFonts w:eastAsia="標楷體"/>
              </w:rPr>
            </w:pPr>
            <w:r w:rsidRPr="003B6B9A">
              <w:rPr>
                <w:rFonts w:eastAsia="標楷體" w:hint="eastAsia"/>
              </w:rPr>
              <w:t>-0.2</w:t>
            </w:r>
          </w:p>
        </w:tc>
        <w:tc>
          <w:tcPr>
            <w:tcW w:w="1559" w:type="dxa"/>
            <w:tcBorders>
              <w:left w:val="double" w:sz="4" w:space="0" w:color="auto"/>
              <w:bottom w:val="sing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2,661</w:t>
            </w:r>
          </w:p>
        </w:tc>
        <w:tc>
          <w:tcPr>
            <w:tcW w:w="1560" w:type="dxa"/>
            <w:tcBorders>
              <w:bottom w:val="single" w:sz="4" w:space="0" w:color="auto"/>
            </w:tcBorders>
          </w:tcPr>
          <w:p w:rsidR="00E62664" w:rsidRPr="003B6B9A" w:rsidRDefault="00E62664" w:rsidP="001040FB">
            <w:pPr>
              <w:ind w:rightChars="283" w:right="679"/>
              <w:jc w:val="right"/>
              <w:rPr>
                <w:rFonts w:eastAsia="標楷體"/>
              </w:rPr>
            </w:pPr>
            <w:r w:rsidRPr="003B6B9A">
              <w:rPr>
                <w:rFonts w:eastAsia="標楷體" w:hint="eastAsia"/>
              </w:rPr>
              <w:t>1.7</w:t>
            </w:r>
          </w:p>
        </w:tc>
      </w:tr>
    </w:tbl>
    <w:p w:rsidR="00E62664" w:rsidRPr="003B6B9A" w:rsidRDefault="00E62664" w:rsidP="00E62664">
      <w:pPr>
        <w:snapToGrid w:val="0"/>
        <w:spacing w:line="320" w:lineRule="exact"/>
        <w:ind w:right="-142"/>
        <w:jc w:val="both"/>
        <w:rPr>
          <w:rFonts w:eastAsia="標楷體"/>
          <w:bCs/>
          <w:sz w:val="22"/>
          <w:szCs w:val="22"/>
        </w:rPr>
      </w:pPr>
      <w:r w:rsidRPr="003B6B9A">
        <w:rPr>
          <w:rFonts w:eastAsia="標楷體"/>
          <w:bCs/>
          <w:sz w:val="22"/>
          <w:szCs w:val="22"/>
        </w:rPr>
        <w:t>註：</w:t>
      </w:r>
      <w:r w:rsidRPr="003B6B9A">
        <w:rPr>
          <w:rFonts w:eastAsia="標楷體" w:hint="eastAsia"/>
          <w:bCs/>
          <w:sz w:val="22"/>
          <w:szCs w:val="22"/>
        </w:rPr>
        <w:t>其他零售業包含家庭器具及用品零售業、藥品及化粧品零售業等</w:t>
      </w:r>
      <w:r w:rsidRPr="003B6B9A">
        <w:rPr>
          <w:rFonts w:eastAsia="標楷體" w:hint="eastAsia"/>
          <w:bCs/>
          <w:sz w:val="22"/>
          <w:szCs w:val="22"/>
        </w:rPr>
        <w:t>6</w:t>
      </w:r>
      <w:r w:rsidRPr="003B6B9A">
        <w:rPr>
          <w:rFonts w:eastAsia="標楷體" w:hint="eastAsia"/>
          <w:bCs/>
          <w:sz w:val="22"/>
          <w:szCs w:val="22"/>
        </w:rPr>
        <w:t>項中業別</w:t>
      </w:r>
      <w:r w:rsidRPr="003B6B9A">
        <w:rPr>
          <w:rFonts w:eastAsia="標楷體"/>
          <w:bCs/>
          <w:sz w:val="22"/>
          <w:szCs w:val="22"/>
        </w:rPr>
        <w:t>。</w:t>
      </w:r>
    </w:p>
    <w:p w:rsidR="003F3F99" w:rsidRPr="00B118E9" w:rsidRDefault="00E62664" w:rsidP="00E62664">
      <w:pPr>
        <w:snapToGrid w:val="0"/>
        <w:spacing w:line="320" w:lineRule="exact"/>
        <w:ind w:right="-142"/>
        <w:jc w:val="both"/>
        <w:rPr>
          <w:rFonts w:eastAsia="標楷體"/>
        </w:rPr>
      </w:pPr>
      <w:r w:rsidRPr="003B6B9A">
        <w:rPr>
          <w:rFonts w:eastAsia="標楷體"/>
          <w:sz w:val="22"/>
          <w:szCs w:val="22"/>
        </w:rPr>
        <w:t>資料來源：經濟部統計處。</w:t>
      </w:r>
    </w:p>
    <w:p w:rsidR="003F3F99" w:rsidRPr="00B118E9" w:rsidRDefault="00E62664" w:rsidP="003F3F99">
      <w:pPr>
        <w:widowControl/>
        <w:topLinePunct/>
        <w:snapToGrid w:val="0"/>
        <w:spacing w:beforeLines="100" w:before="360" w:line="300" w:lineRule="auto"/>
        <w:ind w:rightChars="-59" w:right="-142" w:firstLineChars="175" w:firstLine="490"/>
        <w:jc w:val="both"/>
        <w:rPr>
          <w:rFonts w:eastAsia="標楷體"/>
          <w:color w:val="FF0000"/>
          <w:kern w:val="0"/>
          <w:sz w:val="28"/>
          <w:szCs w:val="20"/>
        </w:rPr>
      </w:pPr>
      <w:r w:rsidRPr="003B6B9A">
        <w:rPr>
          <w:rFonts w:eastAsia="標楷體"/>
          <w:kern w:val="0"/>
          <w:sz w:val="28"/>
          <w:szCs w:val="20"/>
        </w:rPr>
        <w:t>104</w:t>
      </w:r>
      <w:r w:rsidRPr="003B6B9A">
        <w:rPr>
          <w:rFonts w:eastAsia="標楷體"/>
          <w:kern w:val="0"/>
          <w:sz w:val="28"/>
          <w:szCs w:val="20"/>
        </w:rPr>
        <w:t>年</w:t>
      </w:r>
      <w:r w:rsidRPr="003B6B9A">
        <w:rPr>
          <w:rFonts w:eastAsia="標楷體" w:hint="eastAsia"/>
          <w:kern w:val="0"/>
          <w:sz w:val="28"/>
          <w:szCs w:val="20"/>
        </w:rPr>
        <w:t>4</w:t>
      </w:r>
      <w:r w:rsidRPr="003B6B9A">
        <w:rPr>
          <w:rFonts w:eastAsia="標楷體"/>
          <w:kern w:val="0"/>
          <w:sz w:val="28"/>
          <w:szCs w:val="20"/>
        </w:rPr>
        <w:t>月綜合商品零售業營業額</w:t>
      </w:r>
      <w:r w:rsidRPr="003B6B9A">
        <w:rPr>
          <w:rFonts w:eastAsia="標楷體" w:hint="eastAsia"/>
          <w:kern w:val="0"/>
          <w:sz w:val="28"/>
          <w:szCs w:val="20"/>
        </w:rPr>
        <w:t>909</w:t>
      </w:r>
      <w:r w:rsidRPr="003B6B9A">
        <w:rPr>
          <w:rFonts w:eastAsia="標楷體"/>
          <w:kern w:val="0"/>
          <w:sz w:val="28"/>
          <w:szCs w:val="20"/>
        </w:rPr>
        <w:t>億元，較上年同月增加</w:t>
      </w:r>
      <w:r w:rsidRPr="003B6B9A">
        <w:rPr>
          <w:rFonts w:eastAsia="標楷體"/>
          <w:kern w:val="0"/>
          <w:sz w:val="28"/>
          <w:szCs w:val="20"/>
        </w:rPr>
        <w:t>4</w:t>
      </w:r>
      <w:r w:rsidRPr="003B6B9A">
        <w:rPr>
          <w:rFonts w:eastAsia="標楷體" w:hint="eastAsia"/>
          <w:kern w:val="0"/>
          <w:sz w:val="28"/>
          <w:szCs w:val="20"/>
        </w:rPr>
        <w:t>.5</w:t>
      </w:r>
      <w:r w:rsidRPr="003B6B9A">
        <w:rPr>
          <w:rFonts w:eastAsia="標楷體"/>
          <w:kern w:val="0"/>
          <w:sz w:val="28"/>
          <w:szCs w:val="20"/>
        </w:rPr>
        <w:t>%</w:t>
      </w:r>
      <w:r w:rsidRPr="003B6B9A">
        <w:rPr>
          <w:rFonts w:eastAsia="標楷體"/>
          <w:kern w:val="0"/>
          <w:sz w:val="28"/>
          <w:szCs w:val="20"/>
        </w:rPr>
        <w:t>，其中</w:t>
      </w:r>
      <w:r w:rsidRPr="003B6B9A">
        <w:rPr>
          <w:rFonts w:eastAsia="標楷體" w:hint="eastAsia"/>
          <w:kern w:val="0"/>
          <w:sz w:val="28"/>
          <w:szCs w:val="20"/>
        </w:rPr>
        <w:t>百貨公司因清明節連假、母親節檔期提前促銷、引進精品與品牌進駐，年增</w:t>
      </w:r>
      <w:r w:rsidRPr="003B6B9A">
        <w:rPr>
          <w:rFonts w:eastAsia="標楷體" w:hint="eastAsia"/>
          <w:kern w:val="0"/>
          <w:sz w:val="28"/>
          <w:szCs w:val="20"/>
        </w:rPr>
        <w:t>6.7%</w:t>
      </w:r>
      <w:r w:rsidRPr="003B6B9A">
        <w:rPr>
          <w:rFonts w:eastAsia="標楷體" w:hint="eastAsia"/>
          <w:kern w:val="0"/>
          <w:sz w:val="28"/>
          <w:szCs w:val="20"/>
        </w:rPr>
        <w:t>；超級市場因展店效應及擴增生鮮蔬果銷售，帶動營收成長</w:t>
      </w:r>
      <w:r w:rsidRPr="003B6B9A">
        <w:rPr>
          <w:rFonts w:eastAsia="標楷體" w:hint="eastAsia"/>
          <w:kern w:val="0"/>
          <w:sz w:val="28"/>
          <w:szCs w:val="20"/>
        </w:rPr>
        <w:t>8.5%</w:t>
      </w:r>
      <w:r w:rsidRPr="003B6B9A">
        <w:rPr>
          <w:rFonts w:eastAsia="標楷體" w:hint="eastAsia"/>
          <w:kern w:val="0"/>
          <w:sz w:val="28"/>
          <w:szCs w:val="20"/>
        </w:rPr>
        <w:t>；量販店優惠促銷節能及省水家電，年增</w:t>
      </w:r>
      <w:r w:rsidRPr="003B6B9A">
        <w:rPr>
          <w:rFonts w:eastAsia="標楷體" w:hint="eastAsia"/>
          <w:kern w:val="0"/>
          <w:sz w:val="28"/>
          <w:szCs w:val="20"/>
        </w:rPr>
        <w:t>4.1%</w:t>
      </w:r>
      <w:r w:rsidRPr="003B6B9A">
        <w:rPr>
          <w:rFonts w:eastAsia="標楷體" w:hint="eastAsia"/>
          <w:kern w:val="0"/>
          <w:sz w:val="28"/>
          <w:szCs w:val="20"/>
        </w:rPr>
        <w:t>。累計</w:t>
      </w:r>
      <w:r w:rsidRPr="003B6B9A">
        <w:rPr>
          <w:rFonts w:eastAsia="標楷體" w:hint="eastAsia"/>
          <w:kern w:val="0"/>
          <w:sz w:val="28"/>
          <w:szCs w:val="20"/>
        </w:rPr>
        <w:t>1</w:t>
      </w:r>
      <w:r w:rsidRPr="003B6B9A">
        <w:rPr>
          <w:rFonts w:eastAsia="標楷體" w:hint="eastAsia"/>
          <w:kern w:val="0"/>
          <w:sz w:val="28"/>
          <w:szCs w:val="20"/>
        </w:rPr>
        <w:t>至</w:t>
      </w:r>
      <w:r w:rsidRPr="003B6B9A">
        <w:rPr>
          <w:rFonts w:eastAsia="標楷體" w:hint="eastAsia"/>
          <w:kern w:val="0"/>
          <w:sz w:val="28"/>
          <w:szCs w:val="20"/>
        </w:rPr>
        <w:t>4</w:t>
      </w:r>
      <w:r w:rsidRPr="003B6B9A">
        <w:rPr>
          <w:rFonts w:eastAsia="標楷體" w:hint="eastAsia"/>
          <w:kern w:val="0"/>
          <w:sz w:val="28"/>
          <w:szCs w:val="20"/>
        </w:rPr>
        <w:t>月綜合商品零售業營業額</w:t>
      </w:r>
      <w:r w:rsidRPr="003B6B9A">
        <w:rPr>
          <w:rFonts w:eastAsia="標楷體" w:hint="eastAsia"/>
          <w:kern w:val="0"/>
          <w:sz w:val="28"/>
          <w:szCs w:val="20"/>
        </w:rPr>
        <w:t>3,664</w:t>
      </w:r>
      <w:r w:rsidRPr="003B6B9A">
        <w:rPr>
          <w:rFonts w:eastAsia="標楷體" w:hint="eastAsia"/>
          <w:kern w:val="0"/>
          <w:sz w:val="28"/>
          <w:szCs w:val="20"/>
        </w:rPr>
        <w:t>億元，較上年同期增加</w:t>
      </w:r>
      <w:r w:rsidRPr="003B6B9A">
        <w:rPr>
          <w:rFonts w:eastAsia="標楷體" w:hint="eastAsia"/>
          <w:kern w:val="0"/>
          <w:sz w:val="28"/>
          <w:szCs w:val="20"/>
        </w:rPr>
        <w:t>4.7</w:t>
      </w:r>
      <w:r w:rsidRPr="003B6B9A">
        <w:rPr>
          <w:rFonts w:eastAsia="標楷體"/>
          <w:kern w:val="0"/>
          <w:sz w:val="28"/>
          <w:szCs w:val="20"/>
        </w:rPr>
        <w:t>%</w:t>
      </w:r>
      <w:r w:rsidRPr="003B6B9A">
        <w:rPr>
          <w:rFonts w:eastAsia="標楷體"/>
          <w:kern w:val="0"/>
          <w:sz w:val="28"/>
          <w:szCs w:val="20"/>
        </w:rPr>
        <w:t>。</w:t>
      </w:r>
    </w:p>
    <w:p w:rsidR="003F3F99" w:rsidRPr="00B118E9" w:rsidRDefault="003F3F99" w:rsidP="003F3F99">
      <w:pPr>
        <w:widowControl/>
        <w:rPr>
          <w:rFonts w:eastAsia="標楷體"/>
          <w:color w:val="FF0000"/>
          <w:kern w:val="0"/>
          <w:sz w:val="28"/>
          <w:szCs w:val="20"/>
        </w:rPr>
      </w:pPr>
      <w:r w:rsidRPr="00B118E9">
        <w:rPr>
          <w:rFonts w:eastAsia="標楷體"/>
          <w:color w:val="FF0000"/>
        </w:rPr>
        <w:br w:type="page"/>
      </w:r>
    </w:p>
    <w:p w:rsidR="003F3F99" w:rsidRPr="00B118E9" w:rsidRDefault="003F3F99" w:rsidP="003F3F99">
      <w:pPr>
        <w:spacing w:beforeLines="50" w:before="180" w:afterLines="50" w:after="180" w:line="380" w:lineRule="exact"/>
        <w:jc w:val="center"/>
        <w:textDirection w:val="lrTbV"/>
        <w:rPr>
          <w:rFonts w:eastAsia="標楷體"/>
          <w:b/>
          <w:sz w:val="28"/>
        </w:rPr>
      </w:pPr>
      <w:r w:rsidRPr="00B118E9">
        <w:rPr>
          <w:rFonts w:eastAsia="標楷體"/>
          <w:b/>
          <w:sz w:val="28"/>
        </w:rPr>
        <w:t xml:space="preserve">　表</w:t>
      </w:r>
      <w:r w:rsidRPr="00B118E9">
        <w:rPr>
          <w:rFonts w:eastAsia="標楷體"/>
          <w:b/>
          <w:sz w:val="28"/>
        </w:rPr>
        <w:t xml:space="preserve">2-3-4  </w:t>
      </w:r>
      <w:r w:rsidRPr="00B118E9">
        <w:rPr>
          <w:rFonts w:eastAsia="標楷體"/>
          <w:b/>
          <w:sz w:val="28"/>
        </w:rPr>
        <w:t>綜合商品零售業營業額變動概況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E62664" w:rsidRPr="003B6B9A" w:rsidTr="001040FB">
        <w:tc>
          <w:tcPr>
            <w:tcW w:w="2722" w:type="dxa"/>
            <w:vMerge w:val="restart"/>
            <w:tcBorders>
              <w:top w:val="single" w:sz="4" w:space="0" w:color="auto"/>
              <w:right w:val="single" w:sz="4" w:space="0" w:color="auto"/>
            </w:tcBorders>
            <w:vAlign w:val="center"/>
          </w:tcPr>
          <w:p w:rsidR="00E62664" w:rsidRPr="003B6B9A" w:rsidRDefault="00E62664" w:rsidP="001040FB">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E62664" w:rsidRPr="003B6B9A" w:rsidRDefault="00E62664" w:rsidP="001040FB">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4</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E62664" w:rsidRPr="003B6B9A" w:rsidRDefault="00E62664" w:rsidP="001040FB">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E62664" w:rsidRPr="003B6B9A" w:rsidRDefault="00E62664" w:rsidP="001040FB">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1~4</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E62664" w:rsidRPr="003B6B9A" w:rsidRDefault="00E62664" w:rsidP="001040FB">
            <w:pPr>
              <w:snapToGrid w:val="0"/>
              <w:spacing w:line="300" w:lineRule="exact"/>
              <w:ind w:left="28" w:right="-142"/>
              <w:jc w:val="center"/>
              <w:rPr>
                <w:rFonts w:eastAsia="標楷體"/>
              </w:rPr>
            </w:pPr>
          </w:p>
        </w:tc>
      </w:tr>
      <w:tr w:rsidR="00E62664" w:rsidRPr="003B6B9A" w:rsidTr="001040FB">
        <w:tc>
          <w:tcPr>
            <w:tcW w:w="2722" w:type="dxa"/>
            <w:vMerge/>
            <w:tcBorders>
              <w:bottom w:val="single" w:sz="4" w:space="0" w:color="auto"/>
              <w:right w:val="single" w:sz="4" w:space="0" w:color="auto"/>
            </w:tcBorders>
            <w:vAlign w:val="center"/>
          </w:tcPr>
          <w:p w:rsidR="00E62664" w:rsidRPr="003B6B9A" w:rsidRDefault="00E62664" w:rsidP="001040FB">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E62664" w:rsidRPr="003B6B9A" w:rsidRDefault="00E62664" w:rsidP="001040FB">
            <w:pPr>
              <w:snapToGrid w:val="0"/>
              <w:spacing w:line="300" w:lineRule="exact"/>
              <w:ind w:left="28"/>
              <w:jc w:val="center"/>
              <w:rPr>
                <w:rFonts w:eastAsia="標楷體"/>
              </w:rPr>
            </w:pPr>
            <w:r w:rsidRPr="003B6B9A">
              <w:rPr>
                <w:rFonts w:eastAsia="標楷體" w:hint="eastAsia"/>
              </w:rPr>
              <w:t>營業額</w:t>
            </w:r>
          </w:p>
          <w:p w:rsidR="00E62664" w:rsidRPr="003B6B9A" w:rsidRDefault="00E62664" w:rsidP="001040FB">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E62664" w:rsidRPr="003B6B9A" w:rsidRDefault="00E62664" w:rsidP="001040FB">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E62664" w:rsidRPr="003B6B9A" w:rsidRDefault="00E62664"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E62664" w:rsidRPr="003B6B9A" w:rsidRDefault="00E62664" w:rsidP="001040FB">
            <w:pPr>
              <w:snapToGrid w:val="0"/>
              <w:spacing w:line="300" w:lineRule="exact"/>
              <w:ind w:left="28"/>
              <w:jc w:val="center"/>
              <w:rPr>
                <w:rFonts w:eastAsia="標楷體"/>
              </w:rPr>
            </w:pPr>
            <w:r w:rsidRPr="003B6B9A">
              <w:rPr>
                <w:rFonts w:eastAsia="標楷體" w:hint="eastAsia"/>
              </w:rPr>
              <w:t>營業額</w:t>
            </w:r>
          </w:p>
          <w:p w:rsidR="00E62664" w:rsidRPr="003B6B9A" w:rsidRDefault="00E62664" w:rsidP="001040FB">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E62664" w:rsidRPr="003B6B9A" w:rsidRDefault="00E62664" w:rsidP="001040FB">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E62664" w:rsidRPr="003B6B9A" w:rsidRDefault="00E62664"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E62664" w:rsidRPr="003B6B9A" w:rsidTr="001040FB">
        <w:tc>
          <w:tcPr>
            <w:tcW w:w="2722" w:type="dxa"/>
            <w:tcBorders>
              <w:top w:val="single" w:sz="4" w:space="0" w:color="auto"/>
              <w:right w:val="single" w:sz="4" w:space="0" w:color="auto"/>
            </w:tcBorders>
          </w:tcPr>
          <w:p w:rsidR="00E62664" w:rsidRPr="003B6B9A" w:rsidRDefault="00E62664" w:rsidP="001040FB">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909</w:t>
            </w:r>
          </w:p>
        </w:tc>
        <w:tc>
          <w:tcPr>
            <w:tcW w:w="1559" w:type="dxa"/>
            <w:tcBorders>
              <w:top w:val="single" w:sz="4" w:space="0" w:color="auto"/>
              <w:left w:val="nil"/>
              <w:right w:val="double" w:sz="4" w:space="0" w:color="auto"/>
            </w:tcBorders>
          </w:tcPr>
          <w:p w:rsidR="00E62664" w:rsidRPr="003B6B9A" w:rsidRDefault="00E62664" w:rsidP="001040FB">
            <w:pPr>
              <w:ind w:rightChars="224" w:right="538"/>
              <w:jc w:val="right"/>
              <w:rPr>
                <w:rFonts w:eastAsia="標楷體"/>
              </w:rPr>
            </w:pPr>
            <w:r w:rsidRPr="003B6B9A">
              <w:rPr>
                <w:rFonts w:eastAsia="標楷體" w:hint="eastAsia"/>
              </w:rPr>
              <w:t>4.5</w:t>
            </w:r>
          </w:p>
        </w:tc>
        <w:tc>
          <w:tcPr>
            <w:tcW w:w="1559" w:type="dxa"/>
            <w:tcBorders>
              <w:top w:val="single" w:sz="4" w:space="0" w:color="auto"/>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3,664</w:t>
            </w:r>
          </w:p>
        </w:tc>
        <w:tc>
          <w:tcPr>
            <w:tcW w:w="1560" w:type="dxa"/>
            <w:tcBorders>
              <w:top w:val="single" w:sz="4" w:space="0" w:color="auto"/>
            </w:tcBorders>
          </w:tcPr>
          <w:p w:rsidR="00E62664" w:rsidRPr="003B6B9A" w:rsidRDefault="00E62664" w:rsidP="001040FB">
            <w:pPr>
              <w:ind w:rightChars="283" w:right="679"/>
              <w:jc w:val="right"/>
              <w:rPr>
                <w:rFonts w:eastAsia="標楷體"/>
              </w:rPr>
            </w:pPr>
            <w:r w:rsidRPr="003B6B9A">
              <w:rPr>
                <w:rFonts w:eastAsia="標楷體" w:hint="eastAsia"/>
              </w:rPr>
              <w:t>4.7</w:t>
            </w:r>
          </w:p>
        </w:tc>
      </w:tr>
      <w:tr w:rsidR="00E62664" w:rsidRPr="003B6B9A" w:rsidTr="001040FB">
        <w:tc>
          <w:tcPr>
            <w:tcW w:w="2722" w:type="dxa"/>
            <w:tcBorders>
              <w:right w:val="single" w:sz="4" w:space="0" w:color="auto"/>
            </w:tcBorders>
          </w:tcPr>
          <w:p w:rsidR="00E62664" w:rsidRPr="003B6B9A" w:rsidRDefault="00E62664" w:rsidP="001040FB">
            <w:pPr>
              <w:adjustRightInd w:val="0"/>
              <w:snapToGrid w:val="0"/>
              <w:ind w:firstLineChars="100" w:firstLine="240"/>
              <w:rPr>
                <w:rFonts w:eastAsia="標楷體"/>
                <w:szCs w:val="22"/>
              </w:rPr>
            </w:pPr>
            <w:r w:rsidRPr="003B6B9A">
              <w:rPr>
                <w:rFonts w:eastAsia="標楷體"/>
                <w:szCs w:val="22"/>
              </w:rPr>
              <w:t>百貨公司</w:t>
            </w:r>
          </w:p>
        </w:tc>
        <w:tc>
          <w:tcPr>
            <w:tcW w:w="1559" w:type="dxa"/>
          </w:tcPr>
          <w:p w:rsidR="00E62664" w:rsidRPr="003B6B9A" w:rsidRDefault="00E62664" w:rsidP="001040FB">
            <w:pPr>
              <w:ind w:rightChars="165" w:right="396"/>
              <w:jc w:val="right"/>
              <w:rPr>
                <w:rFonts w:eastAsia="標楷體"/>
              </w:rPr>
            </w:pPr>
            <w:r w:rsidRPr="003B6B9A">
              <w:rPr>
                <w:rFonts w:eastAsia="標楷體" w:hint="eastAsia"/>
              </w:rPr>
              <w:t>262</w:t>
            </w:r>
          </w:p>
        </w:tc>
        <w:tc>
          <w:tcPr>
            <w:tcW w:w="1559" w:type="dxa"/>
            <w:tcBorders>
              <w:left w:val="nil"/>
              <w:right w:val="double" w:sz="4" w:space="0" w:color="auto"/>
            </w:tcBorders>
          </w:tcPr>
          <w:p w:rsidR="00E62664" w:rsidRPr="003B6B9A" w:rsidRDefault="00E62664" w:rsidP="001040FB">
            <w:pPr>
              <w:ind w:rightChars="224" w:right="538"/>
              <w:jc w:val="right"/>
              <w:rPr>
                <w:rFonts w:eastAsia="標楷體"/>
              </w:rPr>
            </w:pPr>
            <w:r w:rsidRPr="003B6B9A">
              <w:rPr>
                <w:rFonts w:eastAsia="標楷體" w:hint="eastAsia"/>
              </w:rPr>
              <w:t>6.7</w:t>
            </w:r>
          </w:p>
        </w:tc>
        <w:tc>
          <w:tcPr>
            <w:tcW w:w="1559" w:type="dxa"/>
            <w:tcBorders>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988</w:t>
            </w:r>
          </w:p>
        </w:tc>
        <w:tc>
          <w:tcPr>
            <w:tcW w:w="1560" w:type="dxa"/>
          </w:tcPr>
          <w:p w:rsidR="00E62664" w:rsidRPr="003B6B9A" w:rsidRDefault="00E62664" w:rsidP="001040FB">
            <w:pPr>
              <w:ind w:rightChars="283" w:right="679"/>
              <w:jc w:val="right"/>
              <w:rPr>
                <w:rFonts w:eastAsia="標楷體"/>
              </w:rPr>
            </w:pPr>
            <w:r w:rsidRPr="003B6B9A">
              <w:rPr>
                <w:rFonts w:eastAsia="標楷體" w:hint="eastAsia"/>
              </w:rPr>
              <w:t>6.6</w:t>
            </w:r>
          </w:p>
        </w:tc>
      </w:tr>
      <w:tr w:rsidR="00E62664" w:rsidRPr="003B6B9A" w:rsidTr="001040FB">
        <w:trPr>
          <w:trHeight w:val="80"/>
        </w:trPr>
        <w:tc>
          <w:tcPr>
            <w:tcW w:w="2722" w:type="dxa"/>
            <w:tcBorders>
              <w:right w:val="single" w:sz="4" w:space="0" w:color="auto"/>
            </w:tcBorders>
          </w:tcPr>
          <w:p w:rsidR="00E62664" w:rsidRPr="003B6B9A" w:rsidRDefault="00E62664" w:rsidP="001040FB">
            <w:pPr>
              <w:adjustRightInd w:val="0"/>
              <w:snapToGrid w:val="0"/>
              <w:ind w:firstLineChars="100" w:firstLine="240"/>
              <w:rPr>
                <w:rFonts w:eastAsia="標楷體"/>
                <w:szCs w:val="22"/>
              </w:rPr>
            </w:pPr>
            <w:r w:rsidRPr="003B6B9A">
              <w:rPr>
                <w:rFonts w:eastAsia="標楷體"/>
                <w:szCs w:val="22"/>
              </w:rPr>
              <w:t>超級市場</w:t>
            </w:r>
          </w:p>
        </w:tc>
        <w:tc>
          <w:tcPr>
            <w:tcW w:w="1559" w:type="dxa"/>
          </w:tcPr>
          <w:p w:rsidR="00E62664" w:rsidRPr="003B6B9A" w:rsidRDefault="00E62664" w:rsidP="001040FB">
            <w:pPr>
              <w:ind w:rightChars="165" w:right="396"/>
              <w:jc w:val="right"/>
              <w:rPr>
                <w:rFonts w:eastAsia="標楷體"/>
              </w:rPr>
            </w:pPr>
            <w:r w:rsidRPr="003B6B9A">
              <w:rPr>
                <w:rFonts w:eastAsia="標楷體" w:hint="eastAsia"/>
              </w:rPr>
              <w:t>136</w:t>
            </w:r>
          </w:p>
        </w:tc>
        <w:tc>
          <w:tcPr>
            <w:tcW w:w="1559" w:type="dxa"/>
            <w:tcBorders>
              <w:left w:val="nil"/>
              <w:right w:val="double" w:sz="4" w:space="0" w:color="auto"/>
            </w:tcBorders>
          </w:tcPr>
          <w:p w:rsidR="00E62664" w:rsidRPr="003B6B9A" w:rsidRDefault="00E62664" w:rsidP="001040FB">
            <w:pPr>
              <w:ind w:rightChars="224" w:right="538"/>
              <w:jc w:val="right"/>
              <w:rPr>
                <w:rFonts w:eastAsia="標楷體"/>
              </w:rPr>
            </w:pPr>
            <w:r w:rsidRPr="003B6B9A">
              <w:rPr>
                <w:rFonts w:eastAsia="標楷體" w:hint="eastAsia"/>
              </w:rPr>
              <w:t>8.5</w:t>
            </w:r>
          </w:p>
        </w:tc>
        <w:tc>
          <w:tcPr>
            <w:tcW w:w="1559" w:type="dxa"/>
            <w:tcBorders>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557</w:t>
            </w:r>
          </w:p>
        </w:tc>
        <w:tc>
          <w:tcPr>
            <w:tcW w:w="1560" w:type="dxa"/>
          </w:tcPr>
          <w:p w:rsidR="00E62664" w:rsidRPr="003B6B9A" w:rsidRDefault="00E62664" w:rsidP="001040FB">
            <w:pPr>
              <w:ind w:rightChars="283" w:right="679"/>
              <w:jc w:val="right"/>
              <w:rPr>
                <w:rFonts w:eastAsia="標楷體"/>
              </w:rPr>
            </w:pPr>
            <w:r w:rsidRPr="003B6B9A">
              <w:rPr>
                <w:rFonts w:eastAsia="標楷體" w:hint="eastAsia"/>
              </w:rPr>
              <w:t>7.5</w:t>
            </w:r>
          </w:p>
        </w:tc>
      </w:tr>
      <w:tr w:rsidR="00E62664" w:rsidRPr="003B6B9A" w:rsidTr="001040FB">
        <w:trPr>
          <w:trHeight w:val="80"/>
        </w:trPr>
        <w:tc>
          <w:tcPr>
            <w:tcW w:w="2722" w:type="dxa"/>
            <w:tcBorders>
              <w:right w:val="single" w:sz="4" w:space="0" w:color="auto"/>
            </w:tcBorders>
          </w:tcPr>
          <w:p w:rsidR="00E62664" w:rsidRPr="003B6B9A" w:rsidRDefault="00E62664" w:rsidP="001040FB">
            <w:pPr>
              <w:adjustRightInd w:val="0"/>
              <w:snapToGrid w:val="0"/>
              <w:ind w:firstLineChars="100" w:firstLine="240"/>
              <w:rPr>
                <w:rFonts w:eastAsia="標楷體"/>
                <w:szCs w:val="22"/>
              </w:rPr>
            </w:pPr>
            <w:r w:rsidRPr="003B6B9A">
              <w:rPr>
                <w:rFonts w:eastAsia="標楷體"/>
                <w:szCs w:val="22"/>
              </w:rPr>
              <w:t>便利商店</w:t>
            </w:r>
          </w:p>
        </w:tc>
        <w:tc>
          <w:tcPr>
            <w:tcW w:w="1559" w:type="dxa"/>
          </w:tcPr>
          <w:p w:rsidR="00E62664" w:rsidRPr="003B6B9A" w:rsidRDefault="00E62664" w:rsidP="001040FB">
            <w:pPr>
              <w:ind w:rightChars="165" w:right="396"/>
              <w:jc w:val="right"/>
              <w:rPr>
                <w:rFonts w:eastAsia="標楷體"/>
              </w:rPr>
            </w:pPr>
            <w:r w:rsidRPr="003B6B9A">
              <w:rPr>
                <w:rFonts w:eastAsia="標楷體" w:hint="eastAsia"/>
              </w:rPr>
              <w:t>244</w:t>
            </w:r>
          </w:p>
        </w:tc>
        <w:tc>
          <w:tcPr>
            <w:tcW w:w="1559" w:type="dxa"/>
            <w:tcBorders>
              <w:left w:val="nil"/>
              <w:right w:val="double" w:sz="4" w:space="0" w:color="auto"/>
            </w:tcBorders>
          </w:tcPr>
          <w:p w:rsidR="00E62664" w:rsidRPr="003B6B9A" w:rsidRDefault="00E62664" w:rsidP="001040FB">
            <w:pPr>
              <w:ind w:rightChars="224" w:right="538"/>
              <w:jc w:val="right"/>
              <w:rPr>
                <w:rFonts w:eastAsia="標楷體"/>
              </w:rPr>
            </w:pPr>
            <w:r w:rsidRPr="003B6B9A">
              <w:rPr>
                <w:rFonts w:eastAsia="標楷體" w:hint="eastAsia"/>
              </w:rPr>
              <w:t>2.2</w:t>
            </w:r>
          </w:p>
        </w:tc>
        <w:tc>
          <w:tcPr>
            <w:tcW w:w="1559" w:type="dxa"/>
            <w:tcBorders>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933</w:t>
            </w:r>
          </w:p>
        </w:tc>
        <w:tc>
          <w:tcPr>
            <w:tcW w:w="1560" w:type="dxa"/>
          </w:tcPr>
          <w:p w:rsidR="00E62664" w:rsidRPr="003B6B9A" w:rsidRDefault="00E62664" w:rsidP="001040FB">
            <w:pPr>
              <w:ind w:rightChars="283" w:right="679"/>
              <w:jc w:val="right"/>
              <w:rPr>
                <w:rFonts w:eastAsia="標楷體"/>
              </w:rPr>
            </w:pPr>
            <w:r w:rsidRPr="003B6B9A">
              <w:rPr>
                <w:rFonts w:eastAsia="標楷體" w:hint="eastAsia"/>
              </w:rPr>
              <w:t>0.7</w:t>
            </w:r>
          </w:p>
        </w:tc>
      </w:tr>
      <w:tr w:rsidR="00E62664" w:rsidRPr="003B6B9A" w:rsidTr="001040FB">
        <w:trPr>
          <w:trHeight w:val="80"/>
        </w:trPr>
        <w:tc>
          <w:tcPr>
            <w:tcW w:w="2722" w:type="dxa"/>
            <w:tcBorders>
              <w:right w:val="single" w:sz="4" w:space="0" w:color="auto"/>
            </w:tcBorders>
          </w:tcPr>
          <w:p w:rsidR="00E62664" w:rsidRPr="003B6B9A" w:rsidRDefault="00E62664" w:rsidP="001040FB">
            <w:pPr>
              <w:adjustRightInd w:val="0"/>
              <w:snapToGrid w:val="0"/>
              <w:ind w:firstLineChars="100" w:firstLine="240"/>
              <w:rPr>
                <w:rFonts w:eastAsia="標楷體"/>
                <w:szCs w:val="22"/>
              </w:rPr>
            </w:pPr>
            <w:r w:rsidRPr="003B6B9A">
              <w:rPr>
                <w:rFonts w:eastAsia="標楷體"/>
                <w:szCs w:val="22"/>
              </w:rPr>
              <w:t>量販店</w:t>
            </w:r>
          </w:p>
        </w:tc>
        <w:tc>
          <w:tcPr>
            <w:tcW w:w="1559" w:type="dxa"/>
          </w:tcPr>
          <w:p w:rsidR="00E62664" w:rsidRPr="003B6B9A" w:rsidRDefault="00E62664" w:rsidP="001040FB">
            <w:pPr>
              <w:ind w:rightChars="165" w:right="396"/>
              <w:jc w:val="right"/>
              <w:rPr>
                <w:rFonts w:eastAsia="標楷體"/>
              </w:rPr>
            </w:pPr>
            <w:r w:rsidRPr="003B6B9A">
              <w:rPr>
                <w:rFonts w:eastAsia="標楷體" w:hint="eastAsia"/>
              </w:rPr>
              <w:t>130</w:t>
            </w:r>
          </w:p>
        </w:tc>
        <w:tc>
          <w:tcPr>
            <w:tcW w:w="1559" w:type="dxa"/>
            <w:tcBorders>
              <w:left w:val="nil"/>
              <w:right w:val="double" w:sz="4" w:space="0" w:color="auto"/>
            </w:tcBorders>
          </w:tcPr>
          <w:p w:rsidR="00E62664" w:rsidRPr="003B6B9A" w:rsidRDefault="00E62664" w:rsidP="001040FB">
            <w:pPr>
              <w:ind w:rightChars="224" w:right="538"/>
              <w:jc w:val="right"/>
              <w:rPr>
                <w:rFonts w:eastAsia="標楷體"/>
              </w:rPr>
            </w:pPr>
            <w:r w:rsidRPr="003B6B9A">
              <w:rPr>
                <w:rFonts w:eastAsia="標楷體" w:hint="eastAsia"/>
              </w:rPr>
              <w:t>4.1</w:t>
            </w:r>
          </w:p>
        </w:tc>
        <w:tc>
          <w:tcPr>
            <w:tcW w:w="1559" w:type="dxa"/>
            <w:tcBorders>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611</w:t>
            </w:r>
          </w:p>
        </w:tc>
        <w:tc>
          <w:tcPr>
            <w:tcW w:w="1560" w:type="dxa"/>
          </w:tcPr>
          <w:p w:rsidR="00E62664" w:rsidRPr="003B6B9A" w:rsidRDefault="00E62664" w:rsidP="001040FB">
            <w:pPr>
              <w:ind w:rightChars="283" w:right="679"/>
              <w:jc w:val="right"/>
              <w:rPr>
                <w:rFonts w:eastAsia="標楷體"/>
              </w:rPr>
            </w:pPr>
            <w:r w:rsidRPr="003B6B9A">
              <w:rPr>
                <w:rFonts w:eastAsia="標楷體" w:hint="eastAsia"/>
              </w:rPr>
              <w:t>5.3</w:t>
            </w:r>
          </w:p>
        </w:tc>
      </w:tr>
      <w:tr w:rsidR="00E62664" w:rsidRPr="003B6B9A" w:rsidTr="001040FB">
        <w:trPr>
          <w:trHeight w:val="80"/>
        </w:trPr>
        <w:tc>
          <w:tcPr>
            <w:tcW w:w="2722" w:type="dxa"/>
            <w:tcBorders>
              <w:bottom w:val="single" w:sz="4" w:space="0" w:color="auto"/>
              <w:right w:val="single" w:sz="4" w:space="0" w:color="auto"/>
            </w:tcBorders>
          </w:tcPr>
          <w:p w:rsidR="00E62664" w:rsidRPr="003B6B9A" w:rsidRDefault="00E62664" w:rsidP="001040FB">
            <w:pPr>
              <w:adjustRightInd w:val="0"/>
              <w:snapToGrid w:val="0"/>
              <w:ind w:firstLineChars="100" w:firstLine="240"/>
              <w:rPr>
                <w:rFonts w:eastAsia="標楷體"/>
                <w:szCs w:val="22"/>
              </w:rPr>
            </w:pPr>
            <w:r w:rsidRPr="003B6B9A">
              <w:rPr>
                <w:rFonts w:eastAsia="標楷體"/>
                <w:szCs w:val="22"/>
              </w:rPr>
              <w:t>其他</w:t>
            </w:r>
            <w:r w:rsidRPr="003B6B9A">
              <w:rPr>
                <w:rFonts w:eastAsia="標楷體" w:hint="eastAsia"/>
                <w:szCs w:val="22"/>
              </w:rPr>
              <w:t>(</w:t>
            </w:r>
            <w:r w:rsidRPr="003B6B9A">
              <w:rPr>
                <w:rFonts w:eastAsia="標楷體" w:hint="eastAsia"/>
                <w:szCs w:val="22"/>
              </w:rPr>
              <w:t>註</w:t>
            </w:r>
            <w:r w:rsidRPr="003B6B9A">
              <w:rPr>
                <w:rFonts w:eastAsia="標楷體" w:hint="eastAsia"/>
                <w:szCs w:val="22"/>
              </w:rPr>
              <w:t>)</w:t>
            </w:r>
          </w:p>
        </w:tc>
        <w:tc>
          <w:tcPr>
            <w:tcW w:w="1559" w:type="dxa"/>
            <w:tcBorders>
              <w:bottom w:val="sing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138</w:t>
            </w:r>
          </w:p>
        </w:tc>
        <w:tc>
          <w:tcPr>
            <w:tcW w:w="1559" w:type="dxa"/>
            <w:tcBorders>
              <w:left w:val="nil"/>
              <w:bottom w:val="single" w:sz="4" w:space="0" w:color="auto"/>
              <w:right w:val="double" w:sz="4" w:space="0" w:color="auto"/>
            </w:tcBorders>
          </w:tcPr>
          <w:p w:rsidR="00E62664" w:rsidRPr="003B6B9A" w:rsidRDefault="00E62664" w:rsidP="001040FB">
            <w:pPr>
              <w:ind w:rightChars="224" w:right="538"/>
              <w:jc w:val="right"/>
              <w:rPr>
                <w:rFonts w:eastAsia="標楷體"/>
              </w:rPr>
            </w:pPr>
            <w:r w:rsidRPr="003B6B9A">
              <w:rPr>
                <w:rFonts w:eastAsia="標楷體" w:hint="eastAsia"/>
              </w:rPr>
              <w:t>1.2</w:t>
            </w:r>
          </w:p>
        </w:tc>
        <w:tc>
          <w:tcPr>
            <w:tcW w:w="1559" w:type="dxa"/>
            <w:tcBorders>
              <w:left w:val="double" w:sz="4" w:space="0" w:color="auto"/>
              <w:bottom w:val="sing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575</w:t>
            </w:r>
          </w:p>
        </w:tc>
        <w:tc>
          <w:tcPr>
            <w:tcW w:w="1560" w:type="dxa"/>
            <w:tcBorders>
              <w:bottom w:val="single" w:sz="4" w:space="0" w:color="auto"/>
            </w:tcBorders>
          </w:tcPr>
          <w:p w:rsidR="00E62664" w:rsidRPr="003B6B9A" w:rsidRDefault="00E62664" w:rsidP="001040FB">
            <w:pPr>
              <w:ind w:rightChars="283" w:right="679"/>
              <w:jc w:val="right"/>
              <w:rPr>
                <w:rFonts w:eastAsia="標楷體"/>
              </w:rPr>
            </w:pPr>
            <w:r w:rsidRPr="003B6B9A">
              <w:rPr>
                <w:rFonts w:eastAsia="標楷體" w:hint="eastAsia"/>
              </w:rPr>
              <w:t>5.1</w:t>
            </w:r>
          </w:p>
        </w:tc>
      </w:tr>
    </w:tbl>
    <w:p w:rsidR="00E62664" w:rsidRPr="003B6B9A" w:rsidRDefault="00E62664" w:rsidP="00E62664">
      <w:pPr>
        <w:snapToGrid w:val="0"/>
        <w:spacing w:line="320" w:lineRule="exact"/>
        <w:ind w:right="-142"/>
        <w:jc w:val="both"/>
        <w:rPr>
          <w:rFonts w:eastAsia="標楷體"/>
          <w:sz w:val="22"/>
          <w:szCs w:val="22"/>
        </w:rPr>
      </w:pPr>
      <w:r w:rsidRPr="003B6B9A">
        <w:rPr>
          <w:rFonts w:eastAsia="標楷體"/>
          <w:sz w:val="22"/>
          <w:szCs w:val="22"/>
        </w:rPr>
        <w:t>註：其他綜合商品零售業包括免稅商店、雜貨店、消費合作社</w:t>
      </w:r>
      <w:r w:rsidRPr="003B6B9A">
        <w:rPr>
          <w:rFonts w:eastAsia="標楷體"/>
          <w:sz w:val="22"/>
          <w:szCs w:val="22"/>
        </w:rPr>
        <w:t>(</w:t>
      </w:r>
      <w:r w:rsidRPr="003B6B9A">
        <w:rPr>
          <w:rFonts w:eastAsia="標楷體"/>
          <w:sz w:val="22"/>
          <w:szCs w:val="22"/>
        </w:rPr>
        <w:t>非以食品飲料為主</w:t>
      </w:r>
      <w:r w:rsidRPr="003B6B9A">
        <w:rPr>
          <w:rFonts w:eastAsia="標楷體"/>
          <w:sz w:val="22"/>
          <w:szCs w:val="22"/>
        </w:rPr>
        <w:t>)</w:t>
      </w:r>
      <w:r w:rsidRPr="003B6B9A">
        <w:rPr>
          <w:rFonts w:eastAsia="標楷體"/>
          <w:sz w:val="22"/>
          <w:szCs w:val="22"/>
        </w:rPr>
        <w:t>等。</w:t>
      </w:r>
    </w:p>
    <w:p w:rsidR="003F3F99" w:rsidRPr="00B118E9" w:rsidRDefault="00E62664" w:rsidP="00E62664">
      <w:pPr>
        <w:snapToGrid w:val="0"/>
        <w:spacing w:line="320" w:lineRule="exact"/>
        <w:ind w:right="-142"/>
        <w:jc w:val="both"/>
        <w:rPr>
          <w:rFonts w:eastAsia="標楷體"/>
          <w:b/>
          <w:bCs/>
          <w:kern w:val="0"/>
          <w:sz w:val="28"/>
          <w:szCs w:val="20"/>
        </w:rPr>
      </w:pPr>
      <w:r w:rsidRPr="003B6B9A">
        <w:rPr>
          <w:rFonts w:eastAsia="標楷體"/>
          <w:sz w:val="22"/>
          <w:szCs w:val="22"/>
        </w:rPr>
        <w:t>資料來源：經濟部統計處。</w:t>
      </w:r>
    </w:p>
    <w:p w:rsidR="00492A32" w:rsidRPr="00B118E9" w:rsidRDefault="00492A32" w:rsidP="003F3F99">
      <w:pPr>
        <w:widowControl/>
        <w:tabs>
          <w:tab w:val="left" w:pos="540"/>
        </w:tabs>
        <w:snapToGrid w:val="0"/>
        <w:spacing w:beforeLines="50" w:before="180" w:line="300" w:lineRule="auto"/>
        <w:jc w:val="both"/>
        <w:rPr>
          <w:rFonts w:eastAsia="標楷體"/>
          <w:b/>
          <w:bCs/>
          <w:color w:val="FF0000"/>
          <w:kern w:val="0"/>
          <w:sz w:val="28"/>
          <w:szCs w:val="20"/>
        </w:rPr>
      </w:pPr>
    </w:p>
    <w:p w:rsidR="003F3F99" w:rsidRPr="00B118E9" w:rsidRDefault="003F3F99" w:rsidP="003F3F99">
      <w:pPr>
        <w:widowControl/>
        <w:tabs>
          <w:tab w:val="left" w:pos="540"/>
        </w:tabs>
        <w:snapToGrid w:val="0"/>
        <w:spacing w:beforeLines="50" w:before="180" w:line="300" w:lineRule="auto"/>
        <w:jc w:val="both"/>
        <w:rPr>
          <w:rFonts w:eastAsia="標楷體"/>
          <w:b/>
          <w:bCs/>
          <w:kern w:val="0"/>
          <w:sz w:val="28"/>
          <w:szCs w:val="20"/>
        </w:rPr>
      </w:pPr>
      <w:r w:rsidRPr="00B118E9">
        <w:rPr>
          <w:rFonts w:eastAsia="標楷體"/>
          <w:b/>
          <w:bCs/>
          <w:kern w:val="0"/>
          <w:sz w:val="28"/>
          <w:szCs w:val="20"/>
        </w:rPr>
        <w:t>４、</w:t>
      </w:r>
      <w:r w:rsidR="00E62664" w:rsidRPr="003B6B9A">
        <w:rPr>
          <w:rFonts w:eastAsia="標楷體"/>
          <w:b/>
          <w:bCs/>
          <w:kern w:val="0"/>
          <w:sz w:val="28"/>
          <w:szCs w:val="20"/>
        </w:rPr>
        <w:t>10</w:t>
      </w:r>
      <w:r w:rsidR="00E62664" w:rsidRPr="003B6B9A">
        <w:rPr>
          <w:rFonts w:eastAsia="標楷體" w:hint="eastAsia"/>
          <w:b/>
          <w:bCs/>
          <w:kern w:val="0"/>
          <w:sz w:val="28"/>
          <w:szCs w:val="20"/>
        </w:rPr>
        <w:t>4</w:t>
      </w:r>
      <w:r w:rsidR="00E62664" w:rsidRPr="003B6B9A">
        <w:rPr>
          <w:rFonts w:eastAsia="標楷體"/>
          <w:b/>
          <w:bCs/>
          <w:kern w:val="0"/>
          <w:sz w:val="28"/>
          <w:szCs w:val="20"/>
        </w:rPr>
        <w:t>年</w:t>
      </w:r>
      <w:r w:rsidR="00E62664" w:rsidRPr="003B6B9A">
        <w:rPr>
          <w:rFonts w:eastAsia="標楷體" w:hint="eastAsia"/>
          <w:b/>
          <w:bCs/>
          <w:kern w:val="0"/>
          <w:sz w:val="28"/>
          <w:szCs w:val="20"/>
        </w:rPr>
        <w:t>4</w:t>
      </w:r>
      <w:r w:rsidR="00E62664" w:rsidRPr="003B6B9A">
        <w:rPr>
          <w:rFonts w:eastAsia="標楷體"/>
          <w:b/>
          <w:bCs/>
          <w:kern w:val="0"/>
          <w:sz w:val="28"/>
          <w:szCs w:val="20"/>
        </w:rPr>
        <w:t>月餐飲業營業額</w:t>
      </w:r>
      <w:r w:rsidR="00E62664" w:rsidRPr="003B6B9A">
        <w:rPr>
          <w:rFonts w:eastAsia="標楷體" w:hint="eastAsia"/>
          <w:b/>
          <w:bCs/>
          <w:kern w:val="0"/>
          <w:sz w:val="28"/>
          <w:szCs w:val="20"/>
        </w:rPr>
        <w:t>增加</w:t>
      </w:r>
      <w:r w:rsidR="00E62664" w:rsidRPr="003B6B9A">
        <w:rPr>
          <w:rFonts w:eastAsia="標楷體" w:hint="eastAsia"/>
          <w:b/>
          <w:bCs/>
          <w:kern w:val="0"/>
          <w:sz w:val="28"/>
          <w:szCs w:val="20"/>
        </w:rPr>
        <w:t>2.5%</w:t>
      </w:r>
    </w:p>
    <w:p w:rsidR="00E62664" w:rsidRPr="003B6B9A" w:rsidRDefault="00E62664" w:rsidP="00E62664">
      <w:pPr>
        <w:widowControl/>
        <w:topLinePunct/>
        <w:snapToGrid w:val="0"/>
        <w:spacing w:beforeLines="50" w:before="180" w:line="300" w:lineRule="auto"/>
        <w:ind w:rightChars="-59" w:right="-142" w:firstLineChars="202" w:firstLine="566"/>
        <w:jc w:val="both"/>
        <w:rPr>
          <w:rFonts w:eastAsia="標楷體"/>
          <w:kern w:val="0"/>
          <w:sz w:val="28"/>
          <w:szCs w:val="20"/>
        </w:rPr>
      </w:pPr>
      <w:r w:rsidRPr="003B6B9A">
        <w:rPr>
          <w:rFonts w:eastAsia="標楷體"/>
          <w:kern w:val="0"/>
          <w:sz w:val="28"/>
          <w:szCs w:val="20"/>
        </w:rPr>
        <w:t>104</w:t>
      </w:r>
      <w:r w:rsidRPr="003B6B9A">
        <w:rPr>
          <w:rFonts w:eastAsia="標楷體"/>
          <w:kern w:val="0"/>
          <w:sz w:val="28"/>
          <w:szCs w:val="20"/>
        </w:rPr>
        <w:t>年</w:t>
      </w:r>
      <w:r w:rsidRPr="003B6B9A">
        <w:rPr>
          <w:rFonts w:eastAsia="標楷體" w:hint="eastAsia"/>
          <w:kern w:val="0"/>
          <w:sz w:val="28"/>
          <w:szCs w:val="20"/>
        </w:rPr>
        <w:t>4</w:t>
      </w:r>
      <w:r w:rsidRPr="003B6B9A">
        <w:rPr>
          <w:rFonts w:eastAsia="標楷體"/>
          <w:kern w:val="0"/>
          <w:sz w:val="28"/>
          <w:szCs w:val="20"/>
        </w:rPr>
        <w:t>月餐飲業營業額為</w:t>
      </w:r>
      <w:r w:rsidRPr="003B6B9A">
        <w:rPr>
          <w:rFonts w:eastAsia="標楷體"/>
          <w:kern w:val="0"/>
          <w:sz w:val="28"/>
          <w:szCs w:val="20"/>
        </w:rPr>
        <w:t>3</w:t>
      </w:r>
      <w:r w:rsidRPr="003B6B9A">
        <w:rPr>
          <w:rFonts w:eastAsia="標楷體" w:hint="eastAsia"/>
          <w:kern w:val="0"/>
          <w:sz w:val="28"/>
          <w:szCs w:val="20"/>
        </w:rPr>
        <w:t>29</w:t>
      </w:r>
      <w:r w:rsidRPr="003B6B9A">
        <w:rPr>
          <w:rFonts w:eastAsia="標楷體"/>
          <w:kern w:val="0"/>
          <w:sz w:val="28"/>
          <w:szCs w:val="20"/>
        </w:rPr>
        <w:t>億元，較上年同月增加</w:t>
      </w:r>
      <w:r w:rsidRPr="003B6B9A">
        <w:rPr>
          <w:rFonts w:eastAsia="標楷體" w:hint="eastAsia"/>
          <w:kern w:val="0"/>
          <w:sz w:val="28"/>
          <w:szCs w:val="20"/>
        </w:rPr>
        <w:t>2.5</w:t>
      </w:r>
      <w:r w:rsidRPr="003B6B9A">
        <w:rPr>
          <w:rFonts w:eastAsia="標楷體"/>
          <w:kern w:val="0"/>
          <w:sz w:val="28"/>
          <w:szCs w:val="20"/>
        </w:rPr>
        <w:t>%</w:t>
      </w:r>
      <w:r w:rsidRPr="003B6B9A">
        <w:rPr>
          <w:rFonts w:eastAsia="標楷體"/>
          <w:kern w:val="0"/>
          <w:sz w:val="28"/>
          <w:szCs w:val="20"/>
        </w:rPr>
        <w:t>，其中</w:t>
      </w:r>
      <w:r w:rsidRPr="003B6B9A">
        <w:rPr>
          <w:rFonts w:eastAsia="標楷體" w:hint="eastAsia"/>
          <w:kern w:val="0"/>
          <w:sz w:val="28"/>
          <w:szCs w:val="20"/>
        </w:rPr>
        <w:t>餐館業受惠於清明連假消費帶動，加上門市拓展及新品牌推出，營收成長</w:t>
      </w:r>
      <w:r w:rsidRPr="003B6B9A">
        <w:rPr>
          <w:rFonts w:eastAsia="標楷體" w:hint="eastAsia"/>
          <w:kern w:val="0"/>
          <w:sz w:val="28"/>
          <w:szCs w:val="20"/>
        </w:rPr>
        <w:t>2.8%</w:t>
      </w:r>
      <w:r w:rsidRPr="003B6B9A">
        <w:rPr>
          <w:rFonts w:eastAsia="標楷體" w:hint="eastAsia"/>
          <w:kern w:val="0"/>
          <w:sz w:val="28"/>
          <w:szCs w:val="20"/>
        </w:rPr>
        <w:t>；飲料店業雖受茶飲料之農藥衝擊，惟因天氣炎熱，拉升咖啡、冰品需求，加上展店改裝效應，仍年增</w:t>
      </w:r>
      <w:r w:rsidRPr="003B6B9A">
        <w:rPr>
          <w:rFonts w:eastAsia="標楷體" w:hint="eastAsia"/>
          <w:kern w:val="0"/>
          <w:sz w:val="28"/>
          <w:szCs w:val="20"/>
        </w:rPr>
        <w:t>2.0%</w:t>
      </w:r>
      <w:r w:rsidRPr="003B6B9A">
        <w:rPr>
          <w:rFonts w:eastAsia="標楷體" w:hint="eastAsia"/>
          <w:kern w:val="0"/>
          <w:sz w:val="28"/>
          <w:szCs w:val="20"/>
        </w:rPr>
        <w:t>。累計</w:t>
      </w:r>
      <w:r w:rsidRPr="003B6B9A">
        <w:rPr>
          <w:rFonts w:eastAsia="標楷體" w:hint="eastAsia"/>
          <w:kern w:val="0"/>
          <w:sz w:val="28"/>
          <w:szCs w:val="20"/>
        </w:rPr>
        <w:t>1</w:t>
      </w:r>
      <w:r w:rsidRPr="003B6B9A">
        <w:rPr>
          <w:rFonts w:eastAsia="標楷體" w:hint="eastAsia"/>
          <w:kern w:val="0"/>
          <w:sz w:val="28"/>
          <w:szCs w:val="20"/>
        </w:rPr>
        <w:t>至</w:t>
      </w:r>
      <w:r w:rsidRPr="003B6B9A">
        <w:rPr>
          <w:rFonts w:eastAsia="標楷體" w:hint="eastAsia"/>
          <w:kern w:val="0"/>
          <w:sz w:val="28"/>
          <w:szCs w:val="20"/>
        </w:rPr>
        <w:t>4</w:t>
      </w:r>
      <w:r w:rsidRPr="003B6B9A">
        <w:rPr>
          <w:rFonts w:eastAsia="標楷體" w:hint="eastAsia"/>
          <w:kern w:val="0"/>
          <w:sz w:val="28"/>
          <w:szCs w:val="20"/>
        </w:rPr>
        <w:t>月餐飲業營業額</w:t>
      </w:r>
      <w:r w:rsidRPr="003B6B9A">
        <w:rPr>
          <w:rFonts w:eastAsia="標楷體" w:hint="eastAsia"/>
          <w:kern w:val="0"/>
          <w:sz w:val="28"/>
          <w:szCs w:val="20"/>
        </w:rPr>
        <w:t>1,406</w:t>
      </w:r>
      <w:r w:rsidRPr="003B6B9A">
        <w:rPr>
          <w:rFonts w:eastAsia="標楷體" w:hint="eastAsia"/>
          <w:kern w:val="0"/>
          <w:sz w:val="28"/>
          <w:szCs w:val="20"/>
        </w:rPr>
        <w:t>億元，較上年同期增加</w:t>
      </w:r>
      <w:r w:rsidRPr="003B6B9A">
        <w:rPr>
          <w:rFonts w:eastAsia="標楷體" w:hint="eastAsia"/>
          <w:kern w:val="0"/>
          <w:sz w:val="28"/>
          <w:szCs w:val="20"/>
        </w:rPr>
        <w:t>2.0</w:t>
      </w:r>
      <w:r w:rsidRPr="003B6B9A">
        <w:rPr>
          <w:rFonts w:eastAsia="標楷體"/>
          <w:kern w:val="0"/>
          <w:sz w:val="28"/>
          <w:szCs w:val="20"/>
        </w:rPr>
        <w:t>%</w:t>
      </w:r>
      <w:r w:rsidRPr="003B6B9A">
        <w:rPr>
          <w:rFonts w:eastAsia="標楷體"/>
          <w:kern w:val="0"/>
          <w:sz w:val="28"/>
          <w:szCs w:val="20"/>
        </w:rPr>
        <w:t>。</w:t>
      </w:r>
    </w:p>
    <w:p w:rsidR="003F3F99" w:rsidRPr="00B118E9" w:rsidRDefault="003F3F99" w:rsidP="003F3F99">
      <w:pPr>
        <w:snapToGrid w:val="0"/>
        <w:spacing w:before="240" w:afterLines="50" w:after="180"/>
        <w:ind w:right="-692"/>
        <w:jc w:val="center"/>
        <w:rPr>
          <w:rFonts w:eastAsia="標楷體"/>
          <w:sz w:val="28"/>
        </w:rPr>
      </w:pPr>
      <w:r w:rsidRPr="00B118E9">
        <w:rPr>
          <w:rFonts w:eastAsia="標楷體"/>
          <w:b/>
          <w:bCs/>
          <w:sz w:val="28"/>
        </w:rPr>
        <w:t>表</w:t>
      </w:r>
      <w:r w:rsidRPr="00B118E9">
        <w:rPr>
          <w:rFonts w:eastAsia="標楷體"/>
          <w:b/>
          <w:bCs/>
          <w:sz w:val="28"/>
        </w:rPr>
        <w:t xml:space="preserve">2-3-5  </w:t>
      </w:r>
      <w:r w:rsidRPr="00B118E9">
        <w:rPr>
          <w:rFonts w:eastAsia="標楷體"/>
          <w:b/>
          <w:bCs/>
          <w:sz w:val="28"/>
        </w:rPr>
        <w:t>餐飲業營業額變動概況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E62664" w:rsidRPr="003B6B9A" w:rsidTr="001040FB">
        <w:tc>
          <w:tcPr>
            <w:tcW w:w="2722" w:type="dxa"/>
            <w:vMerge w:val="restart"/>
            <w:tcBorders>
              <w:top w:val="single" w:sz="4" w:space="0" w:color="auto"/>
              <w:right w:val="single" w:sz="4" w:space="0" w:color="auto"/>
            </w:tcBorders>
            <w:vAlign w:val="center"/>
          </w:tcPr>
          <w:p w:rsidR="00E62664" w:rsidRPr="003B6B9A" w:rsidRDefault="00E62664" w:rsidP="001040FB">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E62664" w:rsidRPr="003B6B9A" w:rsidRDefault="00E62664" w:rsidP="001040FB">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4</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E62664" w:rsidRPr="003B6B9A" w:rsidRDefault="00E62664" w:rsidP="001040FB">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E62664" w:rsidRPr="003B6B9A" w:rsidRDefault="00E62664" w:rsidP="001040FB">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1~4</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E62664" w:rsidRPr="003B6B9A" w:rsidRDefault="00E62664" w:rsidP="001040FB">
            <w:pPr>
              <w:snapToGrid w:val="0"/>
              <w:spacing w:line="300" w:lineRule="exact"/>
              <w:ind w:left="28" w:right="-142"/>
              <w:jc w:val="center"/>
              <w:rPr>
                <w:rFonts w:eastAsia="標楷體"/>
              </w:rPr>
            </w:pPr>
          </w:p>
        </w:tc>
      </w:tr>
      <w:tr w:rsidR="00E62664" w:rsidRPr="003B6B9A" w:rsidTr="001040FB">
        <w:tc>
          <w:tcPr>
            <w:tcW w:w="2722" w:type="dxa"/>
            <w:vMerge/>
            <w:tcBorders>
              <w:bottom w:val="single" w:sz="4" w:space="0" w:color="auto"/>
              <w:right w:val="single" w:sz="4" w:space="0" w:color="auto"/>
            </w:tcBorders>
            <w:vAlign w:val="center"/>
          </w:tcPr>
          <w:p w:rsidR="00E62664" w:rsidRPr="003B6B9A" w:rsidRDefault="00E62664" w:rsidP="001040FB">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E62664" w:rsidRPr="003B6B9A" w:rsidRDefault="00E62664" w:rsidP="001040FB">
            <w:pPr>
              <w:snapToGrid w:val="0"/>
              <w:spacing w:line="300" w:lineRule="exact"/>
              <w:ind w:left="28"/>
              <w:jc w:val="center"/>
              <w:rPr>
                <w:rFonts w:eastAsia="標楷體"/>
              </w:rPr>
            </w:pPr>
            <w:r w:rsidRPr="003B6B9A">
              <w:rPr>
                <w:rFonts w:eastAsia="標楷體" w:hint="eastAsia"/>
              </w:rPr>
              <w:t>營業額</w:t>
            </w:r>
          </w:p>
          <w:p w:rsidR="00E62664" w:rsidRPr="003B6B9A" w:rsidRDefault="00E62664" w:rsidP="001040FB">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E62664" w:rsidRPr="003B6B9A" w:rsidRDefault="00E62664" w:rsidP="001040FB">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E62664" w:rsidRPr="003B6B9A" w:rsidRDefault="00E62664"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E62664" w:rsidRPr="003B6B9A" w:rsidRDefault="00E62664" w:rsidP="001040FB">
            <w:pPr>
              <w:snapToGrid w:val="0"/>
              <w:spacing w:line="300" w:lineRule="exact"/>
              <w:ind w:left="28"/>
              <w:jc w:val="center"/>
              <w:rPr>
                <w:rFonts w:eastAsia="標楷體"/>
              </w:rPr>
            </w:pPr>
            <w:r w:rsidRPr="003B6B9A">
              <w:rPr>
                <w:rFonts w:eastAsia="標楷體" w:hint="eastAsia"/>
              </w:rPr>
              <w:t>營業額</w:t>
            </w:r>
          </w:p>
          <w:p w:rsidR="00E62664" w:rsidRPr="003B6B9A" w:rsidRDefault="00E62664" w:rsidP="001040FB">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E62664" w:rsidRPr="003B6B9A" w:rsidRDefault="00E62664" w:rsidP="001040FB">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E62664" w:rsidRPr="003B6B9A" w:rsidRDefault="00E62664"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E62664" w:rsidRPr="003B6B9A" w:rsidTr="001040FB">
        <w:tc>
          <w:tcPr>
            <w:tcW w:w="2722" w:type="dxa"/>
            <w:tcBorders>
              <w:top w:val="single" w:sz="4" w:space="0" w:color="auto"/>
              <w:right w:val="single" w:sz="4" w:space="0" w:color="auto"/>
            </w:tcBorders>
          </w:tcPr>
          <w:p w:rsidR="00E62664" w:rsidRPr="003B6B9A" w:rsidRDefault="00E62664" w:rsidP="001040FB">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329</w:t>
            </w:r>
          </w:p>
        </w:tc>
        <w:tc>
          <w:tcPr>
            <w:tcW w:w="1559" w:type="dxa"/>
            <w:tcBorders>
              <w:top w:val="single" w:sz="4" w:space="0" w:color="auto"/>
              <w:left w:val="nil"/>
              <w:right w:val="double" w:sz="4" w:space="0" w:color="auto"/>
            </w:tcBorders>
          </w:tcPr>
          <w:p w:rsidR="00E62664" w:rsidRPr="003B6B9A" w:rsidRDefault="00E62664" w:rsidP="001040FB">
            <w:pPr>
              <w:ind w:rightChars="224" w:right="538"/>
              <w:jc w:val="right"/>
              <w:rPr>
                <w:rFonts w:eastAsia="標楷體"/>
              </w:rPr>
            </w:pPr>
            <w:r w:rsidRPr="003B6B9A">
              <w:rPr>
                <w:rFonts w:eastAsia="標楷體" w:hint="eastAsia"/>
              </w:rPr>
              <w:t>2.5</w:t>
            </w:r>
          </w:p>
        </w:tc>
        <w:tc>
          <w:tcPr>
            <w:tcW w:w="1559" w:type="dxa"/>
            <w:tcBorders>
              <w:top w:val="single" w:sz="4" w:space="0" w:color="auto"/>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1,406</w:t>
            </w:r>
          </w:p>
        </w:tc>
        <w:tc>
          <w:tcPr>
            <w:tcW w:w="1560" w:type="dxa"/>
            <w:tcBorders>
              <w:top w:val="single" w:sz="4" w:space="0" w:color="auto"/>
            </w:tcBorders>
          </w:tcPr>
          <w:p w:rsidR="00E62664" w:rsidRPr="003B6B9A" w:rsidRDefault="00E62664" w:rsidP="001040FB">
            <w:pPr>
              <w:ind w:rightChars="283" w:right="679"/>
              <w:jc w:val="right"/>
              <w:rPr>
                <w:rFonts w:eastAsia="標楷體"/>
              </w:rPr>
            </w:pPr>
            <w:r w:rsidRPr="003B6B9A">
              <w:rPr>
                <w:rFonts w:eastAsia="標楷體" w:hint="eastAsia"/>
              </w:rPr>
              <w:t>2.0</w:t>
            </w:r>
          </w:p>
        </w:tc>
      </w:tr>
      <w:tr w:rsidR="00E62664" w:rsidRPr="003B6B9A" w:rsidTr="001040FB">
        <w:trPr>
          <w:trHeight w:val="80"/>
        </w:trPr>
        <w:tc>
          <w:tcPr>
            <w:tcW w:w="2722" w:type="dxa"/>
            <w:tcBorders>
              <w:right w:val="single" w:sz="4" w:space="0" w:color="auto"/>
            </w:tcBorders>
          </w:tcPr>
          <w:p w:rsidR="00E62664" w:rsidRPr="003B6B9A" w:rsidRDefault="00E62664" w:rsidP="001040FB">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餐館業</w:t>
            </w:r>
          </w:p>
        </w:tc>
        <w:tc>
          <w:tcPr>
            <w:tcW w:w="1559" w:type="dxa"/>
          </w:tcPr>
          <w:p w:rsidR="00E62664" w:rsidRPr="003B6B9A" w:rsidRDefault="00E62664" w:rsidP="001040FB">
            <w:pPr>
              <w:ind w:rightChars="165" w:right="396"/>
              <w:jc w:val="right"/>
              <w:rPr>
                <w:rFonts w:eastAsia="標楷體"/>
              </w:rPr>
            </w:pPr>
            <w:r w:rsidRPr="003B6B9A">
              <w:rPr>
                <w:rFonts w:eastAsia="標楷體" w:hint="eastAsia"/>
              </w:rPr>
              <w:t>276</w:t>
            </w:r>
          </w:p>
        </w:tc>
        <w:tc>
          <w:tcPr>
            <w:tcW w:w="1559" w:type="dxa"/>
            <w:tcBorders>
              <w:left w:val="nil"/>
              <w:right w:val="double" w:sz="4" w:space="0" w:color="auto"/>
            </w:tcBorders>
          </w:tcPr>
          <w:p w:rsidR="00E62664" w:rsidRPr="003B6B9A" w:rsidRDefault="00E62664" w:rsidP="001040FB">
            <w:pPr>
              <w:ind w:rightChars="224" w:right="538"/>
              <w:jc w:val="right"/>
              <w:rPr>
                <w:rFonts w:eastAsia="標楷體"/>
              </w:rPr>
            </w:pPr>
            <w:r w:rsidRPr="003B6B9A">
              <w:rPr>
                <w:rFonts w:eastAsia="標楷體" w:hint="eastAsia"/>
              </w:rPr>
              <w:t>2.8</w:t>
            </w:r>
          </w:p>
        </w:tc>
        <w:tc>
          <w:tcPr>
            <w:tcW w:w="1559" w:type="dxa"/>
            <w:tcBorders>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1,198</w:t>
            </w:r>
          </w:p>
        </w:tc>
        <w:tc>
          <w:tcPr>
            <w:tcW w:w="1560" w:type="dxa"/>
          </w:tcPr>
          <w:p w:rsidR="00E62664" w:rsidRPr="003B6B9A" w:rsidRDefault="00E62664" w:rsidP="001040FB">
            <w:pPr>
              <w:ind w:rightChars="283" w:right="679"/>
              <w:jc w:val="right"/>
              <w:rPr>
                <w:rFonts w:eastAsia="標楷體"/>
              </w:rPr>
            </w:pPr>
            <w:r w:rsidRPr="003B6B9A">
              <w:rPr>
                <w:rFonts w:eastAsia="標楷體" w:hint="eastAsia"/>
              </w:rPr>
              <w:t>2.1</w:t>
            </w:r>
          </w:p>
        </w:tc>
      </w:tr>
      <w:tr w:rsidR="00E62664" w:rsidRPr="003B6B9A" w:rsidTr="001040FB">
        <w:trPr>
          <w:trHeight w:val="80"/>
        </w:trPr>
        <w:tc>
          <w:tcPr>
            <w:tcW w:w="2722" w:type="dxa"/>
            <w:tcBorders>
              <w:right w:val="single" w:sz="4" w:space="0" w:color="auto"/>
            </w:tcBorders>
          </w:tcPr>
          <w:p w:rsidR="00E62664" w:rsidRPr="003B6B9A" w:rsidRDefault="00E62664" w:rsidP="001040FB">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飲料店</w:t>
            </w:r>
          </w:p>
        </w:tc>
        <w:tc>
          <w:tcPr>
            <w:tcW w:w="1559" w:type="dxa"/>
          </w:tcPr>
          <w:p w:rsidR="00E62664" w:rsidRPr="003B6B9A" w:rsidRDefault="00E62664" w:rsidP="001040FB">
            <w:pPr>
              <w:ind w:rightChars="165" w:right="396"/>
              <w:jc w:val="right"/>
              <w:rPr>
                <w:rFonts w:eastAsia="標楷體"/>
              </w:rPr>
            </w:pPr>
            <w:r w:rsidRPr="003B6B9A">
              <w:rPr>
                <w:rFonts w:eastAsia="標楷體" w:hint="eastAsia"/>
              </w:rPr>
              <w:t>38</w:t>
            </w:r>
          </w:p>
        </w:tc>
        <w:tc>
          <w:tcPr>
            <w:tcW w:w="1559" w:type="dxa"/>
            <w:tcBorders>
              <w:left w:val="nil"/>
              <w:right w:val="double" w:sz="4" w:space="0" w:color="auto"/>
            </w:tcBorders>
          </w:tcPr>
          <w:p w:rsidR="00E62664" w:rsidRPr="003B6B9A" w:rsidRDefault="00E62664" w:rsidP="001040FB">
            <w:pPr>
              <w:ind w:rightChars="224" w:right="538"/>
              <w:jc w:val="right"/>
              <w:rPr>
                <w:rFonts w:eastAsia="標楷體"/>
              </w:rPr>
            </w:pPr>
            <w:r w:rsidRPr="003B6B9A">
              <w:rPr>
                <w:rFonts w:eastAsia="標楷體" w:hint="eastAsia"/>
              </w:rPr>
              <w:t>2.0</w:t>
            </w:r>
          </w:p>
        </w:tc>
        <w:tc>
          <w:tcPr>
            <w:tcW w:w="1559" w:type="dxa"/>
            <w:tcBorders>
              <w:left w:val="doub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150</w:t>
            </w:r>
          </w:p>
        </w:tc>
        <w:tc>
          <w:tcPr>
            <w:tcW w:w="1560" w:type="dxa"/>
          </w:tcPr>
          <w:p w:rsidR="00E62664" w:rsidRPr="003B6B9A" w:rsidRDefault="00E62664" w:rsidP="001040FB">
            <w:pPr>
              <w:ind w:rightChars="283" w:right="679"/>
              <w:jc w:val="right"/>
              <w:rPr>
                <w:rFonts w:eastAsia="標楷體"/>
              </w:rPr>
            </w:pPr>
            <w:r w:rsidRPr="003B6B9A">
              <w:rPr>
                <w:rFonts w:eastAsia="標楷體" w:hint="eastAsia"/>
              </w:rPr>
              <w:t>1.1</w:t>
            </w:r>
          </w:p>
        </w:tc>
      </w:tr>
      <w:tr w:rsidR="00E62664" w:rsidRPr="003B6B9A" w:rsidTr="001040FB">
        <w:trPr>
          <w:trHeight w:val="80"/>
        </w:trPr>
        <w:tc>
          <w:tcPr>
            <w:tcW w:w="2722" w:type="dxa"/>
            <w:tcBorders>
              <w:bottom w:val="single" w:sz="4" w:space="0" w:color="auto"/>
              <w:right w:val="single" w:sz="4" w:space="0" w:color="auto"/>
            </w:tcBorders>
          </w:tcPr>
          <w:p w:rsidR="00E62664" w:rsidRPr="003B6B9A" w:rsidRDefault="00E62664" w:rsidP="001040FB">
            <w:pPr>
              <w:snapToGrid w:val="0"/>
              <w:spacing w:line="400" w:lineRule="atLeast"/>
              <w:ind w:left="28" w:right="-142"/>
              <w:jc w:val="both"/>
              <w:rPr>
                <w:rFonts w:eastAsia="標楷體"/>
              </w:rPr>
            </w:pPr>
            <w:r w:rsidRPr="003B6B9A">
              <w:rPr>
                <w:rFonts w:eastAsia="標楷體"/>
              </w:rPr>
              <w:t xml:space="preserve">  </w:t>
            </w:r>
            <w:r w:rsidRPr="003B6B9A">
              <w:rPr>
                <w:rFonts w:eastAsia="標楷體"/>
              </w:rPr>
              <w:t>其他餐飲業</w:t>
            </w:r>
          </w:p>
        </w:tc>
        <w:tc>
          <w:tcPr>
            <w:tcW w:w="1559" w:type="dxa"/>
            <w:tcBorders>
              <w:bottom w:val="sing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14</w:t>
            </w:r>
          </w:p>
        </w:tc>
        <w:tc>
          <w:tcPr>
            <w:tcW w:w="1559" w:type="dxa"/>
            <w:tcBorders>
              <w:left w:val="nil"/>
              <w:bottom w:val="single" w:sz="4" w:space="0" w:color="auto"/>
              <w:right w:val="double" w:sz="4" w:space="0" w:color="auto"/>
            </w:tcBorders>
          </w:tcPr>
          <w:p w:rsidR="00E62664" w:rsidRPr="003B6B9A" w:rsidRDefault="00E62664" w:rsidP="001040FB">
            <w:pPr>
              <w:ind w:rightChars="224" w:right="538"/>
              <w:jc w:val="right"/>
              <w:rPr>
                <w:rFonts w:eastAsia="標楷體"/>
              </w:rPr>
            </w:pPr>
            <w:r w:rsidRPr="003B6B9A">
              <w:rPr>
                <w:rFonts w:eastAsia="標楷體" w:hint="eastAsia"/>
              </w:rPr>
              <w:t>-1.7</w:t>
            </w:r>
          </w:p>
        </w:tc>
        <w:tc>
          <w:tcPr>
            <w:tcW w:w="1559" w:type="dxa"/>
            <w:tcBorders>
              <w:left w:val="double" w:sz="4" w:space="0" w:color="auto"/>
              <w:bottom w:val="single" w:sz="4" w:space="0" w:color="auto"/>
            </w:tcBorders>
          </w:tcPr>
          <w:p w:rsidR="00E62664" w:rsidRPr="003B6B9A" w:rsidRDefault="00E62664" w:rsidP="001040FB">
            <w:pPr>
              <w:ind w:rightChars="165" w:right="396"/>
              <w:jc w:val="right"/>
              <w:rPr>
                <w:rFonts w:eastAsia="標楷體"/>
              </w:rPr>
            </w:pPr>
            <w:r w:rsidRPr="003B6B9A">
              <w:rPr>
                <w:rFonts w:eastAsia="標楷體" w:hint="eastAsia"/>
              </w:rPr>
              <w:t>57</w:t>
            </w:r>
          </w:p>
        </w:tc>
        <w:tc>
          <w:tcPr>
            <w:tcW w:w="1560" w:type="dxa"/>
            <w:tcBorders>
              <w:bottom w:val="single" w:sz="4" w:space="0" w:color="auto"/>
            </w:tcBorders>
          </w:tcPr>
          <w:p w:rsidR="00E62664" w:rsidRPr="003B6B9A" w:rsidRDefault="00E62664" w:rsidP="001040FB">
            <w:pPr>
              <w:ind w:rightChars="283" w:right="679"/>
              <w:jc w:val="right"/>
              <w:rPr>
                <w:rFonts w:eastAsia="標楷體"/>
              </w:rPr>
            </w:pPr>
            <w:r w:rsidRPr="003B6B9A">
              <w:rPr>
                <w:rFonts w:eastAsia="標楷體" w:hint="eastAsia"/>
              </w:rPr>
              <w:t>2.8</w:t>
            </w:r>
          </w:p>
        </w:tc>
      </w:tr>
    </w:tbl>
    <w:p w:rsidR="003F3F99" w:rsidRPr="00B118E9" w:rsidRDefault="003F3F99" w:rsidP="003F3F99">
      <w:pPr>
        <w:spacing w:afterLines="50" w:after="180"/>
        <w:textDirection w:val="lrTbV"/>
        <w:rPr>
          <w:rFonts w:eastAsia="標楷體"/>
          <w:sz w:val="22"/>
          <w:szCs w:val="22"/>
        </w:rPr>
      </w:pPr>
      <w:r w:rsidRPr="00B118E9">
        <w:rPr>
          <w:rFonts w:eastAsia="標楷體"/>
          <w:sz w:val="22"/>
          <w:szCs w:val="22"/>
        </w:rPr>
        <w:t>資料來源：經濟部統計處。</w:t>
      </w:r>
    </w:p>
    <w:p w:rsidR="003F3F99" w:rsidRPr="00B118E9" w:rsidRDefault="003F3F99" w:rsidP="003F3F99">
      <w:pPr>
        <w:spacing w:beforeLines="50" w:before="180" w:afterLines="50" w:after="180" w:line="380" w:lineRule="exact"/>
        <w:jc w:val="center"/>
        <w:textDirection w:val="lrTbV"/>
        <w:rPr>
          <w:rFonts w:eastAsia="標楷體"/>
          <w:b/>
          <w:bCs/>
          <w:color w:val="FF0000"/>
          <w:kern w:val="0"/>
          <w:sz w:val="28"/>
          <w:szCs w:val="20"/>
        </w:rPr>
      </w:pPr>
      <w:r w:rsidRPr="00B118E9">
        <w:rPr>
          <w:rFonts w:eastAsia="標楷體"/>
          <w:b/>
          <w:bCs/>
          <w:color w:val="FF0000"/>
        </w:rPr>
        <w:br w:type="page"/>
      </w:r>
    </w:p>
    <w:p w:rsidR="003F3F99" w:rsidRPr="00B118E9" w:rsidRDefault="00A95184" w:rsidP="003F3F99">
      <w:pPr>
        <w:keepNext/>
        <w:snapToGrid w:val="0"/>
        <w:spacing w:beforeLines="50" w:before="180" w:line="300" w:lineRule="auto"/>
        <w:ind w:rightChars="-25" w:right="-60"/>
        <w:outlineLvl w:val="2"/>
        <w:rPr>
          <w:rFonts w:eastAsia="標楷體"/>
          <w:b/>
          <w:bCs/>
          <w:sz w:val="32"/>
          <w:szCs w:val="32"/>
        </w:rPr>
      </w:pPr>
      <w:hyperlink w:anchor="c17" w:history="1">
        <w:bookmarkStart w:id="95" w:name="_Toc349916584"/>
        <w:bookmarkStart w:id="96" w:name="_Toc401923797"/>
        <w:bookmarkStart w:id="97" w:name="_Toc402171714"/>
        <w:bookmarkStart w:id="98" w:name="_Toc420680039"/>
        <w:r w:rsidR="003F3F99" w:rsidRPr="00B118E9">
          <w:rPr>
            <w:rFonts w:eastAsia="標楷體"/>
            <w:b/>
            <w:bCs/>
            <w:sz w:val="32"/>
            <w:szCs w:val="32"/>
          </w:rPr>
          <w:t>（四）貿易</w:t>
        </w:r>
        <w:bookmarkEnd w:id="95"/>
        <w:bookmarkEnd w:id="96"/>
        <w:bookmarkEnd w:id="97"/>
        <w:bookmarkEnd w:id="98"/>
      </w:hyperlink>
    </w:p>
    <w:p w:rsidR="003F3F99" w:rsidRPr="00B118E9" w:rsidRDefault="003F3F99" w:rsidP="003F3F99">
      <w:pPr>
        <w:widowControl/>
        <w:tabs>
          <w:tab w:val="left" w:pos="540"/>
        </w:tabs>
        <w:snapToGrid w:val="0"/>
        <w:spacing w:beforeLines="50" w:before="180" w:line="300" w:lineRule="auto"/>
        <w:jc w:val="both"/>
        <w:rPr>
          <w:rFonts w:eastAsia="標楷體"/>
          <w:b/>
          <w:bCs/>
          <w:kern w:val="0"/>
          <w:sz w:val="28"/>
          <w:szCs w:val="20"/>
        </w:rPr>
      </w:pPr>
      <w:r w:rsidRPr="00B118E9">
        <w:rPr>
          <w:rFonts w:eastAsia="標楷體"/>
          <w:b/>
          <w:bCs/>
          <w:kern w:val="0"/>
          <w:sz w:val="28"/>
          <w:szCs w:val="20"/>
        </w:rPr>
        <w:t>１、</w:t>
      </w:r>
      <w:r w:rsidR="009802C0" w:rsidRPr="003B6B9A">
        <w:rPr>
          <w:rFonts w:eastAsia="標楷體" w:hint="eastAsia"/>
          <w:b/>
          <w:bCs/>
          <w:kern w:val="0"/>
          <w:sz w:val="28"/>
          <w:szCs w:val="20"/>
        </w:rPr>
        <w:t>104</w:t>
      </w:r>
      <w:r w:rsidR="009802C0" w:rsidRPr="003B6B9A">
        <w:rPr>
          <w:rFonts w:eastAsia="標楷體" w:hint="eastAsia"/>
          <w:b/>
          <w:bCs/>
          <w:kern w:val="0"/>
          <w:sz w:val="28"/>
          <w:szCs w:val="20"/>
        </w:rPr>
        <w:t>年</w:t>
      </w:r>
      <w:r w:rsidR="009802C0" w:rsidRPr="003B6B9A">
        <w:rPr>
          <w:rFonts w:eastAsia="標楷體" w:hint="eastAsia"/>
          <w:b/>
          <w:bCs/>
          <w:kern w:val="0"/>
          <w:sz w:val="28"/>
          <w:szCs w:val="20"/>
        </w:rPr>
        <w:t>4</w:t>
      </w:r>
      <w:r w:rsidR="009802C0" w:rsidRPr="003B6B9A">
        <w:rPr>
          <w:rFonts w:eastAsia="標楷體" w:hint="eastAsia"/>
          <w:b/>
          <w:bCs/>
          <w:kern w:val="0"/>
          <w:sz w:val="28"/>
          <w:szCs w:val="20"/>
        </w:rPr>
        <w:t>月出口減少</w:t>
      </w:r>
      <w:r w:rsidR="009802C0" w:rsidRPr="003B6B9A">
        <w:rPr>
          <w:rFonts w:eastAsia="標楷體" w:hint="eastAsia"/>
          <w:b/>
          <w:bCs/>
          <w:kern w:val="0"/>
          <w:sz w:val="28"/>
          <w:szCs w:val="20"/>
        </w:rPr>
        <w:t>11.7%</w:t>
      </w:r>
      <w:r w:rsidR="009802C0" w:rsidRPr="003B6B9A">
        <w:rPr>
          <w:rFonts w:eastAsia="標楷體" w:hint="eastAsia"/>
          <w:b/>
          <w:bCs/>
          <w:kern w:val="0"/>
          <w:sz w:val="28"/>
          <w:szCs w:val="20"/>
        </w:rPr>
        <w:t>、進口減少</w:t>
      </w:r>
      <w:r w:rsidR="009802C0" w:rsidRPr="003B6B9A">
        <w:rPr>
          <w:rFonts w:eastAsia="標楷體" w:hint="eastAsia"/>
          <w:b/>
          <w:bCs/>
          <w:kern w:val="0"/>
          <w:sz w:val="28"/>
          <w:szCs w:val="20"/>
        </w:rPr>
        <w:t>22.1%</w:t>
      </w:r>
    </w:p>
    <w:p w:rsidR="003F3F99" w:rsidRDefault="009802C0" w:rsidP="009802C0">
      <w:pPr>
        <w:snapToGrid w:val="0"/>
        <w:spacing w:before="120" w:line="300" w:lineRule="auto"/>
        <w:ind w:right="-142" w:firstLineChars="202" w:firstLine="566"/>
        <w:jc w:val="both"/>
        <w:rPr>
          <w:rFonts w:eastAsia="標楷體"/>
          <w:sz w:val="28"/>
        </w:rPr>
      </w:pPr>
      <w:r w:rsidRPr="003B6B9A">
        <w:rPr>
          <w:rFonts w:eastAsia="標楷體"/>
          <w:sz w:val="28"/>
        </w:rPr>
        <w:t>104</w:t>
      </w:r>
      <w:r w:rsidRPr="003B6B9A">
        <w:rPr>
          <w:rFonts w:eastAsia="標楷體"/>
          <w:sz w:val="28"/>
        </w:rPr>
        <w:t>年</w:t>
      </w:r>
      <w:r w:rsidRPr="003B6B9A">
        <w:rPr>
          <w:rFonts w:eastAsia="標楷體"/>
          <w:sz w:val="28"/>
        </w:rPr>
        <w:t>4</w:t>
      </w:r>
      <w:r w:rsidRPr="003B6B9A">
        <w:rPr>
          <w:rFonts w:eastAsia="標楷體"/>
          <w:sz w:val="28"/>
        </w:rPr>
        <w:t>月出口</w:t>
      </w:r>
      <w:r w:rsidRPr="003B6B9A">
        <w:rPr>
          <w:rFonts w:eastAsia="標楷體"/>
          <w:sz w:val="28"/>
        </w:rPr>
        <w:t>234.9</w:t>
      </w:r>
      <w:r w:rsidRPr="003B6B9A">
        <w:rPr>
          <w:rFonts w:eastAsia="標楷體"/>
          <w:sz w:val="28"/>
        </w:rPr>
        <w:t>億美元，較上年同月減少</w:t>
      </w:r>
      <w:r w:rsidRPr="003B6B9A">
        <w:rPr>
          <w:rFonts w:eastAsia="標楷體"/>
          <w:sz w:val="28"/>
        </w:rPr>
        <w:t>11.7%</w:t>
      </w:r>
      <w:r w:rsidRPr="003B6B9A">
        <w:rPr>
          <w:rFonts w:eastAsia="標楷體"/>
          <w:sz w:val="28"/>
        </w:rPr>
        <w:t>；進口</w:t>
      </w:r>
      <w:r w:rsidRPr="003B6B9A">
        <w:rPr>
          <w:rFonts w:eastAsia="標楷體"/>
          <w:sz w:val="28"/>
        </w:rPr>
        <w:t>187.3</w:t>
      </w:r>
      <w:r w:rsidRPr="003B6B9A">
        <w:rPr>
          <w:rFonts w:eastAsia="標楷體"/>
          <w:sz w:val="28"/>
        </w:rPr>
        <w:t>億美元，較上年同月減少</w:t>
      </w:r>
      <w:r w:rsidRPr="003B6B9A">
        <w:rPr>
          <w:rFonts w:eastAsia="標楷體"/>
          <w:sz w:val="28"/>
        </w:rPr>
        <w:t>22.1%</w:t>
      </w:r>
      <w:r w:rsidRPr="003B6B9A">
        <w:rPr>
          <w:rFonts w:eastAsia="標楷體"/>
          <w:sz w:val="28"/>
        </w:rPr>
        <w:t>；出超</w:t>
      </w:r>
      <w:r w:rsidRPr="003B6B9A">
        <w:rPr>
          <w:rFonts w:eastAsia="標楷體"/>
          <w:sz w:val="28"/>
        </w:rPr>
        <w:t>47.6</w:t>
      </w:r>
      <w:r w:rsidRPr="003B6B9A">
        <w:rPr>
          <w:rFonts w:eastAsia="標楷體"/>
          <w:sz w:val="28"/>
        </w:rPr>
        <w:t>億美元。累計</w:t>
      </w:r>
      <w:r w:rsidRPr="003B6B9A">
        <w:rPr>
          <w:rFonts w:eastAsia="標楷體"/>
          <w:sz w:val="28"/>
        </w:rPr>
        <w:t>1</w:t>
      </w:r>
      <w:r w:rsidRPr="003B6B9A">
        <w:rPr>
          <w:rFonts w:eastAsia="標楷體"/>
          <w:sz w:val="28"/>
        </w:rPr>
        <w:t>至</w:t>
      </w:r>
      <w:r w:rsidRPr="003B6B9A">
        <w:rPr>
          <w:rFonts w:eastAsia="標楷體"/>
          <w:sz w:val="28"/>
        </w:rPr>
        <w:t>4</w:t>
      </w:r>
      <w:r w:rsidRPr="003B6B9A">
        <w:rPr>
          <w:rFonts w:eastAsia="標楷體"/>
          <w:sz w:val="28"/>
        </w:rPr>
        <w:t>月出口</w:t>
      </w:r>
      <w:r w:rsidRPr="003B6B9A">
        <w:rPr>
          <w:rFonts w:eastAsia="標楷體"/>
          <w:sz w:val="28"/>
        </w:rPr>
        <w:t>937.3</w:t>
      </w:r>
      <w:r w:rsidRPr="003B6B9A">
        <w:rPr>
          <w:rFonts w:eastAsia="標楷體"/>
          <w:sz w:val="28"/>
        </w:rPr>
        <w:t>億美元，進口</w:t>
      </w:r>
      <w:r w:rsidRPr="003B6B9A">
        <w:rPr>
          <w:rFonts w:eastAsia="標楷體"/>
          <w:sz w:val="28"/>
        </w:rPr>
        <w:t>755.6</w:t>
      </w:r>
      <w:r w:rsidRPr="003B6B9A">
        <w:rPr>
          <w:rFonts w:eastAsia="標楷體"/>
          <w:sz w:val="28"/>
        </w:rPr>
        <w:t>億美元，分別較上年同期減少</w:t>
      </w:r>
      <w:r w:rsidRPr="003B6B9A">
        <w:rPr>
          <w:rFonts w:eastAsia="標楷體"/>
          <w:sz w:val="28"/>
        </w:rPr>
        <w:t>6.2%</w:t>
      </w:r>
      <w:r w:rsidRPr="003B6B9A">
        <w:rPr>
          <w:rFonts w:eastAsia="標楷體"/>
          <w:sz w:val="28"/>
        </w:rPr>
        <w:t>及</w:t>
      </w:r>
      <w:r w:rsidRPr="003B6B9A">
        <w:rPr>
          <w:rFonts w:eastAsia="標楷體"/>
          <w:sz w:val="28"/>
        </w:rPr>
        <w:t>16.8%</w:t>
      </w:r>
      <w:r w:rsidRPr="003B6B9A">
        <w:rPr>
          <w:rFonts w:eastAsia="標楷體"/>
          <w:sz w:val="28"/>
        </w:rPr>
        <w:t>；出超</w:t>
      </w:r>
      <w:r w:rsidRPr="003B6B9A">
        <w:rPr>
          <w:rFonts w:eastAsia="標楷體"/>
          <w:sz w:val="28"/>
        </w:rPr>
        <w:t>181.7</w:t>
      </w:r>
      <w:r w:rsidRPr="003B6B9A">
        <w:rPr>
          <w:rFonts w:eastAsia="標楷體"/>
          <w:sz w:val="28"/>
        </w:rPr>
        <w:t>億美元。</w:t>
      </w:r>
    </w:p>
    <w:p w:rsidR="003F3F99" w:rsidRDefault="003F3F99" w:rsidP="003F3F99">
      <w:pPr>
        <w:snapToGrid w:val="0"/>
        <w:spacing w:beforeLines="50" w:before="180" w:line="300" w:lineRule="auto"/>
        <w:jc w:val="center"/>
        <w:rPr>
          <w:rFonts w:eastAsia="標楷體"/>
          <w:b/>
          <w:bCs/>
          <w:sz w:val="28"/>
        </w:rPr>
      </w:pPr>
      <w:r w:rsidRPr="00B118E9">
        <w:rPr>
          <w:rFonts w:eastAsia="標楷體"/>
          <w:b/>
          <w:bCs/>
          <w:sz w:val="28"/>
        </w:rPr>
        <w:t>表</w:t>
      </w:r>
      <w:r w:rsidRPr="00B118E9">
        <w:rPr>
          <w:rFonts w:eastAsia="標楷體"/>
          <w:b/>
          <w:bCs/>
          <w:sz w:val="28"/>
        </w:rPr>
        <w:t xml:space="preserve"> 2-4-1   </w:t>
      </w:r>
      <w:r w:rsidRPr="00B118E9">
        <w:rPr>
          <w:rFonts w:eastAsia="標楷體"/>
          <w:b/>
          <w:bCs/>
          <w:sz w:val="28"/>
        </w:rPr>
        <w:t>對外貿易</w:t>
      </w:r>
    </w:p>
    <w:tbl>
      <w:tblPr>
        <w:tblW w:w="9277" w:type="dxa"/>
        <w:tblInd w:w="-25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544"/>
        <w:gridCol w:w="1800"/>
        <w:gridCol w:w="1233"/>
        <w:gridCol w:w="1800"/>
        <w:gridCol w:w="1440"/>
        <w:gridCol w:w="1460"/>
      </w:tblGrid>
      <w:tr w:rsidR="009802C0" w:rsidRPr="003B6B9A" w:rsidTr="001040FB">
        <w:trPr>
          <w:cantSplit/>
          <w:trHeight w:val="193"/>
        </w:trPr>
        <w:tc>
          <w:tcPr>
            <w:tcW w:w="1544" w:type="dxa"/>
            <w:vMerge w:val="restart"/>
            <w:tcBorders>
              <w:top w:val="single" w:sz="4" w:space="0" w:color="auto"/>
              <w:left w:val="nil"/>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3033" w:type="dxa"/>
            <w:gridSpan w:val="2"/>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w:t>
            </w:r>
            <w:r w:rsidRPr="003B6B9A">
              <w:rPr>
                <w:rFonts w:eastAsia="標楷體"/>
              </w:rPr>
              <w:t xml:space="preserve">  </w:t>
            </w:r>
            <w:r w:rsidRPr="003B6B9A">
              <w:rPr>
                <w:rFonts w:eastAsia="標楷體"/>
              </w:rPr>
              <w:t>口</w:t>
            </w:r>
          </w:p>
        </w:tc>
        <w:tc>
          <w:tcPr>
            <w:tcW w:w="3240" w:type="dxa"/>
            <w:gridSpan w:val="2"/>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進</w:t>
            </w:r>
            <w:r w:rsidRPr="003B6B9A">
              <w:rPr>
                <w:rFonts w:eastAsia="標楷體"/>
              </w:rPr>
              <w:t xml:space="preserve">  </w:t>
            </w:r>
            <w:r w:rsidRPr="003B6B9A">
              <w:rPr>
                <w:rFonts w:eastAsia="標楷體"/>
              </w:rPr>
              <w:t>口</w:t>
            </w:r>
          </w:p>
        </w:tc>
        <w:tc>
          <w:tcPr>
            <w:tcW w:w="1460" w:type="dxa"/>
            <w:vMerge w:val="restart"/>
            <w:tcBorders>
              <w:top w:val="single" w:sz="4" w:space="0" w:color="auto"/>
              <w:left w:val="single" w:sz="4" w:space="0" w:color="auto"/>
              <w:bottom w:val="single" w:sz="4" w:space="0" w:color="auto"/>
              <w:right w:val="nil"/>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出入超</w:t>
            </w:r>
          </w:p>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w:t>
            </w:r>
            <w:r w:rsidRPr="003B6B9A">
              <w:rPr>
                <w:rFonts w:eastAsia="標楷體"/>
              </w:rPr>
              <w:t>億美元</w:t>
            </w:r>
            <w:r w:rsidRPr="003B6B9A">
              <w:rPr>
                <w:rFonts w:eastAsia="標楷體"/>
              </w:rPr>
              <w:t>)</w:t>
            </w:r>
          </w:p>
        </w:tc>
      </w:tr>
      <w:tr w:rsidR="009802C0" w:rsidRPr="003B6B9A" w:rsidTr="001040FB">
        <w:trPr>
          <w:cantSplit/>
          <w:trHeight w:val="326"/>
        </w:trPr>
        <w:tc>
          <w:tcPr>
            <w:tcW w:w="1544" w:type="dxa"/>
            <w:vMerge/>
            <w:tcBorders>
              <w:top w:val="single" w:sz="4" w:space="0" w:color="auto"/>
              <w:left w:val="nil"/>
              <w:bottom w:val="single" w:sz="4" w:space="0" w:color="auto"/>
              <w:right w:val="single" w:sz="4" w:space="0" w:color="auto"/>
            </w:tcBorders>
            <w:vAlign w:val="center"/>
          </w:tcPr>
          <w:p w:rsidR="009802C0" w:rsidRPr="003B6B9A" w:rsidRDefault="009802C0" w:rsidP="001040FB">
            <w:pPr>
              <w:snapToGrid w:val="0"/>
              <w:spacing w:line="340" w:lineRule="exact"/>
              <w:ind w:left="30"/>
              <w:rPr>
                <w:rFonts w:eastAsia="標楷體"/>
              </w:rPr>
            </w:pPr>
          </w:p>
        </w:tc>
        <w:tc>
          <w:tcPr>
            <w:tcW w:w="1800"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233"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800"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440"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460" w:type="dxa"/>
            <w:vMerge/>
            <w:tcBorders>
              <w:top w:val="single" w:sz="4" w:space="0" w:color="auto"/>
              <w:left w:val="single" w:sz="4" w:space="0" w:color="auto"/>
              <w:bottom w:val="single" w:sz="4" w:space="0" w:color="auto"/>
              <w:right w:val="nil"/>
            </w:tcBorders>
            <w:vAlign w:val="center"/>
          </w:tcPr>
          <w:p w:rsidR="009802C0" w:rsidRPr="003B6B9A" w:rsidRDefault="009802C0" w:rsidP="001040FB">
            <w:pPr>
              <w:snapToGrid w:val="0"/>
              <w:spacing w:line="340" w:lineRule="exact"/>
              <w:ind w:left="30"/>
              <w:jc w:val="center"/>
              <w:rPr>
                <w:rFonts w:eastAsia="標楷體"/>
              </w:rPr>
            </w:pP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left="28" w:right="-6"/>
              <w:jc w:val="both"/>
              <w:rPr>
                <w:rFonts w:eastAsia="標楷體"/>
                <w:b/>
                <w:bCs/>
              </w:rPr>
            </w:pPr>
            <w:r w:rsidRPr="003B6B9A">
              <w:rPr>
                <w:rFonts w:eastAsia="標楷體"/>
                <w:b/>
                <w:bCs/>
              </w:rPr>
              <w:t xml:space="preserve">  99</w:t>
            </w:r>
            <w:r w:rsidRPr="003B6B9A">
              <w:rPr>
                <w:rFonts w:eastAsia="標楷體"/>
                <w:b/>
                <w:bCs/>
              </w:rPr>
              <w:t>年</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b/>
                <w:bCs/>
              </w:rPr>
            </w:pPr>
            <w:r w:rsidRPr="003B6B9A">
              <w:rPr>
                <w:rFonts w:eastAsia="標楷體"/>
                <w:b/>
                <w:bCs/>
              </w:rPr>
              <w:t>2,746.0</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b/>
                <w:bCs/>
              </w:rPr>
            </w:pPr>
            <w:r w:rsidRPr="003B6B9A">
              <w:rPr>
                <w:rFonts w:eastAsia="標楷體"/>
                <w:b/>
                <w:bCs/>
              </w:rPr>
              <w:t>34.8</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b/>
                <w:bCs/>
              </w:rPr>
            </w:pPr>
            <w:r w:rsidRPr="003B6B9A">
              <w:rPr>
                <w:rFonts w:eastAsia="標楷體"/>
                <w:b/>
                <w:bCs/>
              </w:rPr>
              <w:t>2,512.4</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b/>
                <w:bCs/>
              </w:rPr>
            </w:pPr>
            <w:r w:rsidRPr="003B6B9A">
              <w:rPr>
                <w:rFonts w:eastAsia="標楷體"/>
                <w:b/>
                <w:bCs/>
              </w:rPr>
              <w:t>44.1</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b/>
                <w:bCs/>
              </w:rPr>
            </w:pPr>
            <w:r w:rsidRPr="003B6B9A">
              <w:rPr>
                <w:rFonts w:eastAsia="標楷體"/>
                <w:b/>
                <w:bCs/>
              </w:rPr>
              <w:t>233.6</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b/>
                <w:bCs/>
              </w:rPr>
            </w:pPr>
            <w:r w:rsidRPr="003B6B9A">
              <w:rPr>
                <w:rFonts w:eastAsia="標楷體"/>
                <w:b/>
                <w:bCs/>
              </w:rPr>
              <w:t xml:space="preserve"> 100</w:t>
            </w:r>
            <w:r w:rsidRPr="003B6B9A">
              <w:rPr>
                <w:rFonts w:eastAsia="標楷體"/>
                <w:b/>
                <w:bCs/>
              </w:rPr>
              <w:t>年</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b/>
                <w:bCs/>
              </w:rPr>
            </w:pPr>
            <w:r w:rsidRPr="003B6B9A">
              <w:rPr>
                <w:rFonts w:eastAsia="標楷體"/>
                <w:b/>
                <w:bCs/>
              </w:rPr>
              <w:t>3,082.6</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b/>
                <w:bCs/>
              </w:rPr>
            </w:pPr>
            <w:r w:rsidRPr="003B6B9A">
              <w:rPr>
                <w:rFonts w:eastAsia="標楷體"/>
                <w:b/>
                <w:bCs/>
              </w:rPr>
              <w:t>12.3</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b/>
                <w:bCs/>
              </w:rPr>
            </w:pPr>
            <w:r w:rsidRPr="003B6B9A">
              <w:rPr>
                <w:rFonts w:eastAsia="標楷體"/>
                <w:b/>
                <w:bCs/>
              </w:rPr>
              <w:t>2,814.4</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b/>
                <w:bCs/>
              </w:rPr>
            </w:pPr>
            <w:r w:rsidRPr="003B6B9A">
              <w:rPr>
                <w:rFonts w:eastAsia="標楷體"/>
                <w:b/>
                <w:bCs/>
              </w:rPr>
              <w:t>12.0</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b/>
                <w:bCs/>
              </w:rPr>
            </w:pPr>
            <w:r w:rsidRPr="003B6B9A">
              <w:rPr>
                <w:rFonts w:eastAsia="標楷體"/>
                <w:b/>
                <w:bCs/>
              </w:rPr>
              <w:t>268.2</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101</w:t>
            </w:r>
            <w:r w:rsidRPr="003B6B9A">
              <w:rPr>
                <w:rFonts w:eastAsia="標楷體"/>
                <w:b/>
                <w:bCs/>
              </w:rPr>
              <w:t>年</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b/>
                <w:bCs/>
              </w:rPr>
            </w:pPr>
            <w:r w:rsidRPr="003B6B9A">
              <w:rPr>
                <w:rFonts w:eastAsia="標楷體"/>
                <w:b/>
                <w:bCs/>
              </w:rPr>
              <w:t>3,011.8</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b/>
                <w:bCs/>
              </w:rPr>
            </w:pPr>
            <w:r w:rsidRPr="003B6B9A">
              <w:rPr>
                <w:rFonts w:eastAsia="標楷體"/>
                <w:b/>
                <w:bCs/>
              </w:rPr>
              <w:t>-2.3</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b/>
                <w:bCs/>
              </w:rPr>
            </w:pPr>
            <w:r w:rsidRPr="003B6B9A">
              <w:rPr>
                <w:rFonts w:eastAsia="標楷體"/>
                <w:b/>
                <w:bCs/>
              </w:rPr>
              <w:t>2,704.7</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b/>
                <w:bCs/>
              </w:rPr>
            </w:pPr>
            <w:r w:rsidRPr="003B6B9A">
              <w:rPr>
                <w:rFonts w:eastAsia="標楷體"/>
                <w:b/>
                <w:bCs/>
              </w:rPr>
              <w:t>-3.9</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b/>
                <w:bCs/>
              </w:rPr>
            </w:pPr>
            <w:r w:rsidRPr="003B6B9A">
              <w:rPr>
                <w:rFonts w:eastAsia="標楷體"/>
                <w:b/>
                <w:bCs/>
              </w:rPr>
              <w:t>307.1</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102</w:t>
            </w:r>
            <w:r w:rsidRPr="003B6B9A">
              <w:rPr>
                <w:rFonts w:eastAsia="標楷體"/>
                <w:b/>
                <w:bCs/>
              </w:rPr>
              <w:t>年</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b/>
              </w:rPr>
            </w:pPr>
            <w:r w:rsidRPr="003B6B9A">
              <w:rPr>
                <w:rFonts w:eastAsia="標楷體"/>
                <w:b/>
              </w:rPr>
              <w:t>3,054.4</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b/>
              </w:rPr>
            </w:pPr>
            <w:r w:rsidRPr="003B6B9A">
              <w:rPr>
                <w:rFonts w:eastAsia="標楷體"/>
                <w:b/>
              </w:rPr>
              <w:t>1.4</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b/>
              </w:rPr>
            </w:pPr>
            <w:r w:rsidRPr="003B6B9A">
              <w:rPr>
                <w:rFonts w:eastAsia="標楷體"/>
                <w:b/>
              </w:rPr>
              <w:t>2,699.0</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b/>
              </w:rPr>
            </w:pPr>
            <w:r w:rsidRPr="003B6B9A">
              <w:rPr>
                <w:rFonts w:eastAsia="標楷體"/>
                <w:b/>
              </w:rPr>
              <w:t>-0.2</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b/>
              </w:rPr>
            </w:pPr>
            <w:r w:rsidRPr="003B6B9A">
              <w:rPr>
                <w:rFonts w:eastAsia="標楷體"/>
                <w:b/>
              </w:rPr>
              <w:t>355.4</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103</w:t>
            </w:r>
            <w:r w:rsidRPr="003B6B9A">
              <w:rPr>
                <w:rFonts w:eastAsia="標楷體"/>
                <w:b/>
                <w:bCs/>
              </w:rPr>
              <w:t>年</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b/>
              </w:rPr>
            </w:pPr>
            <w:r w:rsidRPr="003B6B9A">
              <w:rPr>
                <w:rFonts w:eastAsia="標楷體"/>
                <w:b/>
              </w:rPr>
              <w:t>3,137.0</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b/>
              </w:rPr>
            </w:pPr>
            <w:r w:rsidRPr="003B6B9A">
              <w:rPr>
                <w:rFonts w:eastAsia="標楷體"/>
                <w:b/>
              </w:rPr>
              <w:t>2.7</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b/>
              </w:rPr>
            </w:pPr>
            <w:r w:rsidRPr="003B6B9A">
              <w:rPr>
                <w:rFonts w:eastAsia="標楷體"/>
                <w:b/>
              </w:rPr>
              <w:t>2,740.3</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b/>
              </w:rPr>
            </w:pPr>
            <w:r w:rsidRPr="003B6B9A">
              <w:rPr>
                <w:rFonts w:eastAsia="標楷體"/>
                <w:b/>
              </w:rPr>
              <w:t>1.5</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b/>
              </w:rPr>
            </w:pPr>
            <w:r w:rsidRPr="003B6B9A">
              <w:rPr>
                <w:rFonts w:eastAsia="標楷體"/>
                <w:b/>
              </w:rPr>
              <w:t>396.7</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4</w:t>
            </w:r>
            <w:r w:rsidRPr="003B6B9A">
              <w:rPr>
                <w:rFonts w:eastAsia="標楷體"/>
              </w:rPr>
              <w:t>月</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rPr>
            </w:pPr>
            <w:r w:rsidRPr="003B6B9A">
              <w:rPr>
                <w:rFonts w:eastAsia="標楷體"/>
              </w:rPr>
              <w:t>266.0</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rPr>
            </w:pPr>
            <w:r w:rsidRPr="003B6B9A">
              <w:rPr>
                <w:rFonts w:eastAsia="標楷體"/>
              </w:rPr>
              <w:t>6.2</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rPr>
            </w:pPr>
            <w:r w:rsidRPr="003B6B9A">
              <w:rPr>
                <w:rFonts w:eastAsia="標楷體"/>
              </w:rPr>
              <w:t>240.5</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rPr>
            </w:pPr>
            <w:r w:rsidRPr="003B6B9A">
              <w:rPr>
                <w:rFonts w:eastAsia="標楷體"/>
              </w:rPr>
              <w:t>5.7</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rPr>
            </w:pPr>
            <w:r w:rsidRPr="003B6B9A">
              <w:rPr>
                <w:rFonts w:eastAsia="標楷體"/>
              </w:rPr>
              <w:t>25.5</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5</w:t>
            </w:r>
            <w:r w:rsidRPr="003B6B9A">
              <w:rPr>
                <w:rFonts w:eastAsia="標楷體"/>
              </w:rPr>
              <w:t>月</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rPr>
            </w:pPr>
            <w:r w:rsidRPr="003B6B9A">
              <w:rPr>
                <w:rFonts w:eastAsia="標楷體"/>
              </w:rPr>
              <w:t>266.6</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rPr>
            </w:pPr>
            <w:r w:rsidRPr="003B6B9A">
              <w:rPr>
                <w:rFonts w:eastAsia="標楷體"/>
              </w:rPr>
              <w:t>1.4</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rPr>
            </w:pPr>
            <w:r w:rsidRPr="003B6B9A">
              <w:rPr>
                <w:rFonts w:eastAsia="標楷體"/>
              </w:rPr>
              <w:t>213.7</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rPr>
            </w:pPr>
            <w:r w:rsidRPr="003B6B9A">
              <w:rPr>
                <w:rFonts w:eastAsia="標楷體"/>
              </w:rPr>
              <w:t>-2.3</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rPr>
            </w:pPr>
            <w:r w:rsidRPr="003B6B9A">
              <w:rPr>
                <w:rFonts w:eastAsia="標楷體"/>
              </w:rPr>
              <w:t>52.8</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6</w:t>
            </w:r>
            <w:r w:rsidRPr="003B6B9A">
              <w:rPr>
                <w:rFonts w:eastAsia="標楷體"/>
              </w:rPr>
              <w:t>月</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rPr>
            </w:pPr>
            <w:r w:rsidRPr="003B6B9A">
              <w:rPr>
                <w:rFonts w:eastAsia="標楷體"/>
              </w:rPr>
              <w:t>268.0</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rPr>
            </w:pPr>
            <w:r w:rsidRPr="003B6B9A">
              <w:rPr>
                <w:rFonts w:eastAsia="標楷體"/>
              </w:rPr>
              <w:t>1.2</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rPr>
            </w:pPr>
            <w:r w:rsidRPr="003B6B9A">
              <w:rPr>
                <w:rFonts w:eastAsia="標楷體"/>
              </w:rPr>
              <w:t>249.0</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rPr>
            </w:pPr>
            <w:r w:rsidRPr="003B6B9A">
              <w:rPr>
                <w:rFonts w:eastAsia="標楷體"/>
              </w:rPr>
              <w:t>7.4</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rPr>
            </w:pPr>
            <w:r w:rsidRPr="003B6B9A">
              <w:rPr>
                <w:rFonts w:eastAsia="標楷體"/>
              </w:rPr>
              <w:t>19.0</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7</w:t>
            </w:r>
            <w:r w:rsidRPr="003B6B9A">
              <w:rPr>
                <w:rFonts w:eastAsia="標楷體"/>
              </w:rPr>
              <w:t>月</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rPr>
            </w:pPr>
            <w:r w:rsidRPr="003B6B9A">
              <w:rPr>
                <w:rFonts w:eastAsia="標楷體"/>
              </w:rPr>
              <w:t>267.4</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rPr>
            </w:pPr>
            <w:r w:rsidRPr="003B6B9A">
              <w:rPr>
                <w:rFonts w:eastAsia="標楷體"/>
              </w:rPr>
              <w:t>5.7</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rPr>
            </w:pPr>
            <w:r w:rsidRPr="003B6B9A">
              <w:rPr>
                <w:rFonts w:eastAsia="標楷體"/>
              </w:rPr>
              <w:t>241.3</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rPr>
            </w:pPr>
            <w:r w:rsidRPr="003B6B9A">
              <w:rPr>
                <w:rFonts w:eastAsia="標楷體"/>
              </w:rPr>
              <w:t>9.3</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rPr>
            </w:pPr>
            <w:r w:rsidRPr="003B6B9A">
              <w:rPr>
                <w:rFonts w:eastAsia="標楷體"/>
              </w:rPr>
              <w:t>26.1</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8</w:t>
            </w:r>
            <w:r w:rsidRPr="003B6B9A">
              <w:rPr>
                <w:rFonts w:eastAsia="標楷體"/>
              </w:rPr>
              <w:t>月</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rPr>
            </w:pPr>
            <w:r w:rsidRPr="003B6B9A">
              <w:rPr>
                <w:rFonts w:eastAsia="標楷體"/>
              </w:rPr>
              <w:t>280.7</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rPr>
            </w:pPr>
            <w:r w:rsidRPr="003B6B9A">
              <w:rPr>
                <w:rFonts w:eastAsia="標楷體"/>
              </w:rPr>
              <w:t>9.5</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rPr>
            </w:pPr>
            <w:r w:rsidRPr="003B6B9A">
              <w:rPr>
                <w:rFonts w:eastAsia="標楷體"/>
              </w:rPr>
              <w:t>239.7</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rPr>
            </w:pPr>
            <w:r w:rsidRPr="003B6B9A">
              <w:rPr>
                <w:rFonts w:eastAsia="標楷體"/>
              </w:rPr>
              <w:t>13.9</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rPr>
            </w:pPr>
            <w:r w:rsidRPr="003B6B9A">
              <w:rPr>
                <w:rFonts w:eastAsia="標楷體"/>
              </w:rPr>
              <w:t>41.0</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9</w:t>
            </w:r>
            <w:r w:rsidRPr="003B6B9A">
              <w:rPr>
                <w:rFonts w:eastAsia="標楷體"/>
              </w:rPr>
              <w:t>月</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rPr>
            </w:pPr>
            <w:r w:rsidRPr="003B6B9A">
              <w:rPr>
                <w:rFonts w:eastAsia="標楷體"/>
              </w:rPr>
              <w:t>264.1</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rPr>
            </w:pPr>
            <w:r w:rsidRPr="003B6B9A">
              <w:rPr>
                <w:rFonts w:eastAsia="標楷體"/>
              </w:rPr>
              <w:t>4.6</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rPr>
            </w:pPr>
            <w:r w:rsidRPr="003B6B9A">
              <w:rPr>
                <w:rFonts w:eastAsia="標楷體"/>
              </w:rPr>
              <w:t>228.7</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rPr>
            </w:pPr>
            <w:r w:rsidRPr="003B6B9A">
              <w:rPr>
                <w:rFonts w:eastAsia="標楷體"/>
              </w:rPr>
              <w:t>-0.1</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rPr>
            </w:pPr>
            <w:r w:rsidRPr="003B6B9A">
              <w:rPr>
                <w:rFonts w:eastAsia="標楷體"/>
              </w:rPr>
              <w:t>35.4</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10</w:t>
            </w:r>
            <w:r w:rsidRPr="003B6B9A">
              <w:rPr>
                <w:rFonts w:eastAsia="標楷體"/>
              </w:rPr>
              <w:t>月</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rPr>
            </w:pPr>
            <w:r w:rsidRPr="003B6B9A">
              <w:rPr>
                <w:rFonts w:eastAsia="標楷體"/>
              </w:rPr>
              <w:t>268.8</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rPr>
            </w:pPr>
            <w:r w:rsidRPr="003B6B9A">
              <w:rPr>
                <w:rFonts w:eastAsia="標楷體"/>
              </w:rPr>
              <w:t>0.6</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rPr>
            </w:pPr>
            <w:r w:rsidRPr="003B6B9A">
              <w:rPr>
                <w:rFonts w:eastAsia="標楷體"/>
              </w:rPr>
              <w:t>222.6</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rPr>
            </w:pPr>
            <w:r w:rsidRPr="003B6B9A">
              <w:rPr>
                <w:rFonts w:eastAsia="標楷體"/>
              </w:rPr>
              <w:t>-1.5</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rPr>
            </w:pPr>
            <w:r w:rsidRPr="003B6B9A">
              <w:rPr>
                <w:rFonts w:eastAsia="標楷體"/>
              </w:rPr>
              <w:t>46.2</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11</w:t>
            </w:r>
            <w:r w:rsidRPr="003B6B9A">
              <w:rPr>
                <w:rFonts w:eastAsia="標楷體"/>
              </w:rPr>
              <w:t>月</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rPr>
            </w:pPr>
            <w:r w:rsidRPr="003B6B9A">
              <w:rPr>
                <w:rFonts w:eastAsia="標楷體"/>
              </w:rPr>
              <w:t>266.4</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rPr>
            </w:pPr>
            <w:r w:rsidRPr="003B6B9A">
              <w:rPr>
                <w:rFonts w:eastAsia="標楷體"/>
              </w:rPr>
              <w:t>3.5</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rPr>
            </w:pPr>
            <w:r w:rsidRPr="003B6B9A">
              <w:rPr>
                <w:rFonts w:eastAsia="標楷體"/>
              </w:rPr>
              <w:t>224.6</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rPr>
            </w:pPr>
            <w:r w:rsidRPr="003B6B9A">
              <w:rPr>
                <w:rFonts w:eastAsia="標楷體"/>
              </w:rPr>
              <w:t>5.0</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rPr>
            </w:pPr>
            <w:r w:rsidRPr="003B6B9A">
              <w:rPr>
                <w:rFonts w:eastAsia="標楷體"/>
              </w:rPr>
              <w:t>41.8</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12</w:t>
            </w:r>
            <w:r w:rsidRPr="003B6B9A">
              <w:rPr>
                <w:rFonts w:eastAsia="標楷體"/>
              </w:rPr>
              <w:t>月</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rPr>
            </w:pPr>
            <w:r w:rsidRPr="003B6B9A">
              <w:rPr>
                <w:rFonts w:eastAsia="標楷體"/>
              </w:rPr>
              <w:t>256.1</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rPr>
            </w:pPr>
            <w:r w:rsidRPr="003B6B9A">
              <w:rPr>
                <w:rFonts w:eastAsia="標楷體"/>
              </w:rPr>
              <w:t>-2.9</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rPr>
            </w:pPr>
            <w:r w:rsidRPr="003B6B9A">
              <w:rPr>
                <w:rFonts w:eastAsia="標楷體"/>
              </w:rPr>
              <w:t>212.0</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rPr>
            </w:pPr>
            <w:r w:rsidRPr="003B6B9A">
              <w:rPr>
                <w:rFonts w:eastAsia="標楷體"/>
              </w:rPr>
              <w:t>-12.3</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rPr>
            </w:pPr>
            <w:r w:rsidRPr="003B6B9A">
              <w:rPr>
                <w:rFonts w:eastAsia="標楷體"/>
              </w:rPr>
              <w:t>44.1</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104</w:t>
            </w:r>
            <w:r w:rsidRPr="003B6B9A">
              <w:rPr>
                <w:rFonts w:eastAsia="標楷體"/>
                <w:b/>
                <w:bCs/>
              </w:rPr>
              <w:t>年</w:t>
            </w:r>
            <w:r w:rsidRPr="003B6B9A">
              <w:rPr>
                <w:rFonts w:eastAsia="標楷體"/>
                <w:b/>
                <w:bCs/>
              </w:rPr>
              <w:t>1~4</w:t>
            </w:r>
            <w:r w:rsidRPr="003B6B9A">
              <w:rPr>
                <w:rFonts w:eastAsia="標楷體"/>
                <w:b/>
                <w:bCs/>
              </w:rPr>
              <w:t>月</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b/>
              </w:rPr>
            </w:pPr>
            <w:r w:rsidRPr="003B6B9A">
              <w:rPr>
                <w:rFonts w:eastAsia="標楷體"/>
                <w:b/>
              </w:rPr>
              <w:t>937.3</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b/>
              </w:rPr>
            </w:pPr>
            <w:r w:rsidRPr="003B6B9A">
              <w:rPr>
                <w:rFonts w:eastAsia="標楷體"/>
                <w:b/>
              </w:rPr>
              <w:t>-6.2</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b/>
              </w:rPr>
            </w:pPr>
            <w:r w:rsidRPr="003B6B9A">
              <w:rPr>
                <w:rFonts w:eastAsia="標楷體"/>
                <w:b/>
              </w:rPr>
              <w:t>755.6</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b/>
              </w:rPr>
            </w:pPr>
            <w:r w:rsidRPr="003B6B9A">
              <w:rPr>
                <w:rFonts w:eastAsia="標楷體"/>
                <w:b/>
              </w:rPr>
              <w:t>-16.8</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b/>
              </w:rPr>
            </w:pPr>
            <w:r w:rsidRPr="003B6B9A">
              <w:rPr>
                <w:rFonts w:eastAsia="標楷體"/>
                <w:b/>
              </w:rPr>
              <w:t>181.7</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1</w:t>
            </w:r>
            <w:r w:rsidRPr="003B6B9A">
              <w:rPr>
                <w:rFonts w:eastAsia="標楷體"/>
                <w:bCs/>
              </w:rPr>
              <w:t>月</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rPr>
            </w:pPr>
            <w:r w:rsidRPr="003B6B9A">
              <w:rPr>
                <w:rFonts w:eastAsia="標楷體"/>
              </w:rPr>
              <w:t>251.1</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rPr>
            </w:pPr>
            <w:r w:rsidRPr="003B6B9A">
              <w:rPr>
                <w:rFonts w:eastAsia="標楷體"/>
              </w:rPr>
              <w:t>3.4</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rPr>
            </w:pPr>
            <w:r w:rsidRPr="003B6B9A">
              <w:rPr>
                <w:rFonts w:eastAsia="標楷體"/>
              </w:rPr>
              <w:t>203.3</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rPr>
            </w:pPr>
            <w:r w:rsidRPr="003B6B9A">
              <w:rPr>
                <w:rFonts w:eastAsia="標楷體"/>
              </w:rPr>
              <w:t>-4.7</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rPr>
            </w:pPr>
            <w:r w:rsidRPr="003B6B9A">
              <w:rPr>
                <w:rFonts w:eastAsia="標楷體"/>
              </w:rPr>
              <w:t>47.8</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2</w:t>
            </w:r>
            <w:r w:rsidRPr="003B6B9A">
              <w:rPr>
                <w:rFonts w:eastAsia="標楷體"/>
                <w:bCs/>
              </w:rPr>
              <w:t>月</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rPr>
            </w:pPr>
            <w:r w:rsidRPr="003B6B9A">
              <w:rPr>
                <w:rFonts w:eastAsia="標楷體"/>
              </w:rPr>
              <w:t>198.6</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rPr>
            </w:pPr>
            <w:r w:rsidRPr="003B6B9A">
              <w:rPr>
                <w:rFonts w:eastAsia="標楷體"/>
              </w:rPr>
              <w:t>-6.7</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rPr>
            </w:pPr>
            <w:r w:rsidRPr="003B6B9A">
              <w:rPr>
                <w:rFonts w:eastAsia="標楷體"/>
              </w:rPr>
              <w:t>153.0</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rPr>
            </w:pPr>
            <w:r w:rsidRPr="003B6B9A">
              <w:rPr>
                <w:rFonts w:eastAsia="標楷體"/>
              </w:rPr>
              <w:t>-22.4</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rPr>
            </w:pPr>
            <w:r w:rsidRPr="003B6B9A">
              <w:rPr>
                <w:rFonts w:eastAsia="標楷體"/>
              </w:rPr>
              <w:t>45.</w:t>
            </w:r>
            <w:r w:rsidRPr="003B6B9A">
              <w:rPr>
                <w:rFonts w:eastAsia="標楷體" w:hint="eastAsia"/>
              </w:rPr>
              <w:t>6</w:t>
            </w:r>
          </w:p>
        </w:tc>
      </w:tr>
      <w:tr w:rsidR="009802C0" w:rsidRPr="003B6B9A" w:rsidTr="001040FB">
        <w:trPr>
          <w:trHeight w:val="351"/>
        </w:trPr>
        <w:tc>
          <w:tcPr>
            <w:tcW w:w="1544" w:type="dxa"/>
            <w:tcBorders>
              <w:top w:val="nil"/>
              <w:left w:val="nil"/>
              <w:bottom w:val="nil"/>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3</w:t>
            </w:r>
            <w:r w:rsidRPr="003B6B9A">
              <w:rPr>
                <w:rFonts w:eastAsia="標楷體"/>
                <w:bCs/>
              </w:rPr>
              <w:t>月</w:t>
            </w:r>
            <w:r w:rsidRPr="003B6B9A">
              <w:rPr>
                <w:rFonts w:eastAsia="標楷體"/>
                <w:bCs/>
              </w:rPr>
              <w:t xml:space="preserve"> </w:t>
            </w:r>
          </w:p>
        </w:tc>
        <w:tc>
          <w:tcPr>
            <w:tcW w:w="1800" w:type="dxa"/>
            <w:tcBorders>
              <w:top w:val="nil"/>
              <w:left w:val="single" w:sz="4" w:space="0" w:color="auto"/>
              <w:bottom w:val="nil"/>
              <w:right w:val="nil"/>
            </w:tcBorders>
            <w:vAlign w:val="center"/>
          </w:tcPr>
          <w:p w:rsidR="009802C0" w:rsidRPr="003B6B9A" w:rsidRDefault="009802C0" w:rsidP="001040FB">
            <w:pPr>
              <w:snapToGrid w:val="0"/>
              <w:spacing w:line="320" w:lineRule="exact"/>
              <w:ind w:right="480"/>
              <w:jc w:val="right"/>
              <w:rPr>
                <w:rFonts w:eastAsia="標楷體"/>
              </w:rPr>
            </w:pPr>
            <w:r w:rsidRPr="003B6B9A">
              <w:rPr>
                <w:rFonts w:eastAsia="標楷體"/>
              </w:rPr>
              <w:t>252.7</w:t>
            </w:r>
          </w:p>
        </w:tc>
        <w:tc>
          <w:tcPr>
            <w:tcW w:w="1233" w:type="dxa"/>
            <w:tcBorders>
              <w:top w:val="nil"/>
              <w:left w:val="nil"/>
              <w:bottom w:val="nil"/>
              <w:right w:val="nil"/>
            </w:tcBorders>
            <w:vAlign w:val="center"/>
          </w:tcPr>
          <w:p w:rsidR="009802C0" w:rsidRPr="003B6B9A" w:rsidRDefault="009802C0" w:rsidP="001040FB">
            <w:pPr>
              <w:snapToGrid w:val="0"/>
              <w:spacing w:line="320" w:lineRule="exact"/>
              <w:ind w:right="296"/>
              <w:jc w:val="right"/>
              <w:rPr>
                <w:rFonts w:eastAsia="標楷體"/>
              </w:rPr>
            </w:pPr>
            <w:r w:rsidRPr="003B6B9A">
              <w:rPr>
                <w:rFonts w:eastAsia="標楷體"/>
              </w:rPr>
              <w:t>-8.9</w:t>
            </w:r>
          </w:p>
        </w:tc>
        <w:tc>
          <w:tcPr>
            <w:tcW w:w="1800" w:type="dxa"/>
            <w:tcBorders>
              <w:top w:val="nil"/>
              <w:left w:val="nil"/>
              <w:bottom w:val="nil"/>
              <w:right w:val="nil"/>
            </w:tcBorders>
            <w:vAlign w:val="center"/>
          </w:tcPr>
          <w:p w:rsidR="009802C0" w:rsidRPr="003B6B9A" w:rsidRDefault="009802C0" w:rsidP="001040FB">
            <w:pPr>
              <w:snapToGrid w:val="0"/>
              <w:spacing w:line="320" w:lineRule="exact"/>
              <w:ind w:right="536"/>
              <w:jc w:val="right"/>
              <w:rPr>
                <w:rFonts w:eastAsia="標楷體"/>
              </w:rPr>
            </w:pPr>
            <w:r w:rsidRPr="003B6B9A">
              <w:rPr>
                <w:rFonts w:eastAsia="標楷體"/>
              </w:rPr>
              <w:t>212.1</w:t>
            </w:r>
          </w:p>
        </w:tc>
        <w:tc>
          <w:tcPr>
            <w:tcW w:w="1440" w:type="dxa"/>
            <w:tcBorders>
              <w:top w:val="nil"/>
              <w:left w:val="nil"/>
              <w:bottom w:val="nil"/>
              <w:right w:val="nil"/>
            </w:tcBorders>
            <w:vAlign w:val="center"/>
          </w:tcPr>
          <w:p w:rsidR="009802C0" w:rsidRPr="003B6B9A" w:rsidRDefault="009802C0" w:rsidP="001040FB">
            <w:pPr>
              <w:snapToGrid w:val="0"/>
              <w:spacing w:line="320" w:lineRule="exact"/>
              <w:ind w:right="417"/>
              <w:jc w:val="right"/>
              <w:rPr>
                <w:rFonts w:eastAsia="標楷體"/>
              </w:rPr>
            </w:pPr>
            <w:r w:rsidRPr="003B6B9A">
              <w:rPr>
                <w:rFonts w:eastAsia="標楷體"/>
              </w:rPr>
              <w:t>-17.7</w:t>
            </w:r>
          </w:p>
        </w:tc>
        <w:tc>
          <w:tcPr>
            <w:tcW w:w="1460" w:type="dxa"/>
            <w:tcBorders>
              <w:top w:val="nil"/>
              <w:left w:val="nil"/>
              <w:bottom w:val="nil"/>
              <w:right w:val="nil"/>
            </w:tcBorders>
            <w:vAlign w:val="center"/>
          </w:tcPr>
          <w:p w:rsidR="009802C0" w:rsidRPr="003B6B9A" w:rsidRDefault="009802C0" w:rsidP="001040FB">
            <w:pPr>
              <w:snapToGrid w:val="0"/>
              <w:spacing w:line="320" w:lineRule="exact"/>
              <w:ind w:right="460"/>
              <w:jc w:val="right"/>
              <w:rPr>
                <w:rFonts w:eastAsia="標楷體"/>
              </w:rPr>
            </w:pPr>
            <w:r w:rsidRPr="003B6B9A">
              <w:rPr>
                <w:rFonts w:eastAsia="標楷體"/>
              </w:rPr>
              <w:t>40.6</w:t>
            </w:r>
          </w:p>
        </w:tc>
      </w:tr>
      <w:tr w:rsidR="009802C0" w:rsidRPr="003B6B9A" w:rsidTr="001040FB">
        <w:trPr>
          <w:trHeight w:val="351"/>
        </w:trPr>
        <w:tc>
          <w:tcPr>
            <w:tcW w:w="1544" w:type="dxa"/>
            <w:tcBorders>
              <w:top w:val="nil"/>
              <w:left w:val="nil"/>
              <w:bottom w:val="single" w:sz="4" w:space="0" w:color="auto"/>
              <w:right w:val="single" w:sz="4" w:space="0" w:color="auto"/>
            </w:tcBorders>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4</w:t>
            </w:r>
            <w:r w:rsidRPr="003B6B9A">
              <w:rPr>
                <w:rFonts w:eastAsia="標楷體"/>
                <w:bCs/>
              </w:rPr>
              <w:t>月</w:t>
            </w:r>
          </w:p>
        </w:tc>
        <w:tc>
          <w:tcPr>
            <w:tcW w:w="1800" w:type="dxa"/>
            <w:tcBorders>
              <w:top w:val="nil"/>
              <w:left w:val="single" w:sz="4" w:space="0" w:color="auto"/>
              <w:bottom w:val="single" w:sz="4" w:space="0" w:color="auto"/>
              <w:right w:val="nil"/>
            </w:tcBorders>
            <w:vAlign w:val="center"/>
          </w:tcPr>
          <w:p w:rsidR="009802C0" w:rsidRPr="003B6B9A" w:rsidRDefault="009802C0" w:rsidP="001040FB">
            <w:pPr>
              <w:snapToGrid w:val="0"/>
              <w:spacing w:line="320" w:lineRule="exact"/>
              <w:ind w:right="480"/>
              <w:jc w:val="right"/>
              <w:rPr>
                <w:rFonts w:eastAsia="標楷體"/>
              </w:rPr>
            </w:pPr>
            <w:r w:rsidRPr="003B6B9A">
              <w:rPr>
                <w:rFonts w:eastAsia="標楷體"/>
              </w:rPr>
              <w:t>234.9</w:t>
            </w:r>
          </w:p>
        </w:tc>
        <w:tc>
          <w:tcPr>
            <w:tcW w:w="1233" w:type="dxa"/>
            <w:tcBorders>
              <w:top w:val="nil"/>
              <w:left w:val="nil"/>
              <w:bottom w:val="single" w:sz="4" w:space="0" w:color="auto"/>
              <w:right w:val="nil"/>
            </w:tcBorders>
            <w:vAlign w:val="center"/>
          </w:tcPr>
          <w:p w:rsidR="009802C0" w:rsidRPr="003B6B9A" w:rsidRDefault="009802C0" w:rsidP="001040FB">
            <w:pPr>
              <w:snapToGrid w:val="0"/>
              <w:spacing w:line="320" w:lineRule="exact"/>
              <w:ind w:right="296"/>
              <w:jc w:val="right"/>
              <w:rPr>
                <w:rFonts w:eastAsia="標楷體"/>
              </w:rPr>
            </w:pPr>
            <w:r w:rsidRPr="003B6B9A">
              <w:rPr>
                <w:rFonts w:eastAsia="標楷體"/>
              </w:rPr>
              <w:t>-11.7</w:t>
            </w:r>
          </w:p>
        </w:tc>
        <w:tc>
          <w:tcPr>
            <w:tcW w:w="1800" w:type="dxa"/>
            <w:tcBorders>
              <w:top w:val="nil"/>
              <w:left w:val="nil"/>
              <w:bottom w:val="single" w:sz="4" w:space="0" w:color="auto"/>
              <w:right w:val="nil"/>
            </w:tcBorders>
            <w:vAlign w:val="center"/>
          </w:tcPr>
          <w:p w:rsidR="009802C0" w:rsidRPr="003B6B9A" w:rsidRDefault="009802C0" w:rsidP="001040FB">
            <w:pPr>
              <w:snapToGrid w:val="0"/>
              <w:spacing w:line="320" w:lineRule="exact"/>
              <w:ind w:right="536"/>
              <w:jc w:val="right"/>
              <w:rPr>
                <w:rFonts w:eastAsia="標楷體"/>
              </w:rPr>
            </w:pPr>
            <w:r w:rsidRPr="003B6B9A">
              <w:rPr>
                <w:rFonts w:eastAsia="標楷體"/>
              </w:rPr>
              <w:t>187.3</w:t>
            </w:r>
          </w:p>
        </w:tc>
        <w:tc>
          <w:tcPr>
            <w:tcW w:w="1440" w:type="dxa"/>
            <w:tcBorders>
              <w:top w:val="nil"/>
              <w:left w:val="nil"/>
              <w:bottom w:val="single" w:sz="4" w:space="0" w:color="auto"/>
              <w:right w:val="nil"/>
            </w:tcBorders>
            <w:vAlign w:val="center"/>
          </w:tcPr>
          <w:p w:rsidR="009802C0" w:rsidRPr="003B6B9A" w:rsidRDefault="009802C0" w:rsidP="001040FB">
            <w:pPr>
              <w:snapToGrid w:val="0"/>
              <w:spacing w:line="320" w:lineRule="exact"/>
              <w:ind w:right="417"/>
              <w:jc w:val="right"/>
              <w:rPr>
                <w:rFonts w:eastAsia="標楷體"/>
              </w:rPr>
            </w:pPr>
            <w:r w:rsidRPr="003B6B9A">
              <w:rPr>
                <w:rFonts w:eastAsia="標楷體"/>
              </w:rPr>
              <w:t>-22.1</w:t>
            </w:r>
          </w:p>
        </w:tc>
        <w:tc>
          <w:tcPr>
            <w:tcW w:w="1460" w:type="dxa"/>
            <w:tcBorders>
              <w:top w:val="nil"/>
              <w:left w:val="nil"/>
              <w:bottom w:val="single" w:sz="4" w:space="0" w:color="auto"/>
              <w:right w:val="nil"/>
            </w:tcBorders>
            <w:vAlign w:val="center"/>
          </w:tcPr>
          <w:p w:rsidR="009802C0" w:rsidRPr="003B6B9A" w:rsidRDefault="009802C0" w:rsidP="001040FB">
            <w:pPr>
              <w:snapToGrid w:val="0"/>
              <w:spacing w:line="320" w:lineRule="exact"/>
              <w:ind w:right="460"/>
              <w:jc w:val="right"/>
              <w:rPr>
                <w:rFonts w:eastAsia="標楷體"/>
              </w:rPr>
            </w:pPr>
            <w:r w:rsidRPr="003B6B9A">
              <w:rPr>
                <w:rFonts w:eastAsia="標楷體"/>
              </w:rPr>
              <w:t>47.6</w:t>
            </w:r>
          </w:p>
        </w:tc>
      </w:tr>
    </w:tbl>
    <w:p w:rsidR="009802C0" w:rsidRPr="003B6B9A" w:rsidRDefault="009802C0" w:rsidP="009802C0">
      <w:pPr>
        <w:spacing w:line="320" w:lineRule="exact"/>
        <w:ind w:left="708" w:rightChars="-187" w:right="-449" w:hangingChars="322" w:hanging="708"/>
        <w:rPr>
          <w:rFonts w:eastAsia="標楷體"/>
          <w:sz w:val="22"/>
          <w:szCs w:val="22"/>
        </w:rPr>
      </w:pPr>
      <w:r w:rsidRPr="003B6B9A">
        <w:rPr>
          <w:rFonts w:eastAsia="標楷體"/>
          <w:sz w:val="22"/>
          <w:szCs w:val="22"/>
        </w:rPr>
        <w:t>註：</w:t>
      </w:r>
      <w:r w:rsidRPr="003B6B9A">
        <w:rPr>
          <w:rFonts w:eastAsia="標楷體"/>
          <w:sz w:val="22"/>
          <w:szCs w:val="22"/>
        </w:rPr>
        <w:t>1.</w:t>
      </w:r>
      <w:r w:rsidRPr="003B6B9A">
        <w:rPr>
          <w:rFonts w:eastAsia="標楷體"/>
          <w:sz w:val="22"/>
          <w:szCs w:val="22"/>
        </w:rPr>
        <w:t>自</w:t>
      </w:r>
      <w:r w:rsidRPr="003B6B9A">
        <w:rPr>
          <w:rFonts w:eastAsia="標楷體"/>
          <w:sz w:val="22"/>
          <w:szCs w:val="22"/>
        </w:rPr>
        <w:t>95</w:t>
      </w:r>
      <w:r w:rsidRPr="003B6B9A">
        <w:rPr>
          <w:rFonts w:eastAsia="標楷體"/>
          <w:sz w:val="22"/>
          <w:szCs w:val="22"/>
        </w:rPr>
        <w:t>年</w:t>
      </w:r>
      <w:r w:rsidRPr="003B6B9A">
        <w:rPr>
          <w:rFonts w:eastAsia="標楷體"/>
          <w:sz w:val="22"/>
          <w:szCs w:val="22"/>
        </w:rPr>
        <w:t>1</w:t>
      </w:r>
      <w:r w:rsidRPr="003B6B9A">
        <w:rPr>
          <w:rFonts w:eastAsia="標楷體"/>
          <w:sz w:val="22"/>
          <w:szCs w:val="22"/>
        </w:rPr>
        <w:t>月起，進出口貿易統計改依聯合國</w:t>
      </w:r>
      <w:r w:rsidRPr="003B6B9A">
        <w:rPr>
          <w:rFonts w:eastAsia="標楷體"/>
          <w:sz w:val="22"/>
          <w:szCs w:val="22"/>
        </w:rPr>
        <w:t>2004</w:t>
      </w:r>
      <w:r w:rsidRPr="003B6B9A">
        <w:rPr>
          <w:rFonts w:eastAsia="標楷體"/>
          <w:sz w:val="22"/>
          <w:szCs w:val="22"/>
        </w:rPr>
        <w:t>年版「國際商品貿易統計手冊」規範之準則編布，出口及進口總值改採「出口總值＝出口＋復出口」、「進口總值＝進口＋復進口」之編法列示。</w:t>
      </w:r>
    </w:p>
    <w:p w:rsidR="009802C0" w:rsidRPr="003B6B9A" w:rsidRDefault="009802C0" w:rsidP="009802C0">
      <w:pPr>
        <w:spacing w:line="320" w:lineRule="exact"/>
        <w:ind w:leftChars="178" w:left="709" w:rightChars="-187" w:right="-449" w:hangingChars="128" w:hanging="282"/>
        <w:rPr>
          <w:rFonts w:eastAsia="標楷體"/>
          <w:sz w:val="22"/>
          <w:szCs w:val="22"/>
        </w:rPr>
      </w:pPr>
      <w:r w:rsidRPr="003B6B9A">
        <w:rPr>
          <w:rFonts w:eastAsia="標楷體"/>
          <w:sz w:val="22"/>
          <w:szCs w:val="22"/>
        </w:rPr>
        <w:t>2.</w:t>
      </w:r>
      <w:r w:rsidRPr="003B6B9A">
        <w:rPr>
          <w:rFonts w:eastAsia="標楷體"/>
          <w:sz w:val="22"/>
          <w:szCs w:val="22"/>
        </w:rPr>
        <w:t>依據財政部定義，復出口：為外貨進口後因故退回或再轉售國外、或經簡易加工後再出口者。復進口：為國貨出口後因故退回或委外簡易加工後再進口。</w:t>
      </w:r>
    </w:p>
    <w:p w:rsidR="003F3F99" w:rsidRPr="00B118E9" w:rsidRDefault="009802C0" w:rsidP="009802C0">
      <w:pPr>
        <w:spacing w:line="320" w:lineRule="exact"/>
        <w:rPr>
          <w:rFonts w:eastAsia="標楷體"/>
        </w:rPr>
      </w:pPr>
      <w:r w:rsidRPr="003B6B9A">
        <w:rPr>
          <w:rFonts w:eastAsia="標楷體"/>
          <w:sz w:val="22"/>
          <w:szCs w:val="22"/>
        </w:rPr>
        <w:t>資料來源：財政部進出口貿易統計。</w:t>
      </w:r>
    </w:p>
    <w:p w:rsidR="003F3F99" w:rsidRPr="00B118E9" w:rsidRDefault="003F3F99" w:rsidP="003F3F99">
      <w:pPr>
        <w:widowControl/>
        <w:tabs>
          <w:tab w:val="left" w:pos="540"/>
        </w:tabs>
        <w:snapToGrid w:val="0"/>
        <w:spacing w:beforeLines="50" w:before="180" w:line="300" w:lineRule="auto"/>
        <w:ind w:left="566" w:hangingChars="257" w:hanging="566"/>
        <w:jc w:val="both"/>
        <w:rPr>
          <w:rFonts w:eastAsia="標楷體"/>
          <w:b/>
          <w:bCs/>
          <w:color w:val="FF0000"/>
          <w:kern w:val="0"/>
          <w:sz w:val="28"/>
          <w:szCs w:val="20"/>
        </w:rPr>
      </w:pPr>
      <w:r w:rsidRPr="00B118E9">
        <w:rPr>
          <w:rFonts w:eastAsia="標楷體"/>
          <w:b/>
          <w:bCs/>
          <w:color w:val="FF0000"/>
          <w:kern w:val="0"/>
          <w:sz w:val="22"/>
          <w:szCs w:val="22"/>
        </w:rPr>
        <w:br w:type="page"/>
      </w:r>
      <w:r w:rsidRPr="00B118E9">
        <w:rPr>
          <w:rFonts w:eastAsia="標楷體"/>
          <w:b/>
          <w:bCs/>
          <w:kern w:val="0"/>
          <w:sz w:val="28"/>
          <w:szCs w:val="20"/>
        </w:rPr>
        <w:t>２、</w:t>
      </w:r>
      <w:r w:rsidR="009802C0" w:rsidRPr="003B6B9A">
        <w:rPr>
          <w:rFonts w:eastAsia="標楷體"/>
          <w:b/>
          <w:bCs/>
          <w:kern w:val="0"/>
          <w:sz w:val="28"/>
          <w:szCs w:val="20"/>
        </w:rPr>
        <w:t>104</w:t>
      </w:r>
      <w:r w:rsidR="009802C0" w:rsidRPr="003B6B9A">
        <w:rPr>
          <w:rFonts w:eastAsia="標楷體"/>
          <w:b/>
          <w:bCs/>
          <w:kern w:val="0"/>
          <w:sz w:val="28"/>
          <w:szCs w:val="20"/>
        </w:rPr>
        <w:t>年</w:t>
      </w:r>
      <w:r w:rsidR="009802C0" w:rsidRPr="003B6B9A">
        <w:rPr>
          <w:rFonts w:eastAsia="標楷體"/>
          <w:b/>
          <w:bCs/>
          <w:kern w:val="0"/>
          <w:sz w:val="28"/>
          <w:szCs w:val="20"/>
        </w:rPr>
        <w:t>4</w:t>
      </w:r>
      <w:r w:rsidR="009802C0" w:rsidRPr="003B6B9A">
        <w:rPr>
          <w:rFonts w:eastAsia="標楷體"/>
          <w:b/>
          <w:bCs/>
          <w:kern w:val="0"/>
          <w:sz w:val="28"/>
          <w:szCs w:val="20"/>
        </w:rPr>
        <w:t>月我對主要國家</w:t>
      </w:r>
      <w:r w:rsidR="009802C0" w:rsidRPr="003B6B9A">
        <w:rPr>
          <w:rFonts w:eastAsia="標楷體"/>
          <w:b/>
          <w:bCs/>
          <w:kern w:val="0"/>
          <w:sz w:val="28"/>
          <w:szCs w:val="20"/>
        </w:rPr>
        <w:t>(</w:t>
      </w:r>
      <w:r w:rsidR="009802C0" w:rsidRPr="003B6B9A">
        <w:rPr>
          <w:rFonts w:eastAsia="標楷體"/>
          <w:b/>
          <w:bCs/>
          <w:kern w:val="0"/>
          <w:sz w:val="28"/>
          <w:szCs w:val="20"/>
        </w:rPr>
        <w:t>地區</w:t>
      </w:r>
      <w:r w:rsidR="009802C0" w:rsidRPr="003B6B9A">
        <w:rPr>
          <w:rFonts w:eastAsia="標楷體"/>
          <w:b/>
          <w:bCs/>
          <w:kern w:val="0"/>
          <w:sz w:val="28"/>
          <w:szCs w:val="20"/>
        </w:rPr>
        <w:t>)</w:t>
      </w:r>
      <w:r w:rsidR="009802C0" w:rsidRPr="003B6B9A">
        <w:rPr>
          <w:rFonts w:eastAsia="標楷體"/>
          <w:b/>
          <w:bCs/>
          <w:kern w:val="0"/>
          <w:sz w:val="28"/>
          <w:szCs w:val="20"/>
        </w:rPr>
        <w:t>出口增幅最多為日本、進口則均</w:t>
      </w:r>
      <w:r w:rsidR="009802C0" w:rsidRPr="003B6B9A">
        <w:rPr>
          <w:rFonts w:eastAsia="標楷體" w:hint="eastAsia"/>
          <w:b/>
          <w:bCs/>
          <w:kern w:val="0"/>
          <w:sz w:val="28"/>
          <w:szCs w:val="20"/>
        </w:rPr>
        <w:t>呈現衰退</w:t>
      </w:r>
    </w:p>
    <w:p w:rsidR="003F3F99" w:rsidRPr="00B118E9" w:rsidRDefault="009802C0" w:rsidP="00A8137A">
      <w:pPr>
        <w:numPr>
          <w:ilvl w:val="0"/>
          <w:numId w:val="4"/>
        </w:numPr>
        <w:snapToGrid w:val="0"/>
        <w:spacing w:beforeLines="50" w:before="180" w:line="300" w:lineRule="auto"/>
        <w:ind w:left="851" w:right="-142" w:hanging="567"/>
        <w:jc w:val="both"/>
        <w:rPr>
          <w:rFonts w:eastAsia="標楷體"/>
          <w:bCs/>
          <w:color w:val="FF0000"/>
          <w:sz w:val="28"/>
          <w:szCs w:val="22"/>
        </w:rPr>
      </w:pPr>
      <w:r w:rsidRPr="003B6B9A">
        <w:rPr>
          <w:rFonts w:eastAsia="標楷體"/>
          <w:bCs/>
          <w:sz w:val="28"/>
          <w:szCs w:val="22"/>
        </w:rPr>
        <w:t>4</w:t>
      </w:r>
      <w:r w:rsidRPr="003B6B9A">
        <w:rPr>
          <w:rFonts w:eastAsia="標楷體"/>
          <w:bCs/>
          <w:sz w:val="28"/>
          <w:szCs w:val="22"/>
        </w:rPr>
        <w:t>月我對主要國家</w:t>
      </w:r>
      <w:r w:rsidRPr="003B6B9A">
        <w:rPr>
          <w:rFonts w:eastAsia="標楷體"/>
          <w:bCs/>
          <w:sz w:val="28"/>
          <w:szCs w:val="22"/>
        </w:rPr>
        <w:t>(</w:t>
      </w:r>
      <w:r w:rsidRPr="003B6B9A">
        <w:rPr>
          <w:rFonts w:eastAsia="標楷體"/>
          <w:bCs/>
          <w:sz w:val="28"/>
          <w:szCs w:val="22"/>
        </w:rPr>
        <w:t>地區</w:t>
      </w:r>
      <w:r w:rsidRPr="003B6B9A">
        <w:rPr>
          <w:rFonts w:eastAsia="標楷體"/>
          <w:bCs/>
          <w:sz w:val="28"/>
          <w:szCs w:val="22"/>
        </w:rPr>
        <w:t>)</w:t>
      </w:r>
      <w:r w:rsidRPr="003B6B9A">
        <w:rPr>
          <w:rFonts w:eastAsia="標楷體"/>
          <w:bCs/>
          <w:sz w:val="28"/>
          <w:szCs w:val="22"/>
        </w:rPr>
        <w:t>出口增</w:t>
      </w:r>
      <w:r w:rsidRPr="003B6B9A">
        <w:rPr>
          <w:rFonts w:eastAsia="標楷體" w:hint="eastAsia"/>
          <w:bCs/>
          <w:sz w:val="28"/>
          <w:szCs w:val="22"/>
        </w:rPr>
        <w:t>幅</w:t>
      </w:r>
      <w:r w:rsidRPr="003B6B9A">
        <w:rPr>
          <w:rFonts w:eastAsia="標楷體"/>
          <w:bCs/>
          <w:sz w:val="28"/>
          <w:szCs w:val="22"/>
        </w:rPr>
        <w:t>最多為日本，</w:t>
      </w:r>
      <w:r w:rsidRPr="003B6B9A">
        <w:rPr>
          <w:rFonts w:eastAsia="標楷體" w:hint="eastAsia"/>
          <w:bCs/>
          <w:sz w:val="28"/>
          <w:szCs w:val="22"/>
        </w:rPr>
        <w:t>達</w:t>
      </w:r>
      <w:r w:rsidRPr="003B6B9A">
        <w:rPr>
          <w:rFonts w:eastAsia="標楷體"/>
          <w:bCs/>
          <w:sz w:val="28"/>
          <w:szCs w:val="22"/>
        </w:rPr>
        <w:t>9.3%</w:t>
      </w:r>
      <w:r w:rsidRPr="003B6B9A">
        <w:rPr>
          <w:rFonts w:eastAsia="標楷體"/>
          <w:bCs/>
          <w:sz w:val="28"/>
          <w:szCs w:val="22"/>
        </w:rPr>
        <w:t>；進口則均</w:t>
      </w:r>
      <w:r w:rsidRPr="003B6B9A">
        <w:rPr>
          <w:rFonts w:eastAsia="標楷體" w:hint="eastAsia"/>
          <w:bCs/>
          <w:sz w:val="28"/>
          <w:szCs w:val="22"/>
        </w:rPr>
        <w:t>呈現衰退</w:t>
      </w:r>
      <w:r w:rsidRPr="003B6B9A">
        <w:rPr>
          <w:rFonts w:eastAsia="標楷體"/>
          <w:bCs/>
          <w:sz w:val="28"/>
          <w:szCs w:val="22"/>
        </w:rPr>
        <w:t>。</w:t>
      </w:r>
    </w:p>
    <w:p w:rsidR="009802C0" w:rsidRPr="003B6B9A" w:rsidRDefault="009802C0" w:rsidP="009802C0">
      <w:pPr>
        <w:numPr>
          <w:ilvl w:val="0"/>
          <w:numId w:val="4"/>
        </w:numPr>
        <w:snapToGrid w:val="0"/>
        <w:spacing w:beforeLines="50" w:before="180" w:line="300" w:lineRule="auto"/>
        <w:ind w:left="851" w:right="-142" w:hanging="567"/>
        <w:jc w:val="both"/>
        <w:rPr>
          <w:rFonts w:eastAsia="標楷體"/>
          <w:bCs/>
          <w:sz w:val="28"/>
          <w:szCs w:val="22"/>
        </w:rPr>
      </w:pPr>
      <w:r w:rsidRPr="003B6B9A">
        <w:rPr>
          <w:rFonts w:eastAsia="標楷體"/>
          <w:bCs/>
          <w:sz w:val="28"/>
          <w:szCs w:val="22"/>
        </w:rPr>
        <w:t>4</w:t>
      </w:r>
      <w:r w:rsidRPr="003B6B9A">
        <w:rPr>
          <w:rFonts w:eastAsia="標楷體"/>
          <w:bCs/>
          <w:sz w:val="28"/>
          <w:szCs w:val="22"/>
        </w:rPr>
        <w:t>月我對主要貿易夥伴出口，日本及美國分別增加</w:t>
      </w:r>
      <w:r w:rsidRPr="003B6B9A">
        <w:rPr>
          <w:rFonts w:eastAsia="標楷體"/>
          <w:bCs/>
          <w:sz w:val="28"/>
          <w:szCs w:val="22"/>
        </w:rPr>
        <w:t>9.3%</w:t>
      </w:r>
      <w:r w:rsidRPr="003B6B9A">
        <w:rPr>
          <w:rFonts w:eastAsia="標楷體"/>
          <w:bCs/>
          <w:sz w:val="28"/>
          <w:szCs w:val="22"/>
        </w:rPr>
        <w:t>及</w:t>
      </w:r>
      <w:r w:rsidRPr="003B6B9A">
        <w:rPr>
          <w:rFonts w:eastAsia="標楷體"/>
          <w:bCs/>
          <w:sz w:val="28"/>
          <w:szCs w:val="22"/>
        </w:rPr>
        <w:t>1.2%</w:t>
      </w:r>
      <w:r w:rsidRPr="003B6B9A">
        <w:rPr>
          <w:rFonts w:eastAsia="標楷體"/>
          <w:bCs/>
          <w:sz w:val="28"/>
          <w:szCs w:val="22"/>
        </w:rPr>
        <w:t>，中國大陸</w:t>
      </w:r>
      <w:r w:rsidRPr="003B6B9A">
        <w:rPr>
          <w:rFonts w:eastAsia="標楷體"/>
          <w:bCs/>
          <w:sz w:val="28"/>
          <w:szCs w:val="22"/>
        </w:rPr>
        <w:t>(</w:t>
      </w:r>
      <w:r w:rsidRPr="003B6B9A">
        <w:rPr>
          <w:rFonts w:eastAsia="標楷體"/>
          <w:bCs/>
          <w:sz w:val="28"/>
          <w:szCs w:val="22"/>
        </w:rPr>
        <w:t>含香港</w:t>
      </w:r>
      <w:r w:rsidRPr="003B6B9A">
        <w:rPr>
          <w:rFonts w:eastAsia="標楷體"/>
          <w:bCs/>
          <w:sz w:val="28"/>
          <w:szCs w:val="22"/>
        </w:rPr>
        <w:t>)</w:t>
      </w:r>
      <w:r w:rsidRPr="003B6B9A">
        <w:rPr>
          <w:rFonts w:eastAsia="標楷體"/>
          <w:bCs/>
          <w:sz w:val="28"/>
          <w:szCs w:val="22"/>
        </w:rPr>
        <w:t>、新加坡及韓國則分別減少</w:t>
      </w:r>
      <w:r w:rsidRPr="003B6B9A">
        <w:rPr>
          <w:rFonts w:eastAsia="標楷體"/>
          <w:bCs/>
          <w:sz w:val="28"/>
          <w:szCs w:val="22"/>
        </w:rPr>
        <w:t>12.2%</w:t>
      </w:r>
      <w:r w:rsidRPr="003B6B9A">
        <w:rPr>
          <w:rFonts w:eastAsia="標楷體"/>
          <w:bCs/>
          <w:sz w:val="28"/>
          <w:szCs w:val="22"/>
        </w:rPr>
        <w:t>、</w:t>
      </w:r>
      <w:r w:rsidRPr="003B6B9A">
        <w:rPr>
          <w:rFonts w:eastAsia="標楷體"/>
          <w:bCs/>
          <w:sz w:val="28"/>
          <w:szCs w:val="22"/>
        </w:rPr>
        <w:t>10.1%</w:t>
      </w:r>
      <w:r w:rsidRPr="003B6B9A">
        <w:rPr>
          <w:rFonts w:eastAsia="標楷體"/>
          <w:bCs/>
          <w:sz w:val="28"/>
          <w:szCs w:val="22"/>
        </w:rPr>
        <w:t>、</w:t>
      </w:r>
      <w:r w:rsidRPr="003B6B9A">
        <w:rPr>
          <w:rFonts w:eastAsia="標楷體"/>
          <w:bCs/>
          <w:sz w:val="28"/>
          <w:szCs w:val="22"/>
        </w:rPr>
        <w:t>0.4%</w:t>
      </w:r>
      <w:r w:rsidRPr="003B6B9A">
        <w:rPr>
          <w:rFonts w:eastAsia="標楷體"/>
          <w:bCs/>
          <w:sz w:val="28"/>
          <w:szCs w:val="22"/>
        </w:rPr>
        <w:t>；進口方面，美國、日本及新加坡分別減少</w:t>
      </w:r>
      <w:r w:rsidRPr="003B6B9A">
        <w:rPr>
          <w:rFonts w:eastAsia="標楷體"/>
          <w:bCs/>
          <w:sz w:val="28"/>
          <w:szCs w:val="22"/>
        </w:rPr>
        <w:t>26.6%</w:t>
      </w:r>
      <w:r w:rsidRPr="003B6B9A">
        <w:rPr>
          <w:rFonts w:eastAsia="標楷體"/>
          <w:bCs/>
          <w:sz w:val="28"/>
          <w:szCs w:val="22"/>
        </w:rPr>
        <w:t>、</w:t>
      </w:r>
      <w:r w:rsidRPr="003B6B9A">
        <w:rPr>
          <w:rFonts w:eastAsia="標楷體"/>
          <w:bCs/>
          <w:sz w:val="28"/>
          <w:szCs w:val="22"/>
        </w:rPr>
        <w:t>15.6%</w:t>
      </w:r>
      <w:r w:rsidRPr="003B6B9A">
        <w:rPr>
          <w:rFonts w:eastAsia="標楷體"/>
          <w:bCs/>
          <w:sz w:val="28"/>
          <w:szCs w:val="22"/>
        </w:rPr>
        <w:t>、</w:t>
      </w:r>
      <w:r w:rsidRPr="003B6B9A">
        <w:rPr>
          <w:rFonts w:eastAsia="標楷體"/>
          <w:bCs/>
          <w:sz w:val="28"/>
          <w:szCs w:val="22"/>
        </w:rPr>
        <w:t>13.4%</w:t>
      </w:r>
      <w:r w:rsidRPr="003B6B9A">
        <w:rPr>
          <w:rFonts w:eastAsia="標楷體"/>
          <w:bCs/>
          <w:sz w:val="28"/>
          <w:szCs w:val="22"/>
        </w:rPr>
        <w:t>。</w:t>
      </w:r>
    </w:p>
    <w:p w:rsidR="008B05B6" w:rsidRPr="00B118E9" w:rsidRDefault="009802C0" w:rsidP="009802C0">
      <w:pPr>
        <w:numPr>
          <w:ilvl w:val="0"/>
          <w:numId w:val="4"/>
        </w:numPr>
        <w:snapToGrid w:val="0"/>
        <w:spacing w:beforeLines="50" w:before="180" w:line="300" w:lineRule="auto"/>
        <w:ind w:left="851" w:right="-142" w:hanging="567"/>
        <w:jc w:val="both"/>
        <w:rPr>
          <w:rFonts w:eastAsia="標楷體"/>
          <w:bCs/>
          <w:sz w:val="28"/>
          <w:szCs w:val="22"/>
        </w:rPr>
      </w:pPr>
      <w:r w:rsidRPr="003B6B9A">
        <w:rPr>
          <w:rFonts w:eastAsia="標楷體"/>
          <w:bCs/>
          <w:sz w:val="28"/>
          <w:szCs w:val="22"/>
        </w:rPr>
        <w:t>4</w:t>
      </w:r>
      <w:r w:rsidRPr="003B6B9A">
        <w:rPr>
          <w:rFonts w:eastAsia="標楷體"/>
          <w:bCs/>
          <w:sz w:val="28"/>
          <w:szCs w:val="22"/>
        </w:rPr>
        <w:t>月以中國大陸</w:t>
      </w:r>
      <w:r w:rsidRPr="003B6B9A">
        <w:rPr>
          <w:rFonts w:eastAsia="標楷體"/>
          <w:bCs/>
          <w:sz w:val="28"/>
          <w:szCs w:val="22"/>
        </w:rPr>
        <w:t>(</w:t>
      </w:r>
      <w:r w:rsidRPr="003B6B9A">
        <w:rPr>
          <w:rFonts w:eastAsia="標楷體"/>
          <w:bCs/>
          <w:sz w:val="28"/>
          <w:szCs w:val="22"/>
        </w:rPr>
        <w:t>含香港</w:t>
      </w:r>
      <w:r w:rsidRPr="003B6B9A">
        <w:rPr>
          <w:rFonts w:eastAsia="標楷體"/>
          <w:bCs/>
          <w:sz w:val="28"/>
          <w:szCs w:val="22"/>
        </w:rPr>
        <w:t>)</w:t>
      </w:r>
      <w:r w:rsidRPr="003B6B9A">
        <w:rPr>
          <w:rFonts w:eastAsia="標楷體"/>
          <w:bCs/>
          <w:sz w:val="28"/>
          <w:szCs w:val="22"/>
        </w:rPr>
        <w:t>為我最大出口國及進口國，亦為主要出超來源國，出超</w:t>
      </w:r>
      <w:r w:rsidRPr="003B6B9A">
        <w:rPr>
          <w:rFonts w:eastAsia="標楷體"/>
          <w:bCs/>
          <w:sz w:val="28"/>
          <w:szCs w:val="22"/>
        </w:rPr>
        <w:t>53.4</w:t>
      </w:r>
      <w:r w:rsidRPr="003B6B9A">
        <w:rPr>
          <w:rFonts w:eastAsia="標楷體"/>
          <w:bCs/>
          <w:sz w:val="28"/>
          <w:szCs w:val="22"/>
        </w:rPr>
        <w:t>億美元；主要入超來源國為日本，入超</w:t>
      </w:r>
      <w:r w:rsidRPr="003B6B9A">
        <w:rPr>
          <w:rFonts w:eastAsia="標楷體"/>
          <w:bCs/>
          <w:sz w:val="28"/>
          <w:szCs w:val="22"/>
        </w:rPr>
        <w:t>15.9</w:t>
      </w:r>
      <w:r w:rsidRPr="003B6B9A">
        <w:rPr>
          <w:rFonts w:eastAsia="標楷體"/>
          <w:bCs/>
          <w:sz w:val="28"/>
          <w:szCs w:val="22"/>
        </w:rPr>
        <w:t>億美元。</w:t>
      </w:r>
    </w:p>
    <w:p w:rsidR="003F3F99" w:rsidRPr="00B118E9" w:rsidRDefault="003F3F99" w:rsidP="003F3F99">
      <w:pPr>
        <w:snapToGrid w:val="0"/>
        <w:spacing w:before="240"/>
        <w:ind w:right="-153"/>
        <w:jc w:val="center"/>
        <w:rPr>
          <w:rFonts w:eastAsia="標楷體"/>
          <w:b/>
          <w:bCs/>
          <w:sz w:val="28"/>
        </w:rPr>
      </w:pPr>
      <w:r w:rsidRPr="00B118E9">
        <w:rPr>
          <w:rFonts w:eastAsia="標楷體"/>
          <w:b/>
          <w:bCs/>
          <w:sz w:val="28"/>
        </w:rPr>
        <w:t>表</w:t>
      </w:r>
      <w:r w:rsidRPr="00B118E9">
        <w:rPr>
          <w:rFonts w:eastAsia="標楷體"/>
          <w:b/>
          <w:bCs/>
          <w:sz w:val="28"/>
        </w:rPr>
        <w:t xml:space="preserve">2-4-2  </w:t>
      </w:r>
      <w:r w:rsidRPr="00B118E9">
        <w:rPr>
          <w:rFonts w:eastAsia="標楷體"/>
          <w:b/>
          <w:bCs/>
          <w:sz w:val="28"/>
        </w:rPr>
        <w:t>主要貿易夥伴貿易概況</w:t>
      </w:r>
    </w:p>
    <w:p w:rsidR="003F3F99" w:rsidRPr="00B118E9" w:rsidRDefault="003F3F99" w:rsidP="003F3F99">
      <w:pPr>
        <w:snapToGrid w:val="0"/>
        <w:spacing w:line="300" w:lineRule="auto"/>
        <w:ind w:right="140"/>
        <w:jc w:val="right"/>
        <w:rPr>
          <w:rFonts w:eastAsia="標楷體"/>
        </w:rPr>
      </w:pPr>
      <w:r w:rsidRPr="00B118E9">
        <w:rPr>
          <w:rFonts w:eastAsia="標楷體"/>
        </w:rPr>
        <w:t>單位：百萬美元；</w:t>
      </w:r>
      <w:r w:rsidR="009802C0">
        <w:rPr>
          <w:rFonts w:eastAsia="標楷體" w:hint="eastAsia"/>
        </w:rPr>
        <w:t>%</w:t>
      </w:r>
    </w:p>
    <w:tbl>
      <w:tblPr>
        <w:tblW w:w="8586" w:type="dxa"/>
        <w:jc w:val="center"/>
        <w:tblInd w:w="-718"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467"/>
        <w:gridCol w:w="2547"/>
        <w:gridCol w:w="1386"/>
        <w:gridCol w:w="1047"/>
        <w:gridCol w:w="1046"/>
        <w:gridCol w:w="1047"/>
        <w:gridCol w:w="1046"/>
      </w:tblGrid>
      <w:tr w:rsidR="009802C0" w:rsidRPr="003B6B9A" w:rsidTr="001040FB">
        <w:trPr>
          <w:cantSplit/>
          <w:jc w:val="center"/>
        </w:trPr>
        <w:tc>
          <w:tcPr>
            <w:tcW w:w="467" w:type="dxa"/>
            <w:tcBorders>
              <w:top w:val="single" w:sz="4" w:space="0" w:color="auto"/>
              <w:left w:val="nil"/>
              <w:bottom w:val="single" w:sz="4" w:space="0" w:color="auto"/>
              <w:right w:val="nil"/>
            </w:tcBorders>
            <w:textDirection w:val="tbRlV"/>
            <w:vAlign w:val="center"/>
          </w:tcPr>
          <w:p w:rsidR="009802C0" w:rsidRPr="003B6B9A" w:rsidRDefault="009802C0" w:rsidP="001040FB">
            <w:pPr>
              <w:snapToGrid w:val="0"/>
              <w:spacing w:line="240" w:lineRule="atLeast"/>
              <w:ind w:left="113" w:right="113"/>
              <w:jc w:val="center"/>
              <w:rPr>
                <w:rFonts w:eastAsia="標楷體"/>
              </w:rPr>
            </w:pPr>
          </w:p>
        </w:tc>
        <w:tc>
          <w:tcPr>
            <w:tcW w:w="2547" w:type="dxa"/>
            <w:tcBorders>
              <w:top w:val="single" w:sz="4" w:space="0" w:color="auto"/>
              <w:left w:val="nil"/>
              <w:bottom w:val="single" w:sz="4" w:space="0" w:color="auto"/>
              <w:right w:val="single" w:sz="4" w:space="0" w:color="auto"/>
            </w:tcBorders>
          </w:tcPr>
          <w:p w:rsidR="009802C0" w:rsidRPr="003B6B9A" w:rsidRDefault="009802C0" w:rsidP="001040FB">
            <w:pPr>
              <w:snapToGrid w:val="0"/>
              <w:spacing w:line="400" w:lineRule="atLeast"/>
              <w:ind w:left="28" w:right="-40"/>
              <w:jc w:val="both"/>
              <w:rPr>
                <w:rFonts w:eastAsia="標楷體"/>
              </w:rPr>
            </w:pPr>
          </w:p>
        </w:tc>
        <w:tc>
          <w:tcPr>
            <w:tcW w:w="1386" w:type="dxa"/>
            <w:tcBorders>
              <w:top w:val="single" w:sz="4" w:space="0" w:color="auto"/>
              <w:left w:val="single" w:sz="4" w:space="0" w:color="auto"/>
              <w:bottom w:val="single" w:sz="4" w:space="0" w:color="auto"/>
              <w:right w:val="single" w:sz="4" w:space="0" w:color="auto"/>
            </w:tcBorders>
          </w:tcPr>
          <w:p w:rsidR="009802C0" w:rsidRPr="003B6B9A" w:rsidRDefault="009802C0" w:rsidP="001040FB">
            <w:pPr>
              <w:snapToGrid w:val="0"/>
              <w:spacing w:line="400" w:lineRule="atLeast"/>
              <w:ind w:left="28" w:right="-40"/>
              <w:jc w:val="center"/>
              <w:rPr>
                <w:rFonts w:eastAsia="標楷體"/>
              </w:rPr>
            </w:pPr>
            <w:r w:rsidRPr="003B6B9A">
              <w:rPr>
                <w:rFonts w:eastAsia="標楷體"/>
              </w:rPr>
              <w:t>中國大陸</w:t>
            </w:r>
          </w:p>
          <w:p w:rsidR="009802C0" w:rsidRPr="003B6B9A" w:rsidRDefault="009802C0" w:rsidP="001040FB">
            <w:pPr>
              <w:snapToGrid w:val="0"/>
              <w:spacing w:line="400" w:lineRule="atLeast"/>
              <w:ind w:left="28" w:right="-40"/>
              <w:jc w:val="center"/>
              <w:rPr>
                <w:rFonts w:eastAsia="標楷體"/>
              </w:rPr>
            </w:pPr>
            <w:r w:rsidRPr="003B6B9A">
              <w:rPr>
                <w:rFonts w:eastAsia="標楷體"/>
              </w:rPr>
              <w:t>(</w:t>
            </w:r>
            <w:r w:rsidRPr="003B6B9A">
              <w:rPr>
                <w:rFonts w:eastAsia="標楷體"/>
              </w:rPr>
              <w:t>含香港</w:t>
            </w:r>
            <w:r w:rsidRPr="003B6B9A">
              <w:rPr>
                <w:rFonts w:eastAsia="標楷體"/>
              </w:rPr>
              <w:t>)</w:t>
            </w:r>
          </w:p>
        </w:tc>
        <w:tc>
          <w:tcPr>
            <w:tcW w:w="1047"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snapToGrid w:val="0"/>
              <w:spacing w:line="400" w:lineRule="atLeast"/>
              <w:ind w:left="28" w:right="-40"/>
              <w:jc w:val="center"/>
              <w:rPr>
                <w:rFonts w:eastAsia="標楷體"/>
              </w:rPr>
            </w:pPr>
            <w:r w:rsidRPr="003B6B9A">
              <w:rPr>
                <w:rFonts w:eastAsia="標楷體"/>
              </w:rPr>
              <w:t>美國</w:t>
            </w:r>
          </w:p>
        </w:tc>
        <w:tc>
          <w:tcPr>
            <w:tcW w:w="1046"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snapToGrid w:val="0"/>
              <w:spacing w:line="400" w:lineRule="atLeast"/>
              <w:ind w:left="28" w:right="-40"/>
              <w:jc w:val="center"/>
              <w:rPr>
                <w:rFonts w:eastAsia="標楷體"/>
              </w:rPr>
            </w:pPr>
            <w:r w:rsidRPr="003B6B9A">
              <w:rPr>
                <w:rFonts w:eastAsia="標楷體"/>
              </w:rPr>
              <w:t>日本</w:t>
            </w:r>
          </w:p>
        </w:tc>
        <w:tc>
          <w:tcPr>
            <w:tcW w:w="1047"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snapToGrid w:val="0"/>
              <w:spacing w:line="400" w:lineRule="atLeast"/>
              <w:ind w:left="28" w:right="-40"/>
              <w:jc w:val="center"/>
              <w:rPr>
                <w:rFonts w:eastAsia="標楷體"/>
              </w:rPr>
            </w:pPr>
            <w:r w:rsidRPr="003B6B9A">
              <w:rPr>
                <w:rFonts w:eastAsia="標楷體"/>
              </w:rPr>
              <w:t>新加坡</w:t>
            </w:r>
          </w:p>
        </w:tc>
        <w:tc>
          <w:tcPr>
            <w:tcW w:w="1046" w:type="dxa"/>
            <w:tcBorders>
              <w:top w:val="single" w:sz="4" w:space="0" w:color="auto"/>
              <w:left w:val="single" w:sz="4" w:space="0" w:color="auto"/>
              <w:bottom w:val="single" w:sz="4" w:space="0" w:color="auto"/>
              <w:right w:val="nil"/>
            </w:tcBorders>
            <w:vAlign w:val="center"/>
          </w:tcPr>
          <w:p w:rsidR="009802C0" w:rsidRPr="003B6B9A" w:rsidRDefault="009802C0" w:rsidP="001040FB">
            <w:pPr>
              <w:snapToGrid w:val="0"/>
              <w:spacing w:line="400" w:lineRule="atLeast"/>
              <w:ind w:left="28" w:right="-40"/>
              <w:jc w:val="center"/>
              <w:rPr>
                <w:rFonts w:eastAsia="標楷體"/>
              </w:rPr>
            </w:pPr>
            <w:r w:rsidRPr="003B6B9A">
              <w:rPr>
                <w:rFonts w:eastAsia="標楷體"/>
              </w:rPr>
              <w:t>韓國</w:t>
            </w:r>
          </w:p>
        </w:tc>
      </w:tr>
      <w:tr w:rsidR="009802C0" w:rsidRPr="003B6B9A" w:rsidTr="001040FB">
        <w:trPr>
          <w:cantSplit/>
          <w:trHeight w:val="503"/>
          <w:jc w:val="center"/>
        </w:trPr>
        <w:tc>
          <w:tcPr>
            <w:tcW w:w="467" w:type="dxa"/>
            <w:vMerge w:val="restart"/>
            <w:tcBorders>
              <w:top w:val="single" w:sz="4" w:space="0" w:color="auto"/>
              <w:left w:val="nil"/>
              <w:right w:val="single" w:sz="4" w:space="0" w:color="auto"/>
            </w:tcBorders>
            <w:textDirection w:val="tbRlV"/>
            <w:vAlign w:val="center"/>
          </w:tcPr>
          <w:p w:rsidR="009802C0" w:rsidRPr="003B6B9A" w:rsidRDefault="009802C0" w:rsidP="001040FB">
            <w:pPr>
              <w:snapToGrid w:val="0"/>
              <w:spacing w:line="320" w:lineRule="exact"/>
              <w:ind w:left="113" w:right="113"/>
              <w:jc w:val="center"/>
              <w:rPr>
                <w:rFonts w:eastAsia="標楷體"/>
              </w:rPr>
            </w:pPr>
            <w:r w:rsidRPr="003B6B9A">
              <w:rPr>
                <w:rFonts w:eastAsia="標楷體"/>
                <w:bCs/>
              </w:rPr>
              <w:t>出口至該國</w:t>
            </w:r>
          </w:p>
        </w:tc>
        <w:tc>
          <w:tcPr>
            <w:tcW w:w="2547" w:type="dxa"/>
            <w:tcBorders>
              <w:top w:val="single" w:sz="4" w:space="0" w:color="auto"/>
              <w:left w:val="single" w:sz="4" w:space="0" w:color="auto"/>
              <w:bottom w:val="nil"/>
              <w:right w:val="single" w:sz="4" w:space="0" w:color="auto"/>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rPr>
              <w:t>10</w:t>
            </w:r>
            <w:r w:rsidRPr="003B6B9A">
              <w:rPr>
                <w:rFonts w:eastAsia="標楷體" w:hint="eastAsia"/>
              </w:rPr>
              <w:t>4</w:t>
            </w:r>
            <w:r w:rsidRPr="003B6B9A">
              <w:rPr>
                <w:rFonts w:eastAsia="標楷體"/>
              </w:rPr>
              <w:t>年</w:t>
            </w:r>
            <w:r w:rsidRPr="003B6B9A">
              <w:rPr>
                <w:rFonts w:eastAsia="標楷體" w:hint="eastAsia"/>
              </w:rPr>
              <w:t>4</w:t>
            </w:r>
            <w:r w:rsidRPr="003B6B9A">
              <w:rPr>
                <w:rFonts w:eastAsia="標楷體"/>
              </w:rPr>
              <w:t>月金額</w:t>
            </w:r>
          </w:p>
        </w:tc>
        <w:tc>
          <w:tcPr>
            <w:tcW w:w="1386" w:type="dxa"/>
            <w:tcBorders>
              <w:top w:val="single" w:sz="4" w:space="0" w:color="auto"/>
              <w:left w:val="single" w:sz="4" w:space="0" w:color="auto"/>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9,105.6</w:t>
            </w:r>
          </w:p>
        </w:tc>
        <w:tc>
          <w:tcPr>
            <w:tcW w:w="1047"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3,065.7</w:t>
            </w:r>
          </w:p>
        </w:tc>
        <w:tc>
          <w:tcPr>
            <w:tcW w:w="1046"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1,586.0</w:t>
            </w:r>
          </w:p>
        </w:tc>
        <w:tc>
          <w:tcPr>
            <w:tcW w:w="1047"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1,530.6</w:t>
            </w:r>
          </w:p>
        </w:tc>
        <w:tc>
          <w:tcPr>
            <w:tcW w:w="1046"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1,104.3</w:t>
            </w:r>
          </w:p>
        </w:tc>
      </w:tr>
      <w:tr w:rsidR="009802C0" w:rsidRPr="003B6B9A" w:rsidTr="001040FB">
        <w:trPr>
          <w:cantSplit/>
          <w:trHeight w:val="503"/>
          <w:jc w:val="center"/>
        </w:trPr>
        <w:tc>
          <w:tcPr>
            <w:tcW w:w="467" w:type="dxa"/>
            <w:vMerge/>
            <w:tcBorders>
              <w:left w:val="nil"/>
              <w:right w:val="single" w:sz="4" w:space="0" w:color="auto"/>
            </w:tcBorders>
            <w:vAlign w:val="center"/>
          </w:tcPr>
          <w:p w:rsidR="009802C0" w:rsidRPr="003B6B9A" w:rsidRDefault="009802C0" w:rsidP="001040FB">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rPr>
              <w:t>比重</w:t>
            </w:r>
          </w:p>
        </w:tc>
        <w:tc>
          <w:tcPr>
            <w:tcW w:w="1386" w:type="dxa"/>
            <w:tcBorders>
              <w:top w:val="nil"/>
              <w:left w:val="single" w:sz="4" w:space="0" w:color="auto"/>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38.8</w:t>
            </w:r>
          </w:p>
        </w:tc>
        <w:tc>
          <w:tcPr>
            <w:tcW w:w="1047"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13.1</w:t>
            </w:r>
          </w:p>
        </w:tc>
        <w:tc>
          <w:tcPr>
            <w:tcW w:w="1046"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6.8</w:t>
            </w:r>
          </w:p>
        </w:tc>
        <w:tc>
          <w:tcPr>
            <w:tcW w:w="1047"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6.5</w:t>
            </w:r>
          </w:p>
        </w:tc>
        <w:tc>
          <w:tcPr>
            <w:tcW w:w="1046"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4.7</w:t>
            </w:r>
          </w:p>
        </w:tc>
      </w:tr>
      <w:tr w:rsidR="009802C0" w:rsidRPr="003B6B9A" w:rsidTr="001040FB">
        <w:trPr>
          <w:cantSplit/>
          <w:trHeight w:val="503"/>
          <w:jc w:val="center"/>
        </w:trPr>
        <w:tc>
          <w:tcPr>
            <w:tcW w:w="467" w:type="dxa"/>
            <w:vMerge/>
            <w:tcBorders>
              <w:left w:val="nil"/>
              <w:right w:val="single" w:sz="4" w:space="0" w:color="auto"/>
            </w:tcBorders>
            <w:vAlign w:val="center"/>
          </w:tcPr>
          <w:p w:rsidR="009802C0" w:rsidRPr="003B6B9A" w:rsidRDefault="009802C0" w:rsidP="001040FB">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w:t>
            </w:r>
            <w:r w:rsidRPr="003B6B9A">
              <w:rPr>
                <w:rFonts w:eastAsia="標楷體"/>
              </w:rPr>
              <w:t>率</w:t>
            </w:r>
          </w:p>
        </w:tc>
        <w:tc>
          <w:tcPr>
            <w:tcW w:w="1386" w:type="dxa"/>
            <w:tcBorders>
              <w:top w:val="nil"/>
              <w:left w:val="single" w:sz="4" w:space="0" w:color="auto"/>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-12.2</w:t>
            </w:r>
          </w:p>
        </w:tc>
        <w:tc>
          <w:tcPr>
            <w:tcW w:w="1047"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1.2</w:t>
            </w:r>
          </w:p>
        </w:tc>
        <w:tc>
          <w:tcPr>
            <w:tcW w:w="1046"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9.3</w:t>
            </w:r>
          </w:p>
        </w:tc>
        <w:tc>
          <w:tcPr>
            <w:tcW w:w="1047"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-10.1</w:t>
            </w:r>
          </w:p>
        </w:tc>
        <w:tc>
          <w:tcPr>
            <w:tcW w:w="1046"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-0.4</w:t>
            </w:r>
          </w:p>
        </w:tc>
      </w:tr>
      <w:tr w:rsidR="009802C0" w:rsidRPr="003B6B9A" w:rsidTr="001040FB">
        <w:trPr>
          <w:cantSplit/>
          <w:trHeight w:val="503"/>
          <w:jc w:val="center"/>
        </w:trPr>
        <w:tc>
          <w:tcPr>
            <w:tcW w:w="467" w:type="dxa"/>
            <w:vMerge/>
            <w:tcBorders>
              <w:left w:val="nil"/>
              <w:right w:val="single" w:sz="4" w:space="0" w:color="auto"/>
            </w:tcBorders>
            <w:vAlign w:val="center"/>
          </w:tcPr>
          <w:p w:rsidR="009802C0" w:rsidRPr="003B6B9A" w:rsidRDefault="009802C0" w:rsidP="001040FB">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Pr="003B6B9A">
              <w:rPr>
                <w:rFonts w:eastAsia="標楷體" w:hint="eastAsia"/>
              </w:rPr>
              <w:t>至</w:t>
            </w:r>
            <w:r w:rsidRPr="003B6B9A">
              <w:rPr>
                <w:rFonts w:eastAsia="標楷體" w:hint="eastAsia"/>
              </w:rPr>
              <w:t>4</w:t>
            </w:r>
            <w:r w:rsidRPr="003B6B9A">
              <w:rPr>
                <w:rFonts w:eastAsia="標楷體" w:hint="eastAsia"/>
              </w:rPr>
              <w:t>月金額</w:t>
            </w:r>
          </w:p>
        </w:tc>
        <w:tc>
          <w:tcPr>
            <w:tcW w:w="1386" w:type="dxa"/>
            <w:tcBorders>
              <w:top w:val="nil"/>
              <w:left w:val="single" w:sz="4" w:space="0" w:color="auto"/>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36,524.7</w:t>
            </w:r>
          </w:p>
        </w:tc>
        <w:tc>
          <w:tcPr>
            <w:tcW w:w="1047"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11,369.7</w:t>
            </w:r>
          </w:p>
        </w:tc>
        <w:tc>
          <w:tcPr>
            <w:tcW w:w="1046"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6,372.9</w:t>
            </w:r>
          </w:p>
        </w:tc>
        <w:tc>
          <w:tcPr>
            <w:tcW w:w="1047"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5,833.2</w:t>
            </w:r>
          </w:p>
        </w:tc>
        <w:tc>
          <w:tcPr>
            <w:tcW w:w="1046"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4,489.3</w:t>
            </w:r>
          </w:p>
        </w:tc>
      </w:tr>
      <w:tr w:rsidR="009802C0" w:rsidRPr="003B6B9A" w:rsidTr="001040FB">
        <w:trPr>
          <w:cantSplit/>
          <w:trHeight w:val="503"/>
          <w:jc w:val="center"/>
        </w:trPr>
        <w:tc>
          <w:tcPr>
            <w:tcW w:w="467" w:type="dxa"/>
            <w:vMerge/>
            <w:tcBorders>
              <w:left w:val="nil"/>
              <w:right w:val="single" w:sz="4" w:space="0" w:color="auto"/>
            </w:tcBorders>
            <w:vAlign w:val="center"/>
          </w:tcPr>
          <w:p w:rsidR="009802C0" w:rsidRPr="003B6B9A" w:rsidRDefault="009802C0" w:rsidP="001040FB">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比重</w:t>
            </w:r>
          </w:p>
        </w:tc>
        <w:tc>
          <w:tcPr>
            <w:tcW w:w="1386" w:type="dxa"/>
            <w:tcBorders>
              <w:top w:val="nil"/>
              <w:left w:val="single" w:sz="4" w:space="0" w:color="auto"/>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39.0</w:t>
            </w:r>
          </w:p>
        </w:tc>
        <w:tc>
          <w:tcPr>
            <w:tcW w:w="1047"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12.1</w:t>
            </w:r>
          </w:p>
        </w:tc>
        <w:tc>
          <w:tcPr>
            <w:tcW w:w="1046"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6.8</w:t>
            </w:r>
          </w:p>
        </w:tc>
        <w:tc>
          <w:tcPr>
            <w:tcW w:w="1047"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6.2</w:t>
            </w:r>
          </w:p>
        </w:tc>
        <w:tc>
          <w:tcPr>
            <w:tcW w:w="1046"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4.8</w:t>
            </w:r>
          </w:p>
        </w:tc>
      </w:tr>
      <w:tr w:rsidR="009802C0" w:rsidRPr="003B6B9A" w:rsidTr="001040FB">
        <w:trPr>
          <w:cantSplit/>
          <w:trHeight w:val="503"/>
          <w:jc w:val="center"/>
        </w:trPr>
        <w:tc>
          <w:tcPr>
            <w:tcW w:w="467" w:type="dxa"/>
            <w:vMerge/>
            <w:tcBorders>
              <w:left w:val="nil"/>
              <w:right w:val="single" w:sz="4" w:space="0" w:color="auto"/>
            </w:tcBorders>
            <w:vAlign w:val="center"/>
          </w:tcPr>
          <w:p w:rsidR="009802C0" w:rsidRPr="003B6B9A" w:rsidRDefault="009802C0" w:rsidP="001040FB">
            <w:pPr>
              <w:snapToGrid w:val="0"/>
              <w:spacing w:line="320" w:lineRule="exact"/>
              <w:jc w:val="center"/>
              <w:rPr>
                <w:rFonts w:eastAsia="標楷體"/>
              </w:rPr>
            </w:pPr>
          </w:p>
        </w:tc>
        <w:tc>
          <w:tcPr>
            <w:tcW w:w="2547" w:type="dxa"/>
            <w:tcBorders>
              <w:top w:val="nil"/>
              <w:left w:val="single" w:sz="4" w:space="0" w:color="auto"/>
              <w:bottom w:val="double" w:sz="4" w:space="0" w:color="auto"/>
              <w:right w:val="single" w:sz="4" w:space="0" w:color="auto"/>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年增率</w:t>
            </w:r>
          </w:p>
        </w:tc>
        <w:tc>
          <w:tcPr>
            <w:tcW w:w="1386" w:type="dxa"/>
            <w:tcBorders>
              <w:top w:val="nil"/>
              <w:left w:val="single" w:sz="4" w:space="0" w:color="auto"/>
              <w:bottom w:val="double" w:sz="4" w:space="0" w:color="auto"/>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-6.5</w:t>
            </w:r>
          </w:p>
        </w:tc>
        <w:tc>
          <w:tcPr>
            <w:tcW w:w="1047"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5.4</w:t>
            </w:r>
          </w:p>
        </w:tc>
        <w:tc>
          <w:tcPr>
            <w:tcW w:w="1046"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2.3</w:t>
            </w:r>
          </w:p>
        </w:tc>
        <w:tc>
          <w:tcPr>
            <w:tcW w:w="1047"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-5.6</w:t>
            </w:r>
          </w:p>
        </w:tc>
        <w:tc>
          <w:tcPr>
            <w:tcW w:w="1046"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15.3</w:t>
            </w:r>
          </w:p>
        </w:tc>
      </w:tr>
      <w:tr w:rsidR="009802C0" w:rsidRPr="003B6B9A" w:rsidTr="001040FB">
        <w:trPr>
          <w:cantSplit/>
          <w:trHeight w:val="503"/>
          <w:jc w:val="center"/>
        </w:trPr>
        <w:tc>
          <w:tcPr>
            <w:tcW w:w="467" w:type="dxa"/>
            <w:vMerge w:val="restart"/>
            <w:tcBorders>
              <w:top w:val="double" w:sz="4" w:space="0" w:color="auto"/>
              <w:left w:val="nil"/>
              <w:right w:val="single" w:sz="4" w:space="0" w:color="auto"/>
            </w:tcBorders>
            <w:textDirection w:val="tbRlV"/>
            <w:vAlign w:val="center"/>
          </w:tcPr>
          <w:p w:rsidR="009802C0" w:rsidRPr="003B6B9A" w:rsidRDefault="009802C0" w:rsidP="001040FB">
            <w:pPr>
              <w:snapToGrid w:val="0"/>
              <w:spacing w:line="320" w:lineRule="exact"/>
              <w:jc w:val="center"/>
              <w:rPr>
                <w:rFonts w:eastAsia="標楷體"/>
                <w:bCs/>
              </w:rPr>
            </w:pPr>
            <w:r w:rsidRPr="003B6B9A">
              <w:rPr>
                <w:rFonts w:eastAsia="標楷體"/>
                <w:bCs/>
              </w:rPr>
              <w:t>自該國進口</w:t>
            </w:r>
          </w:p>
        </w:tc>
        <w:tc>
          <w:tcPr>
            <w:tcW w:w="2547" w:type="dxa"/>
            <w:tcBorders>
              <w:top w:val="double" w:sz="4" w:space="0" w:color="auto"/>
              <w:left w:val="single" w:sz="4" w:space="0" w:color="auto"/>
              <w:bottom w:val="nil"/>
              <w:right w:val="single" w:sz="4" w:space="0" w:color="auto"/>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rPr>
              <w:t>10</w:t>
            </w:r>
            <w:r w:rsidRPr="003B6B9A">
              <w:rPr>
                <w:rFonts w:eastAsia="標楷體" w:hint="eastAsia"/>
              </w:rPr>
              <w:t>4</w:t>
            </w:r>
            <w:r w:rsidRPr="003B6B9A">
              <w:rPr>
                <w:rFonts w:eastAsia="標楷體"/>
              </w:rPr>
              <w:t>年</w:t>
            </w:r>
            <w:r w:rsidRPr="003B6B9A">
              <w:rPr>
                <w:rFonts w:eastAsia="標楷體" w:hint="eastAsia"/>
              </w:rPr>
              <w:t>4</w:t>
            </w:r>
            <w:r w:rsidRPr="003B6B9A">
              <w:rPr>
                <w:rFonts w:eastAsia="標楷體"/>
              </w:rPr>
              <w:t>月金額</w:t>
            </w:r>
          </w:p>
        </w:tc>
        <w:tc>
          <w:tcPr>
            <w:tcW w:w="1386" w:type="dxa"/>
            <w:tcBorders>
              <w:top w:val="double" w:sz="4" w:space="0" w:color="auto"/>
              <w:left w:val="single" w:sz="4" w:space="0" w:color="auto"/>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3,770.5</w:t>
            </w:r>
          </w:p>
        </w:tc>
        <w:tc>
          <w:tcPr>
            <w:tcW w:w="1047" w:type="dxa"/>
            <w:tcBorders>
              <w:top w:val="double" w:sz="4" w:space="0" w:color="auto"/>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1,989.7</w:t>
            </w:r>
          </w:p>
        </w:tc>
        <w:tc>
          <w:tcPr>
            <w:tcW w:w="1046" w:type="dxa"/>
            <w:tcBorders>
              <w:top w:val="double" w:sz="4" w:space="0" w:color="auto"/>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3,179.5</w:t>
            </w:r>
          </w:p>
        </w:tc>
        <w:tc>
          <w:tcPr>
            <w:tcW w:w="1047" w:type="dxa"/>
            <w:tcBorders>
              <w:top w:val="double" w:sz="4" w:space="0" w:color="auto"/>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643.8</w:t>
            </w:r>
          </w:p>
        </w:tc>
        <w:tc>
          <w:tcPr>
            <w:tcW w:w="1046" w:type="dxa"/>
            <w:tcBorders>
              <w:top w:val="double" w:sz="4" w:space="0" w:color="auto"/>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1,132.6</w:t>
            </w:r>
          </w:p>
        </w:tc>
      </w:tr>
      <w:tr w:rsidR="009802C0" w:rsidRPr="003B6B9A" w:rsidTr="001040FB">
        <w:trPr>
          <w:cantSplit/>
          <w:trHeight w:val="503"/>
          <w:jc w:val="center"/>
        </w:trPr>
        <w:tc>
          <w:tcPr>
            <w:tcW w:w="467" w:type="dxa"/>
            <w:vMerge/>
            <w:tcBorders>
              <w:left w:val="nil"/>
              <w:right w:val="single" w:sz="4" w:space="0" w:color="auto"/>
            </w:tcBorders>
            <w:textDirection w:val="tbRlV"/>
            <w:vAlign w:val="center"/>
          </w:tcPr>
          <w:p w:rsidR="009802C0" w:rsidRPr="003B6B9A" w:rsidRDefault="009802C0" w:rsidP="001040FB">
            <w:pPr>
              <w:snapToGrid w:val="0"/>
              <w:spacing w:line="320" w:lineRule="exact"/>
              <w:jc w:val="center"/>
              <w:rPr>
                <w:rFonts w:eastAsia="標楷體"/>
                <w:b/>
                <w:bCs/>
              </w:rPr>
            </w:pPr>
          </w:p>
        </w:tc>
        <w:tc>
          <w:tcPr>
            <w:tcW w:w="2547" w:type="dxa"/>
            <w:tcBorders>
              <w:top w:val="nil"/>
              <w:left w:val="single" w:sz="4" w:space="0" w:color="auto"/>
              <w:bottom w:val="nil"/>
              <w:right w:val="single" w:sz="4" w:space="0" w:color="auto"/>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rPr>
              <w:t>比重</w:t>
            </w:r>
          </w:p>
        </w:tc>
        <w:tc>
          <w:tcPr>
            <w:tcW w:w="1386" w:type="dxa"/>
            <w:tcBorders>
              <w:top w:val="nil"/>
              <w:left w:val="single" w:sz="4" w:space="0" w:color="auto"/>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20.1</w:t>
            </w:r>
          </w:p>
        </w:tc>
        <w:tc>
          <w:tcPr>
            <w:tcW w:w="1047"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10.6</w:t>
            </w:r>
          </w:p>
        </w:tc>
        <w:tc>
          <w:tcPr>
            <w:tcW w:w="1046"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17.0</w:t>
            </w:r>
          </w:p>
        </w:tc>
        <w:tc>
          <w:tcPr>
            <w:tcW w:w="1047"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3.4</w:t>
            </w:r>
          </w:p>
        </w:tc>
        <w:tc>
          <w:tcPr>
            <w:tcW w:w="1046"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6.0</w:t>
            </w:r>
          </w:p>
        </w:tc>
      </w:tr>
      <w:tr w:rsidR="009802C0" w:rsidRPr="003B6B9A" w:rsidTr="001040FB">
        <w:trPr>
          <w:cantSplit/>
          <w:trHeight w:val="503"/>
          <w:jc w:val="center"/>
        </w:trPr>
        <w:tc>
          <w:tcPr>
            <w:tcW w:w="467" w:type="dxa"/>
            <w:vMerge/>
            <w:tcBorders>
              <w:left w:val="nil"/>
              <w:right w:val="single" w:sz="4" w:space="0" w:color="auto"/>
            </w:tcBorders>
            <w:vAlign w:val="center"/>
          </w:tcPr>
          <w:p w:rsidR="009802C0" w:rsidRPr="003B6B9A" w:rsidRDefault="009802C0" w:rsidP="001040FB">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w:t>
            </w:r>
            <w:r w:rsidRPr="003B6B9A">
              <w:rPr>
                <w:rFonts w:eastAsia="標楷體"/>
              </w:rPr>
              <w:t>率</w:t>
            </w:r>
          </w:p>
        </w:tc>
        <w:tc>
          <w:tcPr>
            <w:tcW w:w="1386" w:type="dxa"/>
            <w:tcBorders>
              <w:top w:val="nil"/>
              <w:left w:val="single" w:sz="4" w:space="0" w:color="auto"/>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-10.3</w:t>
            </w:r>
          </w:p>
        </w:tc>
        <w:tc>
          <w:tcPr>
            <w:tcW w:w="1047"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-26.6</w:t>
            </w:r>
          </w:p>
        </w:tc>
        <w:tc>
          <w:tcPr>
            <w:tcW w:w="1046"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-15.6</w:t>
            </w:r>
          </w:p>
        </w:tc>
        <w:tc>
          <w:tcPr>
            <w:tcW w:w="1047"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-13.4</w:t>
            </w:r>
          </w:p>
        </w:tc>
        <w:tc>
          <w:tcPr>
            <w:tcW w:w="1046"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-2.4</w:t>
            </w:r>
          </w:p>
        </w:tc>
      </w:tr>
      <w:tr w:rsidR="009802C0" w:rsidRPr="003B6B9A" w:rsidTr="001040FB">
        <w:trPr>
          <w:cantSplit/>
          <w:trHeight w:val="503"/>
          <w:jc w:val="center"/>
        </w:trPr>
        <w:tc>
          <w:tcPr>
            <w:tcW w:w="467" w:type="dxa"/>
            <w:vMerge/>
            <w:tcBorders>
              <w:left w:val="nil"/>
              <w:right w:val="single" w:sz="4" w:space="0" w:color="auto"/>
            </w:tcBorders>
            <w:vAlign w:val="center"/>
          </w:tcPr>
          <w:p w:rsidR="009802C0" w:rsidRPr="003B6B9A" w:rsidRDefault="009802C0" w:rsidP="001040FB">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Pr="003B6B9A">
              <w:rPr>
                <w:rFonts w:eastAsia="標楷體" w:hint="eastAsia"/>
              </w:rPr>
              <w:t>至</w:t>
            </w:r>
            <w:r w:rsidRPr="003B6B9A">
              <w:rPr>
                <w:rFonts w:eastAsia="標楷體" w:hint="eastAsia"/>
              </w:rPr>
              <w:t>4</w:t>
            </w:r>
            <w:r w:rsidRPr="003B6B9A">
              <w:rPr>
                <w:rFonts w:eastAsia="標楷體" w:hint="eastAsia"/>
              </w:rPr>
              <w:t>月金額</w:t>
            </w:r>
          </w:p>
        </w:tc>
        <w:tc>
          <w:tcPr>
            <w:tcW w:w="1386" w:type="dxa"/>
            <w:tcBorders>
              <w:top w:val="nil"/>
              <w:left w:val="single" w:sz="4" w:space="0" w:color="auto"/>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14,840.5</w:t>
            </w:r>
          </w:p>
        </w:tc>
        <w:tc>
          <w:tcPr>
            <w:tcW w:w="1047"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7,938.3</w:t>
            </w:r>
          </w:p>
        </w:tc>
        <w:tc>
          <w:tcPr>
            <w:tcW w:w="1046"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12,881.6</w:t>
            </w:r>
          </w:p>
        </w:tc>
        <w:tc>
          <w:tcPr>
            <w:tcW w:w="1047"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2,447.4</w:t>
            </w:r>
          </w:p>
        </w:tc>
        <w:tc>
          <w:tcPr>
            <w:tcW w:w="1046"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4,628.6</w:t>
            </w:r>
          </w:p>
        </w:tc>
      </w:tr>
      <w:tr w:rsidR="009802C0" w:rsidRPr="003B6B9A" w:rsidTr="001040FB">
        <w:trPr>
          <w:cantSplit/>
          <w:trHeight w:val="503"/>
          <w:jc w:val="center"/>
        </w:trPr>
        <w:tc>
          <w:tcPr>
            <w:tcW w:w="467" w:type="dxa"/>
            <w:vMerge/>
            <w:tcBorders>
              <w:left w:val="nil"/>
              <w:right w:val="single" w:sz="4" w:space="0" w:color="auto"/>
            </w:tcBorders>
            <w:vAlign w:val="center"/>
          </w:tcPr>
          <w:p w:rsidR="009802C0" w:rsidRPr="003B6B9A" w:rsidRDefault="009802C0" w:rsidP="001040FB">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比重</w:t>
            </w:r>
          </w:p>
        </w:tc>
        <w:tc>
          <w:tcPr>
            <w:tcW w:w="1386" w:type="dxa"/>
            <w:tcBorders>
              <w:top w:val="nil"/>
              <w:left w:val="single" w:sz="4" w:space="0" w:color="auto"/>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19.6</w:t>
            </w:r>
          </w:p>
        </w:tc>
        <w:tc>
          <w:tcPr>
            <w:tcW w:w="1047"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10.5</w:t>
            </w:r>
          </w:p>
        </w:tc>
        <w:tc>
          <w:tcPr>
            <w:tcW w:w="1046"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17.0</w:t>
            </w:r>
          </w:p>
        </w:tc>
        <w:tc>
          <w:tcPr>
            <w:tcW w:w="1047"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3.2</w:t>
            </w:r>
          </w:p>
        </w:tc>
        <w:tc>
          <w:tcPr>
            <w:tcW w:w="1046" w:type="dxa"/>
            <w:tcBorders>
              <w:top w:val="nil"/>
              <w:left w:val="nil"/>
              <w:bottom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6.1</w:t>
            </w:r>
          </w:p>
        </w:tc>
      </w:tr>
      <w:tr w:rsidR="009802C0" w:rsidRPr="003B6B9A" w:rsidTr="001040FB">
        <w:trPr>
          <w:cantSplit/>
          <w:trHeight w:val="503"/>
          <w:jc w:val="center"/>
        </w:trPr>
        <w:tc>
          <w:tcPr>
            <w:tcW w:w="467" w:type="dxa"/>
            <w:vMerge/>
            <w:tcBorders>
              <w:left w:val="nil"/>
              <w:right w:val="single" w:sz="4" w:space="0" w:color="auto"/>
            </w:tcBorders>
            <w:vAlign w:val="center"/>
          </w:tcPr>
          <w:p w:rsidR="009802C0" w:rsidRPr="003B6B9A" w:rsidRDefault="009802C0" w:rsidP="001040FB">
            <w:pPr>
              <w:snapToGrid w:val="0"/>
              <w:spacing w:line="320" w:lineRule="exact"/>
              <w:ind w:left="28"/>
              <w:rPr>
                <w:rFonts w:eastAsia="標楷體"/>
                <w:b/>
                <w:bCs/>
              </w:rPr>
            </w:pPr>
          </w:p>
        </w:tc>
        <w:tc>
          <w:tcPr>
            <w:tcW w:w="2547" w:type="dxa"/>
            <w:tcBorders>
              <w:top w:val="nil"/>
              <w:left w:val="single" w:sz="4" w:space="0" w:color="auto"/>
              <w:right w:val="single" w:sz="4" w:space="0" w:color="auto"/>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年增率</w:t>
            </w:r>
          </w:p>
        </w:tc>
        <w:tc>
          <w:tcPr>
            <w:tcW w:w="1386" w:type="dxa"/>
            <w:tcBorders>
              <w:top w:val="nil"/>
              <w:left w:val="single" w:sz="4" w:space="0" w:color="auto"/>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-1.8</w:t>
            </w:r>
          </w:p>
        </w:tc>
        <w:tc>
          <w:tcPr>
            <w:tcW w:w="1047"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-14.8</w:t>
            </w:r>
          </w:p>
        </w:tc>
        <w:tc>
          <w:tcPr>
            <w:tcW w:w="1046"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-6.8</w:t>
            </w:r>
          </w:p>
        </w:tc>
        <w:tc>
          <w:tcPr>
            <w:tcW w:w="1047"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-13.3</w:t>
            </w:r>
          </w:p>
        </w:tc>
        <w:tc>
          <w:tcPr>
            <w:tcW w:w="1046" w:type="dxa"/>
            <w:tcBorders>
              <w:top w:val="nil"/>
              <w:left w:val="nil"/>
              <w:right w:val="nil"/>
            </w:tcBorders>
            <w:vAlign w:val="center"/>
          </w:tcPr>
          <w:p w:rsidR="009802C0" w:rsidRPr="003B6B9A" w:rsidRDefault="009802C0" w:rsidP="001040FB">
            <w:pPr>
              <w:spacing w:line="400" w:lineRule="exact"/>
              <w:ind w:left="28" w:right="-40"/>
              <w:contextualSpacing/>
              <w:jc w:val="center"/>
              <w:rPr>
                <w:rFonts w:eastAsia="標楷體"/>
              </w:rPr>
            </w:pPr>
            <w:r w:rsidRPr="003B6B9A">
              <w:rPr>
                <w:rFonts w:eastAsia="標楷體" w:hint="eastAsia"/>
              </w:rPr>
              <w:t>-3.3</w:t>
            </w:r>
          </w:p>
        </w:tc>
      </w:tr>
    </w:tbl>
    <w:p w:rsidR="003F3F99" w:rsidRPr="00B118E9" w:rsidRDefault="003F3F99" w:rsidP="003F3F99">
      <w:pPr>
        <w:spacing w:line="380" w:lineRule="exact"/>
        <w:ind w:leftChars="59" w:left="142"/>
        <w:rPr>
          <w:rFonts w:eastAsia="標楷體"/>
        </w:rPr>
      </w:pPr>
      <w:r w:rsidRPr="00B118E9">
        <w:rPr>
          <w:rFonts w:eastAsia="標楷體"/>
        </w:rPr>
        <w:t>資料來源：財政部。</w:t>
      </w:r>
    </w:p>
    <w:p w:rsidR="003F3F99" w:rsidRPr="00B118E9" w:rsidRDefault="003F3F99" w:rsidP="003F3F99">
      <w:pPr>
        <w:widowControl/>
        <w:tabs>
          <w:tab w:val="left" w:pos="540"/>
        </w:tabs>
        <w:snapToGrid w:val="0"/>
        <w:spacing w:beforeLines="50" w:before="180" w:line="300" w:lineRule="auto"/>
        <w:ind w:left="566" w:hangingChars="202" w:hanging="566"/>
        <w:jc w:val="both"/>
        <w:rPr>
          <w:rFonts w:eastAsia="標楷體"/>
          <w:color w:val="FF0000"/>
          <w:kern w:val="0"/>
          <w:sz w:val="28"/>
          <w:szCs w:val="20"/>
        </w:rPr>
      </w:pPr>
      <w:r w:rsidRPr="00B118E9">
        <w:rPr>
          <w:rFonts w:eastAsia="標楷體"/>
          <w:color w:val="FF0000"/>
          <w:kern w:val="0"/>
          <w:sz w:val="28"/>
          <w:szCs w:val="20"/>
        </w:rPr>
        <w:br w:type="page"/>
      </w:r>
      <w:r w:rsidRPr="00B118E9">
        <w:rPr>
          <w:rFonts w:eastAsia="標楷體"/>
          <w:b/>
          <w:bCs/>
          <w:kern w:val="0"/>
          <w:sz w:val="28"/>
          <w:szCs w:val="20"/>
        </w:rPr>
        <w:t>３、</w:t>
      </w:r>
      <w:r w:rsidR="00C17ACC" w:rsidRPr="003B6B9A">
        <w:rPr>
          <w:rFonts w:eastAsia="標楷體"/>
          <w:b/>
          <w:bCs/>
          <w:kern w:val="0"/>
          <w:sz w:val="28"/>
          <w:szCs w:val="20"/>
        </w:rPr>
        <w:t>10</w:t>
      </w:r>
      <w:r w:rsidR="00C17ACC" w:rsidRPr="003B6B9A">
        <w:rPr>
          <w:rFonts w:eastAsia="標楷體" w:hint="eastAsia"/>
          <w:b/>
          <w:bCs/>
          <w:kern w:val="0"/>
          <w:sz w:val="28"/>
          <w:szCs w:val="20"/>
        </w:rPr>
        <w:t>4</w:t>
      </w:r>
      <w:r w:rsidR="00C17ACC" w:rsidRPr="003B6B9A">
        <w:rPr>
          <w:rFonts w:eastAsia="標楷體"/>
          <w:b/>
          <w:bCs/>
          <w:kern w:val="0"/>
          <w:sz w:val="28"/>
          <w:szCs w:val="20"/>
        </w:rPr>
        <w:t>年</w:t>
      </w:r>
      <w:r w:rsidR="00C17ACC" w:rsidRPr="003B6B9A">
        <w:rPr>
          <w:rFonts w:eastAsia="標楷體" w:hint="eastAsia"/>
          <w:b/>
          <w:bCs/>
          <w:kern w:val="0"/>
          <w:sz w:val="28"/>
          <w:szCs w:val="20"/>
        </w:rPr>
        <w:t>4</w:t>
      </w:r>
      <w:r w:rsidR="00C17ACC" w:rsidRPr="003B6B9A">
        <w:rPr>
          <w:rFonts w:eastAsia="標楷體"/>
          <w:b/>
          <w:bCs/>
          <w:kern w:val="0"/>
          <w:sz w:val="28"/>
          <w:szCs w:val="20"/>
        </w:rPr>
        <w:t>月按產品別觀察，出口以</w:t>
      </w:r>
      <w:r w:rsidR="00C17ACC" w:rsidRPr="003B6B9A">
        <w:rPr>
          <w:rFonts w:eastAsia="標楷體" w:hint="eastAsia"/>
          <w:b/>
          <w:bCs/>
          <w:kern w:val="0"/>
          <w:sz w:val="28"/>
          <w:szCs w:val="20"/>
        </w:rPr>
        <w:t>植物產品</w:t>
      </w:r>
      <w:r w:rsidR="00C17ACC" w:rsidRPr="003B6B9A">
        <w:rPr>
          <w:rFonts w:eastAsia="標楷體"/>
          <w:b/>
          <w:bCs/>
          <w:kern w:val="0"/>
          <w:sz w:val="28"/>
          <w:szCs w:val="20"/>
        </w:rPr>
        <w:t>增幅達</w:t>
      </w:r>
      <w:r w:rsidR="00C17ACC" w:rsidRPr="003B6B9A">
        <w:rPr>
          <w:rFonts w:eastAsia="標楷體" w:hint="eastAsia"/>
          <w:b/>
          <w:bCs/>
          <w:kern w:val="0"/>
          <w:sz w:val="28"/>
          <w:szCs w:val="20"/>
        </w:rPr>
        <w:t>18.9%</w:t>
      </w:r>
      <w:r w:rsidR="00C17ACC" w:rsidRPr="003B6B9A">
        <w:rPr>
          <w:rFonts w:eastAsia="標楷體"/>
          <w:b/>
          <w:bCs/>
          <w:kern w:val="0"/>
          <w:sz w:val="28"/>
          <w:szCs w:val="20"/>
        </w:rPr>
        <w:t>最大，進口</w:t>
      </w:r>
      <w:r w:rsidR="00C17ACC" w:rsidRPr="003B6B9A">
        <w:rPr>
          <w:rFonts w:eastAsia="標楷體" w:hint="eastAsia"/>
          <w:b/>
          <w:bCs/>
          <w:kern w:val="0"/>
          <w:sz w:val="28"/>
          <w:szCs w:val="20"/>
        </w:rPr>
        <w:t>則</w:t>
      </w:r>
      <w:r w:rsidR="00C17ACC" w:rsidRPr="003B6B9A">
        <w:rPr>
          <w:rFonts w:eastAsia="標楷體"/>
          <w:b/>
          <w:bCs/>
          <w:kern w:val="0"/>
          <w:sz w:val="28"/>
          <w:szCs w:val="20"/>
        </w:rPr>
        <w:t>以</w:t>
      </w:r>
      <w:r w:rsidR="00C17ACC" w:rsidRPr="003B6B9A">
        <w:rPr>
          <w:rFonts w:eastAsia="標楷體" w:hint="eastAsia"/>
          <w:b/>
          <w:bCs/>
          <w:kern w:val="0"/>
          <w:sz w:val="28"/>
          <w:szCs w:val="20"/>
        </w:rPr>
        <w:t>黃金</w:t>
      </w:r>
      <w:r w:rsidR="00C17ACC" w:rsidRPr="003B6B9A">
        <w:rPr>
          <w:rFonts w:eastAsia="標楷體" w:hint="eastAsia"/>
          <w:b/>
          <w:bCs/>
          <w:kern w:val="0"/>
          <w:sz w:val="28"/>
          <w:szCs w:val="20"/>
        </w:rPr>
        <w:t>57.2%</w:t>
      </w:r>
      <w:r w:rsidR="00C17ACC" w:rsidRPr="003B6B9A">
        <w:rPr>
          <w:rFonts w:eastAsia="標楷體"/>
          <w:b/>
          <w:bCs/>
          <w:kern w:val="0"/>
          <w:sz w:val="28"/>
          <w:szCs w:val="20"/>
        </w:rPr>
        <w:t>最大</w:t>
      </w:r>
    </w:p>
    <w:p w:rsidR="00C17ACC" w:rsidRPr="003B6B9A" w:rsidRDefault="00C17ACC" w:rsidP="00C17ACC">
      <w:pPr>
        <w:numPr>
          <w:ilvl w:val="0"/>
          <w:numId w:val="12"/>
        </w:numPr>
        <w:snapToGrid w:val="0"/>
        <w:spacing w:beforeLines="50" w:before="180" w:line="300" w:lineRule="auto"/>
        <w:ind w:left="851" w:right="-142" w:hanging="567"/>
        <w:jc w:val="both"/>
        <w:rPr>
          <w:rFonts w:eastAsia="標楷體"/>
          <w:kern w:val="0"/>
          <w:sz w:val="28"/>
          <w:szCs w:val="22"/>
        </w:rPr>
      </w:pPr>
      <w:r w:rsidRPr="003B6B9A">
        <w:rPr>
          <w:rFonts w:eastAsia="標楷體" w:hint="eastAsia"/>
          <w:kern w:val="0"/>
          <w:sz w:val="28"/>
          <w:szCs w:val="22"/>
        </w:rPr>
        <w:t>4</w:t>
      </w:r>
      <w:r w:rsidRPr="003B6B9A">
        <w:rPr>
          <w:rFonts w:eastAsia="標楷體"/>
          <w:kern w:val="0"/>
          <w:sz w:val="28"/>
          <w:szCs w:val="22"/>
        </w:rPr>
        <w:t>月出口前</w:t>
      </w:r>
      <w:r w:rsidRPr="003B6B9A">
        <w:rPr>
          <w:rFonts w:eastAsia="標楷體"/>
          <w:kern w:val="0"/>
          <w:sz w:val="28"/>
          <w:szCs w:val="22"/>
        </w:rPr>
        <w:t>3</w:t>
      </w:r>
      <w:r w:rsidRPr="003B6B9A">
        <w:rPr>
          <w:rFonts w:eastAsia="標楷體"/>
          <w:kern w:val="0"/>
          <w:sz w:val="28"/>
          <w:szCs w:val="22"/>
        </w:rPr>
        <w:t>大貨品依序為：電子產品</w:t>
      </w:r>
      <w:r w:rsidRPr="003B6B9A">
        <w:rPr>
          <w:rFonts w:eastAsia="標楷體" w:hint="eastAsia"/>
          <w:kern w:val="0"/>
          <w:sz w:val="28"/>
          <w:szCs w:val="22"/>
        </w:rPr>
        <w:t>78.9</w:t>
      </w:r>
      <w:r w:rsidRPr="003B6B9A">
        <w:rPr>
          <w:rFonts w:eastAsia="標楷體"/>
          <w:kern w:val="0"/>
          <w:sz w:val="28"/>
          <w:szCs w:val="22"/>
        </w:rPr>
        <w:t>億美元，占出口總值</w:t>
      </w:r>
      <w:r w:rsidRPr="003B6B9A">
        <w:rPr>
          <w:rFonts w:eastAsia="標楷體"/>
          <w:kern w:val="0"/>
          <w:sz w:val="28"/>
          <w:szCs w:val="22"/>
        </w:rPr>
        <w:t>3</w:t>
      </w:r>
      <w:r w:rsidRPr="003B6B9A">
        <w:rPr>
          <w:rFonts w:eastAsia="標楷體" w:hint="eastAsia"/>
          <w:kern w:val="0"/>
          <w:sz w:val="28"/>
          <w:szCs w:val="22"/>
        </w:rPr>
        <w:t>3.6</w:t>
      </w:r>
      <w:r w:rsidRPr="003B6B9A">
        <w:rPr>
          <w:rFonts w:eastAsia="標楷體"/>
          <w:kern w:val="0"/>
          <w:sz w:val="28"/>
          <w:szCs w:val="22"/>
        </w:rPr>
        <w:t>%</w:t>
      </w:r>
      <w:r w:rsidRPr="003B6B9A">
        <w:rPr>
          <w:rFonts w:eastAsia="標楷體"/>
          <w:kern w:val="0"/>
          <w:sz w:val="28"/>
          <w:szCs w:val="22"/>
        </w:rPr>
        <w:t>，較上年同月減少</w:t>
      </w:r>
      <w:r w:rsidRPr="003B6B9A">
        <w:rPr>
          <w:rFonts w:eastAsia="標楷體" w:hint="eastAsia"/>
          <w:kern w:val="0"/>
          <w:sz w:val="28"/>
          <w:szCs w:val="22"/>
        </w:rPr>
        <w:t>3</w:t>
      </w:r>
      <w:r w:rsidRPr="003B6B9A">
        <w:rPr>
          <w:rFonts w:eastAsia="標楷體"/>
          <w:kern w:val="0"/>
          <w:sz w:val="28"/>
          <w:szCs w:val="22"/>
        </w:rPr>
        <w:t>.2%</w:t>
      </w:r>
      <w:r w:rsidRPr="003B6B9A">
        <w:rPr>
          <w:rFonts w:eastAsia="標楷體"/>
          <w:kern w:val="0"/>
          <w:sz w:val="28"/>
          <w:szCs w:val="22"/>
        </w:rPr>
        <w:t>；基本金屬及其製品</w:t>
      </w:r>
      <w:r w:rsidRPr="003B6B9A">
        <w:rPr>
          <w:rFonts w:eastAsia="標楷體"/>
          <w:kern w:val="0"/>
          <w:sz w:val="28"/>
          <w:szCs w:val="22"/>
        </w:rPr>
        <w:t>2</w:t>
      </w:r>
      <w:r w:rsidRPr="003B6B9A">
        <w:rPr>
          <w:rFonts w:eastAsia="標楷體" w:hint="eastAsia"/>
          <w:kern w:val="0"/>
          <w:sz w:val="28"/>
          <w:szCs w:val="22"/>
        </w:rPr>
        <w:t>1.3</w:t>
      </w:r>
      <w:r w:rsidRPr="003B6B9A">
        <w:rPr>
          <w:rFonts w:eastAsia="標楷體"/>
          <w:kern w:val="0"/>
          <w:sz w:val="28"/>
          <w:szCs w:val="22"/>
        </w:rPr>
        <w:t>億美元，比重</w:t>
      </w:r>
      <w:r w:rsidRPr="003B6B9A">
        <w:rPr>
          <w:rFonts w:eastAsia="標楷體"/>
          <w:kern w:val="0"/>
          <w:sz w:val="28"/>
          <w:szCs w:val="22"/>
        </w:rPr>
        <w:t>9.</w:t>
      </w:r>
      <w:r w:rsidRPr="003B6B9A">
        <w:rPr>
          <w:rFonts w:eastAsia="標楷體" w:hint="eastAsia"/>
          <w:kern w:val="0"/>
          <w:sz w:val="28"/>
          <w:szCs w:val="22"/>
        </w:rPr>
        <w:t>1</w:t>
      </w:r>
      <w:r w:rsidRPr="003B6B9A">
        <w:rPr>
          <w:rFonts w:eastAsia="標楷體"/>
          <w:kern w:val="0"/>
          <w:sz w:val="28"/>
          <w:szCs w:val="22"/>
        </w:rPr>
        <w:t>%</w:t>
      </w:r>
      <w:r w:rsidRPr="003B6B9A">
        <w:rPr>
          <w:rFonts w:eastAsia="標楷體"/>
          <w:kern w:val="0"/>
          <w:sz w:val="28"/>
          <w:szCs w:val="22"/>
        </w:rPr>
        <w:t>，減少</w:t>
      </w:r>
      <w:r w:rsidRPr="003B6B9A">
        <w:rPr>
          <w:rFonts w:eastAsia="標楷體"/>
          <w:kern w:val="0"/>
          <w:sz w:val="28"/>
          <w:szCs w:val="22"/>
        </w:rPr>
        <w:t>13</w:t>
      </w:r>
      <w:r w:rsidRPr="003B6B9A">
        <w:rPr>
          <w:rFonts w:eastAsia="標楷體" w:hint="eastAsia"/>
          <w:kern w:val="0"/>
          <w:sz w:val="28"/>
          <w:szCs w:val="22"/>
        </w:rPr>
        <w:t>.0</w:t>
      </w:r>
      <w:r w:rsidRPr="003B6B9A">
        <w:rPr>
          <w:rFonts w:eastAsia="標楷體"/>
          <w:kern w:val="0"/>
          <w:sz w:val="28"/>
          <w:szCs w:val="22"/>
        </w:rPr>
        <w:t>%</w:t>
      </w:r>
      <w:r w:rsidRPr="003B6B9A">
        <w:rPr>
          <w:rFonts w:eastAsia="標楷體"/>
          <w:kern w:val="0"/>
          <w:sz w:val="28"/>
          <w:szCs w:val="22"/>
        </w:rPr>
        <w:t>；</w:t>
      </w:r>
      <w:r w:rsidRPr="003B6B9A">
        <w:rPr>
          <w:rFonts w:eastAsia="標楷體"/>
          <w:bCs/>
          <w:kern w:val="0"/>
          <w:sz w:val="28"/>
          <w:szCs w:val="22"/>
        </w:rPr>
        <w:t>塑橡膠及其製品</w:t>
      </w:r>
      <w:r w:rsidRPr="003B6B9A">
        <w:rPr>
          <w:rFonts w:eastAsia="標楷體"/>
          <w:bCs/>
          <w:kern w:val="0"/>
          <w:sz w:val="28"/>
          <w:szCs w:val="22"/>
        </w:rPr>
        <w:t>18</w:t>
      </w:r>
      <w:r w:rsidRPr="003B6B9A">
        <w:rPr>
          <w:rFonts w:eastAsia="標楷體" w:hint="eastAsia"/>
          <w:bCs/>
          <w:kern w:val="0"/>
          <w:sz w:val="28"/>
          <w:szCs w:val="22"/>
        </w:rPr>
        <w:t>.2</w:t>
      </w:r>
      <w:r w:rsidRPr="003B6B9A">
        <w:rPr>
          <w:rFonts w:eastAsia="標楷體"/>
          <w:kern w:val="0"/>
          <w:sz w:val="28"/>
          <w:szCs w:val="22"/>
        </w:rPr>
        <w:t>億美元，比重</w:t>
      </w:r>
      <w:r w:rsidRPr="003B6B9A">
        <w:rPr>
          <w:rFonts w:eastAsia="標楷體"/>
          <w:kern w:val="0"/>
          <w:sz w:val="28"/>
          <w:szCs w:val="22"/>
        </w:rPr>
        <w:t>7.</w:t>
      </w:r>
      <w:r w:rsidRPr="003B6B9A">
        <w:rPr>
          <w:rFonts w:eastAsia="標楷體" w:hint="eastAsia"/>
          <w:kern w:val="0"/>
          <w:sz w:val="28"/>
          <w:szCs w:val="22"/>
        </w:rPr>
        <w:t>7</w:t>
      </w:r>
      <w:r w:rsidRPr="003B6B9A">
        <w:rPr>
          <w:rFonts w:eastAsia="標楷體"/>
          <w:kern w:val="0"/>
          <w:sz w:val="28"/>
          <w:szCs w:val="22"/>
        </w:rPr>
        <w:t>%</w:t>
      </w:r>
      <w:r w:rsidRPr="003B6B9A">
        <w:rPr>
          <w:rFonts w:eastAsia="標楷體"/>
          <w:kern w:val="0"/>
          <w:sz w:val="28"/>
          <w:szCs w:val="22"/>
        </w:rPr>
        <w:t>，減少</w:t>
      </w:r>
      <w:r w:rsidRPr="003B6B9A">
        <w:rPr>
          <w:rFonts w:eastAsia="標楷體" w:hint="eastAsia"/>
          <w:kern w:val="0"/>
          <w:sz w:val="28"/>
          <w:szCs w:val="22"/>
        </w:rPr>
        <w:t>15.8</w:t>
      </w:r>
      <w:r w:rsidRPr="003B6B9A">
        <w:rPr>
          <w:rFonts w:eastAsia="標楷體"/>
          <w:kern w:val="0"/>
          <w:sz w:val="28"/>
          <w:szCs w:val="22"/>
        </w:rPr>
        <w:t>%</w:t>
      </w:r>
      <w:r w:rsidRPr="003B6B9A">
        <w:rPr>
          <w:rFonts w:eastAsia="標楷體"/>
          <w:kern w:val="0"/>
          <w:sz w:val="28"/>
          <w:szCs w:val="22"/>
        </w:rPr>
        <w:t>。</w:t>
      </w:r>
    </w:p>
    <w:p w:rsidR="003F3F99" w:rsidRPr="00B118E9" w:rsidRDefault="00C17ACC" w:rsidP="00C17ACC">
      <w:pPr>
        <w:numPr>
          <w:ilvl w:val="0"/>
          <w:numId w:val="12"/>
        </w:numPr>
        <w:snapToGrid w:val="0"/>
        <w:spacing w:beforeLines="50" w:before="180" w:line="300" w:lineRule="auto"/>
        <w:ind w:left="851" w:right="-142" w:hanging="567"/>
        <w:jc w:val="both"/>
        <w:rPr>
          <w:rFonts w:eastAsia="標楷體"/>
          <w:color w:val="FF0000"/>
          <w:kern w:val="0"/>
          <w:sz w:val="28"/>
          <w:szCs w:val="22"/>
        </w:rPr>
      </w:pPr>
      <w:r w:rsidRPr="003B6B9A">
        <w:rPr>
          <w:rFonts w:eastAsia="標楷體"/>
          <w:kern w:val="0"/>
          <w:sz w:val="28"/>
          <w:szCs w:val="22"/>
        </w:rPr>
        <w:t>4</w:t>
      </w:r>
      <w:r w:rsidRPr="003B6B9A">
        <w:rPr>
          <w:rFonts w:eastAsia="標楷體"/>
          <w:kern w:val="0"/>
          <w:sz w:val="28"/>
          <w:szCs w:val="22"/>
        </w:rPr>
        <w:t>月進口前</w:t>
      </w:r>
      <w:r w:rsidRPr="003B6B9A">
        <w:rPr>
          <w:rFonts w:eastAsia="標楷體"/>
          <w:kern w:val="0"/>
          <w:sz w:val="28"/>
          <w:szCs w:val="22"/>
        </w:rPr>
        <w:t>3</w:t>
      </w:r>
      <w:r w:rsidRPr="003B6B9A">
        <w:rPr>
          <w:rFonts w:eastAsia="標楷體"/>
          <w:kern w:val="0"/>
          <w:sz w:val="28"/>
          <w:szCs w:val="22"/>
        </w:rPr>
        <w:t>大貨品依序為：礦產品</w:t>
      </w:r>
      <w:r w:rsidRPr="003B6B9A">
        <w:rPr>
          <w:rFonts w:eastAsia="標楷體"/>
          <w:kern w:val="0"/>
          <w:sz w:val="28"/>
          <w:szCs w:val="22"/>
        </w:rPr>
        <w:t>33.7</w:t>
      </w:r>
      <w:r w:rsidRPr="003B6B9A">
        <w:rPr>
          <w:rFonts w:eastAsia="標楷體"/>
          <w:kern w:val="0"/>
          <w:sz w:val="28"/>
          <w:szCs w:val="22"/>
        </w:rPr>
        <w:t>億美元，占進口總值</w:t>
      </w:r>
      <w:r w:rsidRPr="003B6B9A">
        <w:rPr>
          <w:rFonts w:eastAsia="標楷體"/>
          <w:kern w:val="0"/>
          <w:sz w:val="28"/>
          <w:szCs w:val="22"/>
        </w:rPr>
        <w:t>18.0%</w:t>
      </w:r>
      <w:r w:rsidRPr="003B6B9A">
        <w:rPr>
          <w:rFonts w:eastAsia="標楷體"/>
          <w:kern w:val="0"/>
          <w:sz w:val="28"/>
          <w:szCs w:val="22"/>
        </w:rPr>
        <w:t>，較上年同月減少</w:t>
      </w:r>
      <w:r w:rsidRPr="003B6B9A">
        <w:rPr>
          <w:rFonts w:eastAsia="標楷體"/>
          <w:kern w:val="0"/>
          <w:sz w:val="28"/>
          <w:szCs w:val="22"/>
        </w:rPr>
        <w:t>44.9%</w:t>
      </w:r>
      <w:r w:rsidRPr="003B6B9A">
        <w:rPr>
          <w:rFonts w:eastAsia="標楷體"/>
          <w:kern w:val="0"/>
          <w:sz w:val="28"/>
          <w:szCs w:val="22"/>
        </w:rPr>
        <w:t>；電子產品</w:t>
      </w:r>
      <w:r w:rsidRPr="003B6B9A">
        <w:rPr>
          <w:rFonts w:eastAsia="標楷體"/>
          <w:kern w:val="0"/>
          <w:sz w:val="28"/>
          <w:szCs w:val="22"/>
        </w:rPr>
        <w:t>32.6</w:t>
      </w:r>
      <w:r w:rsidRPr="003B6B9A">
        <w:rPr>
          <w:rFonts w:eastAsia="標楷體"/>
          <w:kern w:val="0"/>
          <w:sz w:val="28"/>
          <w:szCs w:val="22"/>
        </w:rPr>
        <w:t>億美元，比重</w:t>
      </w:r>
      <w:r w:rsidRPr="003B6B9A">
        <w:rPr>
          <w:rFonts w:eastAsia="標楷體"/>
          <w:kern w:val="0"/>
          <w:sz w:val="28"/>
          <w:szCs w:val="22"/>
        </w:rPr>
        <w:t>17.4%</w:t>
      </w:r>
      <w:r w:rsidRPr="003B6B9A">
        <w:rPr>
          <w:rFonts w:eastAsia="標楷體"/>
          <w:kern w:val="0"/>
          <w:sz w:val="28"/>
          <w:szCs w:val="22"/>
        </w:rPr>
        <w:t>，減少</w:t>
      </w:r>
      <w:r w:rsidRPr="003B6B9A">
        <w:rPr>
          <w:rFonts w:eastAsia="標楷體"/>
          <w:kern w:val="0"/>
          <w:sz w:val="28"/>
          <w:szCs w:val="22"/>
        </w:rPr>
        <w:t>11.3%</w:t>
      </w:r>
      <w:r w:rsidRPr="003B6B9A">
        <w:rPr>
          <w:rFonts w:eastAsia="標楷體"/>
          <w:kern w:val="0"/>
          <w:sz w:val="28"/>
          <w:szCs w:val="22"/>
        </w:rPr>
        <w:t>；化學品</w:t>
      </w:r>
      <w:r w:rsidRPr="003B6B9A">
        <w:rPr>
          <w:rFonts w:eastAsia="標楷體"/>
          <w:kern w:val="0"/>
          <w:sz w:val="28"/>
          <w:szCs w:val="22"/>
        </w:rPr>
        <w:t>21.6</w:t>
      </w:r>
      <w:r w:rsidRPr="003B6B9A">
        <w:rPr>
          <w:rFonts w:eastAsia="標楷體"/>
          <w:kern w:val="0"/>
          <w:sz w:val="28"/>
          <w:szCs w:val="22"/>
        </w:rPr>
        <w:t>億美元，比重</w:t>
      </w:r>
      <w:r w:rsidRPr="003B6B9A">
        <w:rPr>
          <w:rFonts w:eastAsia="標楷體"/>
          <w:kern w:val="0"/>
          <w:sz w:val="28"/>
          <w:szCs w:val="22"/>
        </w:rPr>
        <w:t>11.5%</w:t>
      </w:r>
      <w:r w:rsidRPr="003B6B9A">
        <w:rPr>
          <w:rFonts w:eastAsia="標楷體"/>
          <w:kern w:val="0"/>
          <w:sz w:val="28"/>
          <w:szCs w:val="22"/>
        </w:rPr>
        <w:t>，減少</w:t>
      </w:r>
      <w:r w:rsidRPr="003B6B9A">
        <w:rPr>
          <w:rFonts w:eastAsia="標楷體"/>
          <w:kern w:val="0"/>
          <w:sz w:val="28"/>
          <w:szCs w:val="22"/>
        </w:rPr>
        <w:t>16.3%</w:t>
      </w:r>
      <w:r w:rsidRPr="003B6B9A">
        <w:rPr>
          <w:rFonts w:eastAsia="標楷體"/>
          <w:kern w:val="0"/>
          <w:sz w:val="28"/>
          <w:szCs w:val="22"/>
        </w:rPr>
        <w:t>。</w:t>
      </w:r>
    </w:p>
    <w:p w:rsidR="003F3F99" w:rsidRPr="00B118E9" w:rsidRDefault="003F3F99" w:rsidP="003F3F99">
      <w:pPr>
        <w:snapToGrid w:val="0"/>
        <w:spacing w:before="100" w:beforeAutospacing="1" w:line="400" w:lineRule="exact"/>
        <w:ind w:right="-153"/>
        <w:jc w:val="center"/>
        <w:rPr>
          <w:rFonts w:eastAsia="標楷體"/>
        </w:rPr>
      </w:pPr>
      <w:r w:rsidRPr="00B118E9">
        <w:rPr>
          <w:rFonts w:eastAsia="標楷體"/>
          <w:b/>
          <w:bCs/>
          <w:sz w:val="28"/>
        </w:rPr>
        <w:t>表</w:t>
      </w:r>
      <w:r w:rsidRPr="00B118E9">
        <w:rPr>
          <w:rFonts w:eastAsia="標楷體"/>
          <w:b/>
          <w:bCs/>
          <w:sz w:val="28"/>
        </w:rPr>
        <w:t>2-4-3</w:t>
      </w:r>
      <w:r w:rsidRPr="00B118E9">
        <w:rPr>
          <w:rFonts w:eastAsia="標楷體"/>
          <w:b/>
          <w:bCs/>
          <w:sz w:val="28"/>
        </w:rPr>
        <w:t xml:space="preserve">　　</w:t>
      </w:r>
      <w:r w:rsidR="00C17ACC" w:rsidRPr="003B6B9A">
        <w:rPr>
          <w:rFonts w:eastAsia="標楷體"/>
          <w:b/>
          <w:bCs/>
          <w:sz w:val="28"/>
        </w:rPr>
        <w:t>10</w:t>
      </w:r>
      <w:r w:rsidR="00C17ACC" w:rsidRPr="003B6B9A">
        <w:rPr>
          <w:rFonts w:eastAsia="標楷體" w:hint="eastAsia"/>
          <w:b/>
          <w:bCs/>
          <w:sz w:val="28"/>
        </w:rPr>
        <w:t>4</w:t>
      </w:r>
      <w:r w:rsidR="00C17ACC" w:rsidRPr="003B6B9A">
        <w:rPr>
          <w:rFonts w:eastAsia="標楷體"/>
          <w:b/>
          <w:bCs/>
          <w:sz w:val="28"/>
        </w:rPr>
        <w:t>年</w:t>
      </w:r>
      <w:r w:rsidR="00C17ACC">
        <w:rPr>
          <w:rFonts w:eastAsia="標楷體" w:hint="eastAsia"/>
          <w:b/>
          <w:bCs/>
          <w:sz w:val="28"/>
        </w:rPr>
        <w:t xml:space="preserve"> 4</w:t>
      </w:r>
      <w:r w:rsidR="00C17ACC" w:rsidRPr="003B6B9A">
        <w:rPr>
          <w:rFonts w:eastAsia="標楷體"/>
          <w:b/>
          <w:bCs/>
          <w:sz w:val="28"/>
        </w:rPr>
        <w:t>月重要出進口產品結構</w:t>
      </w:r>
    </w:p>
    <w:p w:rsidR="003F3F99" w:rsidRPr="00B118E9" w:rsidRDefault="003F3F99" w:rsidP="003F3F99">
      <w:pPr>
        <w:snapToGrid w:val="0"/>
        <w:spacing w:line="300" w:lineRule="auto"/>
        <w:ind w:right="-510"/>
        <w:jc w:val="right"/>
        <w:rPr>
          <w:rFonts w:eastAsia="標楷體"/>
        </w:rPr>
      </w:pPr>
      <w:r w:rsidRPr="00B118E9">
        <w:rPr>
          <w:rFonts w:eastAsia="標楷體"/>
        </w:rPr>
        <w:t>單位：百萬美元；</w:t>
      </w:r>
      <w:r w:rsidR="00C17ACC">
        <w:rPr>
          <w:rFonts w:eastAsia="標楷體" w:hint="eastAsia"/>
        </w:rPr>
        <w:t>%</w:t>
      </w:r>
    </w:p>
    <w:tbl>
      <w:tblPr>
        <w:tblW w:w="9498" w:type="dxa"/>
        <w:tblInd w:w="-398"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30"/>
        <w:gridCol w:w="1080"/>
        <w:gridCol w:w="784"/>
        <w:gridCol w:w="855"/>
        <w:gridCol w:w="2141"/>
        <w:gridCol w:w="1071"/>
        <w:gridCol w:w="730"/>
        <w:gridCol w:w="807"/>
      </w:tblGrid>
      <w:tr w:rsidR="00C17ACC" w:rsidRPr="003B6B9A" w:rsidTr="001040FB">
        <w:trPr>
          <w:trHeight w:val="458"/>
        </w:trPr>
        <w:tc>
          <w:tcPr>
            <w:tcW w:w="2030" w:type="dxa"/>
            <w:tcBorders>
              <w:top w:val="single" w:sz="4" w:space="0" w:color="auto"/>
              <w:left w:val="nil"/>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出口產品</w:t>
            </w:r>
          </w:p>
        </w:tc>
        <w:tc>
          <w:tcPr>
            <w:tcW w:w="1080"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金額</w:t>
            </w:r>
          </w:p>
        </w:tc>
        <w:tc>
          <w:tcPr>
            <w:tcW w:w="784"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比重</w:t>
            </w:r>
          </w:p>
        </w:tc>
        <w:tc>
          <w:tcPr>
            <w:tcW w:w="855"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年增率</w:t>
            </w:r>
          </w:p>
        </w:tc>
        <w:tc>
          <w:tcPr>
            <w:tcW w:w="2141" w:type="dxa"/>
            <w:tcBorders>
              <w:top w:val="single" w:sz="4" w:space="0" w:color="auto"/>
              <w:left w:val="doub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進口產品</w:t>
            </w:r>
          </w:p>
        </w:tc>
        <w:tc>
          <w:tcPr>
            <w:tcW w:w="1071"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金額</w:t>
            </w:r>
          </w:p>
        </w:tc>
        <w:tc>
          <w:tcPr>
            <w:tcW w:w="730"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比重</w:t>
            </w:r>
          </w:p>
        </w:tc>
        <w:tc>
          <w:tcPr>
            <w:tcW w:w="807" w:type="dxa"/>
            <w:tcBorders>
              <w:top w:val="single" w:sz="4" w:space="0" w:color="auto"/>
              <w:left w:val="single" w:sz="4" w:space="0" w:color="auto"/>
              <w:bottom w:val="single" w:sz="4" w:space="0" w:color="auto"/>
              <w:right w:val="nil"/>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年增率</w:t>
            </w:r>
          </w:p>
        </w:tc>
      </w:tr>
      <w:tr w:rsidR="00C17ACC" w:rsidRPr="003B6B9A" w:rsidTr="001040FB">
        <w:trPr>
          <w:trHeight w:val="580"/>
        </w:trPr>
        <w:tc>
          <w:tcPr>
            <w:tcW w:w="2030" w:type="dxa"/>
            <w:tcBorders>
              <w:top w:val="single" w:sz="4" w:space="0" w:color="auto"/>
              <w:left w:val="nil"/>
              <w:bottom w:val="nil"/>
              <w:right w:val="single" w:sz="4" w:space="0" w:color="auto"/>
            </w:tcBorders>
            <w:vAlign w:val="center"/>
          </w:tcPr>
          <w:p w:rsidR="00C17ACC" w:rsidRPr="003B6B9A" w:rsidRDefault="00C17ACC" w:rsidP="001040FB">
            <w:pPr>
              <w:topLinePunct/>
              <w:jc w:val="both"/>
              <w:rPr>
                <w:rFonts w:eastAsia="標楷體"/>
                <w:bCs/>
                <w:szCs w:val="20"/>
              </w:rPr>
            </w:pPr>
            <w:r w:rsidRPr="003B6B9A">
              <w:rPr>
                <w:rFonts w:eastAsia="標楷體"/>
                <w:bCs/>
                <w:szCs w:val="20"/>
              </w:rPr>
              <w:t>電子產品</w:t>
            </w:r>
          </w:p>
        </w:tc>
        <w:tc>
          <w:tcPr>
            <w:tcW w:w="1080" w:type="dxa"/>
            <w:tcBorders>
              <w:top w:val="single" w:sz="4" w:space="0" w:color="auto"/>
              <w:left w:val="single" w:sz="4" w:space="0" w:color="auto"/>
              <w:bottom w:val="nil"/>
              <w:right w:val="nil"/>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7</w:t>
            </w:r>
            <w:r w:rsidRPr="003B6B9A">
              <w:rPr>
                <w:rFonts w:eastAsia="標楷體"/>
                <w:bCs/>
                <w:szCs w:val="20"/>
              </w:rPr>
              <w:t>,</w:t>
            </w:r>
            <w:r w:rsidRPr="003B6B9A">
              <w:rPr>
                <w:rFonts w:eastAsia="標楷體" w:hint="eastAsia"/>
                <w:bCs/>
                <w:szCs w:val="20"/>
              </w:rPr>
              <w:t>893.0</w:t>
            </w:r>
          </w:p>
        </w:tc>
        <w:tc>
          <w:tcPr>
            <w:tcW w:w="784" w:type="dxa"/>
            <w:tcBorders>
              <w:top w:val="single" w:sz="4" w:space="0" w:color="auto"/>
              <w:left w:val="single" w:sz="4" w:space="0" w:color="auto"/>
              <w:bottom w:val="nil"/>
              <w:right w:val="sing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33.6</w:t>
            </w:r>
          </w:p>
        </w:tc>
        <w:tc>
          <w:tcPr>
            <w:tcW w:w="855" w:type="dxa"/>
            <w:tcBorders>
              <w:top w:val="single" w:sz="4" w:space="0" w:color="auto"/>
              <w:left w:val="nil"/>
              <w:bottom w:val="nil"/>
              <w:right w:val="doub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-3.2</w:t>
            </w:r>
          </w:p>
        </w:tc>
        <w:tc>
          <w:tcPr>
            <w:tcW w:w="2141" w:type="dxa"/>
            <w:tcBorders>
              <w:top w:val="single" w:sz="4" w:space="0" w:color="auto"/>
              <w:left w:val="double" w:sz="4" w:space="0" w:color="auto"/>
              <w:bottom w:val="nil"/>
              <w:right w:val="single" w:sz="4" w:space="0" w:color="auto"/>
            </w:tcBorders>
            <w:vAlign w:val="center"/>
          </w:tcPr>
          <w:p w:rsidR="00C17ACC" w:rsidRPr="003B6B9A" w:rsidRDefault="00C17ACC" w:rsidP="001040FB">
            <w:pPr>
              <w:topLinePunct/>
              <w:rPr>
                <w:rFonts w:eastAsia="標楷體"/>
                <w:bCs/>
                <w:kern w:val="0"/>
                <w:szCs w:val="20"/>
              </w:rPr>
            </w:pPr>
            <w:r w:rsidRPr="003B6B9A">
              <w:rPr>
                <w:rFonts w:eastAsia="標楷體"/>
                <w:bCs/>
                <w:szCs w:val="20"/>
              </w:rPr>
              <w:t>礦產品</w:t>
            </w:r>
          </w:p>
        </w:tc>
        <w:tc>
          <w:tcPr>
            <w:tcW w:w="1071" w:type="dxa"/>
            <w:tcBorders>
              <w:top w:val="single" w:sz="4" w:space="0" w:color="auto"/>
              <w:left w:val="single" w:sz="4" w:space="0" w:color="auto"/>
              <w:bottom w:val="nil"/>
              <w:right w:val="nil"/>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3</w:t>
            </w:r>
            <w:r w:rsidRPr="003B6B9A">
              <w:rPr>
                <w:rFonts w:eastAsia="標楷體"/>
                <w:bCs/>
                <w:szCs w:val="20"/>
              </w:rPr>
              <w:t>,</w:t>
            </w:r>
            <w:r w:rsidRPr="003B6B9A">
              <w:rPr>
                <w:rFonts w:eastAsia="標楷體" w:hint="eastAsia"/>
                <w:bCs/>
                <w:szCs w:val="20"/>
              </w:rPr>
              <w:t>366.4</w:t>
            </w:r>
          </w:p>
        </w:tc>
        <w:tc>
          <w:tcPr>
            <w:tcW w:w="730" w:type="dxa"/>
            <w:tcBorders>
              <w:top w:val="single" w:sz="4" w:space="0" w:color="auto"/>
              <w:left w:val="single" w:sz="4" w:space="0" w:color="auto"/>
              <w:bottom w:val="nil"/>
              <w:right w:val="sing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18.0</w:t>
            </w:r>
          </w:p>
        </w:tc>
        <w:tc>
          <w:tcPr>
            <w:tcW w:w="807" w:type="dxa"/>
            <w:tcBorders>
              <w:top w:val="single" w:sz="4" w:space="0" w:color="auto"/>
              <w:left w:val="nil"/>
              <w:bottom w:val="nil"/>
              <w:right w:val="nil"/>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-44.9</w:t>
            </w:r>
          </w:p>
        </w:tc>
      </w:tr>
      <w:tr w:rsidR="00C17ACC" w:rsidRPr="003B6B9A" w:rsidTr="001040FB">
        <w:trPr>
          <w:trHeight w:val="580"/>
        </w:trPr>
        <w:tc>
          <w:tcPr>
            <w:tcW w:w="2030" w:type="dxa"/>
            <w:tcBorders>
              <w:top w:val="nil"/>
              <w:left w:val="nil"/>
              <w:bottom w:val="nil"/>
              <w:right w:val="single" w:sz="4" w:space="0" w:color="auto"/>
            </w:tcBorders>
            <w:vAlign w:val="center"/>
          </w:tcPr>
          <w:p w:rsidR="00C17ACC" w:rsidRPr="003B6B9A" w:rsidRDefault="00C17ACC" w:rsidP="001040FB">
            <w:pPr>
              <w:topLinePunct/>
              <w:jc w:val="both"/>
              <w:rPr>
                <w:rFonts w:eastAsia="標楷體"/>
                <w:bCs/>
                <w:szCs w:val="20"/>
              </w:rPr>
            </w:pPr>
            <w:r w:rsidRPr="003B6B9A">
              <w:rPr>
                <w:rFonts w:eastAsia="標楷體"/>
                <w:bCs/>
                <w:szCs w:val="20"/>
              </w:rPr>
              <w:t>基本金屬及其製品</w:t>
            </w:r>
          </w:p>
        </w:tc>
        <w:tc>
          <w:tcPr>
            <w:tcW w:w="1080" w:type="dxa"/>
            <w:tcBorders>
              <w:top w:val="nil"/>
              <w:left w:val="single" w:sz="4" w:space="0" w:color="auto"/>
              <w:bottom w:val="nil"/>
              <w:right w:val="nil"/>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2</w:t>
            </w:r>
            <w:r w:rsidRPr="003B6B9A">
              <w:rPr>
                <w:rFonts w:eastAsia="標楷體"/>
                <w:bCs/>
                <w:szCs w:val="20"/>
              </w:rPr>
              <w:t>,</w:t>
            </w:r>
            <w:r w:rsidRPr="003B6B9A">
              <w:rPr>
                <w:rFonts w:eastAsia="標楷體" w:hint="eastAsia"/>
                <w:bCs/>
                <w:szCs w:val="20"/>
              </w:rPr>
              <w:t>132.7</w:t>
            </w:r>
          </w:p>
        </w:tc>
        <w:tc>
          <w:tcPr>
            <w:tcW w:w="784" w:type="dxa"/>
            <w:tcBorders>
              <w:top w:val="nil"/>
              <w:left w:val="single" w:sz="4" w:space="0" w:color="auto"/>
              <w:bottom w:val="nil"/>
              <w:right w:val="sing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9.1</w:t>
            </w:r>
          </w:p>
        </w:tc>
        <w:tc>
          <w:tcPr>
            <w:tcW w:w="855" w:type="dxa"/>
            <w:tcBorders>
              <w:top w:val="nil"/>
              <w:left w:val="nil"/>
              <w:bottom w:val="nil"/>
              <w:right w:val="doub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-13.0</w:t>
            </w:r>
          </w:p>
        </w:tc>
        <w:tc>
          <w:tcPr>
            <w:tcW w:w="2141" w:type="dxa"/>
            <w:tcBorders>
              <w:top w:val="nil"/>
              <w:left w:val="double" w:sz="4" w:space="0" w:color="auto"/>
              <w:bottom w:val="nil"/>
              <w:right w:val="single" w:sz="4" w:space="0" w:color="auto"/>
            </w:tcBorders>
            <w:vAlign w:val="center"/>
          </w:tcPr>
          <w:p w:rsidR="00C17ACC" w:rsidRPr="003B6B9A" w:rsidRDefault="00C17ACC" w:rsidP="001040FB">
            <w:pPr>
              <w:topLinePunct/>
              <w:rPr>
                <w:rFonts w:eastAsia="標楷體"/>
                <w:bCs/>
                <w:szCs w:val="20"/>
              </w:rPr>
            </w:pPr>
            <w:r w:rsidRPr="003B6B9A">
              <w:rPr>
                <w:rFonts w:eastAsia="標楷體"/>
                <w:bCs/>
                <w:szCs w:val="20"/>
              </w:rPr>
              <w:t>電子產品</w:t>
            </w:r>
          </w:p>
        </w:tc>
        <w:tc>
          <w:tcPr>
            <w:tcW w:w="1071" w:type="dxa"/>
            <w:tcBorders>
              <w:top w:val="nil"/>
              <w:left w:val="single" w:sz="4" w:space="0" w:color="auto"/>
              <w:bottom w:val="nil"/>
              <w:right w:val="nil"/>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3</w:t>
            </w:r>
            <w:r w:rsidRPr="003B6B9A">
              <w:rPr>
                <w:rFonts w:eastAsia="標楷體"/>
                <w:bCs/>
                <w:szCs w:val="20"/>
              </w:rPr>
              <w:t>,</w:t>
            </w:r>
            <w:r w:rsidRPr="003B6B9A">
              <w:rPr>
                <w:rFonts w:eastAsia="標楷體" w:hint="eastAsia"/>
                <w:bCs/>
                <w:szCs w:val="20"/>
              </w:rPr>
              <w:t>262.7</w:t>
            </w:r>
          </w:p>
        </w:tc>
        <w:tc>
          <w:tcPr>
            <w:tcW w:w="730" w:type="dxa"/>
            <w:tcBorders>
              <w:top w:val="nil"/>
              <w:left w:val="single" w:sz="4" w:space="0" w:color="auto"/>
              <w:bottom w:val="nil"/>
              <w:right w:val="sing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17.4</w:t>
            </w:r>
          </w:p>
        </w:tc>
        <w:tc>
          <w:tcPr>
            <w:tcW w:w="807" w:type="dxa"/>
            <w:tcBorders>
              <w:top w:val="nil"/>
              <w:left w:val="nil"/>
              <w:bottom w:val="nil"/>
              <w:right w:val="nil"/>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-11.3</w:t>
            </w:r>
          </w:p>
        </w:tc>
      </w:tr>
      <w:tr w:rsidR="00C17ACC" w:rsidRPr="003B6B9A" w:rsidTr="001040FB">
        <w:trPr>
          <w:trHeight w:val="580"/>
        </w:trPr>
        <w:tc>
          <w:tcPr>
            <w:tcW w:w="2030" w:type="dxa"/>
            <w:tcBorders>
              <w:top w:val="nil"/>
              <w:left w:val="nil"/>
              <w:bottom w:val="nil"/>
              <w:right w:val="single" w:sz="4" w:space="0" w:color="auto"/>
            </w:tcBorders>
            <w:vAlign w:val="center"/>
          </w:tcPr>
          <w:p w:rsidR="00C17ACC" w:rsidRPr="003B6B9A" w:rsidRDefault="00C17ACC" w:rsidP="001040FB">
            <w:pPr>
              <w:topLinePunct/>
              <w:jc w:val="both"/>
              <w:rPr>
                <w:rFonts w:eastAsia="標楷體"/>
                <w:bCs/>
                <w:szCs w:val="20"/>
              </w:rPr>
            </w:pPr>
            <w:r w:rsidRPr="003B6B9A">
              <w:rPr>
                <w:rFonts w:eastAsia="標楷體"/>
                <w:bCs/>
                <w:szCs w:val="20"/>
              </w:rPr>
              <w:t>塑橡膠及其製品</w:t>
            </w:r>
          </w:p>
        </w:tc>
        <w:tc>
          <w:tcPr>
            <w:tcW w:w="1080" w:type="dxa"/>
            <w:tcBorders>
              <w:top w:val="nil"/>
              <w:left w:val="single" w:sz="4" w:space="0" w:color="auto"/>
              <w:bottom w:val="nil"/>
              <w:right w:val="nil"/>
            </w:tcBorders>
            <w:vAlign w:val="center"/>
          </w:tcPr>
          <w:p w:rsidR="00C17ACC" w:rsidRPr="003B6B9A" w:rsidRDefault="00C17ACC" w:rsidP="001040FB">
            <w:pPr>
              <w:topLinePunct/>
              <w:jc w:val="center"/>
              <w:rPr>
                <w:rFonts w:eastAsia="標楷體"/>
                <w:bCs/>
                <w:szCs w:val="20"/>
              </w:rPr>
            </w:pPr>
            <w:r w:rsidRPr="003B6B9A">
              <w:rPr>
                <w:rFonts w:eastAsia="標楷體"/>
                <w:bCs/>
                <w:szCs w:val="20"/>
              </w:rPr>
              <w:t>1</w:t>
            </w:r>
            <w:r w:rsidRPr="003B6B9A">
              <w:rPr>
                <w:rFonts w:eastAsia="標楷體" w:hint="eastAsia"/>
                <w:bCs/>
                <w:szCs w:val="20"/>
              </w:rPr>
              <w:t>,818.2</w:t>
            </w:r>
          </w:p>
        </w:tc>
        <w:tc>
          <w:tcPr>
            <w:tcW w:w="784" w:type="dxa"/>
            <w:tcBorders>
              <w:top w:val="nil"/>
              <w:left w:val="single" w:sz="4" w:space="0" w:color="auto"/>
              <w:bottom w:val="nil"/>
              <w:right w:val="sing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7.7</w:t>
            </w:r>
          </w:p>
        </w:tc>
        <w:tc>
          <w:tcPr>
            <w:tcW w:w="855" w:type="dxa"/>
            <w:tcBorders>
              <w:top w:val="nil"/>
              <w:left w:val="nil"/>
              <w:bottom w:val="nil"/>
              <w:right w:val="doub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-15.8</w:t>
            </w:r>
          </w:p>
        </w:tc>
        <w:tc>
          <w:tcPr>
            <w:tcW w:w="2141" w:type="dxa"/>
            <w:tcBorders>
              <w:top w:val="nil"/>
              <w:left w:val="double" w:sz="4" w:space="0" w:color="auto"/>
              <w:bottom w:val="nil"/>
              <w:right w:val="single" w:sz="4" w:space="0" w:color="auto"/>
            </w:tcBorders>
            <w:vAlign w:val="center"/>
          </w:tcPr>
          <w:p w:rsidR="00C17ACC" w:rsidRPr="003B6B9A" w:rsidRDefault="00C17ACC" w:rsidP="001040FB">
            <w:pPr>
              <w:topLinePunct/>
              <w:rPr>
                <w:rFonts w:eastAsia="標楷體"/>
                <w:bCs/>
                <w:szCs w:val="20"/>
              </w:rPr>
            </w:pPr>
            <w:r w:rsidRPr="003B6B9A">
              <w:rPr>
                <w:rFonts w:eastAsia="標楷體"/>
                <w:bCs/>
                <w:szCs w:val="20"/>
              </w:rPr>
              <w:t>化學品</w:t>
            </w:r>
          </w:p>
        </w:tc>
        <w:tc>
          <w:tcPr>
            <w:tcW w:w="1071" w:type="dxa"/>
            <w:tcBorders>
              <w:top w:val="nil"/>
              <w:left w:val="single" w:sz="4" w:space="0" w:color="auto"/>
              <w:bottom w:val="nil"/>
              <w:right w:val="nil"/>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2</w:t>
            </w:r>
            <w:r w:rsidRPr="003B6B9A">
              <w:rPr>
                <w:rFonts w:eastAsia="標楷體"/>
                <w:bCs/>
                <w:szCs w:val="20"/>
              </w:rPr>
              <w:t>,</w:t>
            </w:r>
            <w:r w:rsidRPr="003B6B9A">
              <w:rPr>
                <w:rFonts w:eastAsia="標楷體" w:hint="eastAsia"/>
                <w:bCs/>
                <w:szCs w:val="20"/>
              </w:rPr>
              <w:t>156.6</w:t>
            </w:r>
          </w:p>
        </w:tc>
        <w:tc>
          <w:tcPr>
            <w:tcW w:w="730" w:type="dxa"/>
            <w:tcBorders>
              <w:top w:val="nil"/>
              <w:left w:val="single" w:sz="4" w:space="0" w:color="auto"/>
              <w:bottom w:val="nil"/>
              <w:right w:val="sing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11.5</w:t>
            </w:r>
          </w:p>
        </w:tc>
        <w:tc>
          <w:tcPr>
            <w:tcW w:w="807" w:type="dxa"/>
            <w:tcBorders>
              <w:top w:val="nil"/>
              <w:left w:val="nil"/>
              <w:bottom w:val="nil"/>
              <w:right w:val="nil"/>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-16.3</w:t>
            </w:r>
          </w:p>
        </w:tc>
      </w:tr>
      <w:tr w:rsidR="00C17ACC" w:rsidRPr="003B6B9A" w:rsidTr="001040FB">
        <w:trPr>
          <w:trHeight w:val="580"/>
        </w:trPr>
        <w:tc>
          <w:tcPr>
            <w:tcW w:w="2030" w:type="dxa"/>
            <w:tcBorders>
              <w:top w:val="nil"/>
              <w:left w:val="nil"/>
              <w:bottom w:val="nil"/>
              <w:right w:val="single" w:sz="4" w:space="0" w:color="auto"/>
            </w:tcBorders>
            <w:vAlign w:val="center"/>
          </w:tcPr>
          <w:p w:rsidR="00C17ACC" w:rsidRPr="003B6B9A" w:rsidRDefault="00C17ACC" w:rsidP="001040FB">
            <w:pPr>
              <w:topLinePunct/>
              <w:jc w:val="both"/>
              <w:rPr>
                <w:rFonts w:eastAsia="標楷體"/>
                <w:bCs/>
                <w:szCs w:val="20"/>
              </w:rPr>
            </w:pPr>
            <w:r w:rsidRPr="003B6B9A">
              <w:rPr>
                <w:rFonts w:eastAsia="標楷體"/>
                <w:bCs/>
                <w:szCs w:val="20"/>
              </w:rPr>
              <w:t>機械</w:t>
            </w:r>
          </w:p>
        </w:tc>
        <w:tc>
          <w:tcPr>
            <w:tcW w:w="1080" w:type="dxa"/>
            <w:tcBorders>
              <w:top w:val="nil"/>
              <w:left w:val="single" w:sz="4" w:space="0" w:color="auto"/>
              <w:bottom w:val="nil"/>
              <w:right w:val="nil"/>
            </w:tcBorders>
            <w:vAlign w:val="center"/>
          </w:tcPr>
          <w:p w:rsidR="00C17ACC" w:rsidRPr="003B6B9A" w:rsidRDefault="00C17ACC" w:rsidP="001040FB">
            <w:pPr>
              <w:topLinePunct/>
              <w:jc w:val="center"/>
              <w:rPr>
                <w:rFonts w:eastAsia="標楷體"/>
                <w:bCs/>
                <w:szCs w:val="20"/>
              </w:rPr>
            </w:pPr>
            <w:r w:rsidRPr="003B6B9A">
              <w:rPr>
                <w:rFonts w:eastAsia="標楷體"/>
                <w:bCs/>
                <w:szCs w:val="20"/>
              </w:rPr>
              <w:t>1,</w:t>
            </w:r>
            <w:r w:rsidRPr="003B6B9A">
              <w:rPr>
                <w:rFonts w:eastAsia="標楷體" w:hint="eastAsia"/>
                <w:bCs/>
                <w:szCs w:val="20"/>
              </w:rPr>
              <w:t>636.3</w:t>
            </w:r>
          </w:p>
        </w:tc>
        <w:tc>
          <w:tcPr>
            <w:tcW w:w="784" w:type="dxa"/>
            <w:tcBorders>
              <w:top w:val="nil"/>
              <w:left w:val="single" w:sz="4" w:space="0" w:color="auto"/>
              <w:bottom w:val="nil"/>
              <w:right w:val="sing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7.0</w:t>
            </w:r>
          </w:p>
        </w:tc>
        <w:tc>
          <w:tcPr>
            <w:tcW w:w="855" w:type="dxa"/>
            <w:tcBorders>
              <w:top w:val="nil"/>
              <w:left w:val="nil"/>
              <w:bottom w:val="nil"/>
              <w:right w:val="doub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-7.5</w:t>
            </w:r>
          </w:p>
        </w:tc>
        <w:tc>
          <w:tcPr>
            <w:tcW w:w="2141" w:type="dxa"/>
            <w:tcBorders>
              <w:top w:val="nil"/>
              <w:left w:val="double" w:sz="4" w:space="0" w:color="auto"/>
              <w:bottom w:val="nil"/>
              <w:right w:val="single" w:sz="4" w:space="0" w:color="auto"/>
            </w:tcBorders>
            <w:vAlign w:val="center"/>
          </w:tcPr>
          <w:p w:rsidR="00C17ACC" w:rsidRPr="003B6B9A" w:rsidRDefault="00C17ACC" w:rsidP="001040FB">
            <w:pPr>
              <w:topLinePunct/>
              <w:rPr>
                <w:rFonts w:eastAsia="標楷體"/>
                <w:bCs/>
                <w:szCs w:val="20"/>
              </w:rPr>
            </w:pPr>
            <w:r w:rsidRPr="003B6B9A">
              <w:rPr>
                <w:rFonts w:eastAsia="標楷體"/>
                <w:bCs/>
                <w:szCs w:val="20"/>
              </w:rPr>
              <w:t>機械</w:t>
            </w:r>
          </w:p>
        </w:tc>
        <w:tc>
          <w:tcPr>
            <w:tcW w:w="1071" w:type="dxa"/>
            <w:tcBorders>
              <w:top w:val="nil"/>
              <w:left w:val="single" w:sz="4" w:space="0" w:color="auto"/>
              <w:bottom w:val="nil"/>
              <w:right w:val="nil"/>
            </w:tcBorders>
            <w:vAlign w:val="center"/>
          </w:tcPr>
          <w:p w:rsidR="00C17ACC" w:rsidRPr="003B6B9A" w:rsidRDefault="00C17ACC" w:rsidP="001040FB">
            <w:pPr>
              <w:topLinePunct/>
              <w:jc w:val="center"/>
              <w:rPr>
                <w:rFonts w:eastAsia="標楷體"/>
                <w:bCs/>
                <w:szCs w:val="20"/>
              </w:rPr>
            </w:pPr>
            <w:r w:rsidRPr="003B6B9A">
              <w:rPr>
                <w:rFonts w:eastAsia="標楷體"/>
                <w:bCs/>
                <w:szCs w:val="20"/>
              </w:rPr>
              <w:t>1,</w:t>
            </w:r>
            <w:r w:rsidRPr="003B6B9A">
              <w:rPr>
                <w:rFonts w:eastAsia="標楷體" w:hint="eastAsia"/>
                <w:bCs/>
                <w:szCs w:val="20"/>
              </w:rPr>
              <w:t>690.9</w:t>
            </w:r>
          </w:p>
        </w:tc>
        <w:tc>
          <w:tcPr>
            <w:tcW w:w="730" w:type="dxa"/>
            <w:tcBorders>
              <w:top w:val="nil"/>
              <w:left w:val="single" w:sz="4" w:space="0" w:color="auto"/>
              <w:bottom w:val="nil"/>
              <w:right w:val="sing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9.0</w:t>
            </w:r>
          </w:p>
        </w:tc>
        <w:tc>
          <w:tcPr>
            <w:tcW w:w="807" w:type="dxa"/>
            <w:tcBorders>
              <w:top w:val="nil"/>
              <w:left w:val="nil"/>
              <w:bottom w:val="nil"/>
              <w:right w:val="nil"/>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-16.6</w:t>
            </w:r>
          </w:p>
        </w:tc>
      </w:tr>
      <w:tr w:rsidR="00C17ACC" w:rsidRPr="003B6B9A" w:rsidTr="001040FB">
        <w:trPr>
          <w:trHeight w:val="580"/>
        </w:trPr>
        <w:tc>
          <w:tcPr>
            <w:tcW w:w="2030" w:type="dxa"/>
            <w:tcBorders>
              <w:top w:val="nil"/>
              <w:left w:val="nil"/>
              <w:bottom w:val="nil"/>
              <w:right w:val="single" w:sz="4" w:space="0" w:color="auto"/>
            </w:tcBorders>
            <w:vAlign w:val="center"/>
          </w:tcPr>
          <w:p w:rsidR="00C17ACC" w:rsidRPr="003B6B9A" w:rsidRDefault="00C17ACC" w:rsidP="001040FB">
            <w:pPr>
              <w:topLinePunct/>
              <w:jc w:val="both"/>
              <w:rPr>
                <w:rFonts w:eastAsia="標楷體"/>
                <w:bCs/>
                <w:szCs w:val="20"/>
              </w:rPr>
            </w:pPr>
            <w:r w:rsidRPr="003B6B9A">
              <w:rPr>
                <w:rFonts w:eastAsia="標楷體" w:hint="eastAsia"/>
                <w:bCs/>
                <w:szCs w:val="20"/>
              </w:rPr>
              <w:t>化學品</w:t>
            </w:r>
          </w:p>
        </w:tc>
        <w:tc>
          <w:tcPr>
            <w:tcW w:w="1080" w:type="dxa"/>
            <w:tcBorders>
              <w:top w:val="nil"/>
              <w:left w:val="single" w:sz="4" w:space="0" w:color="auto"/>
              <w:bottom w:val="nil"/>
              <w:right w:val="nil"/>
            </w:tcBorders>
            <w:vAlign w:val="center"/>
          </w:tcPr>
          <w:p w:rsidR="00C17ACC" w:rsidRPr="003B6B9A" w:rsidRDefault="00C17ACC" w:rsidP="001040FB">
            <w:pPr>
              <w:topLinePunct/>
              <w:jc w:val="center"/>
              <w:rPr>
                <w:rFonts w:eastAsia="標楷體"/>
                <w:bCs/>
                <w:szCs w:val="20"/>
              </w:rPr>
            </w:pPr>
            <w:r w:rsidRPr="003B6B9A">
              <w:rPr>
                <w:rFonts w:eastAsia="標楷體"/>
                <w:bCs/>
                <w:szCs w:val="20"/>
              </w:rPr>
              <w:t>1,</w:t>
            </w:r>
            <w:r w:rsidRPr="003B6B9A">
              <w:rPr>
                <w:rFonts w:eastAsia="標楷體" w:hint="eastAsia"/>
                <w:bCs/>
                <w:szCs w:val="20"/>
              </w:rPr>
              <w:t>529.3</w:t>
            </w:r>
          </w:p>
        </w:tc>
        <w:tc>
          <w:tcPr>
            <w:tcW w:w="784" w:type="dxa"/>
            <w:tcBorders>
              <w:top w:val="nil"/>
              <w:left w:val="single" w:sz="4" w:space="0" w:color="auto"/>
              <w:bottom w:val="nil"/>
              <w:right w:val="sing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6.5</w:t>
            </w:r>
          </w:p>
        </w:tc>
        <w:tc>
          <w:tcPr>
            <w:tcW w:w="855" w:type="dxa"/>
            <w:tcBorders>
              <w:top w:val="nil"/>
              <w:left w:val="nil"/>
              <w:bottom w:val="nil"/>
              <w:right w:val="doub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-16.7</w:t>
            </w:r>
          </w:p>
        </w:tc>
        <w:tc>
          <w:tcPr>
            <w:tcW w:w="2141" w:type="dxa"/>
            <w:tcBorders>
              <w:top w:val="nil"/>
              <w:left w:val="double" w:sz="4" w:space="0" w:color="auto"/>
              <w:bottom w:val="nil"/>
              <w:right w:val="single" w:sz="4" w:space="0" w:color="auto"/>
            </w:tcBorders>
            <w:vAlign w:val="center"/>
          </w:tcPr>
          <w:p w:rsidR="00C17ACC" w:rsidRPr="003B6B9A" w:rsidRDefault="00C17ACC" w:rsidP="001040FB">
            <w:pPr>
              <w:topLinePunct/>
              <w:rPr>
                <w:rFonts w:eastAsia="標楷體"/>
                <w:bCs/>
                <w:szCs w:val="20"/>
              </w:rPr>
            </w:pPr>
            <w:r w:rsidRPr="003B6B9A">
              <w:rPr>
                <w:rFonts w:eastAsia="標楷體"/>
                <w:bCs/>
                <w:szCs w:val="20"/>
              </w:rPr>
              <w:t>基本金屬及其製品</w:t>
            </w:r>
          </w:p>
        </w:tc>
        <w:tc>
          <w:tcPr>
            <w:tcW w:w="1071" w:type="dxa"/>
            <w:tcBorders>
              <w:top w:val="nil"/>
              <w:left w:val="single" w:sz="4" w:space="0" w:color="auto"/>
              <w:bottom w:val="nil"/>
              <w:right w:val="nil"/>
            </w:tcBorders>
            <w:vAlign w:val="center"/>
          </w:tcPr>
          <w:p w:rsidR="00C17ACC" w:rsidRPr="003B6B9A" w:rsidRDefault="00C17ACC" w:rsidP="001040FB">
            <w:pPr>
              <w:topLinePunct/>
              <w:jc w:val="center"/>
              <w:rPr>
                <w:rFonts w:eastAsia="標楷體"/>
                <w:bCs/>
                <w:szCs w:val="20"/>
              </w:rPr>
            </w:pPr>
            <w:r w:rsidRPr="003B6B9A">
              <w:rPr>
                <w:rFonts w:eastAsia="標楷體"/>
                <w:bCs/>
                <w:szCs w:val="20"/>
              </w:rPr>
              <w:t>1,</w:t>
            </w:r>
            <w:r w:rsidRPr="003B6B9A">
              <w:rPr>
                <w:rFonts w:eastAsia="標楷體" w:hint="eastAsia"/>
                <w:bCs/>
                <w:szCs w:val="20"/>
              </w:rPr>
              <w:t>631.2</w:t>
            </w:r>
          </w:p>
        </w:tc>
        <w:tc>
          <w:tcPr>
            <w:tcW w:w="730" w:type="dxa"/>
            <w:tcBorders>
              <w:top w:val="nil"/>
              <w:left w:val="single" w:sz="4" w:space="0" w:color="auto"/>
              <w:bottom w:val="nil"/>
              <w:right w:val="sing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8.7</w:t>
            </w:r>
          </w:p>
        </w:tc>
        <w:tc>
          <w:tcPr>
            <w:tcW w:w="807" w:type="dxa"/>
            <w:tcBorders>
              <w:top w:val="nil"/>
              <w:left w:val="nil"/>
              <w:bottom w:val="nil"/>
              <w:right w:val="nil"/>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-15.3</w:t>
            </w:r>
          </w:p>
        </w:tc>
      </w:tr>
      <w:tr w:rsidR="00C17ACC" w:rsidRPr="003B6B9A" w:rsidTr="001040FB">
        <w:trPr>
          <w:trHeight w:val="580"/>
        </w:trPr>
        <w:tc>
          <w:tcPr>
            <w:tcW w:w="2030" w:type="dxa"/>
            <w:tcBorders>
              <w:top w:val="nil"/>
              <w:left w:val="nil"/>
              <w:bottom w:val="nil"/>
              <w:right w:val="single" w:sz="4" w:space="0" w:color="auto"/>
            </w:tcBorders>
            <w:vAlign w:val="center"/>
          </w:tcPr>
          <w:p w:rsidR="00C17ACC" w:rsidRPr="003B6B9A" w:rsidRDefault="00C17ACC" w:rsidP="001040FB">
            <w:pPr>
              <w:topLinePunct/>
              <w:jc w:val="both"/>
              <w:rPr>
                <w:rFonts w:eastAsia="標楷體"/>
                <w:bCs/>
                <w:szCs w:val="20"/>
              </w:rPr>
            </w:pPr>
            <w:r w:rsidRPr="003B6B9A">
              <w:rPr>
                <w:rFonts w:eastAsia="標楷體" w:hint="eastAsia"/>
                <w:bCs/>
                <w:szCs w:val="20"/>
              </w:rPr>
              <w:t>光學</w:t>
            </w:r>
            <w:r w:rsidRPr="003B6B9A">
              <w:rPr>
                <w:rFonts w:ascii="標楷體" w:eastAsia="標楷體" w:hAnsi="標楷體" w:hint="eastAsia"/>
                <w:bCs/>
                <w:szCs w:val="20"/>
              </w:rPr>
              <w:t>、照相、計量、醫療等產品</w:t>
            </w:r>
          </w:p>
        </w:tc>
        <w:tc>
          <w:tcPr>
            <w:tcW w:w="1080" w:type="dxa"/>
            <w:tcBorders>
              <w:top w:val="nil"/>
              <w:left w:val="single" w:sz="4" w:space="0" w:color="auto"/>
              <w:bottom w:val="nil"/>
              <w:right w:val="nil"/>
            </w:tcBorders>
          </w:tcPr>
          <w:p w:rsidR="00C17ACC" w:rsidRPr="003B6B9A" w:rsidRDefault="00C17ACC" w:rsidP="001040FB">
            <w:pPr>
              <w:topLinePunct/>
              <w:jc w:val="center"/>
              <w:rPr>
                <w:rFonts w:eastAsia="標楷體"/>
                <w:bCs/>
                <w:szCs w:val="20"/>
              </w:rPr>
            </w:pPr>
            <w:r w:rsidRPr="003B6B9A">
              <w:rPr>
                <w:rFonts w:eastAsia="標楷體"/>
                <w:bCs/>
                <w:szCs w:val="20"/>
              </w:rPr>
              <w:t>1,</w:t>
            </w:r>
            <w:r w:rsidRPr="003B6B9A">
              <w:rPr>
                <w:rFonts w:eastAsia="標楷體" w:hint="eastAsia"/>
                <w:bCs/>
                <w:szCs w:val="20"/>
              </w:rPr>
              <w:t>368.3</w:t>
            </w:r>
          </w:p>
        </w:tc>
        <w:tc>
          <w:tcPr>
            <w:tcW w:w="784" w:type="dxa"/>
            <w:tcBorders>
              <w:top w:val="nil"/>
              <w:left w:val="single" w:sz="4" w:space="0" w:color="auto"/>
              <w:bottom w:val="nil"/>
              <w:right w:val="single" w:sz="4" w:space="0" w:color="auto"/>
            </w:tcBorders>
          </w:tcPr>
          <w:p w:rsidR="00C17ACC" w:rsidRPr="003B6B9A" w:rsidRDefault="00C17ACC" w:rsidP="001040FB">
            <w:pPr>
              <w:topLinePunct/>
              <w:jc w:val="center"/>
              <w:rPr>
                <w:rFonts w:eastAsia="標楷體"/>
                <w:bCs/>
                <w:szCs w:val="20"/>
              </w:rPr>
            </w:pPr>
            <w:r w:rsidRPr="003B6B9A">
              <w:rPr>
                <w:rFonts w:eastAsia="標楷體" w:hint="eastAsia"/>
                <w:bCs/>
                <w:szCs w:val="20"/>
              </w:rPr>
              <w:t>5.8</w:t>
            </w:r>
          </w:p>
        </w:tc>
        <w:tc>
          <w:tcPr>
            <w:tcW w:w="855" w:type="dxa"/>
            <w:tcBorders>
              <w:top w:val="nil"/>
              <w:left w:val="nil"/>
              <w:bottom w:val="nil"/>
              <w:right w:val="double" w:sz="4" w:space="0" w:color="auto"/>
            </w:tcBorders>
          </w:tcPr>
          <w:p w:rsidR="00C17ACC" w:rsidRPr="003B6B9A" w:rsidRDefault="00C17ACC" w:rsidP="001040FB">
            <w:pPr>
              <w:topLinePunct/>
              <w:jc w:val="center"/>
              <w:rPr>
                <w:rFonts w:eastAsia="標楷體"/>
                <w:bCs/>
                <w:szCs w:val="20"/>
              </w:rPr>
            </w:pPr>
            <w:r w:rsidRPr="003B6B9A">
              <w:rPr>
                <w:rFonts w:eastAsia="標楷體" w:hint="eastAsia"/>
                <w:bCs/>
                <w:szCs w:val="20"/>
              </w:rPr>
              <w:t>-12.6</w:t>
            </w:r>
          </w:p>
        </w:tc>
        <w:tc>
          <w:tcPr>
            <w:tcW w:w="2141" w:type="dxa"/>
            <w:tcBorders>
              <w:top w:val="nil"/>
              <w:left w:val="double" w:sz="4" w:space="0" w:color="auto"/>
              <w:bottom w:val="nil"/>
              <w:right w:val="single" w:sz="4" w:space="0" w:color="auto"/>
            </w:tcBorders>
            <w:vAlign w:val="center"/>
          </w:tcPr>
          <w:p w:rsidR="00C17ACC" w:rsidRPr="003B6B9A" w:rsidRDefault="00C17ACC" w:rsidP="001040FB">
            <w:pPr>
              <w:topLinePunct/>
              <w:rPr>
                <w:rFonts w:eastAsia="標楷體"/>
                <w:bCs/>
                <w:szCs w:val="20"/>
              </w:rPr>
            </w:pPr>
            <w:r w:rsidRPr="003B6B9A">
              <w:rPr>
                <w:rFonts w:eastAsia="標楷體"/>
                <w:bCs/>
                <w:szCs w:val="20"/>
              </w:rPr>
              <w:t>精密儀器、鐘錶、</w:t>
            </w:r>
          </w:p>
          <w:p w:rsidR="00C17ACC" w:rsidRPr="003B6B9A" w:rsidRDefault="00C17ACC" w:rsidP="001040FB">
            <w:pPr>
              <w:topLinePunct/>
              <w:rPr>
                <w:rFonts w:eastAsia="標楷體"/>
                <w:bCs/>
                <w:szCs w:val="20"/>
              </w:rPr>
            </w:pPr>
            <w:r w:rsidRPr="003B6B9A">
              <w:rPr>
                <w:rFonts w:eastAsia="標楷體"/>
                <w:bCs/>
                <w:szCs w:val="20"/>
              </w:rPr>
              <w:t>樂器</w:t>
            </w:r>
          </w:p>
        </w:tc>
        <w:tc>
          <w:tcPr>
            <w:tcW w:w="1071" w:type="dxa"/>
            <w:tcBorders>
              <w:top w:val="nil"/>
              <w:left w:val="single" w:sz="4" w:space="0" w:color="auto"/>
              <w:bottom w:val="nil"/>
              <w:right w:val="nil"/>
            </w:tcBorders>
          </w:tcPr>
          <w:p w:rsidR="00C17ACC" w:rsidRPr="003B6B9A" w:rsidRDefault="00C17ACC" w:rsidP="001040FB">
            <w:pPr>
              <w:topLinePunct/>
              <w:jc w:val="center"/>
              <w:rPr>
                <w:rFonts w:eastAsia="標楷體"/>
                <w:bCs/>
                <w:szCs w:val="20"/>
              </w:rPr>
            </w:pPr>
            <w:r w:rsidRPr="003B6B9A">
              <w:rPr>
                <w:rFonts w:eastAsia="標楷體" w:hint="eastAsia"/>
                <w:bCs/>
                <w:szCs w:val="20"/>
              </w:rPr>
              <w:t>1,000.0</w:t>
            </w:r>
          </w:p>
        </w:tc>
        <w:tc>
          <w:tcPr>
            <w:tcW w:w="730" w:type="dxa"/>
            <w:tcBorders>
              <w:top w:val="nil"/>
              <w:left w:val="single" w:sz="4" w:space="0" w:color="auto"/>
              <w:bottom w:val="nil"/>
              <w:right w:val="single" w:sz="4" w:space="0" w:color="auto"/>
            </w:tcBorders>
          </w:tcPr>
          <w:p w:rsidR="00C17ACC" w:rsidRPr="003B6B9A" w:rsidRDefault="00C17ACC" w:rsidP="001040FB">
            <w:pPr>
              <w:topLinePunct/>
              <w:jc w:val="center"/>
              <w:rPr>
                <w:rFonts w:eastAsia="標楷體"/>
                <w:bCs/>
                <w:szCs w:val="20"/>
              </w:rPr>
            </w:pPr>
            <w:r w:rsidRPr="003B6B9A">
              <w:rPr>
                <w:rFonts w:eastAsia="標楷體" w:hint="eastAsia"/>
                <w:bCs/>
                <w:szCs w:val="20"/>
              </w:rPr>
              <w:t>5.3</w:t>
            </w:r>
          </w:p>
        </w:tc>
        <w:tc>
          <w:tcPr>
            <w:tcW w:w="807" w:type="dxa"/>
            <w:tcBorders>
              <w:top w:val="nil"/>
              <w:left w:val="nil"/>
              <w:bottom w:val="nil"/>
              <w:right w:val="nil"/>
            </w:tcBorders>
          </w:tcPr>
          <w:p w:rsidR="00C17ACC" w:rsidRPr="003B6B9A" w:rsidRDefault="00C17ACC" w:rsidP="001040FB">
            <w:pPr>
              <w:topLinePunct/>
              <w:jc w:val="center"/>
              <w:rPr>
                <w:rFonts w:eastAsia="標楷體"/>
                <w:bCs/>
                <w:szCs w:val="20"/>
              </w:rPr>
            </w:pPr>
            <w:r w:rsidRPr="003B6B9A">
              <w:rPr>
                <w:rFonts w:eastAsia="標楷體" w:hint="eastAsia"/>
                <w:bCs/>
                <w:szCs w:val="20"/>
              </w:rPr>
              <w:t>-5.2</w:t>
            </w:r>
          </w:p>
        </w:tc>
      </w:tr>
      <w:tr w:rsidR="00C17ACC" w:rsidRPr="003B6B9A" w:rsidTr="001040FB">
        <w:trPr>
          <w:trHeight w:val="580"/>
        </w:trPr>
        <w:tc>
          <w:tcPr>
            <w:tcW w:w="2030" w:type="dxa"/>
            <w:tcBorders>
              <w:top w:val="nil"/>
              <w:left w:val="nil"/>
              <w:bottom w:val="single" w:sz="4" w:space="0" w:color="auto"/>
              <w:right w:val="single" w:sz="4" w:space="0" w:color="auto"/>
            </w:tcBorders>
            <w:vAlign w:val="center"/>
          </w:tcPr>
          <w:p w:rsidR="00C17ACC" w:rsidRPr="003B6B9A" w:rsidRDefault="00C17ACC" w:rsidP="001040FB">
            <w:pPr>
              <w:topLinePunct/>
              <w:jc w:val="both"/>
              <w:rPr>
                <w:rFonts w:eastAsia="標楷體"/>
                <w:bCs/>
                <w:szCs w:val="20"/>
              </w:rPr>
            </w:pPr>
            <w:r w:rsidRPr="003B6B9A">
              <w:rPr>
                <w:rFonts w:eastAsia="標楷體" w:hint="eastAsia"/>
                <w:bCs/>
                <w:szCs w:val="20"/>
              </w:rPr>
              <w:t>資訊與通信產品</w:t>
            </w:r>
          </w:p>
        </w:tc>
        <w:tc>
          <w:tcPr>
            <w:tcW w:w="1080" w:type="dxa"/>
            <w:tcBorders>
              <w:top w:val="nil"/>
              <w:left w:val="single" w:sz="4" w:space="0" w:color="auto"/>
              <w:bottom w:val="single" w:sz="4" w:space="0" w:color="auto"/>
              <w:right w:val="sing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1,043.6</w:t>
            </w:r>
          </w:p>
        </w:tc>
        <w:tc>
          <w:tcPr>
            <w:tcW w:w="784" w:type="dxa"/>
            <w:tcBorders>
              <w:top w:val="nil"/>
              <w:left w:val="single" w:sz="4" w:space="0" w:color="auto"/>
              <w:bottom w:val="single" w:sz="4" w:space="0" w:color="auto"/>
              <w:right w:val="sing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4.4</w:t>
            </w:r>
          </w:p>
        </w:tc>
        <w:tc>
          <w:tcPr>
            <w:tcW w:w="855" w:type="dxa"/>
            <w:tcBorders>
              <w:top w:val="nil"/>
              <w:left w:val="single" w:sz="4" w:space="0" w:color="auto"/>
              <w:bottom w:val="single" w:sz="4" w:space="0" w:color="auto"/>
              <w:right w:val="double" w:sz="4" w:space="0" w:color="auto"/>
            </w:tcBorders>
            <w:vAlign w:val="center"/>
          </w:tcPr>
          <w:p w:rsidR="00C17ACC" w:rsidRPr="003B6B9A" w:rsidRDefault="00C17ACC" w:rsidP="001040FB">
            <w:pPr>
              <w:topLinePunct/>
              <w:jc w:val="center"/>
              <w:rPr>
                <w:rFonts w:eastAsia="標楷體"/>
                <w:bCs/>
                <w:szCs w:val="20"/>
              </w:rPr>
            </w:pPr>
            <w:r w:rsidRPr="003B6B9A">
              <w:rPr>
                <w:rFonts w:eastAsia="標楷體" w:hint="eastAsia"/>
                <w:bCs/>
                <w:szCs w:val="20"/>
              </w:rPr>
              <w:t>-9.6</w:t>
            </w:r>
          </w:p>
        </w:tc>
        <w:tc>
          <w:tcPr>
            <w:tcW w:w="2141" w:type="dxa"/>
            <w:tcBorders>
              <w:top w:val="nil"/>
              <w:left w:val="double" w:sz="4" w:space="0" w:color="auto"/>
              <w:bottom w:val="single" w:sz="4" w:space="0" w:color="auto"/>
              <w:right w:val="single" w:sz="4" w:space="0" w:color="auto"/>
            </w:tcBorders>
            <w:vAlign w:val="center"/>
          </w:tcPr>
          <w:p w:rsidR="00C17ACC" w:rsidRPr="003B6B9A" w:rsidRDefault="00C17ACC" w:rsidP="001040FB">
            <w:pPr>
              <w:topLinePunct/>
              <w:rPr>
                <w:rFonts w:eastAsia="標楷體"/>
                <w:bCs/>
                <w:szCs w:val="20"/>
              </w:rPr>
            </w:pPr>
            <w:r w:rsidRPr="003B6B9A">
              <w:rPr>
                <w:rFonts w:eastAsia="標楷體" w:hint="eastAsia"/>
                <w:bCs/>
                <w:szCs w:val="20"/>
              </w:rPr>
              <w:t>車輛、航空器、船舶及有關運輸設備</w:t>
            </w:r>
          </w:p>
        </w:tc>
        <w:tc>
          <w:tcPr>
            <w:tcW w:w="1071" w:type="dxa"/>
            <w:tcBorders>
              <w:top w:val="nil"/>
              <w:left w:val="single" w:sz="4" w:space="0" w:color="auto"/>
              <w:bottom w:val="single" w:sz="4" w:space="0" w:color="auto"/>
              <w:right w:val="single" w:sz="4" w:space="0" w:color="auto"/>
            </w:tcBorders>
          </w:tcPr>
          <w:p w:rsidR="00C17ACC" w:rsidRPr="003B6B9A" w:rsidRDefault="00C17ACC" w:rsidP="001040FB">
            <w:pPr>
              <w:topLinePunct/>
              <w:jc w:val="center"/>
              <w:rPr>
                <w:rFonts w:eastAsia="標楷體"/>
                <w:bCs/>
                <w:szCs w:val="20"/>
              </w:rPr>
            </w:pPr>
            <w:r w:rsidRPr="003B6B9A">
              <w:rPr>
                <w:rFonts w:eastAsia="標楷體" w:hint="eastAsia"/>
                <w:bCs/>
                <w:szCs w:val="20"/>
              </w:rPr>
              <w:t>693.6</w:t>
            </w:r>
          </w:p>
        </w:tc>
        <w:tc>
          <w:tcPr>
            <w:tcW w:w="730" w:type="dxa"/>
            <w:tcBorders>
              <w:top w:val="nil"/>
              <w:left w:val="single" w:sz="4" w:space="0" w:color="auto"/>
              <w:bottom w:val="single" w:sz="4" w:space="0" w:color="auto"/>
              <w:right w:val="single" w:sz="4" w:space="0" w:color="auto"/>
            </w:tcBorders>
          </w:tcPr>
          <w:p w:rsidR="00C17ACC" w:rsidRPr="003B6B9A" w:rsidRDefault="00C17ACC" w:rsidP="001040FB">
            <w:pPr>
              <w:topLinePunct/>
              <w:jc w:val="center"/>
              <w:rPr>
                <w:rFonts w:eastAsia="標楷體"/>
                <w:bCs/>
                <w:szCs w:val="20"/>
              </w:rPr>
            </w:pPr>
            <w:r w:rsidRPr="003B6B9A">
              <w:rPr>
                <w:rFonts w:eastAsia="標楷體" w:hint="eastAsia"/>
                <w:bCs/>
                <w:szCs w:val="20"/>
              </w:rPr>
              <w:t>3.7</w:t>
            </w:r>
          </w:p>
        </w:tc>
        <w:tc>
          <w:tcPr>
            <w:tcW w:w="807" w:type="dxa"/>
            <w:tcBorders>
              <w:top w:val="nil"/>
              <w:left w:val="single" w:sz="4" w:space="0" w:color="auto"/>
              <w:bottom w:val="single" w:sz="4" w:space="0" w:color="auto"/>
              <w:right w:val="nil"/>
            </w:tcBorders>
          </w:tcPr>
          <w:p w:rsidR="00C17ACC" w:rsidRPr="003B6B9A" w:rsidRDefault="00C17ACC" w:rsidP="001040FB">
            <w:pPr>
              <w:topLinePunct/>
              <w:jc w:val="center"/>
              <w:rPr>
                <w:rFonts w:eastAsia="標楷體"/>
                <w:bCs/>
                <w:szCs w:val="20"/>
              </w:rPr>
            </w:pPr>
            <w:r w:rsidRPr="003B6B9A">
              <w:rPr>
                <w:rFonts w:eastAsia="標楷體" w:hint="eastAsia"/>
                <w:bCs/>
                <w:szCs w:val="20"/>
              </w:rPr>
              <w:t>-13.9</w:t>
            </w:r>
          </w:p>
        </w:tc>
      </w:tr>
    </w:tbl>
    <w:p w:rsidR="003F3F99" w:rsidRPr="00B118E9" w:rsidRDefault="003F3F99" w:rsidP="003F3F99">
      <w:pPr>
        <w:spacing w:line="400" w:lineRule="exact"/>
        <w:rPr>
          <w:rFonts w:eastAsia="標楷體"/>
          <w:kern w:val="0"/>
          <w:sz w:val="22"/>
          <w:szCs w:val="22"/>
        </w:rPr>
      </w:pPr>
      <w:r w:rsidRPr="00B118E9">
        <w:rPr>
          <w:rFonts w:eastAsia="標楷體"/>
          <w:kern w:val="0"/>
          <w:sz w:val="22"/>
          <w:szCs w:val="22"/>
        </w:rPr>
        <w:t>資料來源：財政部。</w:t>
      </w:r>
    </w:p>
    <w:p w:rsidR="003F3F99" w:rsidRPr="00B118E9" w:rsidRDefault="003F3F99" w:rsidP="003F3F99">
      <w:pPr>
        <w:widowControl/>
        <w:tabs>
          <w:tab w:val="left" w:pos="540"/>
        </w:tabs>
        <w:snapToGrid w:val="0"/>
        <w:spacing w:beforeLines="50" w:before="180" w:line="300" w:lineRule="auto"/>
        <w:jc w:val="both"/>
        <w:rPr>
          <w:rFonts w:eastAsia="標楷體"/>
          <w:b/>
          <w:bCs/>
          <w:color w:val="FF0000"/>
          <w:kern w:val="0"/>
          <w:sz w:val="32"/>
          <w:szCs w:val="32"/>
        </w:rPr>
      </w:pPr>
      <w:r w:rsidRPr="00B118E9">
        <w:rPr>
          <w:rFonts w:eastAsia="標楷體"/>
          <w:color w:val="FF0000"/>
          <w:kern w:val="0"/>
          <w:sz w:val="28"/>
          <w:szCs w:val="20"/>
        </w:rPr>
        <w:br w:type="page"/>
      </w:r>
    </w:p>
    <w:p w:rsidR="003F3F99" w:rsidRPr="00B118E9" w:rsidRDefault="003F3F99" w:rsidP="003F3F99">
      <w:pPr>
        <w:keepNext/>
        <w:spacing w:beforeLines="50" w:before="180" w:line="300" w:lineRule="auto"/>
        <w:ind w:rightChars="-25" w:right="-60"/>
        <w:outlineLvl w:val="2"/>
        <w:rPr>
          <w:rFonts w:eastAsia="標楷體"/>
          <w:b/>
          <w:bCs/>
          <w:sz w:val="32"/>
          <w:szCs w:val="32"/>
        </w:rPr>
      </w:pPr>
      <w:bookmarkStart w:id="99" w:name="_Toc349916585"/>
      <w:bookmarkStart w:id="100" w:name="_Toc401923798"/>
      <w:bookmarkStart w:id="101" w:name="_Toc402171715"/>
      <w:bookmarkStart w:id="102" w:name="_Toc420680040"/>
      <w:r w:rsidRPr="00B118E9">
        <w:rPr>
          <w:rFonts w:eastAsia="標楷體"/>
          <w:b/>
          <w:bCs/>
          <w:sz w:val="32"/>
          <w:szCs w:val="32"/>
        </w:rPr>
        <w:t>（五）外銷訂單</w:t>
      </w:r>
      <w:bookmarkEnd w:id="99"/>
      <w:bookmarkEnd w:id="100"/>
      <w:bookmarkEnd w:id="101"/>
      <w:bookmarkEnd w:id="102"/>
    </w:p>
    <w:p w:rsidR="003F3F99" w:rsidRPr="00B118E9" w:rsidRDefault="003F3F99" w:rsidP="003F3F99">
      <w:pPr>
        <w:widowControl/>
        <w:tabs>
          <w:tab w:val="left" w:pos="540"/>
        </w:tabs>
        <w:snapToGrid w:val="0"/>
        <w:spacing w:line="300" w:lineRule="auto"/>
        <w:jc w:val="both"/>
        <w:rPr>
          <w:rFonts w:eastAsia="標楷體"/>
          <w:b/>
          <w:bCs/>
          <w:kern w:val="0"/>
          <w:sz w:val="28"/>
          <w:szCs w:val="20"/>
        </w:rPr>
      </w:pPr>
      <w:r w:rsidRPr="00B118E9">
        <w:rPr>
          <w:rFonts w:eastAsia="標楷體"/>
          <w:b/>
          <w:bCs/>
          <w:kern w:val="0"/>
          <w:sz w:val="28"/>
          <w:szCs w:val="20"/>
        </w:rPr>
        <w:t>１、</w:t>
      </w:r>
      <w:r w:rsidR="00C17ACC" w:rsidRPr="00C17ACC">
        <w:rPr>
          <w:rFonts w:eastAsia="標楷體"/>
          <w:b/>
          <w:bCs/>
          <w:kern w:val="0"/>
          <w:sz w:val="28"/>
          <w:szCs w:val="20"/>
        </w:rPr>
        <w:t>10</w:t>
      </w:r>
      <w:r w:rsidR="00C17ACC" w:rsidRPr="00C17ACC">
        <w:rPr>
          <w:rFonts w:eastAsia="標楷體" w:hint="eastAsia"/>
          <w:b/>
          <w:bCs/>
          <w:kern w:val="0"/>
          <w:sz w:val="28"/>
          <w:szCs w:val="20"/>
        </w:rPr>
        <w:t>4</w:t>
      </w:r>
      <w:r w:rsidR="00C17ACC" w:rsidRPr="00C17ACC">
        <w:rPr>
          <w:rFonts w:eastAsia="標楷體"/>
          <w:b/>
          <w:bCs/>
          <w:kern w:val="0"/>
          <w:sz w:val="28"/>
          <w:szCs w:val="20"/>
        </w:rPr>
        <w:t>年</w:t>
      </w:r>
      <w:r w:rsidR="00C17ACC" w:rsidRPr="00C17ACC">
        <w:rPr>
          <w:rFonts w:eastAsia="標楷體" w:hint="eastAsia"/>
          <w:b/>
          <w:bCs/>
          <w:kern w:val="0"/>
          <w:sz w:val="28"/>
          <w:szCs w:val="20"/>
        </w:rPr>
        <w:t>4</w:t>
      </w:r>
      <w:r w:rsidR="00C17ACC" w:rsidRPr="00C17ACC">
        <w:rPr>
          <w:rFonts w:eastAsia="標楷體"/>
          <w:b/>
          <w:bCs/>
          <w:kern w:val="0"/>
          <w:sz w:val="28"/>
          <w:szCs w:val="20"/>
        </w:rPr>
        <w:t>月外銷訂單</w:t>
      </w:r>
      <w:r w:rsidR="00C17ACC" w:rsidRPr="00C17ACC">
        <w:rPr>
          <w:rFonts w:eastAsia="標楷體" w:hint="eastAsia"/>
          <w:b/>
          <w:bCs/>
          <w:kern w:val="0"/>
          <w:sz w:val="28"/>
          <w:szCs w:val="20"/>
        </w:rPr>
        <w:t>373.2</w:t>
      </w:r>
      <w:r w:rsidR="00C17ACC" w:rsidRPr="00C17ACC">
        <w:rPr>
          <w:rFonts w:eastAsia="標楷體"/>
          <w:b/>
          <w:bCs/>
          <w:kern w:val="0"/>
          <w:sz w:val="28"/>
          <w:szCs w:val="20"/>
        </w:rPr>
        <w:t>億美元，</w:t>
      </w:r>
      <w:r w:rsidR="00C17ACC" w:rsidRPr="00C17ACC">
        <w:rPr>
          <w:rFonts w:eastAsia="標楷體" w:hint="eastAsia"/>
          <w:b/>
          <w:bCs/>
          <w:kern w:val="0"/>
          <w:sz w:val="28"/>
          <w:szCs w:val="20"/>
        </w:rPr>
        <w:t>減少</w:t>
      </w:r>
      <w:r w:rsidR="00C17ACC" w:rsidRPr="00C17ACC">
        <w:rPr>
          <w:rFonts w:eastAsia="標楷體" w:hint="eastAsia"/>
          <w:b/>
          <w:bCs/>
          <w:kern w:val="0"/>
          <w:sz w:val="28"/>
          <w:szCs w:val="20"/>
        </w:rPr>
        <w:t>4.0%</w:t>
      </w:r>
    </w:p>
    <w:p w:rsidR="003F3F99" w:rsidRPr="00B118E9" w:rsidRDefault="00C17ACC" w:rsidP="003F3F99">
      <w:pPr>
        <w:widowControl/>
        <w:topLinePunct/>
        <w:snapToGrid w:val="0"/>
        <w:spacing w:beforeLines="50" w:before="180" w:line="300" w:lineRule="auto"/>
        <w:ind w:rightChars="-59" w:right="-142" w:firstLineChars="202" w:firstLine="566"/>
        <w:jc w:val="both"/>
        <w:rPr>
          <w:rFonts w:eastAsia="標楷體"/>
          <w:b/>
          <w:bCs/>
          <w:color w:val="FF0000"/>
          <w:sz w:val="28"/>
        </w:rPr>
      </w:pPr>
      <w:r w:rsidRPr="003B6B9A">
        <w:rPr>
          <w:rFonts w:eastAsia="標楷體"/>
          <w:kern w:val="0"/>
          <w:sz w:val="28"/>
          <w:szCs w:val="20"/>
        </w:rPr>
        <w:t>10</w:t>
      </w:r>
      <w:r w:rsidRPr="003B6B9A">
        <w:rPr>
          <w:rFonts w:eastAsia="標楷體" w:hint="eastAsia"/>
          <w:kern w:val="0"/>
          <w:sz w:val="28"/>
          <w:szCs w:val="20"/>
        </w:rPr>
        <w:t>4</w:t>
      </w:r>
      <w:r w:rsidRPr="003B6B9A">
        <w:rPr>
          <w:rFonts w:eastAsia="標楷體"/>
          <w:kern w:val="0"/>
          <w:sz w:val="28"/>
          <w:szCs w:val="20"/>
        </w:rPr>
        <w:t>年</w:t>
      </w:r>
      <w:r w:rsidRPr="003B6B9A">
        <w:rPr>
          <w:rFonts w:eastAsia="標楷體" w:hint="eastAsia"/>
          <w:kern w:val="0"/>
          <w:sz w:val="28"/>
          <w:szCs w:val="20"/>
        </w:rPr>
        <w:t>4</w:t>
      </w:r>
      <w:r w:rsidRPr="003B6B9A">
        <w:rPr>
          <w:rFonts w:eastAsia="標楷體"/>
          <w:kern w:val="0"/>
          <w:sz w:val="28"/>
          <w:szCs w:val="20"/>
        </w:rPr>
        <w:t>月外銷訂單金額</w:t>
      </w:r>
      <w:r w:rsidRPr="003B6B9A">
        <w:rPr>
          <w:rFonts w:eastAsia="標楷體" w:hint="eastAsia"/>
          <w:kern w:val="0"/>
          <w:sz w:val="28"/>
          <w:szCs w:val="20"/>
        </w:rPr>
        <w:t>373.2</w:t>
      </w:r>
      <w:r w:rsidRPr="003B6B9A">
        <w:rPr>
          <w:rFonts w:eastAsia="標楷體"/>
          <w:kern w:val="0"/>
          <w:sz w:val="28"/>
          <w:szCs w:val="20"/>
        </w:rPr>
        <w:t>億美元</w:t>
      </w:r>
      <w:r w:rsidRPr="003B6B9A">
        <w:rPr>
          <w:rFonts w:eastAsia="標楷體" w:hint="eastAsia"/>
          <w:kern w:val="0"/>
          <w:sz w:val="28"/>
          <w:szCs w:val="20"/>
        </w:rPr>
        <w:t>，</w:t>
      </w:r>
      <w:r w:rsidRPr="003B6B9A">
        <w:rPr>
          <w:rFonts w:eastAsia="標楷體"/>
          <w:kern w:val="0"/>
          <w:sz w:val="28"/>
          <w:szCs w:val="20"/>
        </w:rPr>
        <w:t>較上年同月</w:t>
      </w:r>
      <w:r w:rsidRPr="003B6B9A">
        <w:rPr>
          <w:rFonts w:eastAsia="標楷體" w:hint="eastAsia"/>
          <w:kern w:val="0"/>
          <w:sz w:val="28"/>
          <w:szCs w:val="20"/>
        </w:rPr>
        <w:t>減少</w:t>
      </w:r>
      <w:r w:rsidRPr="003B6B9A">
        <w:rPr>
          <w:rFonts w:eastAsia="標楷體" w:hint="eastAsia"/>
          <w:kern w:val="0"/>
          <w:sz w:val="28"/>
          <w:szCs w:val="20"/>
        </w:rPr>
        <w:t>15.5</w:t>
      </w:r>
      <w:r w:rsidRPr="003B6B9A">
        <w:rPr>
          <w:rFonts w:eastAsia="標楷體"/>
          <w:kern w:val="0"/>
          <w:sz w:val="28"/>
          <w:szCs w:val="20"/>
        </w:rPr>
        <w:t>億美元，</w:t>
      </w:r>
      <w:r w:rsidRPr="003B6B9A">
        <w:rPr>
          <w:rFonts w:eastAsia="標楷體" w:hint="eastAsia"/>
          <w:kern w:val="0"/>
          <w:sz w:val="28"/>
          <w:szCs w:val="20"/>
        </w:rPr>
        <w:t>減少</w:t>
      </w:r>
      <w:r w:rsidRPr="003B6B9A">
        <w:rPr>
          <w:rFonts w:eastAsia="標楷體" w:hint="eastAsia"/>
          <w:kern w:val="0"/>
          <w:sz w:val="28"/>
          <w:szCs w:val="20"/>
        </w:rPr>
        <w:t>4.0%</w:t>
      </w:r>
      <w:r w:rsidRPr="003B6B9A">
        <w:rPr>
          <w:rFonts w:eastAsia="標楷體" w:hint="eastAsia"/>
          <w:kern w:val="0"/>
          <w:sz w:val="28"/>
          <w:szCs w:val="20"/>
        </w:rPr>
        <w:t>。累計</w:t>
      </w:r>
      <w:r w:rsidRPr="003B6B9A">
        <w:rPr>
          <w:rFonts w:eastAsia="標楷體" w:hint="eastAsia"/>
          <w:kern w:val="0"/>
          <w:sz w:val="28"/>
          <w:szCs w:val="20"/>
        </w:rPr>
        <w:t>1</w:t>
      </w:r>
      <w:r w:rsidRPr="003B6B9A">
        <w:rPr>
          <w:rFonts w:eastAsia="標楷體" w:hint="eastAsia"/>
          <w:kern w:val="0"/>
          <w:sz w:val="28"/>
          <w:szCs w:val="20"/>
        </w:rPr>
        <w:t>至</w:t>
      </w:r>
      <w:r w:rsidRPr="003B6B9A">
        <w:rPr>
          <w:rFonts w:eastAsia="標楷體" w:hint="eastAsia"/>
          <w:kern w:val="0"/>
          <w:sz w:val="28"/>
          <w:szCs w:val="20"/>
        </w:rPr>
        <w:t>4</w:t>
      </w:r>
      <w:r w:rsidRPr="003B6B9A">
        <w:rPr>
          <w:rFonts w:eastAsia="標楷體"/>
          <w:kern w:val="0"/>
          <w:sz w:val="28"/>
          <w:szCs w:val="20"/>
        </w:rPr>
        <w:t>月外銷訂單金額</w:t>
      </w:r>
      <w:r w:rsidRPr="003B6B9A">
        <w:rPr>
          <w:rFonts w:eastAsia="標楷體" w:hint="eastAsia"/>
          <w:kern w:val="0"/>
          <w:sz w:val="28"/>
          <w:szCs w:val="20"/>
        </w:rPr>
        <w:t>1,446.7</w:t>
      </w:r>
      <w:r w:rsidRPr="003B6B9A">
        <w:rPr>
          <w:rFonts w:eastAsia="標楷體"/>
          <w:kern w:val="0"/>
          <w:sz w:val="28"/>
          <w:szCs w:val="20"/>
        </w:rPr>
        <w:t>億美元，較上年同</w:t>
      </w:r>
      <w:r w:rsidRPr="003B6B9A">
        <w:rPr>
          <w:rFonts w:eastAsia="標楷體" w:hint="eastAsia"/>
          <w:kern w:val="0"/>
          <w:sz w:val="28"/>
          <w:szCs w:val="20"/>
        </w:rPr>
        <w:t>期增加</w:t>
      </w:r>
      <w:r w:rsidRPr="003B6B9A">
        <w:rPr>
          <w:rFonts w:eastAsia="標楷體" w:hint="eastAsia"/>
          <w:kern w:val="0"/>
          <w:sz w:val="28"/>
          <w:szCs w:val="20"/>
        </w:rPr>
        <w:t>10.5</w:t>
      </w:r>
      <w:r w:rsidRPr="003B6B9A">
        <w:rPr>
          <w:rFonts w:eastAsia="標楷體"/>
          <w:kern w:val="0"/>
          <w:sz w:val="28"/>
          <w:szCs w:val="20"/>
        </w:rPr>
        <w:t>億美元，</w:t>
      </w:r>
      <w:r w:rsidRPr="003B6B9A">
        <w:rPr>
          <w:rFonts w:eastAsia="標楷體" w:hint="eastAsia"/>
          <w:kern w:val="0"/>
          <w:sz w:val="28"/>
          <w:szCs w:val="20"/>
        </w:rPr>
        <w:t>增幅</w:t>
      </w:r>
      <w:r w:rsidRPr="003B6B9A">
        <w:rPr>
          <w:rFonts w:eastAsia="標楷體" w:hint="eastAsia"/>
          <w:kern w:val="0"/>
          <w:sz w:val="28"/>
          <w:szCs w:val="20"/>
        </w:rPr>
        <w:t>0.7%</w:t>
      </w:r>
      <w:r w:rsidRPr="003B6B9A">
        <w:rPr>
          <w:rFonts w:eastAsia="標楷體" w:hint="eastAsia"/>
          <w:kern w:val="0"/>
          <w:sz w:val="28"/>
          <w:szCs w:val="20"/>
        </w:rPr>
        <w:t>。</w:t>
      </w:r>
    </w:p>
    <w:p w:rsidR="003F3F99" w:rsidRPr="00B118E9" w:rsidRDefault="003F3F99" w:rsidP="000F1D9D">
      <w:pPr>
        <w:spacing w:afterLines="50" w:after="180" w:line="420" w:lineRule="exact"/>
        <w:jc w:val="center"/>
        <w:rPr>
          <w:rFonts w:eastAsia="標楷體"/>
          <w:sz w:val="28"/>
        </w:rPr>
      </w:pPr>
      <w:r w:rsidRPr="00B118E9">
        <w:rPr>
          <w:rFonts w:eastAsia="標楷體"/>
          <w:b/>
          <w:bCs/>
          <w:sz w:val="28"/>
        </w:rPr>
        <w:t>表</w:t>
      </w:r>
      <w:r w:rsidRPr="00B118E9">
        <w:rPr>
          <w:rFonts w:eastAsia="標楷體"/>
          <w:b/>
          <w:bCs/>
          <w:sz w:val="28"/>
        </w:rPr>
        <w:t>2-5-1</w:t>
      </w:r>
      <w:r w:rsidRPr="00B118E9">
        <w:rPr>
          <w:rFonts w:eastAsia="標楷體"/>
          <w:b/>
          <w:bCs/>
          <w:sz w:val="28"/>
        </w:rPr>
        <w:t xml:space="preserve">　外銷訂單</w:t>
      </w:r>
    </w:p>
    <w:tbl>
      <w:tblPr>
        <w:tblW w:w="0" w:type="auto"/>
        <w:jc w:val="center"/>
        <w:tblInd w:w="341" w:type="dxa"/>
        <w:tblBorders>
          <w:top w:val="single" w:sz="4" w:space="0" w:color="auto"/>
          <w:bottom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43"/>
        <w:gridCol w:w="2880"/>
        <w:gridCol w:w="2880"/>
      </w:tblGrid>
      <w:tr w:rsidR="00C17ACC" w:rsidRPr="003B6B9A" w:rsidTr="001040FB">
        <w:trPr>
          <w:jc w:val="center"/>
        </w:trPr>
        <w:tc>
          <w:tcPr>
            <w:tcW w:w="1743" w:type="dxa"/>
            <w:tcBorders>
              <w:bottom w:val="single" w:sz="4" w:space="0" w:color="auto"/>
              <w:right w:val="single" w:sz="4" w:space="0" w:color="auto"/>
            </w:tcBorders>
          </w:tcPr>
          <w:p w:rsidR="00C17ACC" w:rsidRPr="003B6B9A" w:rsidRDefault="00C17ACC" w:rsidP="001040FB">
            <w:pPr>
              <w:spacing w:line="40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2880" w:type="dxa"/>
            <w:tcBorders>
              <w:left w:val="single" w:sz="4" w:space="0" w:color="auto"/>
              <w:bottom w:val="single" w:sz="4" w:space="0" w:color="auto"/>
              <w:right w:val="single" w:sz="4" w:space="0" w:color="auto"/>
            </w:tcBorders>
          </w:tcPr>
          <w:p w:rsidR="00C17ACC" w:rsidRPr="003B6B9A" w:rsidRDefault="00C17ACC" w:rsidP="001040FB">
            <w:pPr>
              <w:spacing w:line="400" w:lineRule="exact"/>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2880" w:type="dxa"/>
            <w:tcBorders>
              <w:left w:val="single" w:sz="4" w:space="0" w:color="auto"/>
              <w:bottom w:val="single" w:sz="4" w:space="0" w:color="auto"/>
              <w:right w:val="nil"/>
            </w:tcBorders>
          </w:tcPr>
          <w:p w:rsidR="00C17ACC" w:rsidRPr="003B6B9A" w:rsidRDefault="00C17ACC" w:rsidP="001040FB">
            <w:pPr>
              <w:spacing w:line="400" w:lineRule="exact"/>
              <w:jc w:val="center"/>
              <w:rPr>
                <w:rFonts w:eastAsia="標楷體"/>
              </w:rPr>
            </w:pPr>
            <w:r w:rsidRPr="003B6B9A">
              <w:rPr>
                <w:rFonts w:eastAsia="標楷體"/>
              </w:rPr>
              <w:t>年增率</w:t>
            </w:r>
            <w:r w:rsidRPr="003B6B9A">
              <w:rPr>
                <w:rFonts w:eastAsia="標楷體"/>
              </w:rPr>
              <w:t>(</w:t>
            </w:r>
            <w:r w:rsidRPr="003B6B9A">
              <w:rPr>
                <w:rFonts w:eastAsia="標楷體" w:hint="eastAsia"/>
              </w:rPr>
              <w:t>%</w:t>
            </w:r>
            <w:r w:rsidRPr="003B6B9A">
              <w:rPr>
                <w:rFonts w:eastAsia="標楷體"/>
              </w:rPr>
              <w:t>)</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rPr>
                <w:rFonts w:eastAsia="標楷體"/>
                <w:b/>
                <w:bCs/>
              </w:rPr>
            </w:pPr>
            <w:r w:rsidRPr="003B6B9A">
              <w:rPr>
                <w:rFonts w:eastAsia="標楷體"/>
                <w:b/>
                <w:bCs/>
              </w:rPr>
              <w:t xml:space="preserve">  99</w:t>
            </w:r>
            <w:r w:rsidRPr="003B6B9A">
              <w:rPr>
                <w:rFonts w:eastAsia="標楷體"/>
                <w:b/>
                <w:bCs/>
              </w:rPr>
              <w:t>年</w:t>
            </w:r>
          </w:p>
        </w:tc>
        <w:tc>
          <w:tcPr>
            <w:tcW w:w="2880" w:type="dxa"/>
            <w:tcBorders>
              <w:top w:val="nil"/>
              <w:left w:val="single" w:sz="4" w:space="0" w:color="auto"/>
              <w:bottom w:val="nil"/>
              <w:right w:val="single" w:sz="4" w:space="0" w:color="auto"/>
            </w:tcBorders>
            <w:vAlign w:val="bottom"/>
          </w:tcPr>
          <w:p w:rsidR="00C17ACC" w:rsidRPr="003B6B9A" w:rsidRDefault="00C17ACC" w:rsidP="001040FB">
            <w:pPr>
              <w:snapToGrid w:val="0"/>
              <w:spacing w:line="360" w:lineRule="exact"/>
              <w:ind w:rightChars="379" w:right="910"/>
              <w:jc w:val="right"/>
              <w:rPr>
                <w:rFonts w:eastAsia="標楷體"/>
                <w:b/>
                <w:bCs/>
              </w:rPr>
            </w:pPr>
            <w:r w:rsidRPr="003B6B9A">
              <w:rPr>
                <w:rFonts w:eastAsia="標楷體"/>
                <w:b/>
                <w:bCs/>
              </w:rPr>
              <w:t>4,067.</w:t>
            </w:r>
            <w:r w:rsidRPr="003B6B9A">
              <w:rPr>
                <w:rFonts w:eastAsia="標楷體" w:hint="eastAsia"/>
                <w:b/>
                <w:bCs/>
              </w:rPr>
              <w:t>1</w:t>
            </w:r>
          </w:p>
        </w:tc>
        <w:tc>
          <w:tcPr>
            <w:tcW w:w="2880" w:type="dxa"/>
            <w:tcBorders>
              <w:top w:val="nil"/>
              <w:left w:val="single" w:sz="4" w:space="0" w:color="auto"/>
              <w:bottom w:val="nil"/>
              <w:right w:val="nil"/>
            </w:tcBorders>
            <w:vAlign w:val="bottom"/>
          </w:tcPr>
          <w:p w:rsidR="00C17ACC" w:rsidRPr="003B6B9A" w:rsidRDefault="00C17ACC" w:rsidP="001040FB">
            <w:pPr>
              <w:snapToGrid w:val="0"/>
              <w:spacing w:line="360" w:lineRule="exact"/>
              <w:ind w:rightChars="397" w:right="953"/>
              <w:jc w:val="right"/>
              <w:rPr>
                <w:rFonts w:eastAsia="標楷體"/>
                <w:b/>
                <w:bCs/>
              </w:rPr>
            </w:pPr>
            <w:r w:rsidRPr="003B6B9A">
              <w:rPr>
                <w:rFonts w:eastAsia="標楷體"/>
                <w:b/>
                <w:bCs/>
              </w:rPr>
              <w:t>26.1</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rPr>
                <w:rFonts w:eastAsia="標楷體"/>
                <w:b/>
                <w:bCs/>
              </w:rPr>
            </w:pPr>
            <w:r w:rsidRPr="003B6B9A">
              <w:rPr>
                <w:rFonts w:eastAsia="標楷體"/>
                <w:b/>
                <w:bCs/>
              </w:rPr>
              <w:t xml:space="preserve"> 100</w:t>
            </w:r>
            <w:r w:rsidRPr="003B6B9A">
              <w:rPr>
                <w:rFonts w:eastAsia="標楷體"/>
                <w:b/>
                <w:bCs/>
              </w:rPr>
              <w:t>年</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b/>
                <w:bCs/>
                <w:noProof/>
              </w:rPr>
            </w:pPr>
            <w:r w:rsidRPr="003B6B9A">
              <w:rPr>
                <w:rFonts w:eastAsia="標楷體"/>
                <w:b/>
                <w:bCs/>
                <w:noProof/>
              </w:rPr>
              <w:t>4,361.</w:t>
            </w:r>
            <w:r w:rsidRPr="003B6B9A">
              <w:rPr>
                <w:rFonts w:eastAsia="標楷體" w:hint="eastAsia"/>
                <w:b/>
                <w:bCs/>
                <w:noProof/>
              </w:rPr>
              <w:t>2</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b/>
                <w:bCs/>
                <w:noProof/>
              </w:rPr>
            </w:pPr>
            <w:r w:rsidRPr="003B6B9A">
              <w:rPr>
                <w:rFonts w:eastAsia="標楷體"/>
                <w:b/>
                <w:bCs/>
                <w:noProof/>
              </w:rPr>
              <w:t>7.2</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rPr>
                <w:rFonts w:eastAsia="標楷體"/>
              </w:rPr>
            </w:pPr>
            <w:r w:rsidRPr="003B6B9A">
              <w:rPr>
                <w:rFonts w:eastAsia="標楷體"/>
                <w:b/>
                <w:bCs/>
              </w:rPr>
              <w:t xml:space="preserve"> 101</w:t>
            </w:r>
            <w:r w:rsidRPr="003B6B9A">
              <w:rPr>
                <w:rFonts w:eastAsia="標楷體"/>
                <w:b/>
                <w:bCs/>
              </w:rPr>
              <w:t>年</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b/>
                <w:bCs/>
                <w:noProof/>
              </w:rPr>
            </w:pPr>
            <w:r w:rsidRPr="003B6B9A">
              <w:rPr>
                <w:rFonts w:eastAsia="標楷體"/>
                <w:b/>
                <w:bCs/>
                <w:noProof/>
              </w:rPr>
              <w:t>4,410.</w:t>
            </w:r>
            <w:r w:rsidRPr="003B6B9A">
              <w:rPr>
                <w:rFonts w:eastAsia="標楷體" w:hint="eastAsia"/>
                <w:b/>
                <w:bCs/>
                <w:noProof/>
              </w:rPr>
              <w:t>0</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b/>
                <w:bCs/>
                <w:noProof/>
              </w:rPr>
            </w:pPr>
            <w:r w:rsidRPr="003B6B9A">
              <w:rPr>
                <w:rFonts w:eastAsia="標楷體"/>
                <w:b/>
                <w:bCs/>
                <w:noProof/>
              </w:rPr>
              <w:t>1.1</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rPr>
                <w:rFonts w:eastAsia="標楷體"/>
                <w:b/>
              </w:rPr>
            </w:pPr>
            <w:r w:rsidRPr="003B6B9A">
              <w:rPr>
                <w:rFonts w:eastAsia="標楷體"/>
                <w:b/>
              </w:rPr>
              <w:t xml:space="preserve"> 102</w:t>
            </w:r>
            <w:r w:rsidRPr="003B6B9A">
              <w:rPr>
                <w:rFonts w:eastAsia="標楷體"/>
                <w:b/>
              </w:rPr>
              <w:t>年</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b/>
                <w:noProof/>
              </w:rPr>
            </w:pPr>
            <w:r w:rsidRPr="003B6B9A">
              <w:rPr>
                <w:rFonts w:eastAsia="標楷體"/>
                <w:b/>
                <w:noProof/>
              </w:rPr>
              <w:t>4,429.3</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b/>
                <w:noProof/>
              </w:rPr>
            </w:pPr>
            <w:r w:rsidRPr="003B6B9A">
              <w:rPr>
                <w:rFonts w:eastAsia="標楷體"/>
                <w:b/>
                <w:noProof/>
              </w:rPr>
              <w:t>0.4</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rPr>
                <w:rFonts w:eastAsia="標楷體"/>
                <w:b/>
              </w:rPr>
            </w:pPr>
            <w:r w:rsidRPr="003B6B9A">
              <w:rPr>
                <w:rFonts w:eastAsia="標楷體"/>
                <w:b/>
              </w:rPr>
              <w:t xml:space="preserve"> 103</w:t>
            </w:r>
            <w:r w:rsidRPr="003B6B9A">
              <w:rPr>
                <w:rFonts w:eastAsia="標楷體"/>
                <w:b/>
              </w:rPr>
              <w:t>年</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b/>
              </w:rPr>
            </w:pPr>
            <w:r w:rsidRPr="003B6B9A">
              <w:rPr>
                <w:rFonts w:eastAsia="標楷體"/>
                <w:b/>
              </w:rPr>
              <w:t>4,728.1</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b/>
              </w:rPr>
            </w:pPr>
            <w:r w:rsidRPr="003B6B9A">
              <w:rPr>
                <w:rFonts w:eastAsia="標楷體" w:hint="eastAsia"/>
                <w:b/>
              </w:rPr>
              <w:t>6.7</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ind w:firstLineChars="242" w:firstLine="581"/>
              <w:rPr>
                <w:rFonts w:eastAsia="標楷體"/>
              </w:rPr>
            </w:pPr>
            <w:r w:rsidRPr="003B6B9A">
              <w:rPr>
                <w:rFonts w:eastAsia="標楷體" w:hint="eastAsia"/>
              </w:rPr>
              <w:t xml:space="preserve"> 4</w:t>
            </w:r>
            <w:r w:rsidRPr="003B6B9A">
              <w:rPr>
                <w:rFonts w:eastAsia="標楷體" w:hint="eastAsia"/>
              </w:rPr>
              <w:t>月</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rPr>
            </w:pPr>
            <w:r w:rsidRPr="003B6B9A">
              <w:rPr>
                <w:rFonts w:eastAsia="標楷體" w:hint="eastAsia"/>
              </w:rPr>
              <w:t>388.7</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rPr>
            </w:pPr>
            <w:r w:rsidRPr="003B6B9A">
              <w:rPr>
                <w:rFonts w:eastAsia="標楷體" w:hint="eastAsia"/>
              </w:rPr>
              <w:t>8.9</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ind w:firstLineChars="292" w:firstLine="701"/>
              <w:rPr>
                <w:rFonts w:eastAsia="標楷體"/>
              </w:rPr>
            </w:pPr>
            <w:r w:rsidRPr="003B6B9A">
              <w:rPr>
                <w:rFonts w:eastAsia="標楷體" w:hint="eastAsia"/>
              </w:rPr>
              <w:t>5</w:t>
            </w:r>
            <w:r w:rsidRPr="003B6B9A">
              <w:rPr>
                <w:rFonts w:eastAsia="標楷體" w:hint="eastAsia"/>
              </w:rPr>
              <w:t>月</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rPr>
            </w:pPr>
            <w:r w:rsidRPr="003B6B9A">
              <w:rPr>
                <w:rFonts w:eastAsia="標楷體" w:hint="eastAsia"/>
              </w:rPr>
              <w:t>380.2</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rPr>
            </w:pPr>
            <w:r w:rsidRPr="003B6B9A">
              <w:rPr>
                <w:rFonts w:eastAsia="標楷體" w:hint="eastAsia"/>
              </w:rPr>
              <w:t>4.7</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ind w:firstLineChars="292" w:firstLine="701"/>
              <w:rPr>
                <w:rFonts w:eastAsia="標楷體"/>
              </w:rPr>
            </w:pPr>
            <w:r w:rsidRPr="003B6B9A">
              <w:rPr>
                <w:rFonts w:eastAsia="標楷體" w:hint="eastAsia"/>
              </w:rPr>
              <w:t>6</w:t>
            </w:r>
            <w:r w:rsidRPr="003B6B9A">
              <w:rPr>
                <w:rFonts w:eastAsia="標楷體" w:hint="eastAsia"/>
              </w:rPr>
              <w:t>月</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rPr>
            </w:pPr>
            <w:r w:rsidRPr="003B6B9A">
              <w:rPr>
                <w:rFonts w:eastAsia="標楷體" w:hint="eastAsia"/>
              </w:rPr>
              <w:t>388.2</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rPr>
            </w:pPr>
            <w:r w:rsidRPr="003B6B9A">
              <w:rPr>
                <w:rFonts w:eastAsia="標楷體" w:hint="eastAsia"/>
              </w:rPr>
              <w:t>10.6</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ind w:firstLineChars="292" w:firstLine="701"/>
              <w:rPr>
                <w:rFonts w:eastAsia="標楷體"/>
              </w:rPr>
            </w:pPr>
            <w:r w:rsidRPr="003B6B9A">
              <w:rPr>
                <w:rFonts w:eastAsia="標楷體" w:hint="eastAsia"/>
              </w:rPr>
              <w:t>7</w:t>
            </w:r>
            <w:r w:rsidRPr="003B6B9A">
              <w:rPr>
                <w:rFonts w:eastAsia="標楷體" w:hint="eastAsia"/>
              </w:rPr>
              <w:t>月</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rPr>
            </w:pPr>
            <w:r w:rsidRPr="003B6B9A">
              <w:rPr>
                <w:rFonts w:eastAsia="標楷體" w:hint="eastAsia"/>
              </w:rPr>
              <w:t>381.8</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rPr>
            </w:pPr>
            <w:r w:rsidRPr="003B6B9A">
              <w:rPr>
                <w:rFonts w:eastAsia="標楷體" w:hint="eastAsia"/>
              </w:rPr>
              <w:t>5.7</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ind w:firstLineChars="292" w:firstLine="701"/>
              <w:rPr>
                <w:rFonts w:eastAsia="標楷體"/>
              </w:rPr>
            </w:pPr>
            <w:r w:rsidRPr="003B6B9A">
              <w:rPr>
                <w:rFonts w:eastAsia="標楷體" w:hint="eastAsia"/>
              </w:rPr>
              <w:t>8</w:t>
            </w:r>
            <w:r w:rsidRPr="003B6B9A">
              <w:rPr>
                <w:rFonts w:eastAsia="標楷體" w:hint="eastAsia"/>
              </w:rPr>
              <w:t>月</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rPr>
            </w:pPr>
            <w:r w:rsidRPr="003B6B9A">
              <w:rPr>
                <w:rFonts w:eastAsia="標楷體" w:hint="eastAsia"/>
              </w:rPr>
              <w:t>382.1</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rPr>
            </w:pPr>
            <w:r w:rsidRPr="003B6B9A">
              <w:rPr>
                <w:rFonts w:eastAsia="標楷體" w:hint="eastAsia"/>
              </w:rPr>
              <w:t>5.2</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ind w:firstLineChars="292" w:firstLine="701"/>
              <w:rPr>
                <w:rFonts w:eastAsia="標楷體"/>
              </w:rPr>
            </w:pPr>
            <w:r w:rsidRPr="003B6B9A">
              <w:rPr>
                <w:rFonts w:eastAsia="標楷體" w:hint="eastAsia"/>
              </w:rPr>
              <w:t>9</w:t>
            </w:r>
            <w:r w:rsidRPr="003B6B9A">
              <w:rPr>
                <w:rFonts w:eastAsia="標楷體" w:hint="eastAsia"/>
              </w:rPr>
              <w:t>月</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rPr>
            </w:pPr>
            <w:r w:rsidRPr="003B6B9A">
              <w:rPr>
                <w:rFonts w:eastAsia="標楷體" w:hint="eastAsia"/>
              </w:rPr>
              <w:t>433.1</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rPr>
            </w:pPr>
            <w:r w:rsidRPr="003B6B9A">
              <w:rPr>
                <w:rFonts w:eastAsia="標楷體" w:hint="eastAsia"/>
              </w:rPr>
              <w:t>12.7</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rPr>
                <w:rFonts w:eastAsia="標楷體"/>
              </w:rPr>
            </w:pPr>
            <w:r w:rsidRPr="003B6B9A">
              <w:rPr>
                <w:rFonts w:eastAsia="標楷體" w:hint="eastAsia"/>
              </w:rPr>
              <w:t xml:space="preserve">     10</w:t>
            </w:r>
            <w:r w:rsidRPr="003B6B9A">
              <w:rPr>
                <w:rFonts w:eastAsia="標楷體" w:hint="eastAsia"/>
              </w:rPr>
              <w:t>月</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rPr>
            </w:pPr>
            <w:r w:rsidRPr="003B6B9A">
              <w:rPr>
                <w:rFonts w:eastAsia="標楷體" w:hint="eastAsia"/>
              </w:rPr>
              <w:t>449.1</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rPr>
            </w:pPr>
            <w:r w:rsidRPr="003B6B9A">
              <w:rPr>
                <w:rFonts w:eastAsia="標楷體" w:hint="eastAsia"/>
              </w:rPr>
              <w:t>13.4</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rPr>
                <w:rFonts w:eastAsia="標楷體"/>
              </w:rPr>
            </w:pPr>
            <w:r w:rsidRPr="003B6B9A">
              <w:rPr>
                <w:rFonts w:eastAsia="標楷體" w:hint="eastAsia"/>
              </w:rPr>
              <w:t xml:space="preserve">     11</w:t>
            </w:r>
            <w:r w:rsidRPr="003B6B9A">
              <w:rPr>
                <w:rFonts w:eastAsia="標楷體" w:hint="eastAsia"/>
              </w:rPr>
              <w:t>月</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rPr>
            </w:pPr>
            <w:r w:rsidRPr="003B6B9A">
              <w:rPr>
                <w:rFonts w:eastAsia="標楷體" w:hint="eastAsia"/>
              </w:rPr>
              <w:t>435.1</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rPr>
            </w:pPr>
            <w:r w:rsidRPr="003B6B9A">
              <w:rPr>
                <w:rFonts w:eastAsia="標楷體" w:hint="eastAsia"/>
              </w:rPr>
              <w:t>6.0</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rPr>
                <w:rFonts w:eastAsia="標楷體"/>
              </w:rPr>
            </w:pPr>
            <w:r w:rsidRPr="003B6B9A">
              <w:rPr>
                <w:rFonts w:eastAsia="標楷體" w:hint="eastAsia"/>
              </w:rPr>
              <w:t xml:space="preserve">     12</w:t>
            </w:r>
            <w:r w:rsidRPr="003B6B9A">
              <w:rPr>
                <w:rFonts w:eastAsia="標楷體" w:hint="eastAsia"/>
              </w:rPr>
              <w:t>月</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rPr>
            </w:pPr>
            <w:r w:rsidRPr="003B6B9A">
              <w:rPr>
                <w:rFonts w:eastAsia="標楷體"/>
              </w:rPr>
              <w:t>442.3</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rPr>
            </w:pPr>
            <w:r w:rsidRPr="003B6B9A">
              <w:rPr>
                <w:rFonts w:eastAsia="標楷體" w:hint="eastAsia"/>
              </w:rPr>
              <w:t>4.5</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rPr>
                <w:rFonts w:eastAsia="標楷體"/>
              </w:rPr>
            </w:pPr>
            <w:r w:rsidRPr="003B6B9A">
              <w:rPr>
                <w:rFonts w:eastAsia="標楷體"/>
                <w:b/>
              </w:rPr>
              <w:t>10</w:t>
            </w:r>
            <w:r w:rsidRPr="003B6B9A">
              <w:rPr>
                <w:rFonts w:eastAsia="標楷體" w:hint="eastAsia"/>
                <w:b/>
              </w:rPr>
              <w:t>4</w:t>
            </w:r>
            <w:r w:rsidRPr="003B6B9A">
              <w:rPr>
                <w:rFonts w:eastAsia="標楷體"/>
                <w:b/>
              </w:rPr>
              <w:t>年</w:t>
            </w:r>
            <w:r w:rsidRPr="003B6B9A">
              <w:rPr>
                <w:rFonts w:eastAsia="標楷體" w:hint="eastAsia"/>
                <w:b/>
              </w:rPr>
              <w:t>1~4</w:t>
            </w:r>
            <w:r w:rsidRPr="003B6B9A">
              <w:rPr>
                <w:rFonts w:eastAsia="標楷體" w:hint="eastAsia"/>
                <w:b/>
              </w:rPr>
              <w:t>月</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b/>
              </w:rPr>
            </w:pPr>
            <w:r w:rsidRPr="003B6B9A">
              <w:rPr>
                <w:rFonts w:eastAsia="標楷體" w:hint="eastAsia"/>
                <w:b/>
              </w:rPr>
              <w:t>1,446.7</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b/>
              </w:rPr>
            </w:pPr>
            <w:r w:rsidRPr="003B6B9A">
              <w:rPr>
                <w:rFonts w:eastAsia="標楷體" w:hint="eastAsia"/>
                <w:b/>
              </w:rPr>
              <w:t>0.7</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rPr>
                <w:rFonts w:eastAsia="標楷體"/>
              </w:rPr>
            </w:pPr>
            <w:r w:rsidRPr="003B6B9A">
              <w:rPr>
                <w:rFonts w:eastAsia="標楷體" w:hint="eastAsia"/>
              </w:rPr>
              <w:t xml:space="preserve">     1</w:t>
            </w:r>
            <w:r w:rsidRPr="003B6B9A">
              <w:rPr>
                <w:rFonts w:eastAsia="標楷體" w:hint="eastAsia"/>
              </w:rPr>
              <w:t>月</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rPr>
            </w:pPr>
            <w:r w:rsidRPr="003B6B9A">
              <w:rPr>
                <w:rFonts w:eastAsia="標楷體" w:hint="eastAsia"/>
              </w:rPr>
              <w:t>390</w:t>
            </w:r>
            <w:r w:rsidRPr="003B6B9A">
              <w:rPr>
                <w:rFonts w:eastAsia="標楷體"/>
              </w:rPr>
              <w:t>.</w:t>
            </w:r>
            <w:r w:rsidRPr="003B6B9A">
              <w:rPr>
                <w:rFonts w:eastAsia="標楷體" w:hint="eastAsia"/>
              </w:rPr>
              <w:t>4</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rPr>
            </w:pPr>
            <w:r w:rsidRPr="003B6B9A">
              <w:rPr>
                <w:rFonts w:eastAsia="標楷體" w:hint="eastAsia"/>
              </w:rPr>
              <w:t>8.1</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rPr>
                <w:rFonts w:eastAsia="標楷體"/>
              </w:rPr>
            </w:pPr>
            <w:r w:rsidRPr="003B6B9A">
              <w:rPr>
                <w:rFonts w:eastAsia="標楷體" w:hint="eastAsia"/>
              </w:rPr>
              <w:t xml:space="preserve">     2</w:t>
            </w:r>
            <w:r w:rsidRPr="003B6B9A">
              <w:rPr>
                <w:rFonts w:eastAsia="標楷體" w:hint="eastAsia"/>
              </w:rPr>
              <w:t>月</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rPr>
            </w:pPr>
            <w:r w:rsidRPr="003B6B9A">
              <w:rPr>
                <w:rFonts w:eastAsia="標楷體" w:hint="eastAsia"/>
              </w:rPr>
              <w:t>298</w:t>
            </w:r>
            <w:r w:rsidRPr="003B6B9A">
              <w:rPr>
                <w:rFonts w:eastAsia="標楷體"/>
              </w:rPr>
              <w:t>.</w:t>
            </w:r>
            <w:r w:rsidRPr="003B6B9A">
              <w:rPr>
                <w:rFonts w:eastAsia="標楷體" w:hint="eastAsia"/>
              </w:rPr>
              <w:t>9</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rPr>
            </w:pPr>
            <w:r w:rsidRPr="003B6B9A">
              <w:rPr>
                <w:rFonts w:eastAsia="標楷體" w:hint="eastAsia"/>
              </w:rPr>
              <w:t>-2.7</w:t>
            </w:r>
          </w:p>
        </w:tc>
      </w:tr>
      <w:tr w:rsidR="00C17ACC" w:rsidRPr="003B6B9A" w:rsidTr="001040FB">
        <w:trPr>
          <w:jc w:val="center"/>
        </w:trPr>
        <w:tc>
          <w:tcPr>
            <w:tcW w:w="1743" w:type="dxa"/>
            <w:tcBorders>
              <w:top w:val="nil"/>
              <w:bottom w:val="nil"/>
              <w:right w:val="single" w:sz="4" w:space="0" w:color="auto"/>
            </w:tcBorders>
          </w:tcPr>
          <w:p w:rsidR="00C17ACC" w:rsidRPr="003B6B9A" w:rsidRDefault="00C17ACC" w:rsidP="001040FB">
            <w:pPr>
              <w:snapToGrid w:val="0"/>
              <w:spacing w:line="360" w:lineRule="exact"/>
              <w:rPr>
                <w:rFonts w:eastAsia="標楷體"/>
              </w:rPr>
            </w:pPr>
            <w:r w:rsidRPr="003B6B9A">
              <w:rPr>
                <w:rFonts w:eastAsia="標楷體" w:hint="eastAsia"/>
              </w:rPr>
              <w:t xml:space="preserve">     3</w:t>
            </w:r>
            <w:r w:rsidRPr="003B6B9A">
              <w:rPr>
                <w:rFonts w:eastAsia="標楷體" w:hint="eastAsia"/>
              </w:rPr>
              <w:t>月</w:t>
            </w:r>
          </w:p>
        </w:tc>
        <w:tc>
          <w:tcPr>
            <w:tcW w:w="2880" w:type="dxa"/>
            <w:tcBorders>
              <w:top w:val="nil"/>
              <w:left w:val="single" w:sz="4" w:space="0" w:color="auto"/>
              <w:bottom w:val="nil"/>
              <w:right w:val="single" w:sz="4" w:space="0" w:color="auto"/>
            </w:tcBorders>
          </w:tcPr>
          <w:p w:rsidR="00C17ACC" w:rsidRPr="003B6B9A" w:rsidRDefault="00C17ACC" w:rsidP="001040FB">
            <w:pPr>
              <w:snapToGrid w:val="0"/>
              <w:spacing w:line="360" w:lineRule="exact"/>
              <w:ind w:rightChars="379" w:right="910"/>
              <w:jc w:val="right"/>
              <w:rPr>
                <w:rFonts w:eastAsia="標楷體"/>
              </w:rPr>
            </w:pPr>
            <w:r w:rsidRPr="003B6B9A">
              <w:rPr>
                <w:rFonts w:eastAsia="標楷體" w:hint="eastAsia"/>
              </w:rPr>
              <w:t>384.3</w:t>
            </w:r>
          </w:p>
        </w:tc>
        <w:tc>
          <w:tcPr>
            <w:tcW w:w="2880" w:type="dxa"/>
            <w:tcBorders>
              <w:top w:val="nil"/>
              <w:left w:val="single" w:sz="4" w:space="0" w:color="auto"/>
              <w:bottom w:val="nil"/>
              <w:right w:val="nil"/>
            </w:tcBorders>
          </w:tcPr>
          <w:p w:rsidR="00C17ACC" w:rsidRPr="003B6B9A" w:rsidRDefault="00C17ACC" w:rsidP="001040FB">
            <w:pPr>
              <w:snapToGrid w:val="0"/>
              <w:spacing w:line="360" w:lineRule="exact"/>
              <w:ind w:rightChars="397" w:right="953"/>
              <w:jc w:val="right"/>
              <w:rPr>
                <w:rFonts w:eastAsia="標楷體"/>
              </w:rPr>
            </w:pPr>
            <w:r w:rsidRPr="003B6B9A">
              <w:rPr>
                <w:rFonts w:eastAsia="標楷體" w:hint="eastAsia"/>
              </w:rPr>
              <w:t>1.3</w:t>
            </w:r>
          </w:p>
        </w:tc>
      </w:tr>
      <w:tr w:rsidR="00C17ACC" w:rsidRPr="003B6B9A" w:rsidTr="001040FB">
        <w:trPr>
          <w:jc w:val="center"/>
        </w:trPr>
        <w:tc>
          <w:tcPr>
            <w:tcW w:w="1743" w:type="dxa"/>
            <w:tcBorders>
              <w:top w:val="nil"/>
              <w:bottom w:val="single" w:sz="4" w:space="0" w:color="auto"/>
              <w:right w:val="single" w:sz="4" w:space="0" w:color="auto"/>
            </w:tcBorders>
          </w:tcPr>
          <w:p w:rsidR="00C17ACC" w:rsidRPr="003B6B9A" w:rsidRDefault="00C17ACC" w:rsidP="001040FB">
            <w:pPr>
              <w:snapToGrid w:val="0"/>
              <w:spacing w:line="360" w:lineRule="exact"/>
              <w:rPr>
                <w:rFonts w:eastAsia="標楷體"/>
              </w:rPr>
            </w:pPr>
            <w:r w:rsidRPr="003B6B9A">
              <w:rPr>
                <w:rFonts w:eastAsia="標楷體" w:hint="eastAsia"/>
              </w:rPr>
              <w:t xml:space="preserve">     4</w:t>
            </w:r>
            <w:r w:rsidRPr="003B6B9A">
              <w:rPr>
                <w:rFonts w:eastAsia="標楷體" w:hint="eastAsia"/>
              </w:rPr>
              <w:t>月</w:t>
            </w:r>
          </w:p>
        </w:tc>
        <w:tc>
          <w:tcPr>
            <w:tcW w:w="2880" w:type="dxa"/>
            <w:tcBorders>
              <w:top w:val="nil"/>
              <w:left w:val="single" w:sz="4" w:space="0" w:color="auto"/>
              <w:bottom w:val="single" w:sz="4" w:space="0" w:color="auto"/>
              <w:right w:val="single" w:sz="4" w:space="0" w:color="auto"/>
            </w:tcBorders>
          </w:tcPr>
          <w:p w:rsidR="00C17ACC" w:rsidRPr="003B6B9A" w:rsidRDefault="00C17ACC" w:rsidP="001040FB">
            <w:pPr>
              <w:snapToGrid w:val="0"/>
              <w:spacing w:line="360" w:lineRule="exact"/>
              <w:ind w:rightChars="379" w:right="910"/>
              <w:jc w:val="right"/>
              <w:rPr>
                <w:rFonts w:eastAsia="標楷體"/>
              </w:rPr>
            </w:pPr>
            <w:r w:rsidRPr="003B6B9A">
              <w:rPr>
                <w:rFonts w:eastAsia="標楷體" w:hint="eastAsia"/>
              </w:rPr>
              <w:t>373.2</w:t>
            </w:r>
          </w:p>
        </w:tc>
        <w:tc>
          <w:tcPr>
            <w:tcW w:w="2880" w:type="dxa"/>
            <w:tcBorders>
              <w:top w:val="nil"/>
              <w:left w:val="single" w:sz="4" w:space="0" w:color="auto"/>
              <w:bottom w:val="single" w:sz="4" w:space="0" w:color="auto"/>
              <w:right w:val="nil"/>
            </w:tcBorders>
          </w:tcPr>
          <w:p w:rsidR="00C17ACC" w:rsidRPr="003B6B9A" w:rsidRDefault="00C17ACC" w:rsidP="001040FB">
            <w:pPr>
              <w:snapToGrid w:val="0"/>
              <w:spacing w:line="360" w:lineRule="exact"/>
              <w:ind w:rightChars="397" w:right="953"/>
              <w:jc w:val="right"/>
              <w:rPr>
                <w:rFonts w:eastAsia="標楷體"/>
              </w:rPr>
            </w:pPr>
            <w:r w:rsidRPr="003B6B9A">
              <w:rPr>
                <w:rFonts w:eastAsia="標楷體" w:hint="eastAsia"/>
              </w:rPr>
              <w:t>-4.0</w:t>
            </w:r>
          </w:p>
        </w:tc>
      </w:tr>
    </w:tbl>
    <w:p w:rsidR="003F3F99" w:rsidRPr="00B118E9" w:rsidRDefault="003F3F99" w:rsidP="003F3F99">
      <w:pPr>
        <w:widowControl/>
        <w:snapToGrid w:val="0"/>
        <w:spacing w:line="240" w:lineRule="atLeast"/>
        <w:ind w:leftChars="236" w:left="566"/>
        <w:jc w:val="both"/>
        <w:rPr>
          <w:rFonts w:eastAsia="標楷體"/>
          <w:kern w:val="0"/>
          <w:sz w:val="22"/>
          <w:szCs w:val="22"/>
        </w:rPr>
      </w:pPr>
      <w:r w:rsidRPr="00B118E9">
        <w:rPr>
          <w:rFonts w:eastAsia="標楷體"/>
          <w:kern w:val="0"/>
          <w:sz w:val="22"/>
          <w:szCs w:val="22"/>
        </w:rPr>
        <w:t>資料來源：經濟部統計處。</w:t>
      </w:r>
    </w:p>
    <w:p w:rsidR="00390C11" w:rsidRPr="00B118E9" w:rsidRDefault="003F3F99" w:rsidP="00C17ACC">
      <w:pPr>
        <w:widowControl/>
        <w:tabs>
          <w:tab w:val="left" w:pos="540"/>
        </w:tabs>
        <w:snapToGrid w:val="0"/>
        <w:spacing w:beforeLines="100" w:before="360" w:afterLines="50" w:after="180" w:line="300" w:lineRule="auto"/>
        <w:ind w:left="566" w:hangingChars="202" w:hanging="566"/>
        <w:jc w:val="both"/>
        <w:rPr>
          <w:rFonts w:eastAsia="標楷體"/>
          <w:b/>
          <w:color w:val="FF0000"/>
          <w:spacing w:val="-4"/>
          <w:kern w:val="0"/>
          <w:sz w:val="28"/>
          <w:szCs w:val="20"/>
        </w:rPr>
      </w:pPr>
      <w:r w:rsidRPr="00B118E9">
        <w:rPr>
          <w:rFonts w:eastAsia="標楷體"/>
          <w:b/>
          <w:bCs/>
          <w:kern w:val="0"/>
          <w:sz w:val="28"/>
          <w:szCs w:val="20"/>
        </w:rPr>
        <w:t>２、</w:t>
      </w:r>
      <w:r w:rsidR="00C17ACC" w:rsidRPr="003B6B9A">
        <w:rPr>
          <w:rFonts w:eastAsia="標楷體"/>
          <w:b/>
          <w:spacing w:val="-4"/>
          <w:kern w:val="0"/>
          <w:sz w:val="28"/>
          <w:szCs w:val="20"/>
        </w:rPr>
        <w:t>10</w:t>
      </w:r>
      <w:r w:rsidR="00C17ACC" w:rsidRPr="003B6B9A">
        <w:rPr>
          <w:rFonts w:eastAsia="標楷體" w:hint="eastAsia"/>
          <w:b/>
          <w:spacing w:val="-4"/>
          <w:kern w:val="0"/>
          <w:sz w:val="28"/>
          <w:szCs w:val="20"/>
        </w:rPr>
        <w:t>4</w:t>
      </w:r>
      <w:r w:rsidR="00C17ACC" w:rsidRPr="003B6B9A">
        <w:rPr>
          <w:rFonts w:eastAsia="標楷體"/>
          <w:b/>
          <w:spacing w:val="-4"/>
          <w:kern w:val="0"/>
          <w:sz w:val="28"/>
          <w:szCs w:val="20"/>
        </w:rPr>
        <w:t>年</w:t>
      </w:r>
      <w:r w:rsidR="00C17ACC" w:rsidRPr="003B6B9A">
        <w:rPr>
          <w:rFonts w:eastAsia="標楷體" w:hint="eastAsia"/>
          <w:b/>
          <w:spacing w:val="-4"/>
          <w:kern w:val="0"/>
          <w:sz w:val="28"/>
          <w:szCs w:val="20"/>
        </w:rPr>
        <w:t>4</w:t>
      </w:r>
      <w:r w:rsidR="00C17ACC" w:rsidRPr="003B6B9A">
        <w:rPr>
          <w:rFonts w:eastAsia="標楷體"/>
          <w:b/>
          <w:spacing w:val="-4"/>
          <w:kern w:val="0"/>
          <w:sz w:val="28"/>
          <w:szCs w:val="20"/>
        </w:rPr>
        <w:t>月訂單金額中，資訊通信</w:t>
      </w:r>
      <w:r w:rsidR="00C17ACC" w:rsidRPr="003B6B9A">
        <w:rPr>
          <w:rFonts w:eastAsia="標楷體" w:hint="eastAsia"/>
          <w:b/>
          <w:spacing w:val="-4"/>
          <w:kern w:val="0"/>
          <w:sz w:val="28"/>
          <w:szCs w:val="20"/>
        </w:rPr>
        <w:t>產品</w:t>
      </w:r>
      <w:r w:rsidR="00C17ACC" w:rsidRPr="003B6B9A">
        <w:rPr>
          <w:rFonts w:eastAsia="標楷體"/>
          <w:b/>
          <w:spacing w:val="-4"/>
          <w:kern w:val="0"/>
          <w:sz w:val="28"/>
          <w:szCs w:val="20"/>
        </w:rPr>
        <w:t>、電子產品</w:t>
      </w:r>
      <w:r w:rsidR="00C17ACC" w:rsidRPr="003B6B9A">
        <w:rPr>
          <w:rFonts w:eastAsia="標楷體" w:hint="eastAsia"/>
          <w:b/>
          <w:spacing w:val="-4"/>
          <w:kern w:val="0"/>
          <w:sz w:val="28"/>
          <w:szCs w:val="20"/>
        </w:rPr>
        <w:t>為我國前二大接單貨品，增減幅最大者分別為</w:t>
      </w:r>
      <w:r w:rsidR="00C17ACC" w:rsidRPr="003B6B9A">
        <w:rPr>
          <w:rFonts w:eastAsia="標楷體"/>
          <w:b/>
          <w:spacing w:val="-4"/>
          <w:kern w:val="0"/>
          <w:sz w:val="28"/>
          <w:szCs w:val="20"/>
        </w:rPr>
        <w:t>鞋、帽、傘、人髮及羽毛製品、人造</w:t>
      </w:r>
      <w:r w:rsidR="00C17ACC" w:rsidRPr="003B6B9A">
        <w:rPr>
          <w:rFonts w:eastAsia="標楷體" w:hint="eastAsia"/>
          <w:b/>
          <w:spacing w:val="-4"/>
          <w:kern w:val="0"/>
          <w:sz w:val="28"/>
          <w:szCs w:val="20"/>
        </w:rPr>
        <w:t>花，以及</w:t>
      </w:r>
      <w:r w:rsidR="00C17ACC" w:rsidRPr="003B6B9A">
        <w:rPr>
          <w:rFonts w:eastAsia="標楷體"/>
          <w:b/>
          <w:spacing w:val="-4"/>
          <w:kern w:val="0"/>
          <w:sz w:val="28"/>
          <w:szCs w:val="20"/>
        </w:rPr>
        <w:t>木材、木製品及編結品</w:t>
      </w:r>
    </w:p>
    <w:p w:rsidR="003F3F99" w:rsidRPr="00C17ACC" w:rsidRDefault="00C17ACC" w:rsidP="000F1D9D">
      <w:pPr>
        <w:numPr>
          <w:ilvl w:val="0"/>
          <w:numId w:val="5"/>
        </w:numPr>
        <w:snapToGrid w:val="0"/>
        <w:spacing w:line="300" w:lineRule="auto"/>
        <w:ind w:left="851" w:right="-142" w:hanging="567"/>
        <w:jc w:val="both"/>
        <w:rPr>
          <w:rFonts w:eastAsia="標楷體"/>
          <w:color w:val="FF0000"/>
          <w:spacing w:val="-4"/>
          <w:sz w:val="28"/>
          <w:szCs w:val="22"/>
        </w:rPr>
      </w:pPr>
      <w:r w:rsidRPr="003B6B9A">
        <w:rPr>
          <w:rFonts w:eastAsia="標楷體"/>
          <w:spacing w:val="-4"/>
          <w:sz w:val="28"/>
          <w:szCs w:val="22"/>
        </w:rPr>
        <w:t>10</w:t>
      </w:r>
      <w:r w:rsidRPr="003B6B9A">
        <w:rPr>
          <w:rFonts w:eastAsia="標楷體" w:hint="eastAsia"/>
          <w:spacing w:val="-4"/>
          <w:sz w:val="28"/>
          <w:szCs w:val="22"/>
        </w:rPr>
        <w:t>4</w:t>
      </w:r>
      <w:r w:rsidRPr="003B6B9A">
        <w:rPr>
          <w:rFonts w:eastAsia="標楷體"/>
          <w:spacing w:val="-4"/>
          <w:sz w:val="28"/>
          <w:szCs w:val="22"/>
        </w:rPr>
        <w:t>年</w:t>
      </w:r>
      <w:r w:rsidRPr="003B6B9A">
        <w:rPr>
          <w:rFonts w:eastAsia="標楷體" w:hint="eastAsia"/>
          <w:spacing w:val="-4"/>
          <w:sz w:val="28"/>
          <w:szCs w:val="22"/>
        </w:rPr>
        <w:t>4</w:t>
      </w:r>
      <w:r w:rsidRPr="003B6B9A">
        <w:rPr>
          <w:rFonts w:eastAsia="標楷體"/>
          <w:spacing w:val="-4"/>
          <w:sz w:val="28"/>
          <w:szCs w:val="22"/>
        </w:rPr>
        <w:t>月主要訂單貨品中以</w:t>
      </w:r>
      <w:r w:rsidRPr="003B6B9A">
        <w:rPr>
          <w:rFonts w:eastAsia="標楷體" w:hint="eastAsia"/>
          <w:bCs/>
          <w:spacing w:val="-4"/>
          <w:sz w:val="28"/>
          <w:szCs w:val="22"/>
        </w:rPr>
        <w:t>資訊通信產品</w:t>
      </w:r>
      <w:r w:rsidRPr="003B6B9A">
        <w:rPr>
          <w:rFonts w:eastAsia="標楷體"/>
          <w:bCs/>
          <w:spacing w:val="-4"/>
          <w:sz w:val="28"/>
          <w:szCs w:val="22"/>
        </w:rPr>
        <w:t>、</w:t>
      </w:r>
      <w:r w:rsidRPr="003B6B9A">
        <w:rPr>
          <w:rFonts w:eastAsia="標楷體" w:hint="eastAsia"/>
          <w:bCs/>
          <w:spacing w:val="-4"/>
          <w:sz w:val="28"/>
          <w:szCs w:val="22"/>
        </w:rPr>
        <w:t>電子</w:t>
      </w:r>
      <w:r w:rsidRPr="003B6B9A">
        <w:rPr>
          <w:rFonts w:eastAsia="標楷體"/>
          <w:bCs/>
          <w:spacing w:val="-4"/>
          <w:sz w:val="28"/>
          <w:szCs w:val="22"/>
        </w:rPr>
        <w:t>產品</w:t>
      </w:r>
      <w:r w:rsidRPr="003B6B9A">
        <w:rPr>
          <w:rFonts w:eastAsia="標楷體"/>
          <w:spacing w:val="-4"/>
          <w:sz w:val="28"/>
          <w:szCs w:val="22"/>
        </w:rPr>
        <w:t>為主，</w:t>
      </w:r>
      <w:r w:rsidRPr="003B6B9A">
        <w:rPr>
          <w:rFonts w:eastAsia="標楷體" w:hint="eastAsia"/>
          <w:spacing w:val="-4"/>
          <w:sz w:val="28"/>
          <w:szCs w:val="22"/>
        </w:rPr>
        <w:t>分別</w:t>
      </w:r>
      <w:r w:rsidRPr="003B6B9A">
        <w:rPr>
          <w:rFonts w:eastAsia="標楷體"/>
          <w:spacing w:val="-4"/>
          <w:sz w:val="28"/>
          <w:szCs w:val="22"/>
        </w:rPr>
        <w:t>占訂單總額的</w:t>
      </w:r>
      <w:r w:rsidRPr="003B6B9A">
        <w:rPr>
          <w:rFonts w:eastAsia="標楷體" w:hint="eastAsia"/>
          <w:spacing w:val="-4"/>
          <w:sz w:val="28"/>
          <w:szCs w:val="22"/>
        </w:rPr>
        <w:t>26.9%</w:t>
      </w:r>
      <w:r w:rsidRPr="003B6B9A">
        <w:rPr>
          <w:rFonts w:eastAsia="標楷體"/>
          <w:spacing w:val="-4"/>
          <w:sz w:val="28"/>
          <w:szCs w:val="22"/>
        </w:rPr>
        <w:t>及</w:t>
      </w:r>
      <w:r w:rsidRPr="003B6B9A">
        <w:rPr>
          <w:rFonts w:eastAsia="標楷體" w:hint="eastAsia"/>
          <w:spacing w:val="-4"/>
          <w:sz w:val="28"/>
          <w:szCs w:val="22"/>
        </w:rPr>
        <w:t>25.9%</w:t>
      </w:r>
      <w:r w:rsidRPr="003B6B9A">
        <w:rPr>
          <w:rFonts w:eastAsia="標楷體"/>
          <w:spacing w:val="-4"/>
          <w:sz w:val="28"/>
          <w:szCs w:val="22"/>
        </w:rPr>
        <w:t>，較上年同月增加</w:t>
      </w:r>
      <w:r w:rsidRPr="003B6B9A">
        <w:rPr>
          <w:rFonts w:eastAsia="標楷體" w:hint="eastAsia"/>
          <w:spacing w:val="-4"/>
          <w:sz w:val="28"/>
          <w:szCs w:val="22"/>
        </w:rPr>
        <w:t>6.1%</w:t>
      </w:r>
      <w:r w:rsidRPr="003B6B9A">
        <w:rPr>
          <w:rFonts w:eastAsia="標楷體"/>
          <w:spacing w:val="-4"/>
          <w:sz w:val="28"/>
          <w:szCs w:val="22"/>
        </w:rPr>
        <w:t>及</w:t>
      </w:r>
      <w:r w:rsidRPr="003B6B9A">
        <w:rPr>
          <w:rFonts w:eastAsia="標楷體" w:hint="eastAsia"/>
          <w:spacing w:val="-4"/>
          <w:sz w:val="28"/>
          <w:szCs w:val="22"/>
        </w:rPr>
        <w:t>減少</w:t>
      </w:r>
      <w:r w:rsidRPr="003B6B9A">
        <w:rPr>
          <w:rFonts w:eastAsia="標楷體" w:hint="eastAsia"/>
          <w:spacing w:val="-4"/>
          <w:sz w:val="28"/>
          <w:szCs w:val="22"/>
        </w:rPr>
        <w:t>0.9%</w:t>
      </w:r>
      <w:r w:rsidRPr="003B6B9A">
        <w:rPr>
          <w:rFonts w:eastAsia="標楷體"/>
          <w:spacing w:val="-4"/>
          <w:sz w:val="28"/>
          <w:szCs w:val="22"/>
        </w:rPr>
        <w:t>。</w:t>
      </w:r>
    </w:p>
    <w:p w:rsidR="00C17ACC" w:rsidRPr="00C17ACC" w:rsidRDefault="00C17ACC" w:rsidP="00C17ACC">
      <w:pPr>
        <w:snapToGrid w:val="0"/>
        <w:spacing w:line="300" w:lineRule="auto"/>
        <w:ind w:left="851" w:right="-142"/>
        <w:jc w:val="both"/>
        <w:rPr>
          <w:rFonts w:eastAsia="標楷體"/>
          <w:color w:val="FF0000"/>
          <w:spacing w:val="-4"/>
          <w:sz w:val="28"/>
          <w:szCs w:val="22"/>
        </w:rPr>
      </w:pPr>
    </w:p>
    <w:p w:rsidR="00C17ACC" w:rsidRPr="00B118E9" w:rsidRDefault="00C17ACC" w:rsidP="000F1D9D">
      <w:pPr>
        <w:numPr>
          <w:ilvl w:val="0"/>
          <w:numId w:val="5"/>
        </w:numPr>
        <w:snapToGrid w:val="0"/>
        <w:spacing w:line="300" w:lineRule="auto"/>
        <w:ind w:left="851" w:right="-142" w:hanging="567"/>
        <w:jc w:val="both"/>
        <w:rPr>
          <w:rFonts w:eastAsia="標楷體"/>
          <w:color w:val="FF0000"/>
          <w:spacing w:val="-4"/>
          <w:sz w:val="28"/>
          <w:szCs w:val="22"/>
        </w:rPr>
      </w:pPr>
      <w:r w:rsidRPr="003B6B9A">
        <w:rPr>
          <w:rFonts w:eastAsia="標楷體"/>
          <w:spacing w:val="-4"/>
          <w:sz w:val="28"/>
          <w:szCs w:val="22"/>
        </w:rPr>
        <w:t>10</w:t>
      </w:r>
      <w:r w:rsidRPr="003B6B9A">
        <w:rPr>
          <w:rFonts w:eastAsia="標楷體" w:hint="eastAsia"/>
          <w:spacing w:val="-4"/>
          <w:sz w:val="28"/>
          <w:szCs w:val="22"/>
        </w:rPr>
        <w:t>4</w:t>
      </w:r>
      <w:r w:rsidRPr="003B6B9A">
        <w:rPr>
          <w:rFonts w:eastAsia="標楷體"/>
          <w:spacing w:val="-4"/>
          <w:sz w:val="28"/>
          <w:szCs w:val="22"/>
        </w:rPr>
        <w:t>年</w:t>
      </w:r>
      <w:r w:rsidRPr="003B6B9A">
        <w:rPr>
          <w:rFonts w:eastAsia="標楷體" w:hint="eastAsia"/>
          <w:spacing w:val="-4"/>
          <w:sz w:val="28"/>
          <w:szCs w:val="22"/>
        </w:rPr>
        <w:t>4</w:t>
      </w:r>
      <w:r w:rsidRPr="003B6B9A">
        <w:rPr>
          <w:rFonts w:eastAsia="標楷體"/>
          <w:spacing w:val="-4"/>
          <w:sz w:val="28"/>
          <w:szCs w:val="22"/>
        </w:rPr>
        <w:t>月各類接單貨品中，</w:t>
      </w:r>
      <w:r w:rsidRPr="003B6B9A">
        <w:rPr>
          <w:rFonts w:eastAsia="標楷體" w:hint="eastAsia"/>
          <w:bCs/>
          <w:spacing w:val="-4"/>
          <w:sz w:val="28"/>
          <w:szCs w:val="22"/>
        </w:rPr>
        <w:t>以</w:t>
      </w:r>
      <w:r w:rsidRPr="003B6B9A">
        <w:rPr>
          <w:rFonts w:eastAsia="標楷體"/>
          <w:bCs/>
          <w:spacing w:val="-4"/>
          <w:sz w:val="28"/>
          <w:szCs w:val="22"/>
        </w:rPr>
        <w:t>鞋、帽、傘、人髮及羽毛製品、人造</w:t>
      </w:r>
      <w:r w:rsidRPr="003B6B9A">
        <w:rPr>
          <w:rFonts w:eastAsia="標楷體" w:hint="eastAsia"/>
          <w:bCs/>
          <w:spacing w:val="-4"/>
          <w:sz w:val="28"/>
          <w:szCs w:val="22"/>
        </w:rPr>
        <w:t>花增加</w:t>
      </w:r>
      <w:r w:rsidRPr="003B6B9A">
        <w:rPr>
          <w:rFonts w:eastAsia="標楷體" w:hint="eastAsia"/>
          <w:bCs/>
          <w:spacing w:val="-4"/>
          <w:sz w:val="28"/>
          <w:szCs w:val="22"/>
        </w:rPr>
        <w:t>9.7%</w:t>
      </w:r>
      <w:r w:rsidRPr="003B6B9A">
        <w:rPr>
          <w:rFonts w:eastAsia="標楷體" w:hint="eastAsia"/>
          <w:bCs/>
          <w:spacing w:val="-4"/>
          <w:sz w:val="28"/>
          <w:szCs w:val="22"/>
        </w:rPr>
        <w:t>最多</w:t>
      </w:r>
      <w:r w:rsidRPr="003B6B9A">
        <w:rPr>
          <w:rFonts w:eastAsia="標楷體" w:hint="eastAsia"/>
          <w:spacing w:val="-4"/>
          <w:sz w:val="28"/>
          <w:szCs w:val="22"/>
        </w:rPr>
        <w:t>；</w:t>
      </w:r>
      <w:r w:rsidRPr="003B6B9A">
        <w:rPr>
          <w:rFonts w:eastAsia="標楷體"/>
          <w:spacing w:val="-4"/>
          <w:sz w:val="28"/>
          <w:szCs w:val="22"/>
        </w:rPr>
        <w:t>木材、木製品及編結品減少</w:t>
      </w:r>
      <w:r w:rsidRPr="003B6B9A">
        <w:rPr>
          <w:rFonts w:eastAsia="標楷體" w:hint="eastAsia"/>
          <w:spacing w:val="-4"/>
          <w:sz w:val="28"/>
          <w:szCs w:val="22"/>
        </w:rPr>
        <w:t>40.1%</w:t>
      </w:r>
      <w:r w:rsidRPr="003B6B9A">
        <w:rPr>
          <w:rFonts w:eastAsia="標楷體"/>
          <w:spacing w:val="-4"/>
          <w:sz w:val="28"/>
          <w:szCs w:val="22"/>
        </w:rPr>
        <w:t>最多</w:t>
      </w:r>
      <w:r w:rsidRPr="003B6B9A">
        <w:rPr>
          <w:rFonts w:eastAsia="標楷體" w:hint="eastAsia"/>
          <w:spacing w:val="-4"/>
          <w:sz w:val="28"/>
          <w:szCs w:val="22"/>
        </w:rPr>
        <w:t>。</w:t>
      </w:r>
    </w:p>
    <w:p w:rsidR="003F3F99" w:rsidRPr="00B118E9" w:rsidRDefault="003F3F99" w:rsidP="003F3F99">
      <w:pPr>
        <w:spacing w:beforeLines="50" w:before="180" w:afterLines="50" w:after="180"/>
        <w:jc w:val="center"/>
        <w:rPr>
          <w:rFonts w:eastAsia="標楷體"/>
          <w:sz w:val="28"/>
        </w:rPr>
      </w:pPr>
      <w:r w:rsidRPr="00B118E9">
        <w:rPr>
          <w:rFonts w:eastAsia="標楷體"/>
          <w:b/>
          <w:bCs/>
          <w:sz w:val="28"/>
        </w:rPr>
        <w:t>表</w:t>
      </w:r>
      <w:r w:rsidRPr="00B118E9">
        <w:rPr>
          <w:rFonts w:eastAsia="標楷體"/>
          <w:b/>
          <w:bCs/>
          <w:sz w:val="28"/>
        </w:rPr>
        <w:t xml:space="preserve"> 2-5-2  </w:t>
      </w:r>
      <w:r w:rsidR="00C17ACC" w:rsidRPr="003B6B9A">
        <w:rPr>
          <w:rFonts w:eastAsia="標楷體" w:hint="eastAsia"/>
          <w:b/>
          <w:bCs/>
          <w:sz w:val="28"/>
        </w:rPr>
        <w:t>104</w:t>
      </w:r>
      <w:r w:rsidR="00C17ACC" w:rsidRPr="003B6B9A">
        <w:rPr>
          <w:rFonts w:eastAsia="標楷體" w:hint="eastAsia"/>
          <w:b/>
          <w:bCs/>
          <w:sz w:val="28"/>
        </w:rPr>
        <w:t>年</w:t>
      </w:r>
      <w:r w:rsidR="00C17ACC">
        <w:rPr>
          <w:rFonts w:eastAsia="標楷體" w:hint="eastAsia"/>
          <w:b/>
          <w:bCs/>
          <w:sz w:val="28"/>
        </w:rPr>
        <w:t>4</w:t>
      </w:r>
      <w:r w:rsidR="00C17ACC" w:rsidRPr="003B6B9A">
        <w:rPr>
          <w:rFonts w:eastAsia="標楷體" w:hint="eastAsia"/>
          <w:b/>
          <w:bCs/>
          <w:sz w:val="28"/>
        </w:rPr>
        <w:t>月外銷訂單主要貨品結構</w:t>
      </w:r>
    </w:p>
    <w:tbl>
      <w:tblPr>
        <w:tblW w:w="7951"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46"/>
        <w:gridCol w:w="1736"/>
        <w:gridCol w:w="1736"/>
        <w:gridCol w:w="2433"/>
      </w:tblGrid>
      <w:tr w:rsidR="00C17ACC" w:rsidRPr="003B6B9A" w:rsidTr="001040FB">
        <w:trPr>
          <w:jc w:val="center"/>
        </w:trPr>
        <w:tc>
          <w:tcPr>
            <w:tcW w:w="2046" w:type="dxa"/>
            <w:tcBorders>
              <w:top w:val="single" w:sz="4" w:space="0" w:color="auto"/>
              <w:left w:val="nil"/>
              <w:bottom w:val="single" w:sz="4" w:space="0" w:color="auto"/>
              <w:right w:val="single" w:sz="4" w:space="0" w:color="auto"/>
            </w:tcBorders>
            <w:vAlign w:val="center"/>
          </w:tcPr>
          <w:p w:rsidR="00C17ACC" w:rsidRPr="003B6B9A" w:rsidRDefault="00C17ACC" w:rsidP="001040FB">
            <w:pPr>
              <w:adjustRightInd w:val="0"/>
              <w:snapToGrid w:val="0"/>
              <w:spacing w:line="360" w:lineRule="atLeast"/>
              <w:ind w:left="28" w:right="-40"/>
              <w:jc w:val="center"/>
              <w:rPr>
                <w:rFonts w:eastAsia="標楷體"/>
              </w:rPr>
            </w:pPr>
            <w:r w:rsidRPr="003B6B9A">
              <w:rPr>
                <w:rFonts w:eastAsia="標楷體"/>
              </w:rPr>
              <w:t>貨品類別</w:t>
            </w:r>
          </w:p>
        </w:tc>
        <w:tc>
          <w:tcPr>
            <w:tcW w:w="1736"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60" w:lineRule="atLeast"/>
              <w:ind w:left="28" w:right="-40"/>
              <w:jc w:val="center"/>
              <w:rPr>
                <w:rFonts w:eastAsia="標楷體"/>
              </w:rPr>
            </w:pPr>
            <w:r w:rsidRPr="003B6B9A">
              <w:rPr>
                <w:rFonts w:eastAsia="標楷體"/>
              </w:rPr>
              <w:t>10</w:t>
            </w:r>
            <w:r w:rsidRPr="003B6B9A">
              <w:rPr>
                <w:rFonts w:eastAsia="標楷體" w:hint="eastAsia"/>
              </w:rPr>
              <w:t>4</w:t>
            </w:r>
            <w:r w:rsidRPr="003B6B9A">
              <w:rPr>
                <w:rFonts w:eastAsia="標楷體"/>
              </w:rPr>
              <w:t>年</w:t>
            </w:r>
            <w:r w:rsidRPr="003B6B9A">
              <w:rPr>
                <w:rFonts w:eastAsia="標楷體" w:hint="eastAsia"/>
              </w:rPr>
              <w:t>4</w:t>
            </w:r>
            <w:r w:rsidRPr="003B6B9A">
              <w:rPr>
                <w:rFonts w:eastAsia="標楷體"/>
              </w:rPr>
              <w:t>月金額</w:t>
            </w:r>
          </w:p>
          <w:p w:rsidR="00C17ACC" w:rsidRPr="003B6B9A" w:rsidRDefault="00C17ACC" w:rsidP="001040FB">
            <w:pPr>
              <w:snapToGrid w:val="0"/>
              <w:spacing w:line="360" w:lineRule="atLeast"/>
              <w:ind w:left="28" w:right="-40"/>
              <w:jc w:val="center"/>
              <w:rPr>
                <w:rFonts w:eastAsia="標楷體"/>
              </w:rPr>
            </w:pPr>
            <w:r w:rsidRPr="003B6B9A">
              <w:rPr>
                <w:rFonts w:eastAsia="標楷體"/>
              </w:rPr>
              <w:t>(</w:t>
            </w:r>
            <w:r w:rsidRPr="003B6B9A">
              <w:rPr>
                <w:rFonts w:eastAsia="標楷體"/>
              </w:rPr>
              <w:t>億美元</w:t>
            </w:r>
            <w:r w:rsidRPr="003B6B9A">
              <w:rPr>
                <w:rFonts w:eastAsia="標楷體"/>
              </w:rPr>
              <w:t>)</w:t>
            </w:r>
          </w:p>
        </w:tc>
        <w:tc>
          <w:tcPr>
            <w:tcW w:w="1736" w:type="dxa"/>
            <w:tcBorders>
              <w:top w:val="single" w:sz="4" w:space="0" w:color="auto"/>
              <w:left w:val="single" w:sz="4" w:space="0" w:color="auto"/>
              <w:bottom w:val="single" w:sz="4" w:space="0" w:color="auto"/>
              <w:right w:val="single" w:sz="4" w:space="0" w:color="auto"/>
            </w:tcBorders>
          </w:tcPr>
          <w:p w:rsidR="00C17ACC" w:rsidRPr="003B6B9A" w:rsidRDefault="00C17ACC" w:rsidP="001040FB">
            <w:pPr>
              <w:snapToGrid w:val="0"/>
              <w:spacing w:line="560" w:lineRule="exact"/>
              <w:ind w:left="28" w:right="-40"/>
              <w:jc w:val="center"/>
              <w:rPr>
                <w:rFonts w:eastAsia="標楷體"/>
              </w:rPr>
            </w:pPr>
            <w:r w:rsidRPr="003B6B9A">
              <w:rPr>
                <w:rFonts w:eastAsia="標楷體"/>
              </w:rPr>
              <w:t>比重</w:t>
            </w:r>
            <w:r w:rsidRPr="003B6B9A">
              <w:rPr>
                <w:rFonts w:eastAsia="標楷體"/>
              </w:rPr>
              <w:t>(</w:t>
            </w:r>
            <w:r w:rsidRPr="003B6B9A">
              <w:rPr>
                <w:rFonts w:eastAsia="標楷體" w:hint="eastAsia"/>
              </w:rPr>
              <w:t>%</w:t>
            </w:r>
            <w:r w:rsidRPr="003B6B9A">
              <w:rPr>
                <w:rFonts w:eastAsia="標楷體"/>
              </w:rPr>
              <w:t>)</w:t>
            </w:r>
          </w:p>
        </w:tc>
        <w:tc>
          <w:tcPr>
            <w:tcW w:w="2433" w:type="dxa"/>
            <w:tcBorders>
              <w:top w:val="single" w:sz="4" w:space="0" w:color="auto"/>
              <w:left w:val="single" w:sz="4" w:space="0" w:color="auto"/>
              <w:bottom w:val="single" w:sz="4" w:space="0" w:color="auto"/>
              <w:right w:val="nil"/>
            </w:tcBorders>
            <w:vAlign w:val="center"/>
          </w:tcPr>
          <w:p w:rsidR="00C17ACC" w:rsidRPr="003B6B9A" w:rsidRDefault="00C17ACC" w:rsidP="001040FB">
            <w:pPr>
              <w:snapToGrid w:val="0"/>
              <w:spacing w:line="360" w:lineRule="atLeast"/>
              <w:ind w:left="28" w:right="-40"/>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C17ACC" w:rsidRPr="003B6B9A" w:rsidRDefault="00C17ACC" w:rsidP="001040FB">
            <w:pPr>
              <w:snapToGrid w:val="0"/>
              <w:spacing w:line="360" w:lineRule="atLeast"/>
              <w:ind w:left="28" w:right="-40"/>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 xml:space="preserve">) </w:t>
            </w:r>
          </w:p>
        </w:tc>
      </w:tr>
      <w:tr w:rsidR="00C17ACC" w:rsidRPr="003B6B9A" w:rsidTr="001040FB">
        <w:trPr>
          <w:jc w:val="center"/>
        </w:trPr>
        <w:tc>
          <w:tcPr>
            <w:tcW w:w="2046" w:type="dxa"/>
            <w:tcBorders>
              <w:top w:val="nil"/>
              <w:left w:val="nil"/>
              <w:bottom w:val="nil"/>
              <w:right w:val="single" w:sz="4" w:space="0" w:color="auto"/>
            </w:tcBorders>
            <w:vAlign w:val="center"/>
          </w:tcPr>
          <w:p w:rsidR="00C17ACC" w:rsidRPr="003B6B9A" w:rsidRDefault="00C17ACC" w:rsidP="001040FB">
            <w:pPr>
              <w:snapToGrid w:val="0"/>
              <w:spacing w:line="400" w:lineRule="atLeast"/>
              <w:ind w:left="28" w:right="-40"/>
              <w:jc w:val="both"/>
              <w:rPr>
                <w:rFonts w:eastAsia="標楷體"/>
              </w:rPr>
            </w:pPr>
            <w:r w:rsidRPr="003B6B9A">
              <w:rPr>
                <w:rFonts w:eastAsia="標楷體"/>
              </w:rPr>
              <w:t>資訊通信</w:t>
            </w:r>
          </w:p>
        </w:tc>
        <w:tc>
          <w:tcPr>
            <w:tcW w:w="1736" w:type="dxa"/>
            <w:tcBorders>
              <w:top w:val="nil"/>
              <w:left w:val="single" w:sz="4" w:space="0" w:color="auto"/>
              <w:bottom w:val="nil"/>
              <w:right w:val="single" w:sz="4" w:space="0" w:color="auto"/>
            </w:tcBorders>
            <w:vAlign w:val="center"/>
          </w:tcPr>
          <w:p w:rsidR="00C17ACC" w:rsidRPr="003B6B9A" w:rsidRDefault="00C17ACC" w:rsidP="001040FB">
            <w:pPr>
              <w:snapToGrid w:val="0"/>
              <w:spacing w:line="400" w:lineRule="exact"/>
              <w:ind w:left="12" w:right="-40"/>
              <w:jc w:val="center"/>
              <w:rPr>
                <w:rFonts w:eastAsia="標楷體"/>
              </w:rPr>
            </w:pPr>
            <w:r w:rsidRPr="003B6B9A">
              <w:rPr>
                <w:rFonts w:eastAsia="標楷體" w:hint="eastAsia"/>
              </w:rPr>
              <w:t>100.5</w:t>
            </w:r>
          </w:p>
        </w:tc>
        <w:tc>
          <w:tcPr>
            <w:tcW w:w="1736" w:type="dxa"/>
            <w:tcBorders>
              <w:top w:val="nil"/>
              <w:left w:val="single" w:sz="4" w:space="0" w:color="auto"/>
              <w:bottom w:val="nil"/>
              <w:right w:val="single" w:sz="4" w:space="0" w:color="auto"/>
            </w:tcBorders>
            <w:vAlign w:val="center"/>
          </w:tcPr>
          <w:p w:rsidR="00C17ACC" w:rsidRPr="003B6B9A" w:rsidRDefault="00C17ACC" w:rsidP="001040FB">
            <w:pPr>
              <w:snapToGrid w:val="0"/>
              <w:spacing w:line="400" w:lineRule="exact"/>
              <w:ind w:left="12" w:right="521"/>
              <w:jc w:val="right"/>
              <w:rPr>
                <w:rFonts w:eastAsia="標楷體"/>
              </w:rPr>
            </w:pPr>
            <w:r w:rsidRPr="003B6B9A">
              <w:rPr>
                <w:rFonts w:eastAsia="標楷體" w:hint="eastAsia"/>
              </w:rPr>
              <w:t>26.9</w:t>
            </w:r>
          </w:p>
        </w:tc>
        <w:tc>
          <w:tcPr>
            <w:tcW w:w="2433" w:type="dxa"/>
            <w:tcBorders>
              <w:top w:val="nil"/>
              <w:left w:val="nil"/>
              <w:bottom w:val="nil"/>
              <w:right w:val="nil"/>
            </w:tcBorders>
            <w:vAlign w:val="center"/>
          </w:tcPr>
          <w:p w:rsidR="00C17ACC" w:rsidRPr="003B6B9A" w:rsidRDefault="00C17ACC" w:rsidP="001040FB">
            <w:pPr>
              <w:snapToGrid w:val="0"/>
              <w:spacing w:line="400" w:lineRule="exact"/>
              <w:ind w:left="11" w:right="969"/>
              <w:jc w:val="right"/>
              <w:rPr>
                <w:rFonts w:eastAsia="標楷體"/>
              </w:rPr>
            </w:pPr>
            <w:r w:rsidRPr="003B6B9A">
              <w:rPr>
                <w:rFonts w:eastAsia="標楷體" w:hint="eastAsia"/>
              </w:rPr>
              <w:t>6.1</w:t>
            </w:r>
          </w:p>
        </w:tc>
      </w:tr>
      <w:tr w:rsidR="00C17ACC" w:rsidRPr="003B6B9A" w:rsidTr="001040FB">
        <w:trPr>
          <w:jc w:val="center"/>
        </w:trPr>
        <w:tc>
          <w:tcPr>
            <w:tcW w:w="2046" w:type="dxa"/>
            <w:tcBorders>
              <w:top w:val="nil"/>
              <w:left w:val="nil"/>
              <w:bottom w:val="nil"/>
              <w:right w:val="single" w:sz="4" w:space="0" w:color="auto"/>
            </w:tcBorders>
            <w:vAlign w:val="center"/>
          </w:tcPr>
          <w:p w:rsidR="00C17ACC" w:rsidRPr="003B6B9A" w:rsidRDefault="00C17ACC" w:rsidP="001040FB">
            <w:pPr>
              <w:snapToGrid w:val="0"/>
              <w:spacing w:line="400" w:lineRule="atLeast"/>
              <w:ind w:left="28" w:right="-40"/>
              <w:jc w:val="both"/>
              <w:rPr>
                <w:rFonts w:eastAsia="標楷體"/>
              </w:rPr>
            </w:pPr>
            <w:r w:rsidRPr="003B6B9A">
              <w:rPr>
                <w:rFonts w:eastAsia="標楷體"/>
              </w:rPr>
              <w:t>電子產品</w:t>
            </w:r>
          </w:p>
        </w:tc>
        <w:tc>
          <w:tcPr>
            <w:tcW w:w="1736" w:type="dxa"/>
            <w:tcBorders>
              <w:top w:val="nil"/>
              <w:left w:val="single" w:sz="4" w:space="0" w:color="auto"/>
              <w:bottom w:val="nil"/>
              <w:right w:val="single" w:sz="4" w:space="0" w:color="auto"/>
            </w:tcBorders>
            <w:vAlign w:val="center"/>
          </w:tcPr>
          <w:p w:rsidR="00C17ACC" w:rsidRPr="003B6B9A" w:rsidRDefault="00C17ACC" w:rsidP="001040FB">
            <w:pPr>
              <w:snapToGrid w:val="0"/>
              <w:spacing w:line="400" w:lineRule="exact"/>
              <w:ind w:left="12" w:right="-40"/>
              <w:jc w:val="center"/>
              <w:rPr>
                <w:rFonts w:eastAsia="標楷體"/>
              </w:rPr>
            </w:pPr>
            <w:r w:rsidRPr="003B6B9A">
              <w:rPr>
                <w:rFonts w:eastAsia="標楷體" w:hint="eastAsia"/>
              </w:rPr>
              <w:t>96.7</w:t>
            </w:r>
          </w:p>
        </w:tc>
        <w:tc>
          <w:tcPr>
            <w:tcW w:w="1736" w:type="dxa"/>
            <w:tcBorders>
              <w:top w:val="nil"/>
              <w:left w:val="single" w:sz="4" w:space="0" w:color="auto"/>
              <w:bottom w:val="nil"/>
              <w:right w:val="single" w:sz="4" w:space="0" w:color="auto"/>
            </w:tcBorders>
            <w:vAlign w:val="center"/>
          </w:tcPr>
          <w:p w:rsidR="00C17ACC" w:rsidRPr="003B6B9A" w:rsidRDefault="00C17ACC" w:rsidP="001040FB">
            <w:pPr>
              <w:snapToGrid w:val="0"/>
              <w:spacing w:line="400" w:lineRule="exact"/>
              <w:ind w:left="12" w:right="521"/>
              <w:jc w:val="right"/>
              <w:rPr>
                <w:rFonts w:eastAsia="標楷體"/>
              </w:rPr>
            </w:pPr>
            <w:r w:rsidRPr="003B6B9A">
              <w:rPr>
                <w:rFonts w:eastAsia="標楷體"/>
              </w:rPr>
              <w:t>25</w:t>
            </w:r>
            <w:r w:rsidRPr="003B6B9A">
              <w:rPr>
                <w:rFonts w:eastAsia="標楷體" w:hint="eastAsia"/>
              </w:rPr>
              <w:t>.9</w:t>
            </w:r>
          </w:p>
        </w:tc>
        <w:tc>
          <w:tcPr>
            <w:tcW w:w="2433" w:type="dxa"/>
            <w:tcBorders>
              <w:top w:val="nil"/>
              <w:left w:val="nil"/>
              <w:bottom w:val="nil"/>
              <w:right w:val="nil"/>
            </w:tcBorders>
            <w:vAlign w:val="center"/>
          </w:tcPr>
          <w:p w:rsidR="00C17ACC" w:rsidRPr="003B6B9A" w:rsidRDefault="00C17ACC" w:rsidP="001040FB">
            <w:pPr>
              <w:snapToGrid w:val="0"/>
              <w:spacing w:line="400" w:lineRule="exact"/>
              <w:ind w:left="11" w:right="969"/>
              <w:jc w:val="right"/>
              <w:rPr>
                <w:rFonts w:eastAsia="標楷體"/>
              </w:rPr>
            </w:pPr>
            <w:r w:rsidRPr="003B6B9A">
              <w:rPr>
                <w:rFonts w:eastAsia="標楷體" w:hint="eastAsia"/>
              </w:rPr>
              <w:t>-0.9</w:t>
            </w:r>
          </w:p>
        </w:tc>
      </w:tr>
      <w:tr w:rsidR="00C17ACC" w:rsidRPr="003B6B9A" w:rsidTr="001040FB">
        <w:trPr>
          <w:jc w:val="center"/>
        </w:trPr>
        <w:tc>
          <w:tcPr>
            <w:tcW w:w="2046" w:type="dxa"/>
            <w:tcBorders>
              <w:top w:val="nil"/>
              <w:left w:val="nil"/>
              <w:bottom w:val="nil"/>
              <w:right w:val="single" w:sz="4" w:space="0" w:color="auto"/>
            </w:tcBorders>
            <w:vAlign w:val="center"/>
          </w:tcPr>
          <w:p w:rsidR="00C17ACC" w:rsidRPr="003B6B9A" w:rsidRDefault="00C17ACC" w:rsidP="001040FB">
            <w:pPr>
              <w:snapToGrid w:val="0"/>
              <w:spacing w:line="400" w:lineRule="atLeast"/>
              <w:ind w:left="28" w:right="-40"/>
              <w:jc w:val="both"/>
              <w:rPr>
                <w:rFonts w:eastAsia="標楷體"/>
              </w:rPr>
            </w:pPr>
            <w:r w:rsidRPr="003B6B9A">
              <w:rPr>
                <w:rFonts w:eastAsia="標楷體"/>
              </w:rPr>
              <w:t>精密儀器</w:t>
            </w:r>
          </w:p>
        </w:tc>
        <w:tc>
          <w:tcPr>
            <w:tcW w:w="1736" w:type="dxa"/>
            <w:tcBorders>
              <w:top w:val="nil"/>
              <w:left w:val="single" w:sz="4" w:space="0" w:color="auto"/>
              <w:bottom w:val="nil"/>
              <w:right w:val="single" w:sz="4" w:space="0" w:color="auto"/>
            </w:tcBorders>
            <w:vAlign w:val="center"/>
          </w:tcPr>
          <w:p w:rsidR="00C17ACC" w:rsidRPr="003B6B9A" w:rsidRDefault="00C17ACC" w:rsidP="001040FB">
            <w:pPr>
              <w:snapToGrid w:val="0"/>
              <w:spacing w:line="400" w:lineRule="exact"/>
              <w:ind w:left="12" w:right="-40"/>
              <w:jc w:val="center"/>
              <w:rPr>
                <w:rFonts w:eastAsia="標楷體"/>
              </w:rPr>
            </w:pPr>
            <w:r w:rsidRPr="003B6B9A">
              <w:rPr>
                <w:rFonts w:eastAsia="標楷體" w:hint="eastAsia"/>
              </w:rPr>
              <w:t>23.7</w:t>
            </w:r>
          </w:p>
        </w:tc>
        <w:tc>
          <w:tcPr>
            <w:tcW w:w="1736" w:type="dxa"/>
            <w:tcBorders>
              <w:top w:val="nil"/>
              <w:left w:val="single" w:sz="4" w:space="0" w:color="auto"/>
              <w:bottom w:val="nil"/>
              <w:right w:val="single" w:sz="4" w:space="0" w:color="auto"/>
            </w:tcBorders>
            <w:vAlign w:val="center"/>
          </w:tcPr>
          <w:p w:rsidR="00C17ACC" w:rsidRPr="003B6B9A" w:rsidRDefault="00C17ACC" w:rsidP="001040FB">
            <w:pPr>
              <w:snapToGrid w:val="0"/>
              <w:spacing w:line="400" w:lineRule="exact"/>
              <w:ind w:left="12" w:right="521"/>
              <w:jc w:val="right"/>
              <w:rPr>
                <w:rFonts w:eastAsia="標楷體"/>
              </w:rPr>
            </w:pPr>
            <w:r w:rsidRPr="003B6B9A">
              <w:rPr>
                <w:rFonts w:eastAsia="標楷體"/>
              </w:rPr>
              <w:t>6.</w:t>
            </w:r>
            <w:r w:rsidRPr="003B6B9A">
              <w:rPr>
                <w:rFonts w:eastAsia="標楷體" w:hint="eastAsia"/>
              </w:rPr>
              <w:t>4</w:t>
            </w:r>
          </w:p>
        </w:tc>
        <w:tc>
          <w:tcPr>
            <w:tcW w:w="2433" w:type="dxa"/>
            <w:tcBorders>
              <w:top w:val="nil"/>
              <w:left w:val="nil"/>
              <w:bottom w:val="nil"/>
              <w:right w:val="nil"/>
            </w:tcBorders>
            <w:vAlign w:val="center"/>
          </w:tcPr>
          <w:p w:rsidR="00C17ACC" w:rsidRPr="003B6B9A" w:rsidRDefault="00C17ACC" w:rsidP="001040FB">
            <w:pPr>
              <w:snapToGrid w:val="0"/>
              <w:spacing w:line="400" w:lineRule="exact"/>
              <w:ind w:left="11" w:right="969"/>
              <w:jc w:val="right"/>
              <w:rPr>
                <w:rFonts w:eastAsia="標楷體"/>
              </w:rPr>
            </w:pPr>
            <w:r w:rsidRPr="003B6B9A">
              <w:rPr>
                <w:rFonts w:eastAsia="標楷體" w:hint="eastAsia"/>
              </w:rPr>
              <w:t>-13.6</w:t>
            </w:r>
          </w:p>
        </w:tc>
      </w:tr>
      <w:tr w:rsidR="00C17ACC" w:rsidRPr="003B6B9A" w:rsidTr="001040FB">
        <w:trPr>
          <w:jc w:val="center"/>
        </w:trPr>
        <w:tc>
          <w:tcPr>
            <w:tcW w:w="2046" w:type="dxa"/>
            <w:tcBorders>
              <w:top w:val="nil"/>
              <w:left w:val="nil"/>
              <w:bottom w:val="nil"/>
              <w:right w:val="single" w:sz="4" w:space="0" w:color="auto"/>
            </w:tcBorders>
            <w:vAlign w:val="center"/>
          </w:tcPr>
          <w:p w:rsidR="00C17ACC" w:rsidRPr="003B6B9A" w:rsidRDefault="00C17ACC" w:rsidP="001040FB">
            <w:pPr>
              <w:snapToGrid w:val="0"/>
              <w:spacing w:line="400" w:lineRule="atLeast"/>
              <w:ind w:left="28" w:right="-40"/>
              <w:jc w:val="both"/>
              <w:rPr>
                <w:rFonts w:eastAsia="標楷體"/>
              </w:rPr>
            </w:pPr>
            <w:r w:rsidRPr="003B6B9A">
              <w:rPr>
                <w:rFonts w:eastAsia="標楷體"/>
              </w:rPr>
              <w:t>基本金屬</w:t>
            </w:r>
          </w:p>
        </w:tc>
        <w:tc>
          <w:tcPr>
            <w:tcW w:w="1736" w:type="dxa"/>
            <w:tcBorders>
              <w:top w:val="nil"/>
              <w:left w:val="single" w:sz="4" w:space="0" w:color="auto"/>
              <w:bottom w:val="nil"/>
              <w:right w:val="single" w:sz="4" w:space="0" w:color="auto"/>
            </w:tcBorders>
            <w:vAlign w:val="center"/>
          </w:tcPr>
          <w:p w:rsidR="00C17ACC" w:rsidRPr="003B6B9A" w:rsidRDefault="00C17ACC" w:rsidP="001040FB">
            <w:pPr>
              <w:snapToGrid w:val="0"/>
              <w:spacing w:line="400" w:lineRule="exact"/>
              <w:ind w:left="12" w:right="-40"/>
              <w:jc w:val="center"/>
              <w:rPr>
                <w:rFonts w:eastAsia="標楷體"/>
              </w:rPr>
            </w:pPr>
            <w:r w:rsidRPr="003B6B9A">
              <w:rPr>
                <w:rFonts w:eastAsia="標楷體" w:hint="eastAsia"/>
              </w:rPr>
              <w:t>21.2</w:t>
            </w:r>
          </w:p>
        </w:tc>
        <w:tc>
          <w:tcPr>
            <w:tcW w:w="1736" w:type="dxa"/>
            <w:tcBorders>
              <w:top w:val="nil"/>
              <w:left w:val="single" w:sz="4" w:space="0" w:color="auto"/>
              <w:bottom w:val="nil"/>
              <w:right w:val="single" w:sz="4" w:space="0" w:color="auto"/>
            </w:tcBorders>
            <w:vAlign w:val="center"/>
          </w:tcPr>
          <w:p w:rsidR="00C17ACC" w:rsidRPr="003B6B9A" w:rsidRDefault="00C17ACC" w:rsidP="001040FB">
            <w:pPr>
              <w:snapToGrid w:val="0"/>
              <w:spacing w:line="400" w:lineRule="exact"/>
              <w:ind w:left="12" w:right="521"/>
              <w:jc w:val="right"/>
              <w:rPr>
                <w:rFonts w:eastAsia="標楷體"/>
              </w:rPr>
            </w:pPr>
            <w:r w:rsidRPr="003B6B9A">
              <w:rPr>
                <w:rFonts w:eastAsia="標楷體" w:hint="eastAsia"/>
              </w:rPr>
              <w:t>5.7</w:t>
            </w:r>
          </w:p>
        </w:tc>
        <w:tc>
          <w:tcPr>
            <w:tcW w:w="2433" w:type="dxa"/>
            <w:tcBorders>
              <w:top w:val="nil"/>
              <w:left w:val="nil"/>
              <w:bottom w:val="nil"/>
              <w:right w:val="nil"/>
            </w:tcBorders>
            <w:vAlign w:val="center"/>
          </w:tcPr>
          <w:p w:rsidR="00C17ACC" w:rsidRPr="003B6B9A" w:rsidRDefault="00C17ACC" w:rsidP="001040FB">
            <w:pPr>
              <w:snapToGrid w:val="0"/>
              <w:spacing w:line="400" w:lineRule="exact"/>
              <w:ind w:left="12" w:right="969"/>
              <w:jc w:val="right"/>
              <w:rPr>
                <w:rFonts w:eastAsia="標楷體"/>
              </w:rPr>
            </w:pPr>
            <w:r w:rsidRPr="003B6B9A">
              <w:rPr>
                <w:rFonts w:eastAsia="標楷體" w:hint="eastAsia"/>
              </w:rPr>
              <w:t>-15.7</w:t>
            </w:r>
          </w:p>
        </w:tc>
      </w:tr>
      <w:tr w:rsidR="00C17ACC" w:rsidRPr="003B6B9A" w:rsidTr="001040FB">
        <w:trPr>
          <w:jc w:val="center"/>
        </w:trPr>
        <w:tc>
          <w:tcPr>
            <w:tcW w:w="2046" w:type="dxa"/>
            <w:tcBorders>
              <w:top w:val="nil"/>
              <w:left w:val="nil"/>
              <w:bottom w:val="nil"/>
              <w:right w:val="single" w:sz="4" w:space="0" w:color="auto"/>
            </w:tcBorders>
            <w:vAlign w:val="center"/>
          </w:tcPr>
          <w:p w:rsidR="00C17ACC" w:rsidRPr="003B6B9A" w:rsidRDefault="00C17ACC" w:rsidP="001040FB">
            <w:pPr>
              <w:snapToGrid w:val="0"/>
              <w:spacing w:line="400" w:lineRule="atLeast"/>
              <w:ind w:left="28" w:right="-40"/>
              <w:jc w:val="both"/>
              <w:rPr>
                <w:rFonts w:eastAsia="標楷體"/>
              </w:rPr>
            </w:pPr>
            <w:r w:rsidRPr="003B6B9A">
              <w:rPr>
                <w:rFonts w:eastAsia="標楷體"/>
              </w:rPr>
              <w:t>塑橡膠製品</w:t>
            </w:r>
          </w:p>
        </w:tc>
        <w:tc>
          <w:tcPr>
            <w:tcW w:w="1736" w:type="dxa"/>
            <w:tcBorders>
              <w:top w:val="nil"/>
              <w:left w:val="single" w:sz="4" w:space="0" w:color="auto"/>
              <w:bottom w:val="nil"/>
              <w:right w:val="single" w:sz="4" w:space="0" w:color="auto"/>
            </w:tcBorders>
            <w:vAlign w:val="center"/>
          </w:tcPr>
          <w:p w:rsidR="00C17ACC" w:rsidRPr="003B6B9A" w:rsidRDefault="00C17ACC" w:rsidP="001040FB">
            <w:pPr>
              <w:snapToGrid w:val="0"/>
              <w:spacing w:line="400" w:lineRule="exact"/>
              <w:ind w:left="12" w:right="-40"/>
              <w:jc w:val="center"/>
              <w:rPr>
                <w:rFonts w:eastAsia="標楷體"/>
              </w:rPr>
            </w:pPr>
            <w:r w:rsidRPr="003B6B9A">
              <w:rPr>
                <w:rFonts w:eastAsia="標楷體" w:hint="eastAsia"/>
              </w:rPr>
              <w:t>19.3</w:t>
            </w:r>
          </w:p>
        </w:tc>
        <w:tc>
          <w:tcPr>
            <w:tcW w:w="1736" w:type="dxa"/>
            <w:tcBorders>
              <w:top w:val="nil"/>
              <w:left w:val="single" w:sz="4" w:space="0" w:color="auto"/>
              <w:bottom w:val="nil"/>
              <w:right w:val="single" w:sz="4" w:space="0" w:color="auto"/>
            </w:tcBorders>
            <w:vAlign w:val="center"/>
          </w:tcPr>
          <w:p w:rsidR="00C17ACC" w:rsidRPr="003B6B9A" w:rsidRDefault="00C17ACC" w:rsidP="001040FB">
            <w:pPr>
              <w:snapToGrid w:val="0"/>
              <w:spacing w:line="400" w:lineRule="exact"/>
              <w:ind w:left="12" w:right="521"/>
              <w:jc w:val="right"/>
              <w:rPr>
                <w:rFonts w:eastAsia="標楷體"/>
              </w:rPr>
            </w:pPr>
            <w:r w:rsidRPr="003B6B9A">
              <w:rPr>
                <w:rFonts w:eastAsia="標楷體"/>
              </w:rPr>
              <w:t>5.</w:t>
            </w:r>
            <w:r w:rsidRPr="003B6B9A">
              <w:rPr>
                <w:rFonts w:eastAsia="標楷體" w:hint="eastAsia"/>
              </w:rPr>
              <w:t>2</w:t>
            </w:r>
          </w:p>
        </w:tc>
        <w:tc>
          <w:tcPr>
            <w:tcW w:w="2433" w:type="dxa"/>
            <w:tcBorders>
              <w:top w:val="nil"/>
              <w:left w:val="nil"/>
              <w:bottom w:val="nil"/>
              <w:right w:val="nil"/>
            </w:tcBorders>
            <w:vAlign w:val="center"/>
          </w:tcPr>
          <w:p w:rsidR="00C17ACC" w:rsidRPr="003B6B9A" w:rsidRDefault="00C17ACC" w:rsidP="001040FB">
            <w:pPr>
              <w:snapToGrid w:val="0"/>
              <w:spacing w:line="400" w:lineRule="exact"/>
              <w:ind w:left="12" w:right="969"/>
              <w:jc w:val="right"/>
              <w:rPr>
                <w:rFonts w:eastAsia="標楷體"/>
              </w:rPr>
            </w:pPr>
            <w:r w:rsidRPr="003B6B9A">
              <w:rPr>
                <w:rFonts w:eastAsia="標楷體" w:hint="eastAsia"/>
              </w:rPr>
              <w:t>-9.2</w:t>
            </w:r>
          </w:p>
        </w:tc>
      </w:tr>
      <w:tr w:rsidR="00C17ACC" w:rsidRPr="003B6B9A" w:rsidTr="001040FB">
        <w:trPr>
          <w:jc w:val="center"/>
        </w:trPr>
        <w:tc>
          <w:tcPr>
            <w:tcW w:w="2046" w:type="dxa"/>
            <w:tcBorders>
              <w:top w:val="nil"/>
              <w:left w:val="nil"/>
              <w:bottom w:val="nil"/>
              <w:right w:val="single" w:sz="4" w:space="0" w:color="auto"/>
            </w:tcBorders>
            <w:vAlign w:val="center"/>
          </w:tcPr>
          <w:p w:rsidR="00C17ACC" w:rsidRPr="003B6B9A" w:rsidRDefault="00C17ACC" w:rsidP="001040FB">
            <w:pPr>
              <w:snapToGrid w:val="0"/>
              <w:spacing w:line="400" w:lineRule="atLeast"/>
              <w:ind w:left="28" w:right="-40"/>
              <w:jc w:val="both"/>
              <w:rPr>
                <w:rFonts w:eastAsia="標楷體"/>
              </w:rPr>
            </w:pPr>
            <w:r w:rsidRPr="003B6B9A">
              <w:rPr>
                <w:rFonts w:eastAsia="標楷體"/>
              </w:rPr>
              <w:t>機械</w:t>
            </w:r>
          </w:p>
        </w:tc>
        <w:tc>
          <w:tcPr>
            <w:tcW w:w="1736" w:type="dxa"/>
            <w:tcBorders>
              <w:top w:val="nil"/>
              <w:left w:val="single" w:sz="4" w:space="0" w:color="auto"/>
              <w:bottom w:val="nil"/>
              <w:right w:val="single" w:sz="4" w:space="0" w:color="auto"/>
            </w:tcBorders>
            <w:vAlign w:val="center"/>
          </w:tcPr>
          <w:p w:rsidR="00C17ACC" w:rsidRPr="003B6B9A" w:rsidRDefault="00C17ACC" w:rsidP="001040FB">
            <w:pPr>
              <w:snapToGrid w:val="0"/>
              <w:spacing w:line="400" w:lineRule="exact"/>
              <w:ind w:left="12" w:right="-40"/>
              <w:jc w:val="center"/>
              <w:rPr>
                <w:rFonts w:eastAsia="標楷體"/>
              </w:rPr>
            </w:pPr>
            <w:r w:rsidRPr="003B6B9A">
              <w:rPr>
                <w:rFonts w:eastAsia="標楷體" w:hint="eastAsia"/>
              </w:rPr>
              <w:t>18.5</w:t>
            </w:r>
          </w:p>
        </w:tc>
        <w:tc>
          <w:tcPr>
            <w:tcW w:w="1736" w:type="dxa"/>
            <w:tcBorders>
              <w:top w:val="nil"/>
              <w:left w:val="single" w:sz="4" w:space="0" w:color="auto"/>
              <w:bottom w:val="nil"/>
              <w:right w:val="single" w:sz="4" w:space="0" w:color="auto"/>
            </w:tcBorders>
            <w:vAlign w:val="center"/>
          </w:tcPr>
          <w:p w:rsidR="00C17ACC" w:rsidRPr="003B6B9A" w:rsidRDefault="00C17ACC" w:rsidP="001040FB">
            <w:pPr>
              <w:snapToGrid w:val="0"/>
              <w:spacing w:line="400" w:lineRule="exact"/>
              <w:ind w:left="12" w:right="521"/>
              <w:jc w:val="right"/>
              <w:rPr>
                <w:rFonts w:eastAsia="標楷體"/>
              </w:rPr>
            </w:pPr>
            <w:r w:rsidRPr="003B6B9A">
              <w:rPr>
                <w:rFonts w:eastAsia="標楷體"/>
              </w:rPr>
              <w:t>5.</w:t>
            </w:r>
            <w:r w:rsidRPr="003B6B9A">
              <w:rPr>
                <w:rFonts w:eastAsia="標楷體" w:hint="eastAsia"/>
              </w:rPr>
              <w:t>0</w:t>
            </w:r>
          </w:p>
        </w:tc>
        <w:tc>
          <w:tcPr>
            <w:tcW w:w="2433" w:type="dxa"/>
            <w:tcBorders>
              <w:top w:val="nil"/>
              <w:left w:val="nil"/>
              <w:bottom w:val="nil"/>
              <w:right w:val="nil"/>
            </w:tcBorders>
            <w:vAlign w:val="center"/>
          </w:tcPr>
          <w:p w:rsidR="00C17ACC" w:rsidRPr="003B6B9A" w:rsidRDefault="00C17ACC" w:rsidP="001040FB">
            <w:pPr>
              <w:snapToGrid w:val="0"/>
              <w:spacing w:line="400" w:lineRule="exact"/>
              <w:ind w:left="11" w:right="969"/>
              <w:jc w:val="right"/>
              <w:rPr>
                <w:rFonts w:eastAsia="標楷體"/>
              </w:rPr>
            </w:pPr>
            <w:r w:rsidRPr="003B6B9A">
              <w:rPr>
                <w:rFonts w:eastAsia="標楷體" w:hint="eastAsia"/>
              </w:rPr>
              <w:t>-5.3</w:t>
            </w:r>
          </w:p>
        </w:tc>
      </w:tr>
      <w:tr w:rsidR="00C17ACC" w:rsidRPr="003B6B9A" w:rsidTr="001040FB">
        <w:trPr>
          <w:trHeight w:val="417"/>
          <w:jc w:val="center"/>
        </w:trPr>
        <w:tc>
          <w:tcPr>
            <w:tcW w:w="2046" w:type="dxa"/>
            <w:tcBorders>
              <w:top w:val="nil"/>
              <w:left w:val="nil"/>
              <w:bottom w:val="nil"/>
              <w:right w:val="single" w:sz="4" w:space="0" w:color="auto"/>
            </w:tcBorders>
            <w:vAlign w:val="center"/>
          </w:tcPr>
          <w:p w:rsidR="00C17ACC" w:rsidRPr="003B6B9A" w:rsidRDefault="00C17ACC" w:rsidP="001040FB">
            <w:pPr>
              <w:snapToGrid w:val="0"/>
              <w:spacing w:line="400" w:lineRule="atLeast"/>
              <w:ind w:left="28" w:right="-40"/>
              <w:jc w:val="both"/>
              <w:rPr>
                <w:rFonts w:eastAsia="標楷體"/>
              </w:rPr>
            </w:pPr>
            <w:r w:rsidRPr="003B6B9A">
              <w:rPr>
                <w:rFonts w:eastAsia="標楷體" w:hint="eastAsia"/>
              </w:rPr>
              <w:t>化學品</w:t>
            </w:r>
          </w:p>
        </w:tc>
        <w:tc>
          <w:tcPr>
            <w:tcW w:w="1736" w:type="dxa"/>
            <w:tcBorders>
              <w:top w:val="nil"/>
              <w:left w:val="single" w:sz="4" w:space="0" w:color="auto"/>
              <w:bottom w:val="nil"/>
              <w:right w:val="single" w:sz="4" w:space="0" w:color="auto"/>
            </w:tcBorders>
            <w:vAlign w:val="center"/>
          </w:tcPr>
          <w:p w:rsidR="00C17ACC" w:rsidRPr="003B6B9A" w:rsidRDefault="00C17ACC" w:rsidP="001040FB">
            <w:pPr>
              <w:snapToGrid w:val="0"/>
              <w:spacing w:line="400" w:lineRule="exact"/>
              <w:ind w:left="12" w:right="-40"/>
              <w:jc w:val="center"/>
              <w:rPr>
                <w:rFonts w:eastAsia="標楷體"/>
              </w:rPr>
            </w:pPr>
            <w:r w:rsidRPr="003B6B9A">
              <w:rPr>
                <w:rFonts w:eastAsia="標楷體" w:hint="eastAsia"/>
              </w:rPr>
              <w:t>17.3</w:t>
            </w:r>
          </w:p>
        </w:tc>
        <w:tc>
          <w:tcPr>
            <w:tcW w:w="1736" w:type="dxa"/>
            <w:tcBorders>
              <w:top w:val="nil"/>
              <w:left w:val="single" w:sz="4" w:space="0" w:color="auto"/>
              <w:bottom w:val="nil"/>
              <w:right w:val="single" w:sz="4" w:space="0" w:color="auto"/>
            </w:tcBorders>
            <w:vAlign w:val="center"/>
          </w:tcPr>
          <w:p w:rsidR="00C17ACC" w:rsidRPr="003B6B9A" w:rsidRDefault="00C17ACC" w:rsidP="001040FB">
            <w:pPr>
              <w:snapToGrid w:val="0"/>
              <w:spacing w:line="400" w:lineRule="exact"/>
              <w:ind w:left="12" w:right="521"/>
              <w:jc w:val="right"/>
              <w:rPr>
                <w:rFonts w:eastAsia="標楷體"/>
              </w:rPr>
            </w:pPr>
            <w:r w:rsidRPr="003B6B9A">
              <w:rPr>
                <w:rFonts w:eastAsia="標楷體"/>
              </w:rPr>
              <w:t>4.</w:t>
            </w:r>
            <w:r w:rsidRPr="003B6B9A">
              <w:rPr>
                <w:rFonts w:eastAsia="標楷體" w:hint="eastAsia"/>
              </w:rPr>
              <w:t>6</w:t>
            </w:r>
          </w:p>
        </w:tc>
        <w:tc>
          <w:tcPr>
            <w:tcW w:w="2433" w:type="dxa"/>
            <w:tcBorders>
              <w:top w:val="nil"/>
              <w:left w:val="nil"/>
              <w:bottom w:val="nil"/>
              <w:right w:val="nil"/>
            </w:tcBorders>
            <w:vAlign w:val="center"/>
          </w:tcPr>
          <w:p w:rsidR="00C17ACC" w:rsidRPr="003B6B9A" w:rsidRDefault="00C17ACC" w:rsidP="001040FB">
            <w:pPr>
              <w:snapToGrid w:val="0"/>
              <w:spacing w:line="400" w:lineRule="exact"/>
              <w:ind w:left="12" w:right="969"/>
              <w:jc w:val="right"/>
              <w:rPr>
                <w:rFonts w:eastAsia="標楷體"/>
              </w:rPr>
            </w:pPr>
            <w:r w:rsidRPr="003B6B9A">
              <w:rPr>
                <w:rFonts w:eastAsia="標楷體" w:hint="eastAsia"/>
              </w:rPr>
              <w:t>-19.2</w:t>
            </w:r>
          </w:p>
        </w:tc>
      </w:tr>
      <w:tr w:rsidR="00C17ACC" w:rsidRPr="003B6B9A" w:rsidTr="001040FB">
        <w:trPr>
          <w:jc w:val="center"/>
        </w:trPr>
        <w:tc>
          <w:tcPr>
            <w:tcW w:w="2046" w:type="dxa"/>
            <w:tcBorders>
              <w:top w:val="nil"/>
              <w:left w:val="nil"/>
              <w:bottom w:val="single" w:sz="4" w:space="0" w:color="auto"/>
              <w:right w:val="single" w:sz="4" w:space="0" w:color="auto"/>
            </w:tcBorders>
            <w:vAlign w:val="center"/>
          </w:tcPr>
          <w:p w:rsidR="00C17ACC" w:rsidRPr="003B6B9A" w:rsidRDefault="00C17ACC" w:rsidP="001040FB">
            <w:pPr>
              <w:snapToGrid w:val="0"/>
              <w:spacing w:line="400" w:lineRule="atLeast"/>
              <w:ind w:left="28" w:right="-40"/>
              <w:jc w:val="both"/>
              <w:rPr>
                <w:rFonts w:eastAsia="標楷體"/>
              </w:rPr>
            </w:pPr>
            <w:r w:rsidRPr="003B6B9A">
              <w:rPr>
                <w:rFonts w:eastAsia="標楷體"/>
              </w:rPr>
              <w:t>電機產品</w:t>
            </w:r>
          </w:p>
        </w:tc>
        <w:tc>
          <w:tcPr>
            <w:tcW w:w="1736" w:type="dxa"/>
            <w:tcBorders>
              <w:top w:val="nil"/>
              <w:left w:val="single" w:sz="4" w:space="0" w:color="auto"/>
              <w:bottom w:val="single" w:sz="4" w:space="0" w:color="auto"/>
              <w:right w:val="single" w:sz="4" w:space="0" w:color="auto"/>
            </w:tcBorders>
            <w:vAlign w:val="center"/>
          </w:tcPr>
          <w:p w:rsidR="00C17ACC" w:rsidRPr="003B6B9A" w:rsidRDefault="00C17ACC" w:rsidP="001040FB">
            <w:pPr>
              <w:snapToGrid w:val="0"/>
              <w:spacing w:line="400" w:lineRule="exact"/>
              <w:ind w:left="12" w:right="-40"/>
              <w:jc w:val="center"/>
              <w:rPr>
                <w:rFonts w:eastAsia="標楷體"/>
              </w:rPr>
            </w:pPr>
            <w:r w:rsidRPr="003B6B9A">
              <w:rPr>
                <w:rFonts w:eastAsia="標楷體" w:hint="eastAsia"/>
              </w:rPr>
              <w:t>12.5</w:t>
            </w:r>
          </w:p>
        </w:tc>
        <w:tc>
          <w:tcPr>
            <w:tcW w:w="1736" w:type="dxa"/>
            <w:tcBorders>
              <w:top w:val="nil"/>
              <w:left w:val="single" w:sz="4" w:space="0" w:color="auto"/>
              <w:bottom w:val="single" w:sz="4" w:space="0" w:color="auto"/>
              <w:right w:val="single" w:sz="4" w:space="0" w:color="auto"/>
            </w:tcBorders>
            <w:vAlign w:val="center"/>
          </w:tcPr>
          <w:p w:rsidR="00C17ACC" w:rsidRPr="003B6B9A" w:rsidRDefault="00C17ACC" w:rsidP="001040FB">
            <w:pPr>
              <w:snapToGrid w:val="0"/>
              <w:spacing w:line="400" w:lineRule="exact"/>
              <w:ind w:left="12" w:right="521"/>
              <w:jc w:val="right"/>
              <w:rPr>
                <w:rFonts w:eastAsia="標楷體"/>
              </w:rPr>
            </w:pPr>
            <w:r w:rsidRPr="003B6B9A">
              <w:rPr>
                <w:rFonts w:eastAsia="標楷體"/>
              </w:rPr>
              <w:t>3.</w:t>
            </w:r>
            <w:r w:rsidRPr="003B6B9A">
              <w:rPr>
                <w:rFonts w:eastAsia="標楷體" w:hint="eastAsia"/>
              </w:rPr>
              <w:t>3</w:t>
            </w:r>
          </w:p>
        </w:tc>
        <w:tc>
          <w:tcPr>
            <w:tcW w:w="2433" w:type="dxa"/>
            <w:tcBorders>
              <w:top w:val="nil"/>
              <w:left w:val="nil"/>
              <w:bottom w:val="single" w:sz="4" w:space="0" w:color="auto"/>
              <w:right w:val="nil"/>
            </w:tcBorders>
            <w:vAlign w:val="center"/>
          </w:tcPr>
          <w:p w:rsidR="00C17ACC" w:rsidRPr="003B6B9A" w:rsidRDefault="00C17ACC" w:rsidP="001040FB">
            <w:pPr>
              <w:snapToGrid w:val="0"/>
              <w:spacing w:line="400" w:lineRule="exact"/>
              <w:ind w:left="12" w:right="969"/>
              <w:jc w:val="right"/>
              <w:rPr>
                <w:rFonts w:eastAsia="標楷體"/>
              </w:rPr>
            </w:pPr>
            <w:r w:rsidRPr="003B6B9A">
              <w:rPr>
                <w:rFonts w:eastAsia="標楷體" w:hint="eastAsia"/>
              </w:rPr>
              <w:t>-8.3</w:t>
            </w:r>
          </w:p>
        </w:tc>
      </w:tr>
    </w:tbl>
    <w:p w:rsidR="003F3F99" w:rsidRPr="00B118E9" w:rsidRDefault="003F3F99" w:rsidP="003F3F99">
      <w:pPr>
        <w:ind w:firstLineChars="146" w:firstLine="321"/>
        <w:rPr>
          <w:rFonts w:eastAsia="標楷體"/>
          <w:spacing w:val="-4"/>
          <w:kern w:val="0"/>
          <w:sz w:val="22"/>
          <w:szCs w:val="22"/>
        </w:rPr>
      </w:pPr>
      <w:r w:rsidRPr="00B118E9">
        <w:rPr>
          <w:rFonts w:eastAsia="標楷體"/>
          <w:sz w:val="22"/>
          <w:szCs w:val="22"/>
        </w:rPr>
        <w:t>資料來源：經濟部統計處。</w:t>
      </w:r>
    </w:p>
    <w:p w:rsidR="003F3F99" w:rsidRPr="00B118E9" w:rsidRDefault="003F3F99" w:rsidP="00C17ACC">
      <w:pPr>
        <w:widowControl/>
        <w:tabs>
          <w:tab w:val="left" w:pos="540"/>
        </w:tabs>
        <w:snapToGrid w:val="0"/>
        <w:spacing w:beforeLines="100" w:before="360" w:line="300" w:lineRule="auto"/>
        <w:jc w:val="both"/>
        <w:rPr>
          <w:rFonts w:eastAsia="標楷體"/>
          <w:b/>
          <w:bCs/>
          <w:kern w:val="0"/>
          <w:sz w:val="28"/>
          <w:szCs w:val="20"/>
        </w:rPr>
      </w:pPr>
      <w:r w:rsidRPr="00B118E9">
        <w:rPr>
          <w:rFonts w:eastAsia="標楷體"/>
          <w:b/>
          <w:bCs/>
          <w:kern w:val="0"/>
          <w:sz w:val="28"/>
          <w:szCs w:val="20"/>
        </w:rPr>
        <w:t>３、</w:t>
      </w:r>
      <w:r w:rsidR="00C17ACC" w:rsidRPr="003B6B9A">
        <w:rPr>
          <w:rFonts w:eastAsia="標楷體"/>
          <w:b/>
          <w:bCs/>
          <w:kern w:val="0"/>
          <w:sz w:val="28"/>
          <w:szCs w:val="20"/>
        </w:rPr>
        <w:t>104</w:t>
      </w:r>
      <w:r w:rsidR="00C17ACC" w:rsidRPr="003B6B9A">
        <w:rPr>
          <w:rFonts w:eastAsia="標楷體"/>
          <w:b/>
          <w:bCs/>
          <w:kern w:val="0"/>
          <w:sz w:val="28"/>
          <w:szCs w:val="20"/>
        </w:rPr>
        <w:t>年</w:t>
      </w:r>
      <w:r w:rsidR="00C17ACC" w:rsidRPr="003B6B9A">
        <w:rPr>
          <w:rFonts w:eastAsia="標楷體"/>
          <w:b/>
          <w:bCs/>
          <w:kern w:val="0"/>
          <w:sz w:val="28"/>
          <w:szCs w:val="20"/>
        </w:rPr>
        <w:t>4</w:t>
      </w:r>
      <w:r w:rsidR="00C17ACC" w:rsidRPr="003B6B9A">
        <w:rPr>
          <w:rFonts w:eastAsia="標楷體"/>
          <w:b/>
          <w:bCs/>
          <w:kern w:val="0"/>
          <w:sz w:val="28"/>
          <w:szCs w:val="20"/>
        </w:rPr>
        <w:t>月外銷訂單海外生產比重為</w:t>
      </w:r>
      <w:r w:rsidR="00C17ACC" w:rsidRPr="003B6B9A">
        <w:rPr>
          <w:rFonts w:eastAsia="標楷體"/>
          <w:b/>
          <w:bCs/>
          <w:kern w:val="0"/>
          <w:sz w:val="28"/>
          <w:szCs w:val="20"/>
        </w:rPr>
        <w:t>53.1%</w:t>
      </w:r>
    </w:p>
    <w:p w:rsidR="003F3F99" w:rsidRPr="00B118E9" w:rsidRDefault="00C17ACC"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3B6B9A">
        <w:rPr>
          <w:rFonts w:eastAsia="標楷體"/>
          <w:kern w:val="0"/>
          <w:sz w:val="28"/>
          <w:szCs w:val="20"/>
        </w:rPr>
        <w:t>104</w:t>
      </w:r>
      <w:r w:rsidRPr="003B6B9A">
        <w:rPr>
          <w:rFonts w:eastAsia="標楷體"/>
          <w:kern w:val="0"/>
          <w:sz w:val="28"/>
          <w:szCs w:val="20"/>
        </w:rPr>
        <w:t>年</w:t>
      </w:r>
      <w:r w:rsidRPr="003B6B9A">
        <w:rPr>
          <w:rFonts w:eastAsia="標楷體"/>
          <w:kern w:val="0"/>
          <w:sz w:val="28"/>
          <w:szCs w:val="20"/>
        </w:rPr>
        <w:t>4</w:t>
      </w:r>
      <w:r w:rsidRPr="003B6B9A">
        <w:rPr>
          <w:rFonts w:eastAsia="標楷體"/>
          <w:kern w:val="0"/>
          <w:sz w:val="28"/>
          <w:szCs w:val="20"/>
        </w:rPr>
        <w:t>月外銷訂單海外生產比重</w:t>
      </w:r>
      <w:r w:rsidRPr="003B6B9A">
        <w:rPr>
          <w:rFonts w:eastAsia="標楷體"/>
          <w:kern w:val="0"/>
          <w:sz w:val="28"/>
          <w:szCs w:val="20"/>
        </w:rPr>
        <w:t>53.1%</w:t>
      </w:r>
      <w:r w:rsidRPr="003B6B9A">
        <w:rPr>
          <w:rFonts w:eastAsia="標楷體"/>
          <w:kern w:val="0"/>
          <w:sz w:val="28"/>
          <w:szCs w:val="20"/>
        </w:rPr>
        <w:t>，其中以資訊通信產品</w:t>
      </w:r>
      <w:r w:rsidRPr="003B6B9A">
        <w:rPr>
          <w:rFonts w:eastAsia="標楷體"/>
          <w:kern w:val="0"/>
          <w:sz w:val="28"/>
          <w:szCs w:val="20"/>
        </w:rPr>
        <w:t>91.4%</w:t>
      </w:r>
      <w:r w:rsidRPr="003B6B9A">
        <w:rPr>
          <w:rFonts w:eastAsia="標楷體"/>
          <w:kern w:val="0"/>
          <w:sz w:val="28"/>
          <w:szCs w:val="20"/>
        </w:rPr>
        <w:t>最高，其次為電機產品</w:t>
      </w:r>
      <w:r w:rsidRPr="003B6B9A">
        <w:rPr>
          <w:rFonts w:eastAsia="標楷體"/>
          <w:kern w:val="0"/>
          <w:sz w:val="28"/>
          <w:szCs w:val="20"/>
        </w:rPr>
        <w:t>68.4%</w:t>
      </w:r>
      <w:r w:rsidRPr="003B6B9A">
        <w:rPr>
          <w:rFonts w:eastAsia="標楷體"/>
          <w:kern w:val="0"/>
          <w:sz w:val="28"/>
          <w:szCs w:val="20"/>
        </w:rPr>
        <w:t>、電子產品</w:t>
      </w:r>
      <w:r w:rsidRPr="003B6B9A">
        <w:rPr>
          <w:rFonts w:eastAsia="標楷體"/>
          <w:kern w:val="0"/>
          <w:sz w:val="28"/>
          <w:szCs w:val="20"/>
        </w:rPr>
        <w:t>51.7%</w:t>
      </w:r>
      <w:r w:rsidRPr="003B6B9A">
        <w:rPr>
          <w:rFonts w:eastAsia="標楷體"/>
          <w:kern w:val="0"/>
          <w:sz w:val="28"/>
          <w:szCs w:val="20"/>
        </w:rPr>
        <w:t>。累計</w:t>
      </w:r>
      <w:r w:rsidRPr="003B6B9A">
        <w:rPr>
          <w:rFonts w:eastAsia="標楷體"/>
          <w:kern w:val="0"/>
          <w:sz w:val="28"/>
          <w:szCs w:val="20"/>
        </w:rPr>
        <w:t>1</w:t>
      </w:r>
      <w:r w:rsidRPr="003B6B9A">
        <w:rPr>
          <w:rFonts w:eastAsia="標楷體"/>
          <w:kern w:val="0"/>
          <w:sz w:val="28"/>
          <w:szCs w:val="20"/>
        </w:rPr>
        <w:t>至</w:t>
      </w:r>
      <w:r w:rsidRPr="003B6B9A">
        <w:rPr>
          <w:rFonts w:eastAsia="標楷體"/>
          <w:kern w:val="0"/>
          <w:sz w:val="28"/>
          <w:szCs w:val="20"/>
        </w:rPr>
        <w:t>4</w:t>
      </w:r>
      <w:r w:rsidRPr="003B6B9A">
        <w:rPr>
          <w:rFonts w:eastAsia="標楷體"/>
          <w:kern w:val="0"/>
          <w:sz w:val="28"/>
          <w:szCs w:val="20"/>
        </w:rPr>
        <w:t>月，外銷訂單海外生產比重為</w:t>
      </w:r>
      <w:r w:rsidRPr="003B6B9A">
        <w:rPr>
          <w:rFonts w:eastAsia="標楷體"/>
          <w:kern w:val="0"/>
          <w:sz w:val="28"/>
          <w:szCs w:val="20"/>
        </w:rPr>
        <w:t>53.1%</w:t>
      </w:r>
      <w:r w:rsidRPr="003B6B9A">
        <w:rPr>
          <w:rFonts w:eastAsia="標楷體"/>
          <w:kern w:val="0"/>
          <w:sz w:val="28"/>
          <w:szCs w:val="20"/>
        </w:rPr>
        <w:t>。</w:t>
      </w:r>
    </w:p>
    <w:p w:rsidR="003F3F99" w:rsidRPr="00B118E9" w:rsidRDefault="003F3F99" w:rsidP="00C17ACC">
      <w:pPr>
        <w:widowControl/>
        <w:tabs>
          <w:tab w:val="left" w:pos="851"/>
        </w:tabs>
        <w:snapToGrid w:val="0"/>
        <w:spacing w:beforeLines="100" w:before="360" w:line="300" w:lineRule="auto"/>
        <w:ind w:left="566" w:hangingChars="202" w:hanging="566"/>
        <w:jc w:val="both"/>
        <w:rPr>
          <w:rFonts w:eastAsia="標楷體"/>
          <w:b/>
          <w:bCs/>
          <w:kern w:val="0"/>
          <w:sz w:val="28"/>
          <w:szCs w:val="20"/>
        </w:rPr>
      </w:pPr>
      <w:r w:rsidRPr="00B118E9">
        <w:rPr>
          <w:rFonts w:eastAsia="標楷體"/>
          <w:b/>
          <w:bCs/>
          <w:kern w:val="0"/>
          <w:sz w:val="28"/>
          <w:szCs w:val="20"/>
        </w:rPr>
        <w:t>４、</w:t>
      </w:r>
      <w:r w:rsidR="00C17ACC" w:rsidRPr="003B6B9A">
        <w:rPr>
          <w:rFonts w:eastAsia="標楷體"/>
          <w:b/>
          <w:bCs/>
          <w:kern w:val="0"/>
          <w:sz w:val="28"/>
          <w:szCs w:val="20"/>
        </w:rPr>
        <w:t>104</w:t>
      </w:r>
      <w:r w:rsidR="00C17ACC" w:rsidRPr="003B6B9A">
        <w:rPr>
          <w:rFonts w:eastAsia="標楷體"/>
          <w:b/>
          <w:bCs/>
          <w:kern w:val="0"/>
          <w:sz w:val="28"/>
          <w:szCs w:val="20"/>
        </w:rPr>
        <w:t>年</w:t>
      </w:r>
      <w:r w:rsidR="00C17ACC" w:rsidRPr="003B6B9A">
        <w:rPr>
          <w:rFonts w:eastAsia="標楷體"/>
          <w:b/>
          <w:bCs/>
          <w:kern w:val="0"/>
          <w:sz w:val="28"/>
          <w:szCs w:val="20"/>
        </w:rPr>
        <w:t>4</w:t>
      </w:r>
      <w:r w:rsidR="00C17ACC" w:rsidRPr="003B6B9A">
        <w:rPr>
          <w:rFonts w:eastAsia="標楷體"/>
          <w:b/>
          <w:bCs/>
          <w:kern w:val="0"/>
          <w:sz w:val="28"/>
          <w:szCs w:val="20"/>
        </w:rPr>
        <w:t>月主要地區接單以美國增加</w:t>
      </w:r>
      <w:r w:rsidR="00C17ACC" w:rsidRPr="003B6B9A">
        <w:rPr>
          <w:rFonts w:eastAsia="標楷體"/>
          <w:b/>
          <w:bCs/>
          <w:kern w:val="0"/>
          <w:sz w:val="28"/>
          <w:szCs w:val="20"/>
        </w:rPr>
        <w:t>14.0%</w:t>
      </w:r>
      <w:r w:rsidR="00C17ACC" w:rsidRPr="003B6B9A">
        <w:rPr>
          <w:rFonts w:eastAsia="標楷體"/>
          <w:b/>
          <w:bCs/>
          <w:kern w:val="0"/>
          <w:sz w:val="28"/>
          <w:szCs w:val="20"/>
        </w:rPr>
        <w:t>最多</w:t>
      </w:r>
    </w:p>
    <w:p w:rsidR="003F3F99" w:rsidRPr="00B118E9" w:rsidRDefault="00C17ACC"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3B6B9A">
        <w:rPr>
          <w:rFonts w:eastAsia="標楷體"/>
          <w:kern w:val="0"/>
          <w:sz w:val="28"/>
          <w:szCs w:val="20"/>
        </w:rPr>
        <w:t>104</w:t>
      </w:r>
      <w:r w:rsidRPr="003B6B9A">
        <w:rPr>
          <w:rFonts w:eastAsia="標楷體"/>
          <w:kern w:val="0"/>
          <w:sz w:val="28"/>
          <w:szCs w:val="20"/>
        </w:rPr>
        <w:t>年</w:t>
      </w:r>
      <w:r w:rsidRPr="003B6B9A">
        <w:rPr>
          <w:rFonts w:eastAsia="標楷體"/>
          <w:kern w:val="0"/>
          <w:sz w:val="28"/>
          <w:szCs w:val="20"/>
        </w:rPr>
        <w:t>4</w:t>
      </w:r>
      <w:r w:rsidRPr="003B6B9A">
        <w:rPr>
          <w:rFonts w:eastAsia="標楷體"/>
          <w:kern w:val="0"/>
          <w:sz w:val="28"/>
          <w:szCs w:val="20"/>
        </w:rPr>
        <w:t>月以美國及中國大陸</w:t>
      </w:r>
      <w:r w:rsidRPr="003B6B9A">
        <w:rPr>
          <w:rFonts w:eastAsia="標楷體"/>
          <w:kern w:val="0"/>
          <w:sz w:val="28"/>
          <w:szCs w:val="20"/>
        </w:rPr>
        <w:t>(</w:t>
      </w:r>
      <w:r w:rsidRPr="003B6B9A">
        <w:rPr>
          <w:rFonts w:eastAsia="標楷體"/>
          <w:kern w:val="0"/>
          <w:sz w:val="28"/>
          <w:szCs w:val="20"/>
        </w:rPr>
        <w:t>含香港</w:t>
      </w:r>
      <w:r w:rsidRPr="003B6B9A">
        <w:rPr>
          <w:rFonts w:eastAsia="標楷體"/>
          <w:kern w:val="0"/>
          <w:sz w:val="28"/>
          <w:szCs w:val="20"/>
        </w:rPr>
        <w:t>)</w:t>
      </w:r>
      <w:r w:rsidRPr="003B6B9A">
        <w:rPr>
          <w:rFonts w:eastAsia="標楷體"/>
          <w:kern w:val="0"/>
          <w:sz w:val="28"/>
          <w:szCs w:val="20"/>
        </w:rPr>
        <w:t>為主要接單地區，金額分別為</w:t>
      </w:r>
      <w:r w:rsidRPr="003B6B9A">
        <w:rPr>
          <w:rFonts w:eastAsia="標楷體"/>
          <w:kern w:val="0"/>
          <w:sz w:val="28"/>
          <w:szCs w:val="20"/>
        </w:rPr>
        <w:t>105.9</w:t>
      </w:r>
      <w:r w:rsidRPr="003B6B9A">
        <w:rPr>
          <w:rFonts w:eastAsia="標楷體"/>
          <w:kern w:val="0"/>
          <w:sz w:val="28"/>
          <w:szCs w:val="20"/>
        </w:rPr>
        <w:t>億美元及</w:t>
      </w:r>
      <w:r w:rsidRPr="003B6B9A">
        <w:rPr>
          <w:rFonts w:eastAsia="標楷體"/>
          <w:kern w:val="0"/>
          <w:sz w:val="28"/>
          <w:szCs w:val="20"/>
        </w:rPr>
        <w:t>91.7</w:t>
      </w:r>
      <w:r w:rsidRPr="003B6B9A">
        <w:rPr>
          <w:rFonts w:eastAsia="標楷體"/>
          <w:kern w:val="0"/>
          <w:sz w:val="28"/>
          <w:szCs w:val="20"/>
        </w:rPr>
        <w:t>億美元，占外銷接單總額的</w:t>
      </w:r>
      <w:r w:rsidRPr="003B6B9A">
        <w:rPr>
          <w:rFonts w:eastAsia="標楷體"/>
          <w:kern w:val="0"/>
          <w:sz w:val="28"/>
          <w:szCs w:val="20"/>
        </w:rPr>
        <w:t>28.4%</w:t>
      </w:r>
      <w:r w:rsidRPr="003B6B9A">
        <w:rPr>
          <w:rFonts w:eastAsia="標楷體"/>
          <w:kern w:val="0"/>
          <w:sz w:val="28"/>
          <w:szCs w:val="20"/>
        </w:rPr>
        <w:t>及</w:t>
      </w:r>
      <w:r w:rsidRPr="003B6B9A">
        <w:rPr>
          <w:rFonts w:eastAsia="標楷體"/>
          <w:kern w:val="0"/>
          <w:sz w:val="28"/>
          <w:szCs w:val="20"/>
        </w:rPr>
        <w:t>24.6%</w:t>
      </w:r>
      <w:r w:rsidRPr="003B6B9A">
        <w:rPr>
          <w:rFonts w:eastAsia="標楷體"/>
          <w:kern w:val="0"/>
          <w:sz w:val="28"/>
          <w:szCs w:val="20"/>
        </w:rPr>
        <w:t>，較上年同月分別增加</w:t>
      </w:r>
      <w:r w:rsidRPr="003B6B9A">
        <w:rPr>
          <w:rFonts w:eastAsia="標楷體"/>
          <w:kern w:val="0"/>
          <w:sz w:val="28"/>
          <w:szCs w:val="20"/>
        </w:rPr>
        <w:t>14.0%</w:t>
      </w:r>
      <w:r w:rsidRPr="003B6B9A">
        <w:rPr>
          <w:rFonts w:eastAsia="標楷體"/>
          <w:kern w:val="0"/>
          <w:sz w:val="28"/>
          <w:szCs w:val="20"/>
        </w:rPr>
        <w:t>及減少</w:t>
      </w:r>
      <w:r w:rsidRPr="003B6B9A">
        <w:rPr>
          <w:rFonts w:eastAsia="標楷體"/>
          <w:kern w:val="0"/>
          <w:sz w:val="28"/>
          <w:szCs w:val="20"/>
        </w:rPr>
        <w:t>10.3%</w:t>
      </w:r>
      <w:r w:rsidRPr="003B6B9A">
        <w:rPr>
          <w:rFonts w:eastAsia="標楷體"/>
          <w:kern w:val="0"/>
          <w:sz w:val="28"/>
          <w:szCs w:val="20"/>
        </w:rPr>
        <w:t>，另歐洲增加</w:t>
      </w:r>
      <w:r w:rsidRPr="003B6B9A">
        <w:rPr>
          <w:rFonts w:eastAsia="標楷體"/>
          <w:kern w:val="0"/>
          <w:sz w:val="28"/>
          <w:szCs w:val="20"/>
        </w:rPr>
        <w:t>5.8%</w:t>
      </w:r>
      <w:r w:rsidRPr="003B6B9A">
        <w:rPr>
          <w:rFonts w:eastAsia="標楷體"/>
          <w:kern w:val="0"/>
          <w:sz w:val="28"/>
          <w:szCs w:val="20"/>
        </w:rPr>
        <w:t>，東協六國及日本則分別減少</w:t>
      </w:r>
      <w:r w:rsidRPr="003B6B9A">
        <w:rPr>
          <w:rFonts w:eastAsia="標楷體"/>
          <w:kern w:val="0"/>
          <w:sz w:val="28"/>
          <w:szCs w:val="20"/>
        </w:rPr>
        <w:t>7.9%</w:t>
      </w:r>
      <w:r w:rsidRPr="003B6B9A">
        <w:rPr>
          <w:rFonts w:eastAsia="標楷體"/>
          <w:kern w:val="0"/>
          <w:sz w:val="28"/>
          <w:szCs w:val="20"/>
        </w:rPr>
        <w:t>、</w:t>
      </w:r>
      <w:r w:rsidRPr="003B6B9A">
        <w:rPr>
          <w:rFonts w:eastAsia="標楷體"/>
          <w:kern w:val="0"/>
          <w:sz w:val="28"/>
          <w:szCs w:val="20"/>
        </w:rPr>
        <w:t>29.0%</w:t>
      </w:r>
      <w:r w:rsidRPr="003B6B9A">
        <w:rPr>
          <w:rFonts w:eastAsia="標楷體"/>
          <w:kern w:val="0"/>
          <w:sz w:val="28"/>
          <w:szCs w:val="20"/>
        </w:rPr>
        <w:t>。</w:t>
      </w:r>
      <w:r w:rsidR="003F3F99" w:rsidRPr="00B118E9">
        <w:rPr>
          <w:rFonts w:eastAsia="標楷體"/>
          <w:color w:val="FF0000"/>
          <w:kern w:val="0"/>
          <w:sz w:val="28"/>
          <w:szCs w:val="20"/>
        </w:rPr>
        <w:br w:type="page"/>
      </w:r>
    </w:p>
    <w:p w:rsidR="003F3F99" w:rsidRPr="00B118E9" w:rsidRDefault="003F3F99" w:rsidP="003F3F99">
      <w:pPr>
        <w:snapToGrid w:val="0"/>
        <w:spacing w:beforeLines="50" w:before="180" w:line="300" w:lineRule="auto"/>
        <w:jc w:val="center"/>
        <w:rPr>
          <w:rFonts w:eastAsia="標楷體"/>
          <w:b/>
          <w:bCs/>
          <w:sz w:val="28"/>
        </w:rPr>
      </w:pPr>
      <w:r w:rsidRPr="00B118E9">
        <w:rPr>
          <w:rFonts w:eastAsia="標楷體"/>
          <w:b/>
          <w:bCs/>
          <w:sz w:val="28"/>
        </w:rPr>
        <w:t>表</w:t>
      </w:r>
      <w:r w:rsidRPr="00B118E9">
        <w:rPr>
          <w:rFonts w:eastAsia="標楷體"/>
          <w:b/>
          <w:bCs/>
          <w:sz w:val="28"/>
        </w:rPr>
        <w:t xml:space="preserve"> 2-5-3</w:t>
      </w:r>
      <w:r w:rsidRPr="00B118E9">
        <w:rPr>
          <w:rFonts w:eastAsia="標楷體"/>
          <w:b/>
          <w:bCs/>
          <w:sz w:val="28"/>
        </w:rPr>
        <w:t xml:space="preserve">　外銷訂單海外生產比重</w:t>
      </w:r>
    </w:p>
    <w:p w:rsidR="003F3F99" w:rsidRPr="00B118E9" w:rsidRDefault="003F3F99" w:rsidP="003F3F99">
      <w:pPr>
        <w:jc w:val="right"/>
        <w:rPr>
          <w:rFonts w:eastAsia="標楷體"/>
          <w:sz w:val="28"/>
        </w:rPr>
      </w:pPr>
      <w:r w:rsidRPr="00B118E9">
        <w:rPr>
          <w:rFonts w:eastAsia="標楷體"/>
          <w:spacing w:val="-20"/>
        </w:rPr>
        <w:t>單位：</w:t>
      </w:r>
      <w:r w:rsidR="00C17ACC">
        <w:rPr>
          <w:rFonts w:eastAsia="標楷體" w:hint="eastAsia"/>
          <w:spacing w:val="-20"/>
        </w:rPr>
        <w:t>%</w:t>
      </w:r>
    </w:p>
    <w:tbl>
      <w:tblPr>
        <w:tblW w:w="8163" w:type="dxa"/>
        <w:jc w:val="center"/>
        <w:tblInd w:w="-18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448"/>
        <w:gridCol w:w="1119"/>
        <w:gridCol w:w="1119"/>
        <w:gridCol w:w="1119"/>
        <w:gridCol w:w="1119"/>
        <w:gridCol w:w="1119"/>
        <w:gridCol w:w="1120"/>
      </w:tblGrid>
      <w:tr w:rsidR="00C17ACC" w:rsidRPr="003B6B9A" w:rsidTr="001040FB">
        <w:trPr>
          <w:trHeight w:val="397"/>
          <w:jc w:val="center"/>
        </w:trPr>
        <w:tc>
          <w:tcPr>
            <w:tcW w:w="1448" w:type="dxa"/>
            <w:tcBorders>
              <w:top w:val="single" w:sz="4" w:space="0" w:color="auto"/>
              <w:left w:val="nil"/>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119"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總計</w:t>
            </w:r>
          </w:p>
        </w:tc>
        <w:tc>
          <w:tcPr>
            <w:tcW w:w="1119"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資訊通信</w:t>
            </w:r>
          </w:p>
        </w:tc>
        <w:tc>
          <w:tcPr>
            <w:tcW w:w="1119"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電子產品</w:t>
            </w:r>
          </w:p>
        </w:tc>
        <w:tc>
          <w:tcPr>
            <w:tcW w:w="1119"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機械</w:t>
            </w:r>
          </w:p>
        </w:tc>
        <w:tc>
          <w:tcPr>
            <w:tcW w:w="1119"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電機產品</w:t>
            </w:r>
          </w:p>
        </w:tc>
        <w:tc>
          <w:tcPr>
            <w:tcW w:w="1120" w:type="dxa"/>
            <w:tcBorders>
              <w:top w:val="single" w:sz="4" w:space="0" w:color="auto"/>
              <w:left w:val="single" w:sz="4" w:space="0" w:color="auto"/>
              <w:bottom w:val="single" w:sz="4" w:space="0" w:color="auto"/>
              <w:right w:val="nil"/>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精密儀器</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31" w:right="459" w:hangingChars="13" w:hanging="31"/>
              <w:jc w:val="both"/>
              <w:rPr>
                <w:rFonts w:eastAsia="標楷體"/>
                <w:b/>
                <w:bCs/>
              </w:rPr>
            </w:pPr>
            <w:r w:rsidRPr="003B6B9A">
              <w:rPr>
                <w:rFonts w:eastAsia="標楷體"/>
                <w:b/>
                <w:bCs/>
              </w:rPr>
              <w:t xml:space="preserve">  99</w:t>
            </w:r>
            <w:r w:rsidRPr="003B6B9A">
              <w:rPr>
                <w:rFonts w:eastAsia="標楷體"/>
                <w:b/>
                <w:bCs/>
              </w:rPr>
              <w:t>年</w:t>
            </w:r>
          </w:p>
        </w:tc>
        <w:tc>
          <w:tcPr>
            <w:tcW w:w="1119" w:type="dxa"/>
            <w:tcBorders>
              <w:top w:val="nil"/>
              <w:left w:val="nil"/>
              <w:bottom w:val="nil"/>
              <w:right w:val="nil"/>
            </w:tcBorders>
            <w:vAlign w:val="bottom"/>
          </w:tcPr>
          <w:p w:rsidR="00C17ACC" w:rsidRPr="003B6B9A" w:rsidRDefault="00C17ACC" w:rsidP="001040FB">
            <w:pPr>
              <w:snapToGrid w:val="0"/>
              <w:spacing w:line="400" w:lineRule="exact"/>
              <w:jc w:val="center"/>
              <w:rPr>
                <w:rFonts w:eastAsia="標楷體"/>
                <w:b/>
                <w:bCs/>
              </w:rPr>
            </w:pPr>
            <w:r w:rsidRPr="003B6B9A">
              <w:rPr>
                <w:rFonts w:eastAsia="標楷體"/>
                <w:b/>
                <w:bCs/>
              </w:rPr>
              <w:t>50.4</w:t>
            </w:r>
          </w:p>
        </w:tc>
        <w:tc>
          <w:tcPr>
            <w:tcW w:w="1119" w:type="dxa"/>
            <w:tcBorders>
              <w:top w:val="nil"/>
              <w:left w:val="nil"/>
              <w:bottom w:val="nil"/>
              <w:right w:val="nil"/>
            </w:tcBorders>
            <w:vAlign w:val="bottom"/>
          </w:tcPr>
          <w:p w:rsidR="00C17ACC" w:rsidRPr="003B6B9A" w:rsidRDefault="00C17ACC" w:rsidP="001040FB">
            <w:pPr>
              <w:snapToGrid w:val="0"/>
              <w:spacing w:line="400" w:lineRule="exact"/>
              <w:jc w:val="center"/>
              <w:rPr>
                <w:rFonts w:eastAsia="標楷體"/>
                <w:b/>
                <w:bCs/>
              </w:rPr>
            </w:pPr>
            <w:r w:rsidRPr="003B6B9A">
              <w:rPr>
                <w:rFonts w:eastAsia="標楷體"/>
                <w:b/>
                <w:bCs/>
              </w:rPr>
              <w:t>84.8</w:t>
            </w:r>
          </w:p>
        </w:tc>
        <w:tc>
          <w:tcPr>
            <w:tcW w:w="1119" w:type="dxa"/>
            <w:tcBorders>
              <w:top w:val="nil"/>
              <w:left w:val="nil"/>
              <w:bottom w:val="nil"/>
              <w:right w:val="nil"/>
            </w:tcBorders>
            <w:vAlign w:val="bottom"/>
          </w:tcPr>
          <w:p w:rsidR="00C17ACC" w:rsidRPr="003B6B9A" w:rsidRDefault="00C17ACC" w:rsidP="001040FB">
            <w:pPr>
              <w:snapToGrid w:val="0"/>
              <w:spacing w:line="400" w:lineRule="exact"/>
              <w:jc w:val="center"/>
              <w:rPr>
                <w:rFonts w:eastAsia="標楷體"/>
                <w:b/>
                <w:bCs/>
              </w:rPr>
            </w:pPr>
            <w:r w:rsidRPr="003B6B9A">
              <w:rPr>
                <w:rFonts w:eastAsia="標楷體"/>
                <w:b/>
                <w:bCs/>
              </w:rPr>
              <w:t>49.5</w:t>
            </w:r>
          </w:p>
        </w:tc>
        <w:tc>
          <w:tcPr>
            <w:tcW w:w="1119" w:type="dxa"/>
            <w:tcBorders>
              <w:top w:val="nil"/>
              <w:left w:val="nil"/>
              <w:bottom w:val="nil"/>
              <w:right w:val="nil"/>
            </w:tcBorders>
            <w:vAlign w:val="bottom"/>
          </w:tcPr>
          <w:p w:rsidR="00C17ACC" w:rsidRPr="003B6B9A" w:rsidRDefault="00C17ACC" w:rsidP="001040FB">
            <w:pPr>
              <w:snapToGrid w:val="0"/>
              <w:spacing w:line="400" w:lineRule="exact"/>
              <w:jc w:val="center"/>
              <w:rPr>
                <w:rFonts w:eastAsia="標楷體"/>
                <w:b/>
                <w:bCs/>
              </w:rPr>
            </w:pPr>
            <w:r w:rsidRPr="003B6B9A">
              <w:rPr>
                <w:rFonts w:eastAsia="標楷體"/>
                <w:b/>
                <w:bCs/>
              </w:rPr>
              <w:t>21.9</w:t>
            </w:r>
          </w:p>
        </w:tc>
        <w:tc>
          <w:tcPr>
            <w:tcW w:w="1119" w:type="dxa"/>
            <w:tcBorders>
              <w:top w:val="nil"/>
              <w:left w:val="nil"/>
              <w:bottom w:val="nil"/>
              <w:right w:val="nil"/>
            </w:tcBorders>
            <w:vAlign w:val="bottom"/>
          </w:tcPr>
          <w:p w:rsidR="00C17ACC" w:rsidRPr="003B6B9A" w:rsidRDefault="00C17ACC" w:rsidP="001040FB">
            <w:pPr>
              <w:snapToGrid w:val="0"/>
              <w:spacing w:line="400" w:lineRule="exact"/>
              <w:jc w:val="center"/>
              <w:rPr>
                <w:rFonts w:eastAsia="標楷體"/>
                <w:b/>
                <w:bCs/>
              </w:rPr>
            </w:pPr>
            <w:r w:rsidRPr="003B6B9A">
              <w:rPr>
                <w:rFonts w:eastAsia="標楷體"/>
                <w:b/>
                <w:bCs/>
              </w:rPr>
              <w:t>58.6</w:t>
            </w:r>
          </w:p>
        </w:tc>
        <w:tc>
          <w:tcPr>
            <w:tcW w:w="1120" w:type="dxa"/>
            <w:tcBorders>
              <w:top w:val="nil"/>
              <w:left w:val="nil"/>
              <w:bottom w:val="nil"/>
              <w:right w:val="nil"/>
            </w:tcBorders>
            <w:vAlign w:val="bottom"/>
          </w:tcPr>
          <w:p w:rsidR="00C17ACC" w:rsidRPr="003B6B9A" w:rsidRDefault="00C17ACC" w:rsidP="001040FB">
            <w:pPr>
              <w:snapToGrid w:val="0"/>
              <w:spacing w:line="400" w:lineRule="exact"/>
              <w:jc w:val="center"/>
              <w:rPr>
                <w:rFonts w:eastAsia="標楷體"/>
                <w:b/>
                <w:bCs/>
              </w:rPr>
            </w:pPr>
            <w:r w:rsidRPr="003B6B9A">
              <w:rPr>
                <w:rFonts w:eastAsia="標楷體"/>
                <w:b/>
                <w:bCs/>
              </w:rPr>
              <w:t>56.6</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31" w:right="459" w:hangingChars="13" w:hanging="31"/>
              <w:jc w:val="both"/>
              <w:rPr>
                <w:rFonts w:eastAsia="標楷體"/>
                <w:b/>
                <w:bCs/>
              </w:rPr>
            </w:pPr>
            <w:r w:rsidRPr="003B6B9A">
              <w:rPr>
                <w:rFonts w:eastAsia="標楷體"/>
                <w:b/>
                <w:bCs/>
              </w:rPr>
              <w:t xml:space="preserve"> 100</w:t>
            </w:r>
            <w:r w:rsidRPr="003B6B9A">
              <w:rPr>
                <w:rFonts w:eastAsia="標楷體"/>
                <w:b/>
                <w:bCs/>
              </w:rPr>
              <w:t>年</w:t>
            </w:r>
          </w:p>
        </w:tc>
        <w:tc>
          <w:tcPr>
            <w:tcW w:w="1119" w:type="dxa"/>
            <w:tcBorders>
              <w:top w:val="nil"/>
              <w:left w:val="nil"/>
              <w:bottom w:val="nil"/>
              <w:right w:val="nil"/>
            </w:tcBorders>
            <w:vAlign w:val="bottom"/>
          </w:tcPr>
          <w:p w:rsidR="00C17ACC" w:rsidRPr="003B6B9A" w:rsidRDefault="00C17ACC" w:rsidP="001040FB">
            <w:pPr>
              <w:jc w:val="center"/>
              <w:rPr>
                <w:rFonts w:eastAsia="標楷體"/>
                <w:b/>
                <w:bCs/>
                <w:szCs w:val="20"/>
              </w:rPr>
            </w:pPr>
            <w:r w:rsidRPr="003B6B9A">
              <w:rPr>
                <w:rFonts w:eastAsia="標楷體"/>
                <w:b/>
                <w:bCs/>
                <w:szCs w:val="20"/>
              </w:rPr>
              <w:t>50.5</w:t>
            </w:r>
          </w:p>
        </w:tc>
        <w:tc>
          <w:tcPr>
            <w:tcW w:w="1119" w:type="dxa"/>
            <w:tcBorders>
              <w:top w:val="nil"/>
              <w:left w:val="nil"/>
              <w:bottom w:val="nil"/>
              <w:right w:val="nil"/>
            </w:tcBorders>
            <w:vAlign w:val="bottom"/>
          </w:tcPr>
          <w:p w:rsidR="00C17ACC" w:rsidRPr="003B6B9A" w:rsidRDefault="00C17ACC" w:rsidP="001040FB">
            <w:pPr>
              <w:jc w:val="center"/>
              <w:rPr>
                <w:rFonts w:eastAsia="標楷體"/>
                <w:b/>
                <w:bCs/>
                <w:szCs w:val="20"/>
              </w:rPr>
            </w:pPr>
            <w:r w:rsidRPr="003B6B9A">
              <w:rPr>
                <w:rFonts w:eastAsia="標楷體"/>
                <w:b/>
                <w:bCs/>
                <w:szCs w:val="20"/>
              </w:rPr>
              <w:t>83.6</w:t>
            </w:r>
          </w:p>
        </w:tc>
        <w:tc>
          <w:tcPr>
            <w:tcW w:w="1119" w:type="dxa"/>
            <w:tcBorders>
              <w:top w:val="nil"/>
              <w:left w:val="nil"/>
              <w:bottom w:val="nil"/>
              <w:right w:val="nil"/>
            </w:tcBorders>
            <w:vAlign w:val="bottom"/>
          </w:tcPr>
          <w:p w:rsidR="00C17ACC" w:rsidRPr="003B6B9A" w:rsidRDefault="00C17ACC" w:rsidP="001040FB">
            <w:pPr>
              <w:jc w:val="center"/>
              <w:rPr>
                <w:rFonts w:eastAsia="標楷體"/>
                <w:b/>
                <w:bCs/>
                <w:szCs w:val="20"/>
              </w:rPr>
            </w:pPr>
            <w:r w:rsidRPr="003B6B9A">
              <w:rPr>
                <w:rFonts w:eastAsia="標楷體"/>
                <w:b/>
                <w:bCs/>
                <w:szCs w:val="20"/>
              </w:rPr>
              <w:t>52.3</w:t>
            </w:r>
          </w:p>
        </w:tc>
        <w:tc>
          <w:tcPr>
            <w:tcW w:w="1119" w:type="dxa"/>
            <w:tcBorders>
              <w:top w:val="nil"/>
              <w:left w:val="nil"/>
              <w:bottom w:val="nil"/>
              <w:right w:val="nil"/>
            </w:tcBorders>
            <w:vAlign w:val="bottom"/>
          </w:tcPr>
          <w:p w:rsidR="00C17ACC" w:rsidRPr="003B6B9A" w:rsidRDefault="00C17ACC" w:rsidP="001040FB">
            <w:pPr>
              <w:jc w:val="center"/>
              <w:rPr>
                <w:rFonts w:eastAsia="標楷體"/>
                <w:b/>
                <w:bCs/>
                <w:szCs w:val="20"/>
              </w:rPr>
            </w:pPr>
            <w:r w:rsidRPr="003B6B9A">
              <w:rPr>
                <w:rFonts w:eastAsia="標楷體"/>
                <w:b/>
                <w:bCs/>
                <w:szCs w:val="20"/>
              </w:rPr>
              <w:t>20.2</w:t>
            </w:r>
          </w:p>
        </w:tc>
        <w:tc>
          <w:tcPr>
            <w:tcW w:w="1119" w:type="dxa"/>
            <w:tcBorders>
              <w:top w:val="nil"/>
              <w:left w:val="nil"/>
              <w:bottom w:val="nil"/>
              <w:right w:val="nil"/>
            </w:tcBorders>
            <w:vAlign w:val="bottom"/>
          </w:tcPr>
          <w:p w:rsidR="00C17ACC" w:rsidRPr="003B6B9A" w:rsidRDefault="00C17ACC" w:rsidP="001040FB">
            <w:pPr>
              <w:jc w:val="center"/>
              <w:rPr>
                <w:rFonts w:eastAsia="標楷體"/>
                <w:b/>
                <w:bCs/>
                <w:szCs w:val="20"/>
              </w:rPr>
            </w:pPr>
            <w:r w:rsidRPr="003B6B9A">
              <w:rPr>
                <w:rFonts w:eastAsia="標楷體"/>
                <w:b/>
                <w:bCs/>
                <w:szCs w:val="20"/>
              </w:rPr>
              <w:t>62.4</w:t>
            </w:r>
          </w:p>
        </w:tc>
        <w:tc>
          <w:tcPr>
            <w:tcW w:w="1120" w:type="dxa"/>
            <w:tcBorders>
              <w:top w:val="nil"/>
              <w:left w:val="nil"/>
              <w:bottom w:val="nil"/>
              <w:right w:val="nil"/>
            </w:tcBorders>
            <w:vAlign w:val="bottom"/>
          </w:tcPr>
          <w:p w:rsidR="00C17ACC" w:rsidRPr="003B6B9A" w:rsidRDefault="00C17ACC" w:rsidP="001040FB">
            <w:pPr>
              <w:jc w:val="center"/>
              <w:rPr>
                <w:rFonts w:eastAsia="標楷體"/>
                <w:b/>
                <w:bCs/>
                <w:szCs w:val="20"/>
              </w:rPr>
            </w:pPr>
            <w:r w:rsidRPr="003B6B9A">
              <w:rPr>
                <w:rFonts w:eastAsia="標楷體"/>
                <w:b/>
                <w:bCs/>
                <w:szCs w:val="20"/>
              </w:rPr>
              <w:t>60.0</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31" w:right="459" w:hangingChars="13" w:hanging="31"/>
              <w:jc w:val="both"/>
              <w:rPr>
                <w:rFonts w:eastAsia="標楷體"/>
              </w:rPr>
            </w:pPr>
            <w:r w:rsidRPr="003B6B9A">
              <w:rPr>
                <w:rFonts w:eastAsia="標楷體"/>
                <w:b/>
                <w:bCs/>
              </w:rPr>
              <w:t xml:space="preserve"> 101</w:t>
            </w:r>
            <w:r w:rsidRPr="003B6B9A">
              <w:rPr>
                <w:rFonts w:eastAsia="標楷體"/>
                <w:b/>
                <w:bCs/>
              </w:rPr>
              <w:t>年</w:t>
            </w:r>
          </w:p>
        </w:tc>
        <w:tc>
          <w:tcPr>
            <w:tcW w:w="1119" w:type="dxa"/>
            <w:tcBorders>
              <w:top w:val="nil"/>
              <w:left w:val="nil"/>
              <w:bottom w:val="nil"/>
              <w:right w:val="nil"/>
            </w:tcBorders>
            <w:vAlign w:val="center"/>
          </w:tcPr>
          <w:p w:rsidR="00C17ACC" w:rsidRPr="003B6B9A" w:rsidRDefault="00C17ACC" w:rsidP="001040FB">
            <w:pPr>
              <w:jc w:val="center"/>
              <w:rPr>
                <w:rFonts w:eastAsia="標楷體"/>
                <w:b/>
                <w:bCs/>
                <w:szCs w:val="20"/>
              </w:rPr>
            </w:pPr>
            <w:r w:rsidRPr="003B6B9A">
              <w:rPr>
                <w:rFonts w:eastAsia="標楷體"/>
                <w:b/>
                <w:bCs/>
                <w:szCs w:val="20"/>
              </w:rPr>
              <w:t>50.9</w:t>
            </w:r>
          </w:p>
        </w:tc>
        <w:tc>
          <w:tcPr>
            <w:tcW w:w="1119" w:type="dxa"/>
            <w:tcBorders>
              <w:top w:val="nil"/>
              <w:left w:val="nil"/>
              <w:bottom w:val="nil"/>
              <w:right w:val="nil"/>
            </w:tcBorders>
            <w:vAlign w:val="center"/>
          </w:tcPr>
          <w:p w:rsidR="00C17ACC" w:rsidRPr="003B6B9A" w:rsidRDefault="00C17ACC" w:rsidP="001040FB">
            <w:pPr>
              <w:jc w:val="center"/>
              <w:rPr>
                <w:rFonts w:eastAsia="標楷體"/>
                <w:b/>
                <w:bCs/>
                <w:szCs w:val="20"/>
              </w:rPr>
            </w:pPr>
            <w:r w:rsidRPr="003B6B9A">
              <w:rPr>
                <w:rFonts w:eastAsia="標楷體"/>
                <w:b/>
                <w:bCs/>
                <w:szCs w:val="20"/>
              </w:rPr>
              <w:t>84.6</w:t>
            </w:r>
          </w:p>
        </w:tc>
        <w:tc>
          <w:tcPr>
            <w:tcW w:w="1119" w:type="dxa"/>
            <w:tcBorders>
              <w:top w:val="nil"/>
              <w:left w:val="nil"/>
              <w:bottom w:val="nil"/>
              <w:right w:val="nil"/>
            </w:tcBorders>
            <w:vAlign w:val="center"/>
          </w:tcPr>
          <w:p w:rsidR="00C17ACC" w:rsidRPr="003B6B9A" w:rsidRDefault="00C17ACC" w:rsidP="001040FB">
            <w:pPr>
              <w:jc w:val="center"/>
              <w:rPr>
                <w:rFonts w:eastAsia="標楷體"/>
                <w:b/>
                <w:bCs/>
                <w:szCs w:val="20"/>
              </w:rPr>
            </w:pPr>
            <w:r w:rsidRPr="003B6B9A">
              <w:rPr>
                <w:rFonts w:eastAsia="標楷體"/>
                <w:b/>
                <w:bCs/>
                <w:szCs w:val="20"/>
              </w:rPr>
              <w:t>52.4</w:t>
            </w:r>
          </w:p>
        </w:tc>
        <w:tc>
          <w:tcPr>
            <w:tcW w:w="1119" w:type="dxa"/>
            <w:tcBorders>
              <w:top w:val="nil"/>
              <w:left w:val="nil"/>
              <w:bottom w:val="nil"/>
              <w:right w:val="nil"/>
            </w:tcBorders>
            <w:vAlign w:val="center"/>
          </w:tcPr>
          <w:p w:rsidR="00C17ACC" w:rsidRPr="003B6B9A" w:rsidRDefault="00C17ACC" w:rsidP="001040FB">
            <w:pPr>
              <w:jc w:val="center"/>
              <w:rPr>
                <w:rFonts w:eastAsia="標楷體"/>
                <w:b/>
                <w:bCs/>
                <w:szCs w:val="20"/>
              </w:rPr>
            </w:pPr>
            <w:r w:rsidRPr="003B6B9A">
              <w:rPr>
                <w:rFonts w:eastAsia="標楷體"/>
                <w:b/>
                <w:bCs/>
                <w:szCs w:val="20"/>
              </w:rPr>
              <w:t>18.7</w:t>
            </w:r>
          </w:p>
        </w:tc>
        <w:tc>
          <w:tcPr>
            <w:tcW w:w="1119" w:type="dxa"/>
            <w:tcBorders>
              <w:top w:val="nil"/>
              <w:left w:val="nil"/>
              <w:bottom w:val="nil"/>
              <w:right w:val="nil"/>
            </w:tcBorders>
            <w:vAlign w:val="center"/>
          </w:tcPr>
          <w:p w:rsidR="00C17ACC" w:rsidRPr="003B6B9A" w:rsidRDefault="00C17ACC" w:rsidP="001040FB">
            <w:pPr>
              <w:jc w:val="center"/>
              <w:rPr>
                <w:rFonts w:eastAsia="標楷體"/>
                <w:b/>
                <w:bCs/>
                <w:szCs w:val="20"/>
              </w:rPr>
            </w:pPr>
            <w:r w:rsidRPr="003B6B9A">
              <w:rPr>
                <w:rFonts w:eastAsia="標楷體"/>
                <w:b/>
                <w:bCs/>
                <w:szCs w:val="20"/>
              </w:rPr>
              <w:t>67.8</w:t>
            </w:r>
          </w:p>
        </w:tc>
        <w:tc>
          <w:tcPr>
            <w:tcW w:w="1120" w:type="dxa"/>
            <w:tcBorders>
              <w:top w:val="nil"/>
              <w:left w:val="nil"/>
              <w:bottom w:val="nil"/>
              <w:right w:val="nil"/>
            </w:tcBorders>
            <w:vAlign w:val="center"/>
          </w:tcPr>
          <w:p w:rsidR="00C17ACC" w:rsidRPr="003B6B9A" w:rsidRDefault="00C17ACC" w:rsidP="001040FB">
            <w:pPr>
              <w:jc w:val="center"/>
              <w:rPr>
                <w:rFonts w:eastAsia="標楷體"/>
                <w:b/>
                <w:bCs/>
                <w:szCs w:val="20"/>
              </w:rPr>
            </w:pPr>
            <w:r w:rsidRPr="003B6B9A">
              <w:rPr>
                <w:rFonts w:eastAsia="標楷體"/>
                <w:b/>
                <w:bCs/>
                <w:szCs w:val="20"/>
              </w:rPr>
              <w:t>56.5</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31" w:right="459" w:hangingChars="13" w:hanging="31"/>
              <w:jc w:val="both"/>
              <w:rPr>
                <w:rFonts w:eastAsia="標楷體"/>
              </w:rPr>
            </w:pPr>
            <w:r w:rsidRPr="003B6B9A">
              <w:rPr>
                <w:rFonts w:eastAsia="標楷體"/>
                <w:b/>
                <w:bCs/>
              </w:rPr>
              <w:t xml:space="preserve"> 102</w:t>
            </w:r>
            <w:r w:rsidRPr="003B6B9A">
              <w:rPr>
                <w:rFonts w:eastAsia="標楷體"/>
                <w:b/>
                <w:bCs/>
              </w:rPr>
              <w:t>年</w:t>
            </w:r>
          </w:p>
        </w:tc>
        <w:tc>
          <w:tcPr>
            <w:tcW w:w="1119" w:type="dxa"/>
            <w:tcBorders>
              <w:top w:val="nil"/>
              <w:left w:val="nil"/>
              <w:bottom w:val="nil"/>
              <w:right w:val="nil"/>
            </w:tcBorders>
            <w:vAlign w:val="bottom"/>
          </w:tcPr>
          <w:p w:rsidR="00C17ACC" w:rsidRPr="003B6B9A" w:rsidRDefault="00C17ACC" w:rsidP="001040FB">
            <w:pPr>
              <w:jc w:val="center"/>
              <w:rPr>
                <w:rFonts w:eastAsia="標楷體"/>
                <w:b/>
                <w:szCs w:val="20"/>
              </w:rPr>
            </w:pPr>
            <w:r w:rsidRPr="003B6B9A">
              <w:rPr>
                <w:rFonts w:eastAsia="標楷體"/>
                <w:b/>
                <w:szCs w:val="20"/>
              </w:rPr>
              <w:t>51.5</w:t>
            </w:r>
          </w:p>
        </w:tc>
        <w:tc>
          <w:tcPr>
            <w:tcW w:w="1119" w:type="dxa"/>
            <w:tcBorders>
              <w:top w:val="nil"/>
              <w:left w:val="nil"/>
              <w:bottom w:val="nil"/>
              <w:right w:val="nil"/>
            </w:tcBorders>
            <w:vAlign w:val="bottom"/>
          </w:tcPr>
          <w:p w:rsidR="00C17ACC" w:rsidRPr="003B6B9A" w:rsidRDefault="00C17ACC" w:rsidP="001040FB">
            <w:pPr>
              <w:jc w:val="center"/>
              <w:rPr>
                <w:rFonts w:eastAsia="標楷體"/>
                <w:b/>
                <w:szCs w:val="20"/>
              </w:rPr>
            </w:pPr>
            <w:r w:rsidRPr="003B6B9A">
              <w:rPr>
                <w:rFonts w:eastAsia="標楷體"/>
                <w:b/>
                <w:szCs w:val="20"/>
              </w:rPr>
              <w:t>87.3</w:t>
            </w:r>
          </w:p>
        </w:tc>
        <w:tc>
          <w:tcPr>
            <w:tcW w:w="1119" w:type="dxa"/>
            <w:tcBorders>
              <w:top w:val="nil"/>
              <w:left w:val="nil"/>
              <w:bottom w:val="nil"/>
              <w:right w:val="nil"/>
            </w:tcBorders>
            <w:vAlign w:val="bottom"/>
          </w:tcPr>
          <w:p w:rsidR="00C17ACC" w:rsidRPr="003B6B9A" w:rsidRDefault="00C17ACC" w:rsidP="001040FB">
            <w:pPr>
              <w:jc w:val="center"/>
              <w:rPr>
                <w:rFonts w:eastAsia="標楷體"/>
                <w:b/>
                <w:szCs w:val="20"/>
              </w:rPr>
            </w:pPr>
            <w:r w:rsidRPr="003B6B9A">
              <w:rPr>
                <w:rFonts w:eastAsia="標楷體"/>
                <w:b/>
                <w:szCs w:val="20"/>
              </w:rPr>
              <w:t>50.7</w:t>
            </w:r>
          </w:p>
        </w:tc>
        <w:tc>
          <w:tcPr>
            <w:tcW w:w="1119" w:type="dxa"/>
            <w:tcBorders>
              <w:top w:val="nil"/>
              <w:left w:val="nil"/>
              <w:bottom w:val="nil"/>
              <w:right w:val="nil"/>
            </w:tcBorders>
            <w:vAlign w:val="bottom"/>
          </w:tcPr>
          <w:p w:rsidR="00C17ACC" w:rsidRPr="003B6B9A" w:rsidRDefault="00C17ACC" w:rsidP="001040FB">
            <w:pPr>
              <w:jc w:val="center"/>
              <w:rPr>
                <w:rFonts w:eastAsia="標楷體"/>
                <w:b/>
                <w:szCs w:val="20"/>
              </w:rPr>
            </w:pPr>
            <w:r w:rsidRPr="003B6B9A">
              <w:rPr>
                <w:rFonts w:eastAsia="標楷體"/>
                <w:b/>
                <w:szCs w:val="20"/>
              </w:rPr>
              <w:t>16.5</w:t>
            </w:r>
          </w:p>
        </w:tc>
        <w:tc>
          <w:tcPr>
            <w:tcW w:w="1119" w:type="dxa"/>
            <w:tcBorders>
              <w:top w:val="nil"/>
              <w:left w:val="nil"/>
              <w:bottom w:val="nil"/>
              <w:right w:val="nil"/>
            </w:tcBorders>
            <w:vAlign w:val="bottom"/>
          </w:tcPr>
          <w:p w:rsidR="00C17ACC" w:rsidRPr="003B6B9A" w:rsidRDefault="00C17ACC" w:rsidP="001040FB">
            <w:pPr>
              <w:jc w:val="center"/>
              <w:rPr>
                <w:rFonts w:eastAsia="標楷體"/>
                <w:b/>
                <w:szCs w:val="20"/>
              </w:rPr>
            </w:pPr>
            <w:r w:rsidRPr="003B6B9A">
              <w:rPr>
                <w:rFonts w:eastAsia="標楷體"/>
                <w:b/>
                <w:szCs w:val="20"/>
              </w:rPr>
              <w:t>69.0</w:t>
            </w:r>
          </w:p>
        </w:tc>
        <w:tc>
          <w:tcPr>
            <w:tcW w:w="1120" w:type="dxa"/>
            <w:tcBorders>
              <w:top w:val="nil"/>
              <w:left w:val="nil"/>
              <w:bottom w:val="nil"/>
              <w:right w:val="nil"/>
            </w:tcBorders>
            <w:vAlign w:val="bottom"/>
          </w:tcPr>
          <w:p w:rsidR="00C17ACC" w:rsidRPr="003B6B9A" w:rsidRDefault="00C17ACC" w:rsidP="001040FB">
            <w:pPr>
              <w:jc w:val="center"/>
              <w:rPr>
                <w:rFonts w:eastAsia="標楷體"/>
                <w:b/>
                <w:szCs w:val="20"/>
              </w:rPr>
            </w:pPr>
            <w:r w:rsidRPr="003B6B9A">
              <w:rPr>
                <w:rFonts w:eastAsia="標楷體"/>
                <w:b/>
                <w:szCs w:val="20"/>
              </w:rPr>
              <w:t>52.9</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31" w:right="459" w:hangingChars="13" w:hanging="31"/>
              <w:jc w:val="both"/>
              <w:rPr>
                <w:rFonts w:eastAsia="標楷體"/>
              </w:rPr>
            </w:pPr>
            <w:r w:rsidRPr="003B6B9A">
              <w:rPr>
                <w:rFonts w:eastAsia="標楷體"/>
                <w:b/>
                <w:bCs/>
              </w:rPr>
              <w:t xml:space="preserve"> 103</w:t>
            </w:r>
            <w:r w:rsidRPr="003B6B9A">
              <w:rPr>
                <w:rFonts w:eastAsia="標楷體"/>
                <w:b/>
                <w:bCs/>
              </w:rPr>
              <w:t>年</w:t>
            </w:r>
          </w:p>
        </w:tc>
        <w:tc>
          <w:tcPr>
            <w:tcW w:w="1119" w:type="dxa"/>
            <w:tcBorders>
              <w:top w:val="nil"/>
              <w:left w:val="nil"/>
              <w:bottom w:val="nil"/>
              <w:right w:val="nil"/>
            </w:tcBorders>
            <w:vAlign w:val="center"/>
          </w:tcPr>
          <w:p w:rsidR="00C17ACC" w:rsidRPr="003B6B9A" w:rsidRDefault="00C17ACC" w:rsidP="001040FB">
            <w:pPr>
              <w:jc w:val="center"/>
              <w:rPr>
                <w:rFonts w:eastAsia="標楷體"/>
                <w:b/>
                <w:szCs w:val="20"/>
              </w:rPr>
            </w:pPr>
            <w:r w:rsidRPr="003B6B9A">
              <w:rPr>
                <w:rFonts w:eastAsia="標楷體"/>
                <w:b/>
                <w:szCs w:val="20"/>
              </w:rPr>
              <w:t>52.6</w:t>
            </w:r>
          </w:p>
        </w:tc>
        <w:tc>
          <w:tcPr>
            <w:tcW w:w="1119" w:type="dxa"/>
            <w:tcBorders>
              <w:top w:val="nil"/>
              <w:left w:val="nil"/>
              <w:bottom w:val="nil"/>
              <w:right w:val="nil"/>
            </w:tcBorders>
            <w:vAlign w:val="center"/>
          </w:tcPr>
          <w:p w:rsidR="00C17ACC" w:rsidRPr="003B6B9A" w:rsidRDefault="00C17ACC" w:rsidP="001040FB">
            <w:pPr>
              <w:jc w:val="center"/>
              <w:rPr>
                <w:rFonts w:eastAsia="標楷體"/>
                <w:b/>
                <w:szCs w:val="20"/>
              </w:rPr>
            </w:pPr>
            <w:r w:rsidRPr="003B6B9A">
              <w:rPr>
                <w:rFonts w:eastAsia="標楷體"/>
                <w:b/>
                <w:szCs w:val="20"/>
              </w:rPr>
              <w:t>90.9</w:t>
            </w:r>
          </w:p>
        </w:tc>
        <w:tc>
          <w:tcPr>
            <w:tcW w:w="1119" w:type="dxa"/>
            <w:tcBorders>
              <w:top w:val="nil"/>
              <w:left w:val="nil"/>
              <w:bottom w:val="nil"/>
              <w:right w:val="nil"/>
            </w:tcBorders>
            <w:vAlign w:val="center"/>
          </w:tcPr>
          <w:p w:rsidR="00C17ACC" w:rsidRPr="003B6B9A" w:rsidRDefault="00C17ACC" w:rsidP="001040FB">
            <w:pPr>
              <w:jc w:val="center"/>
              <w:rPr>
                <w:rFonts w:eastAsia="標楷體"/>
                <w:b/>
                <w:szCs w:val="20"/>
              </w:rPr>
            </w:pPr>
            <w:r w:rsidRPr="003B6B9A">
              <w:rPr>
                <w:rFonts w:eastAsia="標楷體"/>
                <w:b/>
                <w:szCs w:val="20"/>
              </w:rPr>
              <w:t>51.7</w:t>
            </w:r>
          </w:p>
        </w:tc>
        <w:tc>
          <w:tcPr>
            <w:tcW w:w="1119" w:type="dxa"/>
            <w:tcBorders>
              <w:top w:val="nil"/>
              <w:left w:val="nil"/>
              <w:bottom w:val="nil"/>
              <w:right w:val="nil"/>
            </w:tcBorders>
            <w:vAlign w:val="center"/>
          </w:tcPr>
          <w:p w:rsidR="00C17ACC" w:rsidRPr="003B6B9A" w:rsidRDefault="00C17ACC" w:rsidP="001040FB">
            <w:pPr>
              <w:jc w:val="center"/>
              <w:rPr>
                <w:rFonts w:eastAsia="標楷體"/>
                <w:b/>
                <w:szCs w:val="20"/>
              </w:rPr>
            </w:pPr>
            <w:r w:rsidRPr="003B6B9A">
              <w:rPr>
                <w:rFonts w:eastAsia="標楷體"/>
                <w:b/>
                <w:szCs w:val="20"/>
              </w:rPr>
              <w:t>18.6</w:t>
            </w:r>
          </w:p>
        </w:tc>
        <w:tc>
          <w:tcPr>
            <w:tcW w:w="1119" w:type="dxa"/>
            <w:tcBorders>
              <w:top w:val="nil"/>
              <w:left w:val="nil"/>
              <w:bottom w:val="nil"/>
              <w:right w:val="nil"/>
            </w:tcBorders>
            <w:vAlign w:val="center"/>
          </w:tcPr>
          <w:p w:rsidR="00C17ACC" w:rsidRPr="003B6B9A" w:rsidRDefault="00C17ACC" w:rsidP="001040FB">
            <w:pPr>
              <w:jc w:val="center"/>
              <w:rPr>
                <w:rFonts w:eastAsia="標楷體"/>
                <w:b/>
                <w:szCs w:val="20"/>
              </w:rPr>
            </w:pPr>
            <w:r w:rsidRPr="003B6B9A">
              <w:rPr>
                <w:rFonts w:eastAsia="標楷體"/>
                <w:b/>
                <w:szCs w:val="20"/>
              </w:rPr>
              <w:t>67.9</w:t>
            </w:r>
          </w:p>
        </w:tc>
        <w:tc>
          <w:tcPr>
            <w:tcW w:w="1120" w:type="dxa"/>
            <w:tcBorders>
              <w:top w:val="nil"/>
              <w:left w:val="nil"/>
              <w:bottom w:val="nil"/>
              <w:right w:val="nil"/>
            </w:tcBorders>
            <w:vAlign w:val="center"/>
          </w:tcPr>
          <w:p w:rsidR="00C17ACC" w:rsidRPr="003B6B9A" w:rsidRDefault="00C17ACC" w:rsidP="001040FB">
            <w:pPr>
              <w:jc w:val="center"/>
              <w:rPr>
                <w:rFonts w:eastAsia="標楷體"/>
                <w:b/>
                <w:szCs w:val="20"/>
              </w:rPr>
            </w:pPr>
            <w:r w:rsidRPr="003B6B9A">
              <w:rPr>
                <w:rFonts w:eastAsia="標楷體"/>
                <w:b/>
                <w:szCs w:val="20"/>
              </w:rPr>
              <w:t>53.0</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Chars="-11" w:left="-26" w:right="240" w:firstLineChars="200" w:firstLine="480"/>
              <w:jc w:val="both"/>
              <w:rPr>
                <w:rFonts w:eastAsia="標楷體"/>
              </w:rPr>
            </w:pPr>
            <w:r w:rsidRPr="003B6B9A">
              <w:rPr>
                <w:rFonts w:eastAsia="標楷體"/>
              </w:rPr>
              <w:t>4</w:t>
            </w:r>
            <w:r w:rsidRPr="003B6B9A">
              <w:rPr>
                <w:rFonts w:eastAsia="標楷體"/>
              </w:rPr>
              <w:t>月</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49.9</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90.2</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51.4</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16.4</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65.3</w:t>
            </w:r>
          </w:p>
        </w:tc>
        <w:tc>
          <w:tcPr>
            <w:tcW w:w="1120"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53.3</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Chars="-11" w:left="-26" w:right="240" w:firstLineChars="200" w:firstLine="480"/>
              <w:jc w:val="both"/>
              <w:rPr>
                <w:rFonts w:eastAsia="標楷體"/>
              </w:rPr>
            </w:pPr>
            <w:r w:rsidRPr="003B6B9A">
              <w:rPr>
                <w:rFonts w:eastAsia="標楷體"/>
              </w:rPr>
              <w:t>5</w:t>
            </w:r>
            <w:r w:rsidRPr="003B6B9A">
              <w:rPr>
                <w:rFonts w:eastAsia="標楷體"/>
              </w:rPr>
              <w:t>月</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50.1</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89.9</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49.6</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19.7</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68.2</w:t>
            </w:r>
          </w:p>
        </w:tc>
        <w:tc>
          <w:tcPr>
            <w:tcW w:w="1120"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54.0</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Chars="-11" w:left="-26" w:right="240" w:firstLineChars="200" w:firstLine="480"/>
              <w:jc w:val="both"/>
              <w:rPr>
                <w:rFonts w:eastAsia="標楷體"/>
              </w:rPr>
            </w:pPr>
            <w:r w:rsidRPr="003B6B9A">
              <w:rPr>
                <w:rFonts w:eastAsia="標楷體"/>
              </w:rPr>
              <w:t>6</w:t>
            </w:r>
            <w:r w:rsidRPr="003B6B9A">
              <w:rPr>
                <w:rFonts w:eastAsia="標楷體"/>
              </w:rPr>
              <w:t>月</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52.1</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90.7</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52.0</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20.2</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67.6</w:t>
            </w:r>
          </w:p>
        </w:tc>
        <w:tc>
          <w:tcPr>
            <w:tcW w:w="1120"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56.4</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Chars="-11" w:left="-26" w:right="240" w:firstLineChars="200" w:firstLine="480"/>
              <w:jc w:val="both"/>
              <w:rPr>
                <w:rFonts w:eastAsia="標楷體"/>
              </w:rPr>
            </w:pPr>
            <w:r w:rsidRPr="003B6B9A">
              <w:rPr>
                <w:rFonts w:eastAsia="標楷體"/>
              </w:rPr>
              <w:t>7</w:t>
            </w:r>
            <w:r w:rsidRPr="003B6B9A">
              <w:rPr>
                <w:rFonts w:eastAsia="標楷體"/>
              </w:rPr>
              <w:t>月</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49.5</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92.0</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49.6</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18.8</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67.6</w:t>
            </w:r>
          </w:p>
        </w:tc>
        <w:tc>
          <w:tcPr>
            <w:tcW w:w="1120"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51.6</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Chars="-11" w:left="-26" w:right="240" w:firstLineChars="200" w:firstLine="480"/>
              <w:jc w:val="both"/>
              <w:rPr>
                <w:rFonts w:eastAsia="標楷體"/>
              </w:rPr>
            </w:pPr>
            <w:r w:rsidRPr="003B6B9A">
              <w:rPr>
                <w:rFonts w:eastAsia="標楷體"/>
              </w:rPr>
              <w:t>8</w:t>
            </w:r>
            <w:r w:rsidRPr="003B6B9A">
              <w:rPr>
                <w:rFonts w:eastAsia="標楷體"/>
              </w:rPr>
              <w:t>月</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50.9</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91.4</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50.1</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19.9</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68.0</w:t>
            </w:r>
          </w:p>
        </w:tc>
        <w:tc>
          <w:tcPr>
            <w:tcW w:w="1120"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52.1</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Chars="-11" w:left="-26" w:right="240" w:firstLineChars="200" w:firstLine="480"/>
              <w:jc w:val="both"/>
              <w:rPr>
                <w:rFonts w:eastAsia="標楷體"/>
              </w:rPr>
            </w:pPr>
            <w:r w:rsidRPr="003B6B9A">
              <w:rPr>
                <w:rFonts w:eastAsia="標楷體"/>
              </w:rPr>
              <w:t>9</w:t>
            </w:r>
            <w:r w:rsidRPr="003B6B9A">
              <w:rPr>
                <w:rFonts w:eastAsia="標楷體"/>
              </w:rPr>
              <w:t>月</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55.6</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92.0</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52.7</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23.6</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70.1</w:t>
            </w:r>
          </w:p>
        </w:tc>
        <w:tc>
          <w:tcPr>
            <w:tcW w:w="1120"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52.2</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Chars="-11" w:left="-26" w:right="240" w:firstLineChars="200" w:firstLine="480"/>
              <w:jc w:val="both"/>
              <w:rPr>
                <w:rFonts w:eastAsia="標楷體"/>
              </w:rPr>
            </w:pPr>
            <w:r w:rsidRPr="003B6B9A">
              <w:rPr>
                <w:rFonts w:eastAsia="標楷體"/>
              </w:rPr>
              <w:t>10</w:t>
            </w:r>
            <w:r w:rsidRPr="003B6B9A">
              <w:rPr>
                <w:rFonts w:eastAsia="標楷體"/>
              </w:rPr>
              <w:t>月</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55.1</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91.6</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53.4</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20.8</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68.6</w:t>
            </w:r>
          </w:p>
        </w:tc>
        <w:tc>
          <w:tcPr>
            <w:tcW w:w="1120"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52.8</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Chars="-11" w:left="-26" w:right="240" w:firstLineChars="200" w:firstLine="480"/>
              <w:jc w:val="both"/>
              <w:rPr>
                <w:rFonts w:eastAsia="標楷體"/>
              </w:rPr>
            </w:pPr>
            <w:r w:rsidRPr="003B6B9A">
              <w:rPr>
                <w:rFonts w:eastAsia="標楷體"/>
              </w:rPr>
              <w:t>11</w:t>
            </w:r>
            <w:r w:rsidRPr="003B6B9A">
              <w:rPr>
                <w:rFonts w:eastAsia="標楷體"/>
              </w:rPr>
              <w:t>月</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56.8</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91.9</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52.6</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21.7</w:t>
            </w:r>
          </w:p>
        </w:tc>
        <w:tc>
          <w:tcPr>
            <w:tcW w:w="1119"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68.8</w:t>
            </w:r>
          </w:p>
        </w:tc>
        <w:tc>
          <w:tcPr>
            <w:tcW w:w="1120" w:type="dxa"/>
            <w:tcBorders>
              <w:top w:val="nil"/>
              <w:left w:val="nil"/>
              <w:bottom w:val="nil"/>
              <w:right w:val="nil"/>
            </w:tcBorders>
            <w:vAlign w:val="bottom"/>
          </w:tcPr>
          <w:p w:rsidR="00C17ACC" w:rsidRPr="003B6B9A" w:rsidRDefault="00C17ACC" w:rsidP="001040FB">
            <w:pPr>
              <w:jc w:val="center"/>
              <w:rPr>
                <w:rFonts w:eastAsia="標楷體"/>
                <w:szCs w:val="20"/>
              </w:rPr>
            </w:pPr>
            <w:r w:rsidRPr="003B6B9A">
              <w:rPr>
                <w:rFonts w:eastAsia="標楷體"/>
                <w:szCs w:val="20"/>
              </w:rPr>
              <w:t>52.1</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Chars="-11" w:left="-26" w:right="240" w:firstLineChars="200" w:firstLine="480"/>
              <w:jc w:val="both"/>
              <w:rPr>
                <w:rFonts w:eastAsia="標楷體"/>
              </w:rPr>
            </w:pPr>
            <w:r w:rsidRPr="003B6B9A">
              <w:rPr>
                <w:rFonts w:eastAsia="標楷體"/>
              </w:rPr>
              <w:t>12</w:t>
            </w:r>
            <w:r w:rsidRPr="003B6B9A">
              <w:rPr>
                <w:rFonts w:eastAsia="標楷體"/>
              </w:rPr>
              <w:t>月</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57.5</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92.4</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55.9</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18.1</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68.0</w:t>
            </w:r>
          </w:p>
        </w:tc>
        <w:tc>
          <w:tcPr>
            <w:tcW w:w="1120"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52.2</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right="30"/>
              <w:rPr>
                <w:rFonts w:eastAsia="標楷體"/>
                <w:b/>
              </w:rPr>
            </w:pPr>
            <w:r w:rsidRPr="003B6B9A">
              <w:rPr>
                <w:rFonts w:eastAsia="標楷體"/>
                <w:b/>
              </w:rPr>
              <w:t>104</w:t>
            </w:r>
            <w:r w:rsidRPr="003B6B9A">
              <w:rPr>
                <w:rFonts w:eastAsia="標楷體"/>
                <w:b/>
              </w:rPr>
              <w:t>年</w:t>
            </w:r>
            <w:r w:rsidRPr="003B6B9A">
              <w:rPr>
                <w:rFonts w:eastAsia="標楷體"/>
                <w:b/>
              </w:rPr>
              <w:t>1~4</w:t>
            </w:r>
            <w:r w:rsidRPr="003B6B9A">
              <w:rPr>
                <w:rFonts w:eastAsia="標楷體"/>
                <w:b/>
              </w:rPr>
              <w:t>月</w:t>
            </w:r>
          </w:p>
        </w:tc>
        <w:tc>
          <w:tcPr>
            <w:tcW w:w="1119" w:type="dxa"/>
            <w:tcBorders>
              <w:top w:val="nil"/>
              <w:left w:val="nil"/>
              <w:bottom w:val="nil"/>
              <w:right w:val="nil"/>
            </w:tcBorders>
            <w:vAlign w:val="center"/>
          </w:tcPr>
          <w:p w:rsidR="00C17ACC" w:rsidRPr="003B6B9A" w:rsidRDefault="00C17ACC" w:rsidP="001040FB">
            <w:pPr>
              <w:jc w:val="center"/>
              <w:rPr>
                <w:rFonts w:eastAsia="標楷體"/>
                <w:b/>
                <w:szCs w:val="20"/>
              </w:rPr>
            </w:pPr>
            <w:r w:rsidRPr="003B6B9A">
              <w:rPr>
                <w:rFonts w:eastAsia="標楷體"/>
                <w:b/>
                <w:szCs w:val="20"/>
              </w:rPr>
              <w:t>53.1</w:t>
            </w:r>
          </w:p>
        </w:tc>
        <w:tc>
          <w:tcPr>
            <w:tcW w:w="1119" w:type="dxa"/>
            <w:tcBorders>
              <w:top w:val="nil"/>
              <w:left w:val="nil"/>
              <w:bottom w:val="nil"/>
              <w:right w:val="nil"/>
            </w:tcBorders>
            <w:vAlign w:val="center"/>
          </w:tcPr>
          <w:p w:rsidR="00C17ACC" w:rsidRPr="003B6B9A" w:rsidRDefault="00C17ACC" w:rsidP="001040FB">
            <w:pPr>
              <w:jc w:val="center"/>
              <w:rPr>
                <w:rFonts w:eastAsia="標楷體"/>
                <w:b/>
                <w:szCs w:val="20"/>
              </w:rPr>
            </w:pPr>
            <w:r w:rsidRPr="003B6B9A">
              <w:rPr>
                <w:rFonts w:eastAsia="標楷體"/>
                <w:b/>
                <w:szCs w:val="20"/>
              </w:rPr>
              <w:t>91.6</w:t>
            </w:r>
          </w:p>
        </w:tc>
        <w:tc>
          <w:tcPr>
            <w:tcW w:w="1119" w:type="dxa"/>
            <w:tcBorders>
              <w:top w:val="nil"/>
              <w:left w:val="nil"/>
              <w:bottom w:val="nil"/>
              <w:right w:val="nil"/>
            </w:tcBorders>
            <w:vAlign w:val="center"/>
          </w:tcPr>
          <w:p w:rsidR="00C17ACC" w:rsidRPr="003B6B9A" w:rsidRDefault="00C17ACC" w:rsidP="001040FB">
            <w:pPr>
              <w:jc w:val="center"/>
              <w:rPr>
                <w:rFonts w:eastAsia="標楷體"/>
                <w:b/>
                <w:szCs w:val="20"/>
              </w:rPr>
            </w:pPr>
            <w:r w:rsidRPr="003B6B9A">
              <w:rPr>
                <w:rFonts w:eastAsia="標楷體"/>
                <w:b/>
                <w:szCs w:val="20"/>
              </w:rPr>
              <w:t>50.9</w:t>
            </w:r>
          </w:p>
        </w:tc>
        <w:tc>
          <w:tcPr>
            <w:tcW w:w="1119" w:type="dxa"/>
            <w:tcBorders>
              <w:top w:val="nil"/>
              <w:left w:val="nil"/>
              <w:bottom w:val="nil"/>
              <w:right w:val="nil"/>
            </w:tcBorders>
            <w:vAlign w:val="center"/>
          </w:tcPr>
          <w:p w:rsidR="00C17ACC" w:rsidRPr="003B6B9A" w:rsidRDefault="00C17ACC" w:rsidP="001040FB">
            <w:pPr>
              <w:jc w:val="center"/>
              <w:rPr>
                <w:rFonts w:eastAsia="標楷體"/>
                <w:b/>
                <w:szCs w:val="20"/>
              </w:rPr>
            </w:pPr>
            <w:r w:rsidRPr="003B6B9A">
              <w:rPr>
                <w:rFonts w:eastAsia="標楷體"/>
                <w:b/>
                <w:szCs w:val="20"/>
              </w:rPr>
              <w:t>20.2</w:t>
            </w:r>
          </w:p>
        </w:tc>
        <w:tc>
          <w:tcPr>
            <w:tcW w:w="1119" w:type="dxa"/>
            <w:tcBorders>
              <w:top w:val="nil"/>
              <w:left w:val="nil"/>
              <w:bottom w:val="nil"/>
              <w:right w:val="nil"/>
            </w:tcBorders>
            <w:vAlign w:val="center"/>
          </w:tcPr>
          <w:p w:rsidR="00C17ACC" w:rsidRPr="003B6B9A" w:rsidRDefault="00C17ACC" w:rsidP="001040FB">
            <w:pPr>
              <w:jc w:val="center"/>
              <w:rPr>
                <w:rFonts w:eastAsia="標楷體"/>
                <w:b/>
                <w:szCs w:val="20"/>
              </w:rPr>
            </w:pPr>
            <w:r w:rsidRPr="003B6B9A">
              <w:rPr>
                <w:rFonts w:eastAsia="標楷體"/>
                <w:b/>
                <w:szCs w:val="20"/>
              </w:rPr>
              <w:t>65.7</w:t>
            </w:r>
          </w:p>
        </w:tc>
        <w:tc>
          <w:tcPr>
            <w:tcW w:w="1120" w:type="dxa"/>
            <w:tcBorders>
              <w:top w:val="nil"/>
              <w:left w:val="nil"/>
              <w:bottom w:val="nil"/>
              <w:right w:val="nil"/>
            </w:tcBorders>
            <w:vAlign w:val="center"/>
          </w:tcPr>
          <w:p w:rsidR="00C17ACC" w:rsidRPr="003B6B9A" w:rsidRDefault="00C17ACC" w:rsidP="001040FB">
            <w:pPr>
              <w:jc w:val="center"/>
              <w:rPr>
                <w:rFonts w:eastAsia="標楷體"/>
                <w:b/>
                <w:szCs w:val="20"/>
              </w:rPr>
            </w:pPr>
            <w:r w:rsidRPr="003B6B9A">
              <w:rPr>
                <w:rFonts w:eastAsia="標楷體"/>
                <w:b/>
                <w:szCs w:val="20"/>
              </w:rPr>
              <w:t>50.5</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Chars="-11" w:left="-26" w:right="240" w:firstLineChars="200" w:firstLine="480"/>
              <w:jc w:val="both"/>
              <w:rPr>
                <w:rFonts w:eastAsia="標楷體"/>
              </w:rPr>
            </w:pPr>
            <w:r w:rsidRPr="003B6B9A">
              <w:rPr>
                <w:rFonts w:eastAsia="標楷體"/>
              </w:rPr>
              <w:t>1</w:t>
            </w:r>
            <w:r w:rsidRPr="003B6B9A">
              <w:rPr>
                <w:rFonts w:eastAsia="標楷體"/>
              </w:rPr>
              <w:t>月</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54.8</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92.1</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51.1</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19.8</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67.7</w:t>
            </w:r>
          </w:p>
        </w:tc>
        <w:tc>
          <w:tcPr>
            <w:tcW w:w="1120"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50.3</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Chars="-11" w:left="-26" w:right="240" w:firstLineChars="200" w:firstLine="480"/>
              <w:jc w:val="both"/>
              <w:rPr>
                <w:rFonts w:eastAsia="標楷體"/>
              </w:rPr>
            </w:pPr>
            <w:r w:rsidRPr="003B6B9A">
              <w:rPr>
                <w:rFonts w:eastAsia="標楷體"/>
              </w:rPr>
              <w:t>2</w:t>
            </w:r>
            <w:r w:rsidRPr="003B6B9A">
              <w:rPr>
                <w:rFonts w:eastAsia="標楷體"/>
              </w:rPr>
              <w:t>月</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52.3</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91.9</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50.1</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22.2</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62.8</w:t>
            </w:r>
          </w:p>
        </w:tc>
        <w:tc>
          <w:tcPr>
            <w:tcW w:w="1120"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50.0</w:t>
            </w:r>
          </w:p>
        </w:tc>
      </w:tr>
      <w:tr w:rsidR="00C17ACC" w:rsidRPr="003B6B9A" w:rsidTr="001040FB">
        <w:trPr>
          <w:trHeight w:val="86"/>
          <w:jc w:val="center"/>
        </w:trPr>
        <w:tc>
          <w:tcPr>
            <w:tcW w:w="1448" w:type="dxa"/>
            <w:tcBorders>
              <w:top w:val="nil"/>
              <w:left w:val="nil"/>
              <w:bottom w:val="nil"/>
              <w:right w:val="single" w:sz="4" w:space="0" w:color="auto"/>
            </w:tcBorders>
          </w:tcPr>
          <w:p w:rsidR="00C17ACC" w:rsidRPr="003B6B9A" w:rsidRDefault="00C17ACC" w:rsidP="001040FB">
            <w:pPr>
              <w:snapToGrid w:val="0"/>
              <w:spacing w:line="400" w:lineRule="exact"/>
              <w:ind w:leftChars="-11" w:left="-26" w:right="240" w:firstLineChars="200" w:firstLine="480"/>
              <w:jc w:val="both"/>
              <w:rPr>
                <w:rFonts w:eastAsia="標楷體"/>
              </w:rPr>
            </w:pPr>
            <w:r w:rsidRPr="003B6B9A">
              <w:rPr>
                <w:rFonts w:eastAsia="標楷體"/>
              </w:rPr>
              <w:t>3</w:t>
            </w:r>
            <w:r w:rsidRPr="003B6B9A">
              <w:rPr>
                <w:rFonts w:eastAsia="標楷體"/>
              </w:rPr>
              <w:t>月</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52.1</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90.9</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50.7</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20.4</w:t>
            </w:r>
          </w:p>
        </w:tc>
        <w:tc>
          <w:tcPr>
            <w:tcW w:w="1119"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64.0</w:t>
            </w:r>
          </w:p>
        </w:tc>
        <w:tc>
          <w:tcPr>
            <w:tcW w:w="1120" w:type="dxa"/>
            <w:tcBorders>
              <w:top w:val="nil"/>
              <w:left w:val="nil"/>
              <w:bottom w:val="nil"/>
              <w:right w:val="nil"/>
            </w:tcBorders>
            <w:vAlign w:val="center"/>
          </w:tcPr>
          <w:p w:rsidR="00C17ACC" w:rsidRPr="003B6B9A" w:rsidRDefault="00C17ACC" w:rsidP="001040FB">
            <w:pPr>
              <w:jc w:val="center"/>
              <w:rPr>
                <w:rFonts w:eastAsia="標楷體"/>
                <w:szCs w:val="20"/>
              </w:rPr>
            </w:pPr>
            <w:r w:rsidRPr="003B6B9A">
              <w:rPr>
                <w:rFonts w:eastAsia="標楷體"/>
                <w:szCs w:val="20"/>
              </w:rPr>
              <w:t>49.9</w:t>
            </w:r>
          </w:p>
        </w:tc>
      </w:tr>
      <w:tr w:rsidR="00C17ACC" w:rsidRPr="003B6B9A" w:rsidTr="001040FB">
        <w:trPr>
          <w:trHeight w:val="86"/>
          <w:jc w:val="center"/>
        </w:trPr>
        <w:tc>
          <w:tcPr>
            <w:tcW w:w="1448" w:type="dxa"/>
            <w:tcBorders>
              <w:top w:val="nil"/>
              <w:left w:val="nil"/>
              <w:bottom w:val="single" w:sz="4" w:space="0" w:color="auto"/>
              <w:right w:val="single" w:sz="4" w:space="0" w:color="auto"/>
            </w:tcBorders>
          </w:tcPr>
          <w:p w:rsidR="00C17ACC" w:rsidRPr="003B6B9A" w:rsidRDefault="00C17ACC" w:rsidP="001040FB">
            <w:pPr>
              <w:snapToGrid w:val="0"/>
              <w:spacing w:line="400" w:lineRule="exact"/>
              <w:ind w:leftChars="-11" w:left="-26" w:right="240" w:firstLineChars="200" w:firstLine="480"/>
              <w:jc w:val="both"/>
              <w:rPr>
                <w:rFonts w:eastAsia="標楷體"/>
              </w:rPr>
            </w:pPr>
            <w:r w:rsidRPr="003B6B9A">
              <w:rPr>
                <w:rFonts w:eastAsia="標楷體"/>
              </w:rPr>
              <w:t>4</w:t>
            </w:r>
            <w:r w:rsidRPr="003B6B9A">
              <w:rPr>
                <w:rFonts w:eastAsia="標楷體"/>
              </w:rPr>
              <w:t>月</w:t>
            </w:r>
          </w:p>
        </w:tc>
        <w:tc>
          <w:tcPr>
            <w:tcW w:w="1119" w:type="dxa"/>
            <w:tcBorders>
              <w:top w:val="nil"/>
              <w:left w:val="nil"/>
              <w:bottom w:val="single" w:sz="4" w:space="0" w:color="auto"/>
              <w:right w:val="nil"/>
            </w:tcBorders>
            <w:vAlign w:val="center"/>
          </w:tcPr>
          <w:p w:rsidR="00C17ACC" w:rsidRPr="003B6B9A" w:rsidRDefault="00C17ACC" w:rsidP="001040FB">
            <w:pPr>
              <w:jc w:val="center"/>
              <w:rPr>
                <w:rFonts w:eastAsia="標楷體"/>
                <w:szCs w:val="20"/>
              </w:rPr>
            </w:pPr>
            <w:r w:rsidRPr="003B6B9A">
              <w:rPr>
                <w:rFonts w:eastAsia="標楷體"/>
                <w:szCs w:val="20"/>
              </w:rPr>
              <w:t>53.1</w:t>
            </w:r>
          </w:p>
        </w:tc>
        <w:tc>
          <w:tcPr>
            <w:tcW w:w="1119" w:type="dxa"/>
            <w:tcBorders>
              <w:top w:val="nil"/>
              <w:left w:val="nil"/>
              <w:bottom w:val="single" w:sz="4" w:space="0" w:color="auto"/>
              <w:right w:val="nil"/>
            </w:tcBorders>
            <w:vAlign w:val="center"/>
          </w:tcPr>
          <w:p w:rsidR="00C17ACC" w:rsidRPr="003B6B9A" w:rsidRDefault="00C17ACC" w:rsidP="001040FB">
            <w:pPr>
              <w:jc w:val="center"/>
              <w:rPr>
                <w:rFonts w:eastAsia="標楷體"/>
                <w:szCs w:val="20"/>
              </w:rPr>
            </w:pPr>
            <w:r w:rsidRPr="003B6B9A">
              <w:rPr>
                <w:rFonts w:eastAsia="標楷體"/>
                <w:szCs w:val="20"/>
              </w:rPr>
              <w:t>91.4</w:t>
            </w:r>
          </w:p>
        </w:tc>
        <w:tc>
          <w:tcPr>
            <w:tcW w:w="1119" w:type="dxa"/>
            <w:tcBorders>
              <w:top w:val="nil"/>
              <w:left w:val="nil"/>
              <w:bottom w:val="single" w:sz="4" w:space="0" w:color="auto"/>
              <w:right w:val="nil"/>
            </w:tcBorders>
            <w:vAlign w:val="center"/>
          </w:tcPr>
          <w:p w:rsidR="00C17ACC" w:rsidRPr="003B6B9A" w:rsidRDefault="00C17ACC" w:rsidP="001040FB">
            <w:pPr>
              <w:jc w:val="center"/>
              <w:rPr>
                <w:rFonts w:eastAsia="標楷體"/>
                <w:szCs w:val="20"/>
              </w:rPr>
            </w:pPr>
            <w:r w:rsidRPr="003B6B9A">
              <w:rPr>
                <w:rFonts w:eastAsia="標楷體"/>
                <w:szCs w:val="20"/>
              </w:rPr>
              <w:t>51.7</w:t>
            </w:r>
          </w:p>
        </w:tc>
        <w:tc>
          <w:tcPr>
            <w:tcW w:w="1119" w:type="dxa"/>
            <w:tcBorders>
              <w:top w:val="nil"/>
              <w:left w:val="nil"/>
              <w:bottom w:val="single" w:sz="4" w:space="0" w:color="auto"/>
              <w:right w:val="nil"/>
            </w:tcBorders>
            <w:vAlign w:val="center"/>
          </w:tcPr>
          <w:p w:rsidR="00C17ACC" w:rsidRPr="003B6B9A" w:rsidRDefault="00C17ACC" w:rsidP="001040FB">
            <w:pPr>
              <w:jc w:val="center"/>
              <w:rPr>
                <w:rFonts w:eastAsia="標楷體"/>
                <w:szCs w:val="20"/>
              </w:rPr>
            </w:pPr>
            <w:r w:rsidRPr="003B6B9A">
              <w:rPr>
                <w:rFonts w:eastAsia="標楷體"/>
                <w:szCs w:val="20"/>
              </w:rPr>
              <w:t>18.4</w:t>
            </w:r>
          </w:p>
        </w:tc>
        <w:tc>
          <w:tcPr>
            <w:tcW w:w="1119" w:type="dxa"/>
            <w:tcBorders>
              <w:top w:val="nil"/>
              <w:left w:val="nil"/>
              <w:bottom w:val="single" w:sz="4" w:space="0" w:color="auto"/>
              <w:right w:val="nil"/>
            </w:tcBorders>
            <w:vAlign w:val="center"/>
          </w:tcPr>
          <w:p w:rsidR="00C17ACC" w:rsidRPr="003B6B9A" w:rsidRDefault="00C17ACC" w:rsidP="001040FB">
            <w:pPr>
              <w:jc w:val="center"/>
              <w:rPr>
                <w:rFonts w:eastAsia="標楷體"/>
                <w:szCs w:val="20"/>
              </w:rPr>
            </w:pPr>
            <w:r w:rsidRPr="003B6B9A">
              <w:rPr>
                <w:rFonts w:eastAsia="標楷體"/>
                <w:szCs w:val="20"/>
              </w:rPr>
              <w:t>68.4</w:t>
            </w:r>
          </w:p>
        </w:tc>
        <w:tc>
          <w:tcPr>
            <w:tcW w:w="1120" w:type="dxa"/>
            <w:tcBorders>
              <w:top w:val="nil"/>
              <w:left w:val="nil"/>
              <w:bottom w:val="single" w:sz="4" w:space="0" w:color="auto"/>
              <w:right w:val="nil"/>
            </w:tcBorders>
            <w:vAlign w:val="center"/>
          </w:tcPr>
          <w:p w:rsidR="00C17ACC" w:rsidRPr="003B6B9A" w:rsidRDefault="00C17ACC" w:rsidP="001040FB">
            <w:pPr>
              <w:jc w:val="center"/>
              <w:rPr>
                <w:rFonts w:eastAsia="標楷體"/>
                <w:szCs w:val="20"/>
              </w:rPr>
            </w:pPr>
            <w:r w:rsidRPr="003B6B9A">
              <w:rPr>
                <w:rFonts w:eastAsia="標楷體"/>
                <w:szCs w:val="20"/>
              </w:rPr>
              <w:t>51.6</w:t>
            </w:r>
          </w:p>
        </w:tc>
      </w:tr>
    </w:tbl>
    <w:p w:rsidR="003F3F99" w:rsidRPr="00B118E9" w:rsidRDefault="003F3F99" w:rsidP="003F3F99">
      <w:pPr>
        <w:widowControl/>
        <w:snapToGrid w:val="0"/>
        <w:spacing w:line="240" w:lineRule="atLeast"/>
        <w:jc w:val="both"/>
        <w:rPr>
          <w:rFonts w:eastAsia="標楷體"/>
          <w:kern w:val="0"/>
          <w:sz w:val="22"/>
          <w:szCs w:val="22"/>
        </w:rPr>
      </w:pPr>
      <w:r w:rsidRPr="00B118E9">
        <w:rPr>
          <w:rFonts w:eastAsia="標楷體"/>
          <w:kern w:val="0"/>
          <w:sz w:val="22"/>
          <w:szCs w:val="22"/>
        </w:rPr>
        <w:t>資料來源：經濟部統計處。</w:t>
      </w:r>
    </w:p>
    <w:p w:rsidR="003F3F99" w:rsidRPr="00B118E9" w:rsidRDefault="003F3F99" w:rsidP="003F3F99">
      <w:pPr>
        <w:widowControl/>
        <w:snapToGrid w:val="0"/>
        <w:spacing w:line="240" w:lineRule="atLeast"/>
        <w:jc w:val="both"/>
        <w:rPr>
          <w:rFonts w:eastAsia="標楷體"/>
          <w:color w:val="FF0000"/>
          <w:kern w:val="0"/>
          <w:szCs w:val="20"/>
        </w:rPr>
      </w:pPr>
    </w:p>
    <w:p w:rsidR="003F3F99" w:rsidRPr="00B118E9" w:rsidRDefault="003F3F99" w:rsidP="003F3F99">
      <w:pPr>
        <w:spacing w:afterLines="50" w:after="180"/>
        <w:jc w:val="center"/>
        <w:rPr>
          <w:rFonts w:eastAsia="標楷體"/>
          <w:b/>
          <w:sz w:val="28"/>
          <w:szCs w:val="28"/>
        </w:rPr>
      </w:pPr>
      <w:r w:rsidRPr="00B118E9">
        <w:rPr>
          <w:rFonts w:eastAsia="標楷體"/>
          <w:b/>
          <w:sz w:val="28"/>
          <w:szCs w:val="28"/>
        </w:rPr>
        <w:t>表</w:t>
      </w:r>
      <w:r w:rsidRPr="00B118E9">
        <w:rPr>
          <w:rFonts w:eastAsia="標楷體"/>
          <w:b/>
          <w:sz w:val="28"/>
          <w:szCs w:val="28"/>
        </w:rPr>
        <w:t xml:space="preserve"> 2-5-4</w:t>
      </w:r>
      <w:r w:rsidRPr="00B118E9">
        <w:rPr>
          <w:rFonts w:eastAsia="標楷體"/>
          <w:b/>
          <w:sz w:val="28"/>
          <w:szCs w:val="28"/>
        </w:rPr>
        <w:t xml:space="preserve">　我國在各主要地區（國家）外銷接單情形</w:t>
      </w:r>
    </w:p>
    <w:tbl>
      <w:tblPr>
        <w:tblW w:w="7492" w:type="dxa"/>
        <w:jc w:val="center"/>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378"/>
        <w:gridCol w:w="2226"/>
        <w:gridCol w:w="2888"/>
      </w:tblGrid>
      <w:tr w:rsidR="00C17ACC" w:rsidRPr="003B6B9A" w:rsidTr="001040FB">
        <w:trPr>
          <w:cantSplit/>
          <w:trHeight w:val="304"/>
          <w:jc w:val="center"/>
        </w:trPr>
        <w:tc>
          <w:tcPr>
            <w:tcW w:w="2378" w:type="dxa"/>
            <w:vMerge w:val="restart"/>
            <w:tcBorders>
              <w:left w:val="nil"/>
            </w:tcBorders>
            <w:vAlign w:val="center"/>
          </w:tcPr>
          <w:p w:rsidR="00C17ACC" w:rsidRPr="003B6B9A" w:rsidRDefault="00C17ACC" w:rsidP="001040FB">
            <w:pPr>
              <w:snapToGrid w:val="0"/>
              <w:spacing w:line="360" w:lineRule="atLeast"/>
              <w:ind w:left="28" w:right="-40"/>
              <w:jc w:val="center"/>
              <w:rPr>
                <w:rFonts w:eastAsia="標楷體"/>
              </w:rPr>
            </w:pPr>
            <w:r w:rsidRPr="003B6B9A">
              <w:rPr>
                <w:rFonts w:eastAsia="標楷體"/>
                <w:kern w:val="0"/>
                <w:sz w:val="22"/>
                <w:szCs w:val="22"/>
              </w:rPr>
              <w:t xml:space="preserve">　　</w:t>
            </w:r>
            <w:r w:rsidRPr="003B6B9A">
              <w:rPr>
                <w:rFonts w:eastAsia="標楷體"/>
              </w:rPr>
              <w:t>地區別</w:t>
            </w:r>
          </w:p>
        </w:tc>
        <w:tc>
          <w:tcPr>
            <w:tcW w:w="5114" w:type="dxa"/>
            <w:gridSpan w:val="2"/>
            <w:tcBorders>
              <w:bottom w:val="single" w:sz="4" w:space="0" w:color="auto"/>
              <w:right w:val="nil"/>
            </w:tcBorders>
            <w:vAlign w:val="center"/>
          </w:tcPr>
          <w:p w:rsidR="00C17ACC" w:rsidRPr="003B6B9A" w:rsidRDefault="00C17ACC" w:rsidP="001040FB">
            <w:pPr>
              <w:snapToGrid w:val="0"/>
              <w:spacing w:line="360" w:lineRule="atLeast"/>
              <w:ind w:left="28" w:right="-40"/>
              <w:jc w:val="center"/>
              <w:rPr>
                <w:rFonts w:eastAsia="標楷體"/>
              </w:rPr>
            </w:pPr>
            <w:r w:rsidRPr="003B6B9A">
              <w:rPr>
                <w:rFonts w:eastAsia="標楷體"/>
              </w:rPr>
              <w:t>104</w:t>
            </w:r>
            <w:r w:rsidRPr="003B6B9A">
              <w:rPr>
                <w:rFonts w:eastAsia="標楷體"/>
              </w:rPr>
              <w:t>年</w:t>
            </w:r>
            <w:r w:rsidRPr="003B6B9A">
              <w:rPr>
                <w:rFonts w:eastAsia="標楷體"/>
              </w:rPr>
              <w:t>4</w:t>
            </w:r>
            <w:r w:rsidRPr="003B6B9A">
              <w:rPr>
                <w:rFonts w:eastAsia="標楷體"/>
              </w:rPr>
              <w:t>月</w:t>
            </w:r>
          </w:p>
        </w:tc>
      </w:tr>
      <w:tr w:rsidR="00C17ACC" w:rsidRPr="003B6B9A" w:rsidTr="001040FB">
        <w:trPr>
          <w:cantSplit/>
          <w:trHeight w:val="135"/>
          <w:jc w:val="center"/>
        </w:trPr>
        <w:tc>
          <w:tcPr>
            <w:tcW w:w="2378" w:type="dxa"/>
            <w:vMerge/>
            <w:tcBorders>
              <w:left w:val="nil"/>
              <w:bottom w:val="single" w:sz="4" w:space="0" w:color="auto"/>
            </w:tcBorders>
            <w:vAlign w:val="center"/>
          </w:tcPr>
          <w:p w:rsidR="00C17ACC" w:rsidRPr="003B6B9A" w:rsidRDefault="00C17ACC" w:rsidP="001040FB">
            <w:pPr>
              <w:snapToGrid w:val="0"/>
              <w:spacing w:line="360" w:lineRule="atLeast"/>
              <w:ind w:left="28" w:right="-40"/>
              <w:jc w:val="center"/>
              <w:rPr>
                <w:rFonts w:eastAsia="標楷體"/>
              </w:rPr>
            </w:pPr>
          </w:p>
        </w:tc>
        <w:tc>
          <w:tcPr>
            <w:tcW w:w="2226" w:type="dxa"/>
            <w:tcBorders>
              <w:bottom w:val="single" w:sz="4" w:space="0" w:color="auto"/>
            </w:tcBorders>
            <w:vAlign w:val="center"/>
          </w:tcPr>
          <w:p w:rsidR="00C17ACC" w:rsidRPr="003B6B9A" w:rsidRDefault="00C17ACC" w:rsidP="001040FB">
            <w:pPr>
              <w:snapToGrid w:val="0"/>
              <w:spacing w:line="360" w:lineRule="atLeast"/>
              <w:ind w:left="28" w:right="-40"/>
              <w:jc w:val="center"/>
              <w:rPr>
                <w:rFonts w:eastAsia="標楷體"/>
              </w:rPr>
            </w:pPr>
            <w:r w:rsidRPr="003B6B9A">
              <w:rPr>
                <w:rFonts w:eastAsia="標楷體"/>
              </w:rPr>
              <w:t>金額</w:t>
            </w:r>
          </w:p>
          <w:p w:rsidR="00C17ACC" w:rsidRPr="003B6B9A" w:rsidRDefault="00C17ACC" w:rsidP="001040FB">
            <w:pPr>
              <w:snapToGrid w:val="0"/>
              <w:spacing w:line="360" w:lineRule="atLeast"/>
              <w:ind w:left="28" w:right="-40"/>
              <w:jc w:val="center"/>
              <w:rPr>
                <w:rFonts w:eastAsia="標楷體"/>
              </w:rPr>
            </w:pPr>
            <w:r w:rsidRPr="003B6B9A">
              <w:rPr>
                <w:rFonts w:eastAsia="標楷體"/>
              </w:rPr>
              <w:t>(</w:t>
            </w:r>
            <w:r w:rsidRPr="003B6B9A">
              <w:rPr>
                <w:rFonts w:eastAsia="標楷體"/>
              </w:rPr>
              <w:t>億美元</w:t>
            </w:r>
            <w:r w:rsidRPr="003B6B9A">
              <w:rPr>
                <w:rFonts w:eastAsia="標楷體"/>
              </w:rPr>
              <w:t>)</w:t>
            </w:r>
          </w:p>
        </w:tc>
        <w:tc>
          <w:tcPr>
            <w:tcW w:w="2888" w:type="dxa"/>
            <w:tcBorders>
              <w:bottom w:val="single" w:sz="4" w:space="0" w:color="auto"/>
              <w:right w:val="nil"/>
            </w:tcBorders>
            <w:vAlign w:val="center"/>
          </w:tcPr>
          <w:p w:rsidR="00C17ACC" w:rsidRPr="003B6B9A" w:rsidRDefault="00C17ACC" w:rsidP="001040FB">
            <w:pPr>
              <w:adjustRightInd w:val="0"/>
              <w:snapToGrid w:val="0"/>
              <w:spacing w:line="360" w:lineRule="atLeast"/>
              <w:jc w:val="center"/>
              <w:rPr>
                <w:rFonts w:eastAsia="標楷體"/>
              </w:rPr>
            </w:pPr>
            <w:r w:rsidRPr="003B6B9A">
              <w:rPr>
                <w:rFonts w:eastAsia="標楷體"/>
              </w:rPr>
              <w:t>較</w:t>
            </w:r>
            <w:r w:rsidRPr="003B6B9A">
              <w:rPr>
                <w:rFonts w:eastAsia="標楷體"/>
              </w:rPr>
              <w:t>103</w:t>
            </w:r>
            <w:r w:rsidRPr="003B6B9A">
              <w:rPr>
                <w:rFonts w:eastAsia="標楷體"/>
              </w:rPr>
              <w:t>年同月增減率</w:t>
            </w:r>
            <w:r w:rsidRPr="003B6B9A">
              <w:rPr>
                <w:rFonts w:eastAsia="標楷體"/>
              </w:rPr>
              <w:t>(%)</w:t>
            </w:r>
          </w:p>
        </w:tc>
      </w:tr>
      <w:tr w:rsidR="00C17ACC" w:rsidRPr="003B6B9A" w:rsidTr="001040FB">
        <w:trPr>
          <w:jc w:val="center"/>
        </w:trPr>
        <w:tc>
          <w:tcPr>
            <w:tcW w:w="2378" w:type="dxa"/>
            <w:tcBorders>
              <w:left w:val="nil"/>
              <w:bottom w:val="nil"/>
            </w:tcBorders>
          </w:tcPr>
          <w:p w:rsidR="00C17ACC" w:rsidRPr="003B6B9A" w:rsidRDefault="00C17ACC" w:rsidP="001040FB">
            <w:pPr>
              <w:snapToGrid w:val="0"/>
              <w:spacing w:line="360" w:lineRule="atLeast"/>
              <w:ind w:left="28" w:right="-40"/>
              <w:jc w:val="center"/>
              <w:rPr>
                <w:rFonts w:eastAsia="標楷體"/>
              </w:rPr>
            </w:pPr>
            <w:r w:rsidRPr="003B6B9A">
              <w:rPr>
                <w:rFonts w:eastAsia="標楷體"/>
              </w:rPr>
              <w:t>美國</w:t>
            </w:r>
          </w:p>
        </w:tc>
        <w:tc>
          <w:tcPr>
            <w:tcW w:w="2226" w:type="dxa"/>
            <w:tcBorders>
              <w:bottom w:val="nil"/>
              <w:right w:val="nil"/>
            </w:tcBorders>
            <w:vAlign w:val="center"/>
          </w:tcPr>
          <w:p w:rsidR="00C17ACC" w:rsidRPr="003B6B9A" w:rsidRDefault="00C17ACC" w:rsidP="001040FB">
            <w:pPr>
              <w:snapToGrid w:val="0"/>
              <w:spacing w:line="360" w:lineRule="atLeast"/>
              <w:ind w:left="28" w:right="-40"/>
              <w:jc w:val="center"/>
              <w:rPr>
                <w:rFonts w:eastAsia="標楷體"/>
              </w:rPr>
            </w:pPr>
            <w:r w:rsidRPr="003B6B9A">
              <w:rPr>
                <w:rFonts w:eastAsia="標楷體"/>
              </w:rPr>
              <w:t>105.9</w:t>
            </w:r>
          </w:p>
        </w:tc>
        <w:tc>
          <w:tcPr>
            <w:tcW w:w="2888" w:type="dxa"/>
            <w:tcBorders>
              <w:bottom w:val="nil"/>
              <w:right w:val="nil"/>
            </w:tcBorders>
          </w:tcPr>
          <w:p w:rsidR="00C17ACC" w:rsidRPr="003B6B9A" w:rsidRDefault="00C17ACC" w:rsidP="001040FB">
            <w:pPr>
              <w:snapToGrid w:val="0"/>
              <w:spacing w:line="360" w:lineRule="atLeast"/>
              <w:ind w:left="28" w:right="1070"/>
              <w:jc w:val="right"/>
              <w:rPr>
                <w:rFonts w:eastAsia="標楷體"/>
              </w:rPr>
            </w:pPr>
            <w:r w:rsidRPr="003B6B9A">
              <w:rPr>
                <w:rFonts w:eastAsia="標楷體"/>
              </w:rPr>
              <w:t>14.0</w:t>
            </w:r>
          </w:p>
        </w:tc>
      </w:tr>
      <w:tr w:rsidR="00C17ACC" w:rsidRPr="003B6B9A" w:rsidTr="001040FB">
        <w:trPr>
          <w:jc w:val="center"/>
        </w:trPr>
        <w:tc>
          <w:tcPr>
            <w:tcW w:w="2378" w:type="dxa"/>
            <w:tcBorders>
              <w:top w:val="nil"/>
              <w:left w:val="nil"/>
              <w:bottom w:val="nil"/>
            </w:tcBorders>
          </w:tcPr>
          <w:p w:rsidR="00C17ACC" w:rsidRPr="003B6B9A" w:rsidRDefault="00C17ACC" w:rsidP="001040FB">
            <w:pPr>
              <w:snapToGrid w:val="0"/>
              <w:spacing w:line="360" w:lineRule="atLeast"/>
              <w:ind w:left="28" w:right="-40"/>
              <w:jc w:val="center"/>
              <w:rPr>
                <w:rFonts w:eastAsia="標楷體"/>
              </w:rPr>
            </w:pPr>
            <w:r w:rsidRPr="003B6B9A">
              <w:rPr>
                <w:rFonts w:eastAsia="標楷體"/>
              </w:rPr>
              <w:t>中國大陸（含香港）</w:t>
            </w:r>
          </w:p>
        </w:tc>
        <w:tc>
          <w:tcPr>
            <w:tcW w:w="2226" w:type="dxa"/>
            <w:tcBorders>
              <w:top w:val="nil"/>
              <w:bottom w:val="nil"/>
              <w:right w:val="nil"/>
            </w:tcBorders>
            <w:vAlign w:val="center"/>
          </w:tcPr>
          <w:p w:rsidR="00C17ACC" w:rsidRPr="003B6B9A" w:rsidRDefault="00C17ACC" w:rsidP="001040FB">
            <w:pPr>
              <w:snapToGrid w:val="0"/>
              <w:spacing w:line="360" w:lineRule="atLeast"/>
              <w:ind w:left="28" w:right="-40"/>
              <w:jc w:val="center"/>
              <w:rPr>
                <w:rFonts w:eastAsia="標楷體"/>
              </w:rPr>
            </w:pPr>
            <w:r w:rsidRPr="003B6B9A">
              <w:rPr>
                <w:rFonts w:eastAsia="標楷體"/>
              </w:rPr>
              <w:t>91.7</w:t>
            </w:r>
          </w:p>
        </w:tc>
        <w:tc>
          <w:tcPr>
            <w:tcW w:w="2888" w:type="dxa"/>
            <w:tcBorders>
              <w:top w:val="nil"/>
              <w:bottom w:val="nil"/>
              <w:right w:val="nil"/>
            </w:tcBorders>
          </w:tcPr>
          <w:p w:rsidR="00C17ACC" w:rsidRPr="003B6B9A" w:rsidRDefault="00C17ACC" w:rsidP="001040FB">
            <w:pPr>
              <w:snapToGrid w:val="0"/>
              <w:spacing w:line="360" w:lineRule="atLeast"/>
              <w:ind w:left="28" w:right="1070"/>
              <w:jc w:val="right"/>
              <w:rPr>
                <w:rFonts w:eastAsia="標楷體"/>
              </w:rPr>
            </w:pPr>
            <w:r w:rsidRPr="003B6B9A">
              <w:rPr>
                <w:rFonts w:eastAsia="標楷體"/>
              </w:rPr>
              <w:t>-10.3</w:t>
            </w:r>
          </w:p>
        </w:tc>
      </w:tr>
      <w:tr w:rsidR="00C17ACC" w:rsidRPr="003B6B9A" w:rsidTr="001040FB">
        <w:trPr>
          <w:jc w:val="center"/>
        </w:trPr>
        <w:tc>
          <w:tcPr>
            <w:tcW w:w="2378" w:type="dxa"/>
            <w:tcBorders>
              <w:top w:val="nil"/>
              <w:left w:val="nil"/>
              <w:bottom w:val="nil"/>
            </w:tcBorders>
          </w:tcPr>
          <w:p w:rsidR="00C17ACC" w:rsidRPr="003B6B9A" w:rsidRDefault="00C17ACC" w:rsidP="001040FB">
            <w:pPr>
              <w:snapToGrid w:val="0"/>
              <w:spacing w:line="360" w:lineRule="atLeast"/>
              <w:ind w:left="28" w:right="-40"/>
              <w:jc w:val="center"/>
              <w:rPr>
                <w:rFonts w:eastAsia="標楷體"/>
              </w:rPr>
            </w:pPr>
            <w:r w:rsidRPr="003B6B9A">
              <w:rPr>
                <w:rFonts w:eastAsia="標楷體"/>
              </w:rPr>
              <w:t>歐洲</w:t>
            </w:r>
          </w:p>
        </w:tc>
        <w:tc>
          <w:tcPr>
            <w:tcW w:w="2226" w:type="dxa"/>
            <w:tcBorders>
              <w:top w:val="nil"/>
              <w:bottom w:val="nil"/>
              <w:right w:val="nil"/>
            </w:tcBorders>
            <w:vAlign w:val="center"/>
          </w:tcPr>
          <w:p w:rsidR="00C17ACC" w:rsidRPr="003B6B9A" w:rsidRDefault="00C17ACC" w:rsidP="001040FB">
            <w:pPr>
              <w:snapToGrid w:val="0"/>
              <w:spacing w:line="360" w:lineRule="atLeast"/>
              <w:ind w:left="28" w:right="-40"/>
              <w:jc w:val="center"/>
              <w:rPr>
                <w:rFonts w:eastAsia="標楷體"/>
              </w:rPr>
            </w:pPr>
            <w:r w:rsidRPr="003B6B9A">
              <w:rPr>
                <w:rFonts w:eastAsia="標楷體"/>
              </w:rPr>
              <w:t>68.5</w:t>
            </w:r>
          </w:p>
        </w:tc>
        <w:tc>
          <w:tcPr>
            <w:tcW w:w="2888" w:type="dxa"/>
            <w:tcBorders>
              <w:top w:val="nil"/>
              <w:bottom w:val="nil"/>
              <w:right w:val="nil"/>
            </w:tcBorders>
          </w:tcPr>
          <w:p w:rsidR="00C17ACC" w:rsidRPr="003B6B9A" w:rsidRDefault="00C17ACC" w:rsidP="001040FB">
            <w:pPr>
              <w:snapToGrid w:val="0"/>
              <w:spacing w:line="360" w:lineRule="atLeast"/>
              <w:ind w:left="28" w:right="1070"/>
              <w:jc w:val="right"/>
              <w:rPr>
                <w:rFonts w:eastAsia="標楷體"/>
              </w:rPr>
            </w:pPr>
            <w:r w:rsidRPr="003B6B9A">
              <w:rPr>
                <w:rFonts w:eastAsia="標楷體"/>
              </w:rPr>
              <w:t>5.8</w:t>
            </w:r>
          </w:p>
        </w:tc>
      </w:tr>
      <w:tr w:rsidR="00C17ACC" w:rsidRPr="003B6B9A" w:rsidTr="001040FB">
        <w:trPr>
          <w:jc w:val="center"/>
        </w:trPr>
        <w:tc>
          <w:tcPr>
            <w:tcW w:w="2378" w:type="dxa"/>
            <w:tcBorders>
              <w:top w:val="nil"/>
              <w:left w:val="nil"/>
              <w:bottom w:val="nil"/>
            </w:tcBorders>
          </w:tcPr>
          <w:p w:rsidR="00C17ACC" w:rsidRPr="003B6B9A" w:rsidRDefault="00C17ACC" w:rsidP="001040FB">
            <w:pPr>
              <w:snapToGrid w:val="0"/>
              <w:spacing w:line="360" w:lineRule="atLeast"/>
              <w:ind w:left="28" w:right="-40"/>
              <w:jc w:val="center"/>
              <w:rPr>
                <w:rFonts w:eastAsia="標楷體"/>
              </w:rPr>
            </w:pPr>
            <w:r w:rsidRPr="003B6B9A">
              <w:rPr>
                <w:rFonts w:eastAsia="標楷體"/>
              </w:rPr>
              <w:t>東協六國</w:t>
            </w:r>
          </w:p>
        </w:tc>
        <w:tc>
          <w:tcPr>
            <w:tcW w:w="2226" w:type="dxa"/>
            <w:tcBorders>
              <w:top w:val="nil"/>
              <w:bottom w:val="nil"/>
              <w:right w:val="nil"/>
            </w:tcBorders>
            <w:vAlign w:val="center"/>
          </w:tcPr>
          <w:p w:rsidR="00C17ACC" w:rsidRPr="003B6B9A" w:rsidRDefault="00C17ACC" w:rsidP="001040FB">
            <w:pPr>
              <w:snapToGrid w:val="0"/>
              <w:spacing w:line="360" w:lineRule="atLeast"/>
              <w:ind w:left="28" w:right="-40"/>
              <w:jc w:val="center"/>
              <w:rPr>
                <w:rFonts w:eastAsia="標楷體"/>
              </w:rPr>
            </w:pPr>
            <w:r w:rsidRPr="003B6B9A">
              <w:rPr>
                <w:rFonts w:eastAsia="標楷體"/>
              </w:rPr>
              <w:t>41.9</w:t>
            </w:r>
          </w:p>
        </w:tc>
        <w:tc>
          <w:tcPr>
            <w:tcW w:w="2888" w:type="dxa"/>
            <w:tcBorders>
              <w:top w:val="nil"/>
              <w:bottom w:val="nil"/>
              <w:right w:val="nil"/>
            </w:tcBorders>
          </w:tcPr>
          <w:p w:rsidR="00C17ACC" w:rsidRPr="003B6B9A" w:rsidRDefault="00C17ACC" w:rsidP="001040FB">
            <w:pPr>
              <w:snapToGrid w:val="0"/>
              <w:spacing w:line="360" w:lineRule="atLeast"/>
              <w:ind w:left="28" w:right="1070"/>
              <w:jc w:val="right"/>
              <w:rPr>
                <w:rFonts w:eastAsia="標楷體"/>
              </w:rPr>
            </w:pPr>
            <w:r w:rsidRPr="003B6B9A">
              <w:rPr>
                <w:rFonts w:eastAsia="標楷體"/>
              </w:rPr>
              <w:t>-7.9</w:t>
            </w:r>
          </w:p>
        </w:tc>
      </w:tr>
      <w:tr w:rsidR="00C17ACC" w:rsidRPr="003B6B9A" w:rsidTr="001040FB">
        <w:trPr>
          <w:trHeight w:val="425"/>
          <w:jc w:val="center"/>
        </w:trPr>
        <w:tc>
          <w:tcPr>
            <w:tcW w:w="2378" w:type="dxa"/>
            <w:tcBorders>
              <w:top w:val="nil"/>
              <w:left w:val="nil"/>
            </w:tcBorders>
          </w:tcPr>
          <w:p w:rsidR="00C17ACC" w:rsidRPr="003B6B9A" w:rsidRDefault="00C17ACC" w:rsidP="001040FB">
            <w:pPr>
              <w:snapToGrid w:val="0"/>
              <w:spacing w:line="360" w:lineRule="atLeast"/>
              <w:ind w:left="28" w:right="-40"/>
              <w:jc w:val="center"/>
              <w:rPr>
                <w:rFonts w:eastAsia="標楷體"/>
              </w:rPr>
            </w:pPr>
            <w:r w:rsidRPr="003B6B9A">
              <w:rPr>
                <w:rFonts w:eastAsia="標楷體"/>
              </w:rPr>
              <w:t>日本</w:t>
            </w:r>
          </w:p>
        </w:tc>
        <w:tc>
          <w:tcPr>
            <w:tcW w:w="2226" w:type="dxa"/>
            <w:tcBorders>
              <w:top w:val="nil"/>
              <w:right w:val="nil"/>
            </w:tcBorders>
            <w:vAlign w:val="center"/>
          </w:tcPr>
          <w:p w:rsidR="00C17ACC" w:rsidRPr="003B6B9A" w:rsidRDefault="00C17ACC" w:rsidP="001040FB">
            <w:pPr>
              <w:snapToGrid w:val="0"/>
              <w:spacing w:line="360" w:lineRule="atLeast"/>
              <w:ind w:left="28" w:right="-40"/>
              <w:jc w:val="center"/>
              <w:rPr>
                <w:rFonts w:eastAsia="標楷體"/>
              </w:rPr>
            </w:pPr>
            <w:r w:rsidRPr="003B6B9A">
              <w:rPr>
                <w:rFonts w:eastAsia="標楷體"/>
              </w:rPr>
              <w:t>25.1</w:t>
            </w:r>
          </w:p>
        </w:tc>
        <w:tc>
          <w:tcPr>
            <w:tcW w:w="2888" w:type="dxa"/>
            <w:tcBorders>
              <w:top w:val="nil"/>
              <w:right w:val="nil"/>
            </w:tcBorders>
          </w:tcPr>
          <w:p w:rsidR="00C17ACC" w:rsidRPr="003B6B9A" w:rsidRDefault="00C17ACC" w:rsidP="001040FB">
            <w:pPr>
              <w:snapToGrid w:val="0"/>
              <w:spacing w:line="360" w:lineRule="atLeast"/>
              <w:ind w:left="28" w:right="1070"/>
              <w:jc w:val="right"/>
              <w:rPr>
                <w:rFonts w:eastAsia="標楷體"/>
              </w:rPr>
            </w:pPr>
            <w:r w:rsidRPr="003B6B9A">
              <w:rPr>
                <w:rFonts w:eastAsia="標楷體"/>
              </w:rPr>
              <w:t>-29.0</w:t>
            </w:r>
          </w:p>
        </w:tc>
      </w:tr>
    </w:tbl>
    <w:p w:rsidR="003F3F99" w:rsidRPr="00B118E9" w:rsidRDefault="003F3F99" w:rsidP="00AD2585">
      <w:pPr>
        <w:widowControl/>
        <w:snapToGrid w:val="0"/>
        <w:spacing w:line="240" w:lineRule="atLeast"/>
        <w:ind w:leftChars="177" w:left="425" w:firstLine="1"/>
        <w:rPr>
          <w:rFonts w:eastAsia="標楷體"/>
          <w:kern w:val="0"/>
          <w:sz w:val="22"/>
          <w:szCs w:val="22"/>
        </w:rPr>
      </w:pPr>
      <w:r w:rsidRPr="00B118E9">
        <w:rPr>
          <w:rFonts w:eastAsia="標楷體"/>
          <w:kern w:val="0"/>
          <w:sz w:val="22"/>
          <w:szCs w:val="22"/>
        </w:rPr>
        <w:t>資料來源：經濟部統計處。</w:t>
      </w:r>
    </w:p>
    <w:p w:rsidR="003F3F99" w:rsidRPr="00B118E9" w:rsidRDefault="003F3F99" w:rsidP="003F3F99">
      <w:pPr>
        <w:widowControl/>
        <w:rPr>
          <w:rFonts w:eastAsia="標楷體"/>
          <w:color w:val="FF0000"/>
          <w:kern w:val="0"/>
          <w:sz w:val="22"/>
          <w:szCs w:val="22"/>
        </w:rPr>
      </w:pPr>
      <w:r w:rsidRPr="00B118E9">
        <w:rPr>
          <w:rFonts w:eastAsia="標楷體"/>
          <w:color w:val="FF0000"/>
          <w:sz w:val="22"/>
          <w:szCs w:val="22"/>
        </w:rPr>
        <w:br w:type="page"/>
      </w:r>
    </w:p>
    <w:p w:rsidR="000F332D" w:rsidRPr="00B118E9" w:rsidRDefault="000F332D" w:rsidP="00CE6F96">
      <w:pPr>
        <w:pStyle w:val="t-3"/>
        <w:snapToGrid w:val="0"/>
        <w:spacing w:beforeLines="50" w:before="180"/>
        <w:ind w:right="-60"/>
      </w:pPr>
      <w:bookmarkStart w:id="103" w:name="_Toc401923799"/>
      <w:bookmarkStart w:id="104" w:name="_Toc402171716"/>
      <w:bookmarkStart w:id="105" w:name="_Toc420680041"/>
      <w:r w:rsidRPr="00B118E9">
        <w:t>（六）投資</w:t>
      </w:r>
      <w:bookmarkEnd w:id="103"/>
      <w:bookmarkEnd w:id="104"/>
      <w:bookmarkEnd w:id="105"/>
    </w:p>
    <w:p w:rsidR="00576223" w:rsidRPr="00B118E9" w:rsidRDefault="00576223" w:rsidP="00347E1B">
      <w:pPr>
        <w:pStyle w:val="k3a"/>
        <w:tabs>
          <w:tab w:val="left" w:pos="540"/>
        </w:tabs>
        <w:spacing w:before="180" w:line="288" w:lineRule="auto"/>
        <w:ind w:leftChars="0" w:left="0" w:right="0" w:firstLineChars="0" w:firstLine="0"/>
        <w:rPr>
          <w:b/>
          <w:bCs/>
        </w:rPr>
      </w:pPr>
      <w:r w:rsidRPr="00B118E9">
        <w:rPr>
          <w:b/>
          <w:bCs/>
        </w:rPr>
        <w:t>１、</w:t>
      </w:r>
      <w:r w:rsidR="00C17ACC" w:rsidRPr="003B6B9A">
        <w:rPr>
          <w:b/>
          <w:bCs/>
        </w:rPr>
        <w:t>10</w:t>
      </w:r>
      <w:r w:rsidR="00C17ACC" w:rsidRPr="003B6B9A">
        <w:rPr>
          <w:rFonts w:hint="eastAsia"/>
          <w:b/>
          <w:bCs/>
        </w:rPr>
        <w:t>4</w:t>
      </w:r>
      <w:r w:rsidR="00C17ACC" w:rsidRPr="003B6B9A">
        <w:rPr>
          <w:b/>
          <w:bCs/>
        </w:rPr>
        <w:t>年國內投資成長率預</w:t>
      </w:r>
      <w:r w:rsidR="00C17ACC" w:rsidRPr="003B6B9A">
        <w:rPr>
          <w:rFonts w:hint="eastAsia"/>
          <w:b/>
          <w:bCs/>
        </w:rPr>
        <w:t>估</w:t>
      </w:r>
      <w:r w:rsidR="00C17ACC" w:rsidRPr="003B6B9A">
        <w:rPr>
          <w:b/>
          <w:bCs/>
        </w:rPr>
        <w:t>為</w:t>
      </w:r>
      <w:r w:rsidR="00C17ACC" w:rsidRPr="003B6B9A">
        <w:rPr>
          <w:rFonts w:hint="eastAsia"/>
          <w:b/>
          <w:bCs/>
        </w:rPr>
        <w:t>2.00</w:t>
      </w:r>
      <w:r w:rsidR="00C17ACC" w:rsidRPr="003B6B9A">
        <w:rPr>
          <w:b/>
          <w:bCs/>
        </w:rPr>
        <w:t>%</w:t>
      </w:r>
    </w:p>
    <w:p w:rsidR="00576223" w:rsidRPr="00B118E9" w:rsidRDefault="00502216" w:rsidP="0051181B">
      <w:pPr>
        <w:pStyle w:val="afffff"/>
        <w:numPr>
          <w:ilvl w:val="0"/>
          <w:numId w:val="6"/>
        </w:numPr>
        <w:snapToGrid w:val="0"/>
        <w:spacing w:before="180" w:line="300" w:lineRule="auto"/>
        <w:ind w:leftChars="0" w:left="715" w:rightChars="-59" w:right="-142" w:firstLineChars="0" w:hanging="431"/>
        <w:rPr>
          <w:rFonts w:ascii="Times New Roman" w:eastAsia="標楷體" w:hAnsi="Times New Roman"/>
          <w:sz w:val="28"/>
          <w:szCs w:val="28"/>
        </w:rPr>
      </w:pPr>
      <w:r w:rsidRPr="003B6B9A">
        <w:rPr>
          <w:rFonts w:ascii="Times New Roman" w:eastAsia="標楷體" w:hAnsi="Times New Roman"/>
          <w:sz w:val="28"/>
          <w:szCs w:val="28"/>
        </w:rPr>
        <w:t>民間投資方面，雖國內航空公司購機金額因部分改採租賃方式而減少，營建投資亦在房市降溫下呈現平疲，但行動通訊產品對高階晶片需求持續，以及物聯網、巨量資料等應用商機興起，半導體及相關供應鏈業者投資可望延續，預測</w:t>
      </w:r>
      <w:r w:rsidRPr="003B6B9A">
        <w:rPr>
          <w:rFonts w:ascii="Times New Roman" w:eastAsia="標楷體" w:hAnsi="Times New Roman"/>
          <w:sz w:val="28"/>
          <w:szCs w:val="28"/>
        </w:rPr>
        <w:t>104</w:t>
      </w:r>
      <w:r w:rsidRPr="003B6B9A">
        <w:rPr>
          <w:rFonts w:ascii="Times New Roman" w:eastAsia="標楷體" w:hAnsi="Times New Roman"/>
          <w:sz w:val="28"/>
          <w:szCs w:val="28"/>
        </w:rPr>
        <w:t>年民間投資實質成長</w:t>
      </w:r>
      <w:r w:rsidRPr="003B6B9A">
        <w:rPr>
          <w:rFonts w:ascii="Times New Roman" w:eastAsia="標楷體" w:hAnsi="Times New Roman"/>
          <w:sz w:val="28"/>
          <w:szCs w:val="28"/>
        </w:rPr>
        <w:t>4.02</w:t>
      </w:r>
      <w:r>
        <w:rPr>
          <w:rFonts w:ascii="Times New Roman" w:eastAsia="標楷體" w:hAnsi="Times New Roman" w:hint="eastAsia"/>
          <w:sz w:val="28"/>
          <w:szCs w:val="28"/>
        </w:rPr>
        <w:t>%</w:t>
      </w:r>
      <w:r w:rsidRPr="003B6B9A">
        <w:rPr>
          <w:rFonts w:ascii="Times New Roman" w:eastAsia="標楷體" w:hAnsi="Times New Roman"/>
          <w:sz w:val="28"/>
          <w:szCs w:val="28"/>
        </w:rPr>
        <w:t>。</w:t>
      </w:r>
    </w:p>
    <w:p w:rsidR="003B21DD" w:rsidRDefault="00502216" w:rsidP="0051181B">
      <w:pPr>
        <w:pStyle w:val="afffff"/>
        <w:numPr>
          <w:ilvl w:val="0"/>
          <w:numId w:val="6"/>
        </w:numPr>
        <w:snapToGrid w:val="0"/>
        <w:spacing w:before="180" w:line="300" w:lineRule="auto"/>
        <w:ind w:leftChars="0" w:left="714" w:rightChars="-59" w:right="-142" w:firstLineChars="0" w:hanging="430"/>
        <w:rPr>
          <w:rFonts w:ascii="Times New Roman" w:eastAsia="標楷體" w:hAnsi="Times New Roman"/>
          <w:sz w:val="28"/>
          <w:szCs w:val="28"/>
        </w:rPr>
      </w:pPr>
      <w:r w:rsidRPr="003B6B9A">
        <w:rPr>
          <w:rFonts w:ascii="Times New Roman" w:eastAsia="標楷體" w:hAnsi="Times New Roman" w:hint="eastAsia"/>
          <w:sz w:val="28"/>
          <w:szCs w:val="28"/>
        </w:rPr>
        <w:t>政府</w:t>
      </w:r>
      <w:r w:rsidRPr="003B6B9A">
        <w:rPr>
          <w:rFonts w:ascii="Times New Roman" w:eastAsia="標楷體" w:hAnsi="Times New Roman"/>
          <w:sz w:val="28"/>
          <w:szCs w:val="28"/>
        </w:rPr>
        <w:t>投資</w:t>
      </w:r>
      <w:r w:rsidRPr="003B6B9A">
        <w:rPr>
          <w:rFonts w:ascii="Times New Roman" w:eastAsia="標楷體" w:hAnsi="Times New Roman" w:hint="eastAsia"/>
          <w:sz w:val="28"/>
          <w:szCs w:val="28"/>
        </w:rPr>
        <w:t>方面，預測</w:t>
      </w:r>
      <w:r w:rsidRPr="003B6B9A">
        <w:rPr>
          <w:rFonts w:ascii="Times New Roman" w:eastAsia="標楷體" w:hAnsi="Times New Roman" w:hint="eastAsia"/>
          <w:sz w:val="28"/>
          <w:szCs w:val="28"/>
        </w:rPr>
        <w:t>104</w:t>
      </w:r>
      <w:r w:rsidRPr="003B6B9A">
        <w:rPr>
          <w:rFonts w:ascii="Times New Roman" w:eastAsia="標楷體" w:hAnsi="Times New Roman" w:hint="eastAsia"/>
          <w:sz w:val="28"/>
          <w:szCs w:val="28"/>
        </w:rPr>
        <w:t>年負</w:t>
      </w:r>
      <w:r w:rsidRPr="003B6B9A">
        <w:rPr>
          <w:rFonts w:ascii="Times New Roman" w:eastAsia="標楷體" w:hAnsi="Times New Roman"/>
          <w:sz w:val="28"/>
          <w:szCs w:val="28"/>
        </w:rPr>
        <w:t>成長</w:t>
      </w:r>
      <w:r w:rsidRPr="003B6B9A">
        <w:rPr>
          <w:rFonts w:ascii="Times New Roman" w:eastAsia="標楷體" w:hAnsi="Times New Roman" w:hint="eastAsia"/>
          <w:sz w:val="28"/>
          <w:szCs w:val="28"/>
        </w:rPr>
        <w:t>4.37%</w:t>
      </w:r>
      <w:r w:rsidRPr="003B6B9A">
        <w:rPr>
          <w:rFonts w:ascii="Times New Roman" w:eastAsia="標楷體" w:hAnsi="Times New Roman" w:hint="eastAsia"/>
          <w:sz w:val="28"/>
          <w:szCs w:val="28"/>
        </w:rPr>
        <w:t>，公營事業投資亦負成長</w:t>
      </w:r>
      <w:r w:rsidRPr="003B6B9A">
        <w:rPr>
          <w:rFonts w:ascii="Times New Roman" w:eastAsia="標楷體" w:hAnsi="Times New Roman" w:hint="eastAsia"/>
          <w:sz w:val="28"/>
          <w:szCs w:val="28"/>
        </w:rPr>
        <w:t>10.98%</w:t>
      </w:r>
      <w:r w:rsidRPr="003B6B9A">
        <w:rPr>
          <w:rFonts w:ascii="Times New Roman" w:eastAsia="標楷體" w:hAnsi="Times New Roman"/>
          <w:sz w:val="28"/>
          <w:szCs w:val="28"/>
        </w:rPr>
        <w:t>。</w:t>
      </w:r>
    </w:p>
    <w:p w:rsidR="00502216" w:rsidRDefault="00502216" w:rsidP="00502216">
      <w:pPr>
        <w:pStyle w:val="afffff"/>
        <w:snapToGrid w:val="0"/>
        <w:spacing w:before="180" w:line="300" w:lineRule="auto"/>
        <w:ind w:leftChars="0" w:left="714" w:rightChars="-59" w:right="-142" w:firstLineChars="0" w:firstLine="0"/>
        <w:rPr>
          <w:rFonts w:ascii="Times New Roman" w:eastAsia="標楷體" w:hAnsi="Times New Roman"/>
          <w:sz w:val="28"/>
          <w:szCs w:val="28"/>
        </w:rPr>
      </w:pPr>
    </w:p>
    <w:p w:rsidR="00576223" w:rsidRPr="00B118E9" w:rsidRDefault="00576223" w:rsidP="00502216">
      <w:pPr>
        <w:snapToGrid w:val="0"/>
        <w:spacing w:beforeLines="50" w:before="180"/>
        <w:jc w:val="center"/>
        <w:rPr>
          <w:rFonts w:eastAsia="標楷體"/>
          <w:b/>
          <w:bCs/>
          <w:sz w:val="28"/>
        </w:rPr>
      </w:pPr>
      <w:r w:rsidRPr="00B118E9">
        <w:rPr>
          <w:rFonts w:eastAsia="標楷體"/>
          <w:b/>
          <w:bCs/>
          <w:sz w:val="28"/>
        </w:rPr>
        <w:t>表</w:t>
      </w:r>
      <w:r w:rsidRPr="00B118E9">
        <w:rPr>
          <w:rFonts w:eastAsia="標楷體"/>
          <w:b/>
          <w:bCs/>
          <w:sz w:val="28"/>
        </w:rPr>
        <w:t xml:space="preserve"> 2-6-1  </w:t>
      </w:r>
      <w:r w:rsidRPr="00B118E9">
        <w:rPr>
          <w:rFonts w:eastAsia="標楷體"/>
          <w:b/>
          <w:bCs/>
          <w:sz w:val="28"/>
        </w:rPr>
        <w:t>國內固定資本形成毛額</w:t>
      </w:r>
    </w:p>
    <w:p w:rsidR="00576223" w:rsidRPr="00B118E9" w:rsidRDefault="00576223" w:rsidP="005D1A75">
      <w:pPr>
        <w:snapToGrid w:val="0"/>
        <w:spacing w:line="240" w:lineRule="atLeast"/>
        <w:ind w:rightChars="13" w:right="31"/>
        <w:jc w:val="right"/>
        <w:rPr>
          <w:rFonts w:eastAsia="標楷體"/>
          <w:b/>
          <w:bCs/>
        </w:rPr>
      </w:pPr>
      <w:r w:rsidRPr="00B118E9">
        <w:rPr>
          <w:rFonts w:eastAsia="標楷體"/>
        </w:rPr>
        <w:t>單位：億元；</w:t>
      </w:r>
      <w:r w:rsidR="00502216">
        <w:rPr>
          <w:rFonts w:eastAsia="標楷體" w:hint="eastAsia"/>
        </w:rPr>
        <w:t>%</w:t>
      </w:r>
    </w:p>
    <w:tbl>
      <w:tblPr>
        <w:tblW w:w="8561" w:type="dxa"/>
        <w:jc w:val="center"/>
        <w:tblInd w:w="-34" w:type="dxa"/>
        <w:tblBorders>
          <w:top w:val="single" w:sz="4" w:space="0" w:color="auto"/>
          <w:bottom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61"/>
        <w:gridCol w:w="833"/>
        <w:gridCol w:w="900"/>
        <w:gridCol w:w="865"/>
        <w:gridCol w:w="935"/>
        <w:gridCol w:w="865"/>
        <w:gridCol w:w="935"/>
        <w:gridCol w:w="900"/>
        <w:gridCol w:w="967"/>
      </w:tblGrid>
      <w:tr w:rsidR="00502216" w:rsidRPr="003B6B9A" w:rsidTr="001040FB">
        <w:trPr>
          <w:cantSplit/>
          <w:jc w:val="center"/>
        </w:trPr>
        <w:tc>
          <w:tcPr>
            <w:tcW w:w="1361" w:type="dxa"/>
            <w:tcBorders>
              <w:top w:val="single" w:sz="4" w:space="0" w:color="auto"/>
              <w:left w:val="nil"/>
              <w:bottom w:val="nil"/>
            </w:tcBorders>
          </w:tcPr>
          <w:p w:rsidR="00502216" w:rsidRPr="003B6B9A" w:rsidRDefault="00502216" w:rsidP="001040FB">
            <w:pPr>
              <w:snapToGrid w:val="0"/>
              <w:spacing w:line="360" w:lineRule="exact"/>
              <w:jc w:val="both"/>
              <w:rPr>
                <w:rFonts w:eastAsia="標楷體"/>
              </w:rPr>
            </w:pPr>
          </w:p>
        </w:tc>
        <w:tc>
          <w:tcPr>
            <w:tcW w:w="1733" w:type="dxa"/>
            <w:gridSpan w:val="2"/>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國內投資</w:t>
            </w:r>
          </w:p>
        </w:tc>
        <w:tc>
          <w:tcPr>
            <w:tcW w:w="1800" w:type="dxa"/>
            <w:gridSpan w:val="2"/>
            <w:tcBorders>
              <w:top w:val="single" w:sz="4" w:space="0" w:color="auto"/>
              <w:bottom w:val="single" w:sz="4" w:space="0" w:color="auto"/>
            </w:tcBorders>
            <w:vAlign w:val="center"/>
          </w:tcPr>
          <w:p w:rsidR="00502216" w:rsidRPr="003B6B9A" w:rsidRDefault="00502216" w:rsidP="001040FB">
            <w:pPr>
              <w:tabs>
                <w:tab w:val="left" w:pos="1590"/>
              </w:tabs>
              <w:snapToGrid w:val="0"/>
              <w:spacing w:line="360" w:lineRule="exact"/>
              <w:jc w:val="center"/>
              <w:rPr>
                <w:rFonts w:eastAsia="標楷體"/>
              </w:rPr>
            </w:pPr>
            <w:r w:rsidRPr="003B6B9A">
              <w:rPr>
                <w:rFonts w:eastAsia="標楷體"/>
              </w:rPr>
              <w:t>民間投資</w:t>
            </w:r>
          </w:p>
        </w:tc>
        <w:tc>
          <w:tcPr>
            <w:tcW w:w="1800" w:type="dxa"/>
            <w:gridSpan w:val="2"/>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公營事業投資</w:t>
            </w:r>
          </w:p>
        </w:tc>
        <w:tc>
          <w:tcPr>
            <w:tcW w:w="1867" w:type="dxa"/>
            <w:gridSpan w:val="2"/>
            <w:tcBorders>
              <w:top w:val="single" w:sz="4" w:space="0" w:color="auto"/>
              <w:bottom w:val="single" w:sz="4" w:space="0" w:color="auto"/>
              <w:right w:val="nil"/>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政府投資</w:t>
            </w:r>
          </w:p>
        </w:tc>
      </w:tr>
      <w:tr w:rsidR="00502216" w:rsidRPr="003B6B9A" w:rsidTr="001040FB">
        <w:trPr>
          <w:trHeight w:val="367"/>
          <w:jc w:val="center"/>
        </w:trPr>
        <w:tc>
          <w:tcPr>
            <w:tcW w:w="1361" w:type="dxa"/>
            <w:tcBorders>
              <w:top w:val="nil"/>
              <w:left w:val="nil"/>
              <w:bottom w:val="single" w:sz="4" w:space="0" w:color="auto"/>
            </w:tcBorders>
          </w:tcPr>
          <w:p w:rsidR="00502216" w:rsidRPr="003B6B9A" w:rsidRDefault="00502216" w:rsidP="001040FB">
            <w:pPr>
              <w:snapToGrid w:val="0"/>
              <w:spacing w:line="360" w:lineRule="exact"/>
              <w:jc w:val="both"/>
              <w:rPr>
                <w:rFonts w:eastAsia="標楷體"/>
              </w:rPr>
            </w:pPr>
          </w:p>
        </w:tc>
        <w:tc>
          <w:tcPr>
            <w:tcW w:w="833"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00"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c>
          <w:tcPr>
            <w:tcW w:w="86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3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c>
          <w:tcPr>
            <w:tcW w:w="86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3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c>
          <w:tcPr>
            <w:tcW w:w="900"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67" w:type="dxa"/>
            <w:tcBorders>
              <w:top w:val="single" w:sz="4" w:space="0" w:color="auto"/>
              <w:bottom w:val="single" w:sz="4" w:space="0" w:color="auto"/>
              <w:right w:val="nil"/>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snapToGrid w:val="0"/>
              <w:spacing w:line="380" w:lineRule="exact"/>
              <w:jc w:val="both"/>
              <w:rPr>
                <w:rFonts w:eastAsia="標楷體"/>
              </w:rPr>
            </w:pPr>
            <w:r w:rsidRPr="003B6B9A">
              <w:rPr>
                <w:rFonts w:eastAsia="標楷體"/>
                <w:b/>
                <w:bCs/>
              </w:rPr>
              <w:t>99</w:t>
            </w:r>
            <w:r w:rsidRPr="003B6B9A">
              <w:rPr>
                <w:rFonts w:eastAsia="標楷體"/>
                <w:b/>
                <w:bCs/>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33,359</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19.31</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24,970</w:t>
            </w:r>
          </w:p>
        </w:tc>
        <w:tc>
          <w:tcPr>
            <w:tcW w:w="93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27.63</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2,498</w:t>
            </w:r>
          </w:p>
        </w:tc>
        <w:tc>
          <w:tcPr>
            <w:tcW w:w="93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7.49</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5,891</w:t>
            </w:r>
          </w:p>
        </w:tc>
        <w:tc>
          <w:tcPr>
            <w:tcW w:w="967"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-2.92</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snapToGrid w:val="0"/>
              <w:spacing w:line="380" w:lineRule="exact"/>
              <w:jc w:val="both"/>
              <w:rPr>
                <w:rFonts w:eastAsia="標楷體"/>
              </w:rPr>
            </w:pPr>
            <w:r w:rsidRPr="003B6B9A">
              <w:rPr>
                <w:rFonts w:eastAsia="標楷體"/>
                <w:b/>
                <w:bCs/>
              </w:rPr>
              <w:t>100</w:t>
            </w:r>
            <w:r w:rsidRPr="003B6B9A">
              <w:rPr>
                <w:rFonts w:eastAsia="標楷體"/>
                <w:b/>
                <w:bCs/>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33,469</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-1.15</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25,585</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1.20</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2,199</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-13.44</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5,686</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-5.78</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snapToGrid w:val="0"/>
              <w:spacing w:line="380" w:lineRule="exact"/>
              <w:jc w:val="both"/>
              <w:rPr>
                <w:rFonts w:eastAsia="標楷體"/>
              </w:rPr>
            </w:pPr>
            <w:r w:rsidRPr="003B6B9A">
              <w:rPr>
                <w:rFonts w:eastAsia="標楷體"/>
                <w:b/>
                <w:bCs/>
              </w:rPr>
              <w:t>101</w:t>
            </w:r>
            <w:r w:rsidRPr="003B6B9A">
              <w:rPr>
                <w:rFonts w:eastAsia="標楷體"/>
                <w:b/>
                <w:bCs/>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32,821</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-2.61</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25,670</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-0.35</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2,041</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-7.42</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5,110</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-10.95</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both"/>
              <w:rPr>
                <w:rFonts w:eastAsia="標楷體"/>
                <w:b/>
                <w:snapToGrid w:val="0"/>
                <w:kern w:val="0"/>
              </w:rPr>
            </w:pPr>
            <w:r w:rsidRPr="003B6B9A">
              <w:rPr>
                <w:rFonts w:eastAsia="標楷體"/>
                <w:b/>
                <w:snapToGrid w:val="0"/>
                <w:kern w:val="0"/>
              </w:rPr>
              <w:t>102</w:t>
            </w:r>
            <w:r w:rsidRPr="003B6B9A">
              <w:rPr>
                <w:rFonts w:eastAsia="標楷體"/>
                <w:b/>
                <w:snapToGrid w:val="0"/>
                <w:kern w:val="0"/>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rPr>
            </w:pPr>
            <w:r w:rsidRPr="003B6B9A">
              <w:rPr>
                <w:rFonts w:eastAsia="標楷體"/>
                <w:b/>
              </w:rPr>
              <w:t>33,712</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4.98</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26,771</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6.67</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2,004</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2.96</w:t>
            </w:r>
          </w:p>
        </w:tc>
        <w:tc>
          <w:tcPr>
            <w:tcW w:w="900" w:type="dxa"/>
            <w:tcBorders>
              <w:top w:val="nil"/>
              <w:left w:val="nil"/>
              <w:bottom w:val="nil"/>
              <w:right w:val="nil"/>
            </w:tcBorders>
          </w:tcPr>
          <w:p w:rsidR="00502216" w:rsidRPr="003B6B9A" w:rsidRDefault="00502216" w:rsidP="001040FB">
            <w:pPr>
              <w:spacing w:line="380" w:lineRule="exact"/>
              <w:jc w:val="right"/>
              <w:rPr>
                <w:b/>
              </w:rPr>
            </w:pPr>
            <w:r w:rsidRPr="003B6B9A">
              <w:rPr>
                <w:b/>
              </w:rPr>
              <w:t>4,936</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-2.70</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both"/>
              <w:rPr>
                <w:rFonts w:eastAsia="標楷體"/>
                <w:b/>
                <w:snapToGrid w:val="0"/>
                <w:kern w:val="0"/>
              </w:rPr>
            </w:pPr>
            <w:r w:rsidRPr="003B6B9A">
              <w:rPr>
                <w:rFonts w:eastAsia="標楷體"/>
                <w:b/>
                <w:snapToGrid w:val="0"/>
                <w:kern w:val="0"/>
              </w:rPr>
              <w:t>103</w:t>
            </w:r>
            <w:r w:rsidRPr="003B6B9A">
              <w:rPr>
                <w:rFonts w:eastAsia="標楷體"/>
                <w:b/>
                <w:snapToGrid w:val="0"/>
                <w:kern w:val="0"/>
              </w:rPr>
              <w:t>年</w:t>
            </w:r>
            <w:r w:rsidRPr="003B6B9A">
              <w:rPr>
                <w:rFonts w:eastAsia="標楷體"/>
                <w:b/>
                <w:snapToGrid w:val="0"/>
                <w:kern w:val="0"/>
              </w:rPr>
              <w:t>(r)</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rPr>
            </w:pPr>
            <w:r w:rsidRPr="003B6B9A">
              <w:rPr>
                <w:rFonts w:eastAsia="標楷體"/>
                <w:b/>
              </w:rPr>
              <w:t>34,716</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1.84</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28,013</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3.46</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2,100</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4.42</w:t>
            </w:r>
          </w:p>
        </w:tc>
        <w:tc>
          <w:tcPr>
            <w:tcW w:w="900" w:type="dxa"/>
            <w:tcBorders>
              <w:top w:val="nil"/>
              <w:left w:val="nil"/>
              <w:bottom w:val="nil"/>
              <w:right w:val="nil"/>
            </w:tcBorders>
          </w:tcPr>
          <w:p w:rsidR="00502216" w:rsidRPr="003B6B9A" w:rsidRDefault="00502216" w:rsidP="001040FB">
            <w:pPr>
              <w:spacing w:line="380" w:lineRule="exact"/>
              <w:jc w:val="right"/>
              <w:rPr>
                <w:b/>
              </w:rPr>
            </w:pPr>
            <w:r w:rsidRPr="003B6B9A">
              <w:rPr>
                <w:b/>
              </w:rPr>
              <w:t>4,602</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-8.04</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1</w:t>
            </w:r>
            <w:r w:rsidRPr="003B6B9A">
              <w:rPr>
                <w:rFonts w:eastAsia="標楷體"/>
                <w:snapToGrid w:val="0"/>
                <w:kern w:val="0"/>
              </w:rPr>
              <w:t>季</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8,361</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0.94</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7,093</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1.40</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407</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14.36</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861</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-7.63</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2</w:t>
            </w:r>
            <w:r w:rsidRPr="003B6B9A">
              <w:rPr>
                <w:rFonts w:eastAsia="標楷體"/>
                <w:snapToGrid w:val="0"/>
                <w:kern w:val="0"/>
              </w:rPr>
              <w:t>季</w:t>
            </w:r>
            <w:r w:rsidRPr="003B6B9A">
              <w:rPr>
                <w:rFonts w:eastAsia="標楷體"/>
                <w:snapToGrid w:val="0"/>
                <w:kern w:val="0"/>
              </w:rPr>
              <w:t xml:space="preserve"> </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8,585</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1.63</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7,084</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4.32</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411</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-14.82</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1,091</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-7.34</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3</w:t>
            </w:r>
            <w:r w:rsidRPr="003B6B9A">
              <w:rPr>
                <w:rFonts w:eastAsia="標楷體"/>
                <w:snapToGrid w:val="0"/>
                <w:kern w:val="0"/>
              </w:rPr>
              <w:t>季</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9,000</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4.83</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7,393</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6.27</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461</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19.27</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1,146</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-8.08</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4</w:t>
            </w:r>
            <w:r w:rsidRPr="003B6B9A">
              <w:rPr>
                <w:rFonts w:eastAsia="標楷體"/>
                <w:snapToGrid w:val="0"/>
                <w:kern w:val="0"/>
              </w:rPr>
              <w:t>季</w:t>
            </w:r>
            <w:r w:rsidRPr="003B6B9A">
              <w:rPr>
                <w:rFonts w:eastAsia="標楷體"/>
                <w:snapToGrid w:val="0"/>
                <w:kern w:val="0"/>
              </w:rPr>
              <w:t>(r)</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8,770</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-0.01</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6,443</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1.70</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822</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4.46</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1,504</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-8.74</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1040FB">
            <w:pPr>
              <w:adjustRightInd w:val="0"/>
              <w:spacing w:line="380" w:lineRule="exact"/>
              <w:jc w:val="both"/>
              <w:rPr>
                <w:rFonts w:eastAsia="標楷體"/>
                <w:b/>
                <w:snapToGrid w:val="0"/>
                <w:kern w:val="0"/>
              </w:rPr>
            </w:pPr>
            <w:r w:rsidRPr="003B6B9A">
              <w:rPr>
                <w:rFonts w:eastAsia="標楷體"/>
                <w:b/>
                <w:snapToGrid w:val="0"/>
                <w:kern w:val="0"/>
              </w:rPr>
              <w:t>104</w:t>
            </w:r>
            <w:r w:rsidRPr="003B6B9A">
              <w:rPr>
                <w:rFonts w:eastAsia="標楷體"/>
                <w:b/>
                <w:snapToGrid w:val="0"/>
                <w:kern w:val="0"/>
              </w:rPr>
              <w:t>年</w:t>
            </w:r>
            <w:r w:rsidRPr="003B6B9A">
              <w:rPr>
                <w:rFonts w:eastAsia="標楷體"/>
                <w:b/>
                <w:snapToGrid w:val="0"/>
                <w:kern w:val="0"/>
              </w:rPr>
              <w:t>(f)</w:t>
            </w:r>
          </w:p>
        </w:tc>
        <w:tc>
          <w:tcPr>
            <w:tcW w:w="833" w:type="dxa"/>
            <w:tcBorders>
              <w:top w:val="nil"/>
              <w:left w:val="single" w:sz="4" w:space="0" w:color="auto"/>
              <w:bottom w:val="nil"/>
              <w:right w:val="nil"/>
            </w:tcBorders>
            <w:vAlign w:val="center"/>
          </w:tcPr>
          <w:p w:rsidR="00502216" w:rsidRPr="003B6B9A" w:rsidRDefault="00502216" w:rsidP="001040FB">
            <w:pPr>
              <w:snapToGrid w:val="0"/>
              <w:spacing w:line="380" w:lineRule="exact"/>
              <w:jc w:val="right"/>
              <w:rPr>
                <w:rFonts w:eastAsia="標楷體"/>
                <w:b/>
              </w:rPr>
            </w:pPr>
            <w:r w:rsidRPr="003B6B9A">
              <w:rPr>
                <w:rFonts w:eastAsia="標楷體"/>
                <w:b/>
              </w:rPr>
              <w:t>35,291</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2.00</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29,031</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4.02</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1,851</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-10.98</w:t>
            </w:r>
          </w:p>
        </w:tc>
        <w:tc>
          <w:tcPr>
            <w:tcW w:w="900" w:type="dxa"/>
            <w:tcBorders>
              <w:top w:val="nil"/>
              <w:left w:val="nil"/>
              <w:bottom w:val="nil"/>
              <w:right w:val="nil"/>
            </w:tcBorders>
          </w:tcPr>
          <w:p w:rsidR="00502216" w:rsidRPr="003B6B9A" w:rsidRDefault="00502216" w:rsidP="001040FB">
            <w:pPr>
              <w:spacing w:line="380" w:lineRule="exact"/>
              <w:jc w:val="right"/>
              <w:rPr>
                <w:b/>
              </w:rPr>
            </w:pPr>
            <w:r w:rsidRPr="003B6B9A">
              <w:rPr>
                <w:b/>
              </w:rPr>
              <w:t>4,409</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-4.37</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1</w:t>
            </w:r>
            <w:r w:rsidRPr="003B6B9A">
              <w:rPr>
                <w:rFonts w:eastAsia="標楷體"/>
                <w:snapToGrid w:val="0"/>
                <w:kern w:val="0"/>
              </w:rPr>
              <w:t>季</w:t>
            </w:r>
            <w:r w:rsidRPr="003B6B9A">
              <w:rPr>
                <w:rFonts w:eastAsia="標楷體"/>
                <w:snapToGrid w:val="0"/>
                <w:kern w:val="0"/>
              </w:rPr>
              <w:t>(p)</w:t>
            </w:r>
          </w:p>
        </w:tc>
        <w:tc>
          <w:tcPr>
            <w:tcW w:w="833" w:type="dxa"/>
            <w:tcBorders>
              <w:top w:val="nil"/>
              <w:left w:val="single" w:sz="4" w:space="0" w:color="auto"/>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8,362</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0.35</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7,243</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2.46</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278</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-30.79</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842</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-2.21</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2</w:t>
            </w:r>
            <w:r w:rsidRPr="003B6B9A">
              <w:rPr>
                <w:rFonts w:eastAsia="標楷體"/>
                <w:snapToGrid w:val="0"/>
                <w:kern w:val="0"/>
              </w:rPr>
              <w:t>季</w:t>
            </w:r>
            <w:r w:rsidRPr="003B6B9A">
              <w:rPr>
                <w:rFonts w:eastAsia="標楷體"/>
                <w:snapToGrid w:val="0"/>
                <w:kern w:val="0"/>
              </w:rPr>
              <w:t>(f)</w:t>
            </w:r>
          </w:p>
        </w:tc>
        <w:tc>
          <w:tcPr>
            <w:tcW w:w="833" w:type="dxa"/>
            <w:tcBorders>
              <w:top w:val="nil"/>
              <w:left w:val="single" w:sz="4" w:space="0" w:color="auto"/>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8,714</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2.54</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7,224</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3.11</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434</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8.47</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1,056</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-3.41</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3</w:t>
            </w:r>
            <w:r w:rsidRPr="003B6B9A">
              <w:rPr>
                <w:rFonts w:eastAsia="標楷體"/>
                <w:snapToGrid w:val="0"/>
                <w:kern w:val="0"/>
              </w:rPr>
              <w:t>季</w:t>
            </w:r>
            <w:r w:rsidRPr="003B6B9A">
              <w:rPr>
                <w:rFonts w:eastAsia="標楷體"/>
                <w:snapToGrid w:val="0"/>
                <w:kern w:val="0"/>
              </w:rPr>
              <w:t>(f)</w:t>
            </w:r>
          </w:p>
        </w:tc>
        <w:tc>
          <w:tcPr>
            <w:tcW w:w="833" w:type="dxa"/>
            <w:tcBorders>
              <w:top w:val="nil"/>
              <w:left w:val="single" w:sz="4" w:space="0" w:color="auto"/>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9,186</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2.49</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7,677</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4.21</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405</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-10.83</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1,105</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-3.29</w:t>
            </w:r>
          </w:p>
        </w:tc>
      </w:tr>
      <w:tr w:rsidR="00502216" w:rsidRPr="003B6B9A" w:rsidTr="001040FB">
        <w:trPr>
          <w:jc w:val="center"/>
        </w:trPr>
        <w:tc>
          <w:tcPr>
            <w:tcW w:w="1361" w:type="dxa"/>
            <w:tcBorders>
              <w:top w:val="nil"/>
              <w:left w:val="nil"/>
              <w:bottom w:val="single" w:sz="4" w:space="0" w:color="auto"/>
              <w:right w:val="single" w:sz="4" w:space="0" w:color="auto"/>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4</w:t>
            </w:r>
            <w:r w:rsidRPr="003B6B9A">
              <w:rPr>
                <w:rFonts w:eastAsia="標楷體"/>
                <w:snapToGrid w:val="0"/>
                <w:kern w:val="0"/>
              </w:rPr>
              <w:t>季</w:t>
            </w:r>
            <w:r w:rsidRPr="003B6B9A">
              <w:rPr>
                <w:rFonts w:eastAsia="標楷體"/>
                <w:snapToGrid w:val="0"/>
                <w:kern w:val="0"/>
              </w:rPr>
              <w:t>(f)</w:t>
            </w:r>
          </w:p>
        </w:tc>
        <w:tc>
          <w:tcPr>
            <w:tcW w:w="833" w:type="dxa"/>
            <w:tcBorders>
              <w:top w:val="nil"/>
              <w:left w:val="single" w:sz="4" w:space="0" w:color="auto"/>
              <w:bottom w:val="single" w:sz="4" w:space="0" w:color="auto"/>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9,029</w:t>
            </w:r>
          </w:p>
        </w:tc>
        <w:tc>
          <w:tcPr>
            <w:tcW w:w="900" w:type="dxa"/>
            <w:tcBorders>
              <w:top w:val="nil"/>
              <w:left w:val="nil"/>
              <w:bottom w:val="single" w:sz="4" w:space="0" w:color="auto"/>
              <w:right w:val="nil"/>
            </w:tcBorders>
            <w:vAlign w:val="center"/>
          </w:tcPr>
          <w:p w:rsidR="00502216" w:rsidRPr="003B6B9A" w:rsidRDefault="00502216" w:rsidP="001040FB">
            <w:pPr>
              <w:spacing w:line="380" w:lineRule="exact"/>
              <w:jc w:val="right"/>
            </w:pPr>
            <w:r w:rsidRPr="003B6B9A">
              <w:t>2.51</w:t>
            </w:r>
          </w:p>
        </w:tc>
        <w:tc>
          <w:tcPr>
            <w:tcW w:w="865" w:type="dxa"/>
            <w:tcBorders>
              <w:top w:val="nil"/>
              <w:left w:val="nil"/>
              <w:bottom w:val="single" w:sz="4" w:space="0" w:color="auto"/>
              <w:right w:val="nil"/>
            </w:tcBorders>
          </w:tcPr>
          <w:p w:rsidR="00502216" w:rsidRPr="003B6B9A" w:rsidRDefault="00502216" w:rsidP="001040FB">
            <w:pPr>
              <w:spacing w:line="380" w:lineRule="exact"/>
              <w:jc w:val="right"/>
            </w:pPr>
            <w:r w:rsidRPr="003B6B9A">
              <w:t>6,888</w:t>
            </w:r>
          </w:p>
        </w:tc>
        <w:tc>
          <w:tcPr>
            <w:tcW w:w="935" w:type="dxa"/>
            <w:tcBorders>
              <w:top w:val="nil"/>
              <w:left w:val="nil"/>
              <w:bottom w:val="single" w:sz="4" w:space="0" w:color="auto"/>
              <w:right w:val="nil"/>
            </w:tcBorders>
            <w:vAlign w:val="center"/>
          </w:tcPr>
          <w:p w:rsidR="00502216" w:rsidRPr="003B6B9A" w:rsidRDefault="00502216" w:rsidP="001040FB">
            <w:pPr>
              <w:spacing w:line="380" w:lineRule="exact"/>
              <w:jc w:val="right"/>
            </w:pPr>
            <w:r w:rsidRPr="003B6B9A">
              <w:t>6.48</w:t>
            </w:r>
          </w:p>
        </w:tc>
        <w:tc>
          <w:tcPr>
            <w:tcW w:w="865" w:type="dxa"/>
            <w:tcBorders>
              <w:top w:val="nil"/>
              <w:left w:val="nil"/>
              <w:bottom w:val="single" w:sz="4" w:space="0" w:color="auto"/>
              <w:right w:val="nil"/>
            </w:tcBorders>
          </w:tcPr>
          <w:p w:rsidR="00502216" w:rsidRPr="003B6B9A" w:rsidRDefault="00502216" w:rsidP="001040FB">
            <w:pPr>
              <w:spacing w:line="380" w:lineRule="exact"/>
              <w:jc w:val="right"/>
            </w:pPr>
            <w:r w:rsidRPr="003B6B9A">
              <w:t>734</w:t>
            </w:r>
          </w:p>
        </w:tc>
        <w:tc>
          <w:tcPr>
            <w:tcW w:w="935" w:type="dxa"/>
            <w:tcBorders>
              <w:top w:val="nil"/>
              <w:left w:val="nil"/>
              <w:bottom w:val="single" w:sz="4" w:space="0" w:color="auto"/>
              <w:right w:val="nil"/>
            </w:tcBorders>
            <w:vAlign w:val="center"/>
          </w:tcPr>
          <w:p w:rsidR="00502216" w:rsidRPr="003B6B9A" w:rsidRDefault="00502216" w:rsidP="001040FB">
            <w:pPr>
              <w:spacing w:line="380" w:lineRule="exact"/>
              <w:jc w:val="right"/>
            </w:pPr>
            <w:r w:rsidRPr="003B6B9A">
              <w:t>-11.03</w:t>
            </w:r>
          </w:p>
        </w:tc>
        <w:tc>
          <w:tcPr>
            <w:tcW w:w="900" w:type="dxa"/>
            <w:tcBorders>
              <w:top w:val="nil"/>
              <w:left w:val="nil"/>
              <w:bottom w:val="single" w:sz="4" w:space="0" w:color="auto"/>
              <w:right w:val="nil"/>
            </w:tcBorders>
          </w:tcPr>
          <w:p w:rsidR="00502216" w:rsidRPr="003B6B9A" w:rsidRDefault="00502216" w:rsidP="001040FB">
            <w:pPr>
              <w:spacing w:line="380" w:lineRule="exact"/>
              <w:jc w:val="right"/>
            </w:pPr>
            <w:r w:rsidRPr="003B6B9A">
              <w:t>1,406</w:t>
            </w:r>
          </w:p>
        </w:tc>
        <w:tc>
          <w:tcPr>
            <w:tcW w:w="967" w:type="dxa"/>
            <w:tcBorders>
              <w:top w:val="nil"/>
              <w:left w:val="nil"/>
              <w:bottom w:val="single" w:sz="4" w:space="0" w:color="auto"/>
              <w:right w:val="nil"/>
            </w:tcBorders>
            <w:vAlign w:val="center"/>
          </w:tcPr>
          <w:p w:rsidR="00502216" w:rsidRPr="003B6B9A" w:rsidRDefault="00502216" w:rsidP="001040FB">
            <w:pPr>
              <w:spacing w:line="380" w:lineRule="exact"/>
              <w:jc w:val="right"/>
            </w:pPr>
            <w:r w:rsidRPr="003B6B9A">
              <w:t>-7.05</w:t>
            </w:r>
          </w:p>
        </w:tc>
      </w:tr>
    </w:tbl>
    <w:p w:rsidR="00502216" w:rsidRPr="003B6B9A" w:rsidRDefault="00502216" w:rsidP="00502216">
      <w:pPr>
        <w:pStyle w:val="af"/>
        <w:snapToGrid w:val="0"/>
        <w:spacing w:line="240" w:lineRule="atLeast"/>
        <w:ind w:leftChars="0" w:left="0" w:firstLineChars="0" w:firstLine="0"/>
      </w:pPr>
      <w:r w:rsidRPr="003B6B9A">
        <w:t>註：金額為當期價格；</w:t>
      </w:r>
      <w:r w:rsidRPr="003B6B9A">
        <w:t>(r)</w:t>
      </w:r>
      <w:r w:rsidRPr="003B6B9A">
        <w:t>表修正數，</w:t>
      </w:r>
      <w:r w:rsidRPr="003B6B9A">
        <w:t>(p)</w:t>
      </w:r>
      <w:r w:rsidRPr="003B6B9A">
        <w:t>表初步統計數，</w:t>
      </w:r>
      <w:r w:rsidRPr="003B6B9A">
        <w:t>(f)</w:t>
      </w:r>
      <w:r w:rsidRPr="003B6B9A">
        <w:t>表預測數。</w:t>
      </w:r>
    </w:p>
    <w:p w:rsidR="00576223" w:rsidRDefault="00502216" w:rsidP="00502216">
      <w:pPr>
        <w:pStyle w:val="af"/>
        <w:snapToGrid w:val="0"/>
        <w:spacing w:line="240" w:lineRule="atLeast"/>
        <w:ind w:leftChars="0" w:left="0" w:firstLineChars="0" w:firstLine="0"/>
      </w:pPr>
      <w:r w:rsidRPr="003B6B9A">
        <w:t>資料來源：行政院主計總處，</w:t>
      </w:r>
      <w:r w:rsidRPr="003B6B9A">
        <w:t>10</w:t>
      </w:r>
      <w:r w:rsidRPr="003B6B9A">
        <w:rPr>
          <w:rFonts w:hint="eastAsia"/>
        </w:rPr>
        <w:t>4</w:t>
      </w:r>
      <w:r w:rsidRPr="003B6B9A">
        <w:t>年</w:t>
      </w:r>
      <w:r w:rsidRPr="003B6B9A">
        <w:rPr>
          <w:rFonts w:hint="eastAsia"/>
        </w:rPr>
        <w:t>5</w:t>
      </w:r>
      <w:r w:rsidRPr="003B6B9A">
        <w:t>月</w:t>
      </w:r>
      <w:r w:rsidRPr="003B6B9A">
        <w:rPr>
          <w:rFonts w:hint="eastAsia"/>
        </w:rPr>
        <w:t>22</w:t>
      </w:r>
      <w:r w:rsidRPr="003B6B9A">
        <w:t>日。</w:t>
      </w: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Pr="003B6B9A" w:rsidRDefault="00502216" w:rsidP="00502216">
      <w:pPr>
        <w:pStyle w:val="k3a"/>
        <w:tabs>
          <w:tab w:val="left" w:pos="540"/>
        </w:tabs>
        <w:spacing w:before="180" w:line="300" w:lineRule="auto"/>
        <w:ind w:leftChars="0" w:left="0" w:right="0" w:firstLineChars="0" w:firstLine="0"/>
        <w:rPr>
          <w:b/>
          <w:bCs/>
        </w:rPr>
      </w:pPr>
      <w:r w:rsidRPr="003B6B9A">
        <w:rPr>
          <w:b/>
          <w:bCs/>
        </w:rPr>
        <w:t>２、</w:t>
      </w:r>
      <w:r w:rsidRPr="003B6B9A">
        <w:rPr>
          <w:b/>
          <w:bCs/>
        </w:rPr>
        <w:t>10</w:t>
      </w:r>
      <w:r w:rsidRPr="003B6B9A">
        <w:rPr>
          <w:rFonts w:hint="eastAsia"/>
          <w:b/>
          <w:bCs/>
        </w:rPr>
        <w:t>4</w:t>
      </w:r>
      <w:r w:rsidRPr="003B6B9A">
        <w:rPr>
          <w:b/>
          <w:bCs/>
        </w:rPr>
        <w:t>年</w:t>
      </w:r>
      <w:r w:rsidRPr="003B6B9A">
        <w:rPr>
          <w:rFonts w:hint="eastAsia"/>
          <w:b/>
          <w:bCs/>
        </w:rPr>
        <w:t>1</w:t>
      </w:r>
      <w:r w:rsidRPr="003B6B9A">
        <w:rPr>
          <w:rFonts w:hint="eastAsia"/>
          <w:b/>
          <w:bCs/>
        </w:rPr>
        <w:t>至</w:t>
      </w:r>
      <w:r w:rsidRPr="003B6B9A">
        <w:rPr>
          <w:rFonts w:hint="eastAsia"/>
          <w:b/>
          <w:bCs/>
        </w:rPr>
        <w:t>4</w:t>
      </w:r>
      <w:r w:rsidRPr="003B6B9A">
        <w:rPr>
          <w:b/>
          <w:bCs/>
        </w:rPr>
        <w:t>月新增民間投資</w:t>
      </w:r>
      <w:r w:rsidRPr="003B6B9A">
        <w:rPr>
          <w:rFonts w:hint="eastAsia"/>
          <w:b/>
          <w:bCs/>
        </w:rPr>
        <w:t>計畫</w:t>
      </w:r>
      <w:r w:rsidRPr="003B6B9A">
        <w:rPr>
          <w:b/>
          <w:bCs/>
        </w:rPr>
        <w:t>金額</w:t>
      </w:r>
      <w:r w:rsidRPr="003B6B9A">
        <w:rPr>
          <w:rFonts w:hint="eastAsia"/>
          <w:b/>
          <w:bCs/>
        </w:rPr>
        <w:t>4,586</w:t>
      </w:r>
      <w:r w:rsidRPr="003B6B9A">
        <w:rPr>
          <w:b/>
          <w:bCs/>
        </w:rPr>
        <w:t>億元</w:t>
      </w:r>
    </w:p>
    <w:p w:rsidR="00502216" w:rsidRPr="003B6B9A" w:rsidRDefault="00502216" w:rsidP="00502216">
      <w:pPr>
        <w:pStyle w:val="k32"/>
        <w:topLinePunct/>
        <w:ind w:left="0" w:rightChars="-59" w:firstLineChars="202" w:firstLine="566"/>
      </w:pPr>
      <w:r w:rsidRPr="003B6B9A">
        <w:t>10</w:t>
      </w:r>
      <w:r w:rsidRPr="003B6B9A">
        <w:rPr>
          <w:rFonts w:hint="eastAsia"/>
        </w:rPr>
        <w:t>4</w:t>
      </w:r>
      <w:r w:rsidRPr="003B6B9A">
        <w:t>年</w:t>
      </w:r>
      <w:r w:rsidRPr="003B6B9A">
        <w:rPr>
          <w:rFonts w:hint="eastAsia"/>
        </w:rPr>
        <w:t>1</w:t>
      </w:r>
      <w:r w:rsidRPr="003B6B9A">
        <w:rPr>
          <w:rFonts w:hint="eastAsia"/>
        </w:rPr>
        <w:t>至</w:t>
      </w:r>
      <w:r w:rsidRPr="003B6B9A">
        <w:rPr>
          <w:rFonts w:hint="eastAsia"/>
        </w:rPr>
        <w:t>4</w:t>
      </w:r>
      <w:r w:rsidRPr="003B6B9A">
        <w:t>月新增民間重大投資計畫計有</w:t>
      </w:r>
      <w:r w:rsidRPr="003B6B9A">
        <w:rPr>
          <w:rFonts w:hint="eastAsia"/>
        </w:rPr>
        <w:t>1,118</w:t>
      </w:r>
      <w:r w:rsidRPr="003B6B9A">
        <w:t>件，金額為</w:t>
      </w:r>
      <w:r w:rsidRPr="003B6B9A">
        <w:rPr>
          <w:rFonts w:hint="eastAsia"/>
        </w:rPr>
        <w:t>4,586</w:t>
      </w:r>
      <w:r w:rsidRPr="003B6B9A">
        <w:t>億元，達成年度目標</w:t>
      </w:r>
      <w:r w:rsidRPr="003B6B9A">
        <w:t>1</w:t>
      </w:r>
      <w:r w:rsidRPr="003B6B9A">
        <w:rPr>
          <w:rFonts w:hint="eastAsia"/>
        </w:rPr>
        <w:t>4</w:t>
      </w:r>
      <w:r w:rsidRPr="003B6B9A">
        <w:t>,000</w:t>
      </w:r>
      <w:r w:rsidRPr="003B6B9A">
        <w:t>億元的</w:t>
      </w:r>
      <w:r w:rsidRPr="003B6B9A">
        <w:rPr>
          <w:rFonts w:hint="eastAsia"/>
        </w:rPr>
        <w:t>32.76%</w:t>
      </w:r>
      <w:r w:rsidRPr="003B6B9A">
        <w:t>，其中以</w:t>
      </w:r>
      <w:r w:rsidRPr="003B6B9A">
        <w:rPr>
          <w:rFonts w:hint="eastAsia"/>
        </w:rPr>
        <w:t>電子資訊</w:t>
      </w:r>
      <w:r w:rsidRPr="003B6B9A">
        <w:t>業為主要投資業別，投資金額</w:t>
      </w:r>
      <w:r w:rsidRPr="003B6B9A">
        <w:rPr>
          <w:rFonts w:hint="eastAsia"/>
        </w:rPr>
        <w:t>1,853</w:t>
      </w:r>
      <w:r w:rsidRPr="003B6B9A">
        <w:t>億元。</w:t>
      </w:r>
    </w:p>
    <w:p w:rsidR="00502216" w:rsidRPr="003B6B9A" w:rsidRDefault="00502216" w:rsidP="00502216">
      <w:pPr>
        <w:snapToGrid w:val="0"/>
        <w:spacing w:before="120" w:line="300" w:lineRule="auto"/>
        <w:jc w:val="center"/>
        <w:rPr>
          <w:rFonts w:eastAsia="標楷體"/>
          <w:b/>
          <w:bCs/>
          <w:sz w:val="28"/>
        </w:rPr>
      </w:pPr>
      <w:r w:rsidRPr="003B6B9A">
        <w:rPr>
          <w:rFonts w:eastAsia="標楷體"/>
          <w:b/>
          <w:bCs/>
          <w:sz w:val="28"/>
        </w:rPr>
        <w:t>表</w:t>
      </w:r>
      <w:r w:rsidRPr="003B6B9A">
        <w:rPr>
          <w:rFonts w:eastAsia="標楷體"/>
          <w:b/>
          <w:bCs/>
          <w:sz w:val="28"/>
        </w:rPr>
        <w:t xml:space="preserve"> 2-6-2  </w:t>
      </w:r>
      <w:r w:rsidRPr="003B6B9A">
        <w:rPr>
          <w:rFonts w:eastAsia="標楷體"/>
          <w:b/>
          <w:bCs/>
          <w:sz w:val="28"/>
        </w:rPr>
        <w:t>經濟部統計民間新增投資概況</w:t>
      </w:r>
    </w:p>
    <w:tbl>
      <w:tblPr>
        <w:tblW w:w="8230" w:type="dxa"/>
        <w:tblLayout w:type="fixed"/>
        <w:tblCellMar>
          <w:left w:w="30" w:type="dxa"/>
          <w:right w:w="30" w:type="dxa"/>
        </w:tblCellMar>
        <w:tblLook w:val="0000" w:firstRow="0" w:lastRow="0" w:firstColumn="0" w:lastColumn="0" w:noHBand="0" w:noVBand="0"/>
      </w:tblPr>
      <w:tblGrid>
        <w:gridCol w:w="1551"/>
        <w:gridCol w:w="1473"/>
        <w:gridCol w:w="1202"/>
        <w:gridCol w:w="1202"/>
        <w:gridCol w:w="1384"/>
        <w:gridCol w:w="1418"/>
      </w:tblGrid>
      <w:tr w:rsidR="00502216" w:rsidRPr="003B6B9A" w:rsidTr="001040FB">
        <w:trPr>
          <w:cantSplit/>
          <w:trHeight w:val="227"/>
        </w:trPr>
        <w:tc>
          <w:tcPr>
            <w:tcW w:w="1551" w:type="dxa"/>
            <w:vMerge w:val="restart"/>
            <w:tcBorders>
              <w:top w:val="single" w:sz="8" w:space="0" w:color="auto"/>
              <w:right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行</w:t>
            </w:r>
            <w:r w:rsidRPr="003B6B9A">
              <w:rPr>
                <w:rFonts w:eastAsia="標楷體"/>
              </w:rPr>
              <w:t xml:space="preserve">  </w:t>
            </w:r>
            <w:r w:rsidRPr="003B6B9A">
              <w:rPr>
                <w:rFonts w:eastAsia="標楷體"/>
              </w:rPr>
              <w:t>業</w:t>
            </w:r>
            <w:r w:rsidRPr="003B6B9A">
              <w:rPr>
                <w:rFonts w:eastAsia="標楷體"/>
              </w:rPr>
              <w:t xml:space="preserve">  </w:t>
            </w:r>
            <w:r w:rsidRPr="003B6B9A">
              <w:rPr>
                <w:rFonts w:eastAsia="標楷體"/>
              </w:rPr>
              <w:t>別</w:t>
            </w:r>
          </w:p>
        </w:tc>
        <w:tc>
          <w:tcPr>
            <w:tcW w:w="1473" w:type="dxa"/>
            <w:vMerge w:val="restart"/>
            <w:tcBorders>
              <w:top w:val="single" w:sz="8" w:space="0" w:color="auto"/>
              <w:left w:val="single" w:sz="8" w:space="0" w:color="auto"/>
              <w:right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10</w:t>
            </w:r>
            <w:r w:rsidRPr="003B6B9A">
              <w:rPr>
                <w:rFonts w:eastAsia="標楷體" w:hint="eastAsia"/>
              </w:rPr>
              <w:t>3</w:t>
            </w:r>
            <w:r w:rsidRPr="003B6B9A">
              <w:rPr>
                <w:rFonts w:eastAsia="標楷體"/>
              </w:rPr>
              <w:t>年實際</w:t>
            </w:r>
          </w:p>
          <w:p w:rsidR="00502216" w:rsidRPr="003B6B9A" w:rsidRDefault="00502216" w:rsidP="001040FB">
            <w:pPr>
              <w:autoSpaceDE w:val="0"/>
              <w:autoSpaceDN w:val="0"/>
              <w:adjustRightInd w:val="0"/>
              <w:snapToGrid w:val="0"/>
              <w:jc w:val="center"/>
              <w:rPr>
                <w:rFonts w:eastAsia="標楷體"/>
              </w:rPr>
            </w:pPr>
            <w:r w:rsidRPr="003B6B9A">
              <w:rPr>
                <w:rFonts w:eastAsia="標楷體"/>
              </w:rPr>
              <w:t>金額</w:t>
            </w:r>
            <w:r w:rsidRPr="003B6B9A">
              <w:rPr>
                <w:rFonts w:eastAsia="標楷體"/>
              </w:rPr>
              <w:t>(</w:t>
            </w:r>
            <w:r w:rsidRPr="003B6B9A">
              <w:rPr>
                <w:rFonts w:eastAsia="標楷體"/>
              </w:rPr>
              <w:t>億元</w:t>
            </w:r>
            <w:r w:rsidRPr="003B6B9A">
              <w:rPr>
                <w:rFonts w:eastAsia="標楷體"/>
              </w:rPr>
              <w:t>)</w:t>
            </w:r>
          </w:p>
        </w:tc>
        <w:tc>
          <w:tcPr>
            <w:tcW w:w="1202" w:type="dxa"/>
            <w:vMerge w:val="restart"/>
            <w:tcBorders>
              <w:top w:val="single" w:sz="8" w:space="0" w:color="auto"/>
              <w:left w:val="single" w:sz="8" w:space="0" w:color="auto"/>
              <w:right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10</w:t>
            </w:r>
            <w:r w:rsidRPr="003B6B9A">
              <w:rPr>
                <w:rFonts w:eastAsia="標楷體" w:hint="eastAsia"/>
              </w:rPr>
              <w:t>4</w:t>
            </w:r>
            <w:r w:rsidRPr="003B6B9A">
              <w:rPr>
                <w:rFonts w:eastAsia="標楷體"/>
              </w:rPr>
              <w:t>年目標</w:t>
            </w:r>
          </w:p>
          <w:p w:rsidR="00502216" w:rsidRPr="003B6B9A" w:rsidRDefault="00502216" w:rsidP="001040FB">
            <w:pPr>
              <w:autoSpaceDE w:val="0"/>
              <w:autoSpaceDN w:val="0"/>
              <w:adjustRightInd w:val="0"/>
              <w:snapToGrid w:val="0"/>
              <w:jc w:val="center"/>
              <w:rPr>
                <w:rFonts w:eastAsia="標楷體"/>
              </w:rPr>
            </w:pPr>
            <w:r w:rsidRPr="003B6B9A">
              <w:rPr>
                <w:rFonts w:eastAsia="標楷體"/>
              </w:rPr>
              <w:t>金額</w:t>
            </w:r>
            <w:r w:rsidRPr="003B6B9A">
              <w:rPr>
                <w:rFonts w:eastAsia="標楷體"/>
              </w:rPr>
              <w:t>(</w:t>
            </w:r>
            <w:r w:rsidRPr="003B6B9A">
              <w:rPr>
                <w:rFonts w:eastAsia="標楷體"/>
              </w:rPr>
              <w:t>億元</w:t>
            </w:r>
            <w:r w:rsidRPr="003B6B9A">
              <w:rPr>
                <w:rFonts w:eastAsia="標楷體"/>
              </w:rPr>
              <w:t>)</w:t>
            </w:r>
          </w:p>
        </w:tc>
        <w:tc>
          <w:tcPr>
            <w:tcW w:w="4004" w:type="dxa"/>
            <w:gridSpan w:val="3"/>
            <w:tcBorders>
              <w:top w:val="single" w:sz="8" w:space="0" w:color="auto"/>
              <w:left w:val="single" w:sz="8" w:space="0" w:color="auto"/>
              <w:bottom w:val="single" w:sz="8" w:space="0" w:color="auto"/>
            </w:tcBorders>
          </w:tcPr>
          <w:p w:rsidR="00502216" w:rsidRPr="003B6B9A" w:rsidRDefault="00502216" w:rsidP="001040FB">
            <w:pPr>
              <w:autoSpaceDE w:val="0"/>
              <w:autoSpaceDN w:val="0"/>
              <w:adjustRightInd w:val="0"/>
              <w:snapToGrid w:val="0"/>
              <w:jc w:val="center"/>
              <w:rPr>
                <w:rFonts w:eastAsia="標楷體"/>
              </w:rPr>
            </w:pPr>
            <w:r w:rsidRPr="003B6B9A">
              <w:rPr>
                <w:rFonts w:eastAsia="標楷體"/>
              </w:rPr>
              <w:t>10</w:t>
            </w:r>
            <w:r w:rsidRPr="003B6B9A">
              <w:rPr>
                <w:rFonts w:eastAsia="標楷體" w:hint="eastAsia"/>
              </w:rPr>
              <w:t>4</w:t>
            </w:r>
            <w:r w:rsidRPr="003B6B9A">
              <w:rPr>
                <w:rFonts w:eastAsia="標楷體"/>
              </w:rPr>
              <w:t>年</w:t>
            </w:r>
            <w:r w:rsidRPr="003B6B9A">
              <w:rPr>
                <w:rFonts w:eastAsia="標楷體" w:hint="eastAsia"/>
              </w:rPr>
              <w:t>1-4</w:t>
            </w:r>
            <w:r w:rsidRPr="003B6B9A">
              <w:rPr>
                <w:rFonts w:eastAsia="標楷體"/>
              </w:rPr>
              <w:t>月</w:t>
            </w:r>
          </w:p>
        </w:tc>
      </w:tr>
      <w:tr w:rsidR="00502216" w:rsidRPr="003B6B9A" w:rsidTr="001040FB">
        <w:trPr>
          <w:cantSplit/>
          <w:trHeight w:val="227"/>
        </w:trPr>
        <w:tc>
          <w:tcPr>
            <w:tcW w:w="1551" w:type="dxa"/>
            <w:vMerge/>
            <w:tcBorders>
              <w:bottom w:val="single" w:sz="8" w:space="0" w:color="auto"/>
              <w:right w:val="single" w:sz="8" w:space="0" w:color="auto"/>
            </w:tcBorders>
          </w:tcPr>
          <w:p w:rsidR="00502216" w:rsidRPr="003B6B9A" w:rsidRDefault="00502216" w:rsidP="001040FB">
            <w:pPr>
              <w:autoSpaceDE w:val="0"/>
              <w:autoSpaceDN w:val="0"/>
              <w:adjustRightInd w:val="0"/>
              <w:snapToGrid w:val="0"/>
              <w:jc w:val="center"/>
              <w:rPr>
                <w:rFonts w:eastAsia="標楷體"/>
              </w:rPr>
            </w:pPr>
          </w:p>
        </w:tc>
        <w:tc>
          <w:tcPr>
            <w:tcW w:w="1473" w:type="dxa"/>
            <w:vMerge/>
            <w:tcBorders>
              <w:left w:val="single" w:sz="8" w:space="0" w:color="auto"/>
              <w:bottom w:val="single" w:sz="8" w:space="0" w:color="auto"/>
              <w:right w:val="single" w:sz="8" w:space="0" w:color="auto"/>
            </w:tcBorders>
          </w:tcPr>
          <w:p w:rsidR="00502216" w:rsidRPr="003B6B9A" w:rsidRDefault="00502216" w:rsidP="001040FB">
            <w:pPr>
              <w:autoSpaceDE w:val="0"/>
              <w:autoSpaceDN w:val="0"/>
              <w:adjustRightInd w:val="0"/>
              <w:snapToGrid w:val="0"/>
              <w:jc w:val="center"/>
              <w:rPr>
                <w:rFonts w:eastAsia="標楷體"/>
              </w:rPr>
            </w:pPr>
          </w:p>
        </w:tc>
        <w:tc>
          <w:tcPr>
            <w:tcW w:w="1202" w:type="dxa"/>
            <w:vMerge/>
            <w:tcBorders>
              <w:left w:val="single" w:sz="8" w:space="0" w:color="auto"/>
              <w:bottom w:val="single" w:sz="8" w:space="0" w:color="auto"/>
              <w:right w:val="single" w:sz="8" w:space="0" w:color="auto"/>
            </w:tcBorders>
          </w:tcPr>
          <w:p w:rsidR="00502216" w:rsidRPr="003B6B9A" w:rsidRDefault="00502216" w:rsidP="001040FB">
            <w:pPr>
              <w:autoSpaceDE w:val="0"/>
              <w:autoSpaceDN w:val="0"/>
              <w:adjustRightInd w:val="0"/>
              <w:snapToGrid w:val="0"/>
              <w:jc w:val="center"/>
              <w:rPr>
                <w:rFonts w:eastAsia="標楷體"/>
              </w:rPr>
            </w:pPr>
          </w:p>
        </w:tc>
        <w:tc>
          <w:tcPr>
            <w:tcW w:w="1202" w:type="dxa"/>
            <w:tcBorders>
              <w:left w:val="single" w:sz="8" w:space="0" w:color="auto"/>
              <w:bottom w:val="single" w:sz="8" w:space="0" w:color="auto"/>
              <w:right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件數</w:t>
            </w:r>
          </w:p>
        </w:tc>
        <w:tc>
          <w:tcPr>
            <w:tcW w:w="1384" w:type="dxa"/>
            <w:tcBorders>
              <w:left w:val="single" w:sz="8" w:space="0" w:color="auto"/>
              <w:bottom w:val="single" w:sz="8" w:space="0" w:color="auto"/>
              <w:right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金額</w:t>
            </w:r>
            <w:r w:rsidRPr="003B6B9A">
              <w:rPr>
                <w:rFonts w:eastAsia="標楷體"/>
              </w:rPr>
              <w:t>(</w:t>
            </w:r>
            <w:r w:rsidRPr="003B6B9A">
              <w:rPr>
                <w:rFonts w:eastAsia="標楷體"/>
              </w:rPr>
              <w:t>億元</w:t>
            </w:r>
            <w:r w:rsidRPr="003B6B9A">
              <w:rPr>
                <w:rFonts w:eastAsia="標楷體"/>
              </w:rPr>
              <w:t>)</w:t>
            </w:r>
          </w:p>
        </w:tc>
        <w:tc>
          <w:tcPr>
            <w:tcW w:w="1418" w:type="dxa"/>
            <w:tcBorders>
              <w:top w:val="single" w:sz="8" w:space="0" w:color="auto"/>
              <w:left w:val="single" w:sz="8" w:space="0" w:color="auto"/>
              <w:bottom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達成率</w:t>
            </w:r>
            <w:r w:rsidRPr="003B6B9A">
              <w:rPr>
                <w:rFonts w:eastAsia="標楷體"/>
              </w:rPr>
              <w:t>(</w:t>
            </w:r>
            <w:r w:rsidRPr="003B6B9A">
              <w:rPr>
                <w:rFonts w:eastAsia="標楷體" w:hint="eastAsia"/>
              </w:rPr>
              <w:t>%</w:t>
            </w:r>
            <w:r w:rsidRPr="003B6B9A">
              <w:rPr>
                <w:rFonts w:eastAsia="標楷體"/>
              </w:rPr>
              <w:t>)</w:t>
            </w:r>
          </w:p>
        </w:tc>
      </w:tr>
      <w:tr w:rsidR="00502216" w:rsidRPr="003B6B9A" w:rsidTr="001040FB">
        <w:trPr>
          <w:cantSplit/>
          <w:trHeight w:val="311"/>
        </w:trPr>
        <w:tc>
          <w:tcPr>
            <w:tcW w:w="1551" w:type="dxa"/>
            <w:tcBorders>
              <w:top w:val="single" w:sz="8" w:space="0" w:color="auto"/>
              <w:right w:val="single" w:sz="8" w:space="0" w:color="auto"/>
            </w:tcBorders>
            <w:vAlign w:val="center"/>
          </w:tcPr>
          <w:p w:rsidR="00502216" w:rsidRPr="003B6B9A" w:rsidRDefault="00502216" w:rsidP="001040FB">
            <w:pPr>
              <w:pStyle w:val="xl41"/>
              <w:snapToGrid w:val="0"/>
              <w:spacing w:before="0" w:beforeAutospacing="0" w:after="0" w:afterAutospacing="0"/>
              <w:jc w:val="both"/>
              <w:textAlignment w:val="auto"/>
              <w:rPr>
                <w:rFonts w:ascii="Times New Roman" w:eastAsia="標楷體" w:hAnsi="Times New Roman" w:cs="Times New Roman" w:hint="default"/>
                <w:color w:val="auto"/>
              </w:rPr>
            </w:pPr>
            <w:r w:rsidRPr="003B6B9A">
              <w:rPr>
                <w:rFonts w:ascii="Times New Roman" w:eastAsia="標楷體" w:hAnsi="Times New Roman" w:cs="Times New Roman" w:hint="default"/>
                <w:color w:val="auto"/>
              </w:rPr>
              <w:t>金屬機電業</w:t>
            </w:r>
          </w:p>
        </w:tc>
        <w:tc>
          <w:tcPr>
            <w:tcW w:w="1473" w:type="dxa"/>
            <w:tcBorders>
              <w:top w:val="single" w:sz="8" w:space="0" w:color="auto"/>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3,324</w:t>
            </w:r>
          </w:p>
        </w:tc>
        <w:tc>
          <w:tcPr>
            <w:tcW w:w="1202" w:type="dxa"/>
            <w:tcBorders>
              <w:top w:val="single" w:sz="8" w:space="0" w:color="auto"/>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3,570</w:t>
            </w:r>
          </w:p>
        </w:tc>
        <w:tc>
          <w:tcPr>
            <w:tcW w:w="1202" w:type="dxa"/>
            <w:tcBorders>
              <w:top w:val="single" w:sz="8" w:space="0" w:color="auto"/>
              <w:left w:val="single" w:sz="8" w:space="0" w:color="auto"/>
            </w:tcBorders>
            <w:vAlign w:val="center"/>
          </w:tcPr>
          <w:p w:rsidR="00502216" w:rsidRPr="003B6B9A" w:rsidRDefault="00502216" w:rsidP="001040FB">
            <w:pPr>
              <w:ind w:rightChars="100" w:right="240"/>
              <w:jc w:val="right"/>
            </w:pPr>
            <w:r w:rsidRPr="003B6B9A">
              <w:rPr>
                <w:rFonts w:hint="eastAsia"/>
              </w:rPr>
              <w:t>536</w:t>
            </w:r>
          </w:p>
        </w:tc>
        <w:tc>
          <w:tcPr>
            <w:tcW w:w="1384" w:type="dxa"/>
            <w:tcBorders>
              <w:top w:val="single" w:sz="8" w:space="0" w:color="auto"/>
            </w:tcBorders>
            <w:vAlign w:val="center"/>
          </w:tcPr>
          <w:p w:rsidR="00502216" w:rsidRPr="003B6B9A" w:rsidRDefault="00502216" w:rsidP="001040FB">
            <w:pPr>
              <w:ind w:rightChars="100" w:right="240"/>
              <w:jc w:val="right"/>
            </w:pPr>
            <w:r w:rsidRPr="003B6B9A">
              <w:rPr>
                <w:rFonts w:hint="eastAsia"/>
              </w:rPr>
              <w:t>1,272</w:t>
            </w:r>
          </w:p>
        </w:tc>
        <w:tc>
          <w:tcPr>
            <w:tcW w:w="1418" w:type="dxa"/>
            <w:tcBorders>
              <w:top w:val="single" w:sz="8" w:space="0" w:color="auto"/>
              <w:left w:val="nil"/>
            </w:tcBorders>
            <w:vAlign w:val="center"/>
          </w:tcPr>
          <w:p w:rsidR="00502216" w:rsidRPr="003B6B9A" w:rsidRDefault="00502216" w:rsidP="001040FB">
            <w:pPr>
              <w:ind w:rightChars="100" w:right="240"/>
              <w:jc w:val="right"/>
            </w:pPr>
            <w:r w:rsidRPr="003B6B9A">
              <w:rPr>
                <w:rFonts w:hint="eastAsia"/>
              </w:rPr>
              <w:t>35.62</w:t>
            </w:r>
          </w:p>
        </w:tc>
      </w:tr>
      <w:tr w:rsidR="00502216" w:rsidRPr="003B6B9A" w:rsidTr="001040FB">
        <w:trPr>
          <w:cantSplit/>
          <w:trHeight w:val="227"/>
        </w:trPr>
        <w:tc>
          <w:tcPr>
            <w:tcW w:w="1551" w:type="dxa"/>
            <w:tcBorders>
              <w:right w:val="single" w:sz="8" w:space="0" w:color="auto"/>
            </w:tcBorders>
            <w:vAlign w:val="center"/>
          </w:tcPr>
          <w:p w:rsidR="00502216" w:rsidRPr="003B6B9A" w:rsidRDefault="00502216" w:rsidP="001040FB">
            <w:pPr>
              <w:snapToGrid w:val="0"/>
              <w:jc w:val="both"/>
              <w:rPr>
                <w:rFonts w:eastAsia="標楷體"/>
              </w:rPr>
            </w:pPr>
            <w:r w:rsidRPr="003B6B9A">
              <w:rPr>
                <w:rFonts w:eastAsia="標楷體"/>
              </w:rPr>
              <w:t>電子資訊業</w:t>
            </w:r>
          </w:p>
        </w:tc>
        <w:tc>
          <w:tcPr>
            <w:tcW w:w="1473"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5,064</w:t>
            </w:r>
          </w:p>
        </w:tc>
        <w:tc>
          <w:tcPr>
            <w:tcW w:w="1202"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5,550</w:t>
            </w:r>
          </w:p>
        </w:tc>
        <w:tc>
          <w:tcPr>
            <w:tcW w:w="1202" w:type="dxa"/>
            <w:tcBorders>
              <w:left w:val="single" w:sz="8" w:space="0" w:color="auto"/>
            </w:tcBorders>
            <w:vAlign w:val="center"/>
          </w:tcPr>
          <w:p w:rsidR="00502216" w:rsidRPr="003B6B9A" w:rsidRDefault="00502216" w:rsidP="001040FB">
            <w:pPr>
              <w:ind w:rightChars="100" w:right="240"/>
              <w:jc w:val="right"/>
            </w:pPr>
            <w:r w:rsidRPr="003B6B9A">
              <w:rPr>
                <w:rFonts w:hint="eastAsia"/>
              </w:rPr>
              <w:t>90</w:t>
            </w:r>
          </w:p>
        </w:tc>
        <w:tc>
          <w:tcPr>
            <w:tcW w:w="1384" w:type="dxa"/>
            <w:vAlign w:val="center"/>
          </w:tcPr>
          <w:p w:rsidR="00502216" w:rsidRPr="003B6B9A" w:rsidRDefault="00502216" w:rsidP="001040FB">
            <w:pPr>
              <w:ind w:rightChars="100" w:right="240"/>
              <w:jc w:val="right"/>
            </w:pPr>
            <w:r w:rsidRPr="003B6B9A">
              <w:rPr>
                <w:rFonts w:hint="eastAsia"/>
              </w:rPr>
              <w:t>1,853</w:t>
            </w:r>
          </w:p>
        </w:tc>
        <w:tc>
          <w:tcPr>
            <w:tcW w:w="1418" w:type="dxa"/>
            <w:tcBorders>
              <w:left w:val="nil"/>
            </w:tcBorders>
            <w:vAlign w:val="center"/>
          </w:tcPr>
          <w:p w:rsidR="00502216" w:rsidRPr="003B6B9A" w:rsidRDefault="00502216" w:rsidP="001040FB">
            <w:pPr>
              <w:ind w:rightChars="100" w:right="240"/>
              <w:jc w:val="right"/>
            </w:pPr>
            <w:r w:rsidRPr="003B6B9A">
              <w:rPr>
                <w:rFonts w:hint="eastAsia"/>
              </w:rPr>
              <w:t>33.39</w:t>
            </w:r>
          </w:p>
        </w:tc>
      </w:tr>
      <w:tr w:rsidR="00502216" w:rsidRPr="003B6B9A" w:rsidTr="001040FB">
        <w:trPr>
          <w:cantSplit/>
          <w:trHeight w:val="227"/>
        </w:trPr>
        <w:tc>
          <w:tcPr>
            <w:tcW w:w="1551" w:type="dxa"/>
            <w:tcBorders>
              <w:right w:val="single" w:sz="8" w:space="0" w:color="auto"/>
            </w:tcBorders>
            <w:vAlign w:val="center"/>
          </w:tcPr>
          <w:p w:rsidR="00502216" w:rsidRPr="003B6B9A" w:rsidRDefault="00502216" w:rsidP="001040FB">
            <w:pPr>
              <w:snapToGrid w:val="0"/>
              <w:jc w:val="both"/>
              <w:rPr>
                <w:rFonts w:eastAsia="標楷體"/>
              </w:rPr>
            </w:pPr>
            <w:r w:rsidRPr="003B6B9A">
              <w:rPr>
                <w:rFonts w:eastAsia="標楷體"/>
              </w:rPr>
              <w:t>民生化工業</w:t>
            </w:r>
          </w:p>
        </w:tc>
        <w:tc>
          <w:tcPr>
            <w:tcW w:w="1473"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3,113</w:t>
            </w:r>
          </w:p>
        </w:tc>
        <w:tc>
          <w:tcPr>
            <w:tcW w:w="1202"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3,220</w:t>
            </w:r>
          </w:p>
        </w:tc>
        <w:tc>
          <w:tcPr>
            <w:tcW w:w="1202" w:type="dxa"/>
            <w:tcBorders>
              <w:left w:val="single" w:sz="8" w:space="0" w:color="auto"/>
            </w:tcBorders>
            <w:vAlign w:val="center"/>
          </w:tcPr>
          <w:p w:rsidR="00502216" w:rsidRPr="003B6B9A" w:rsidRDefault="00502216" w:rsidP="001040FB">
            <w:pPr>
              <w:ind w:rightChars="100" w:right="240"/>
              <w:jc w:val="right"/>
            </w:pPr>
            <w:r w:rsidRPr="003B6B9A">
              <w:rPr>
                <w:rFonts w:hint="eastAsia"/>
              </w:rPr>
              <w:t>84</w:t>
            </w:r>
          </w:p>
        </w:tc>
        <w:tc>
          <w:tcPr>
            <w:tcW w:w="1384" w:type="dxa"/>
            <w:vAlign w:val="center"/>
          </w:tcPr>
          <w:p w:rsidR="00502216" w:rsidRPr="003B6B9A" w:rsidRDefault="00502216" w:rsidP="001040FB">
            <w:pPr>
              <w:ind w:rightChars="100" w:right="240"/>
              <w:jc w:val="right"/>
            </w:pPr>
            <w:r w:rsidRPr="003B6B9A">
              <w:rPr>
                <w:rFonts w:hint="eastAsia"/>
              </w:rPr>
              <w:t>1,078</w:t>
            </w:r>
          </w:p>
        </w:tc>
        <w:tc>
          <w:tcPr>
            <w:tcW w:w="1418" w:type="dxa"/>
            <w:tcBorders>
              <w:left w:val="nil"/>
            </w:tcBorders>
            <w:vAlign w:val="center"/>
          </w:tcPr>
          <w:p w:rsidR="00502216" w:rsidRPr="003B6B9A" w:rsidRDefault="00502216" w:rsidP="001040FB">
            <w:pPr>
              <w:ind w:rightChars="100" w:right="240"/>
              <w:jc w:val="right"/>
            </w:pPr>
            <w:r w:rsidRPr="003B6B9A">
              <w:rPr>
                <w:rFonts w:hint="eastAsia"/>
              </w:rPr>
              <w:t>33.47</w:t>
            </w:r>
          </w:p>
        </w:tc>
      </w:tr>
      <w:tr w:rsidR="00502216" w:rsidRPr="003B6B9A" w:rsidTr="001040FB">
        <w:trPr>
          <w:cantSplit/>
          <w:trHeight w:val="227"/>
        </w:trPr>
        <w:tc>
          <w:tcPr>
            <w:tcW w:w="1551" w:type="dxa"/>
            <w:tcBorders>
              <w:right w:val="single" w:sz="8" w:space="0" w:color="auto"/>
            </w:tcBorders>
            <w:vAlign w:val="center"/>
          </w:tcPr>
          <w:p w:rsidR="00502216" w:rsidRPr="003B6B9A" w:rsidRDefault="00502216" w:rsidP="001040FB">
            <w:pPr>
              <w:snapToGrid w:val="0"/>
              <w:jc w:val="both"/>
              <w:rPr>
                <w:rFonts w:eastAsia="標楷體"/>
              </w:rPr>
            </w:pPr>
            <w:r w:rsidRPr="003B6B9A">
              <w:rPr>
                <w:rFonts w:eastAsia="標楷體"/>
              </w:rPr>
              <w:t>技術服務業</w:t>
            </w:r>
          </w:p>
        </w:tc>
        <w:tc>
          <w:tcPr>
            <w:tcW w:w="1473"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730</w:t>
            </w:r>
          </w:p>
        </w:tc>
        <w:tc>
          <w:tcPr>
            <w:tcW w:w="1202"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770</w:t>
            </w:r>
          </w:p>
        </w:tc>
        <w:tc>
          <w:tcPr>
            <w:tcW w:w="1202" w:type="dxa"/>
            <w:tcBorders>
              <w:left w:val="single" w:sz="8" w:space="0" w:color="auto"/>
            </w:tcBorders>
            <w:vAlign w:val="center"/>
          </w:tcPr>
          <w:p w:rsidR="00502216" w:rsidRPr="003B6B9A" w:rsidRDefault="00502216" w:rsidP="001040FB">
            <w:pPr>
              <w:ind w:rightChars="100" w:right="240"/>
              <w:jc w:val="right"/>
            </w:pPr>
            <w:r w:rsidRPr="003B6B9A">
              <w:rPr>
                <w:rFonts w:hint="eastAsia"/>
              </w:rPr>
              <w:t>222</w:t>
            </w:r>
          </w:p>
        </w:tc>
        <w:tc>
          <w:tcPr>
            <w:tcW w:w="1384" w:type="dxa"/>
            <w:vAlign w:val="center"/>
          </w:tcPr>
          <w:p w:rsidR="00502216" w:rsidRPr="003B6B9A" w:rsidRDefault="00502216" w:rsidP="001040FB">
            <w:pPr>
              <w:ind w:rightChars="100" w:right="240"/>
              <w:jc w:val="right"/>
            </w:pPr>
            <w:r w:rsidRPr="003B6B9A">
              <w:rPr>
                <w:rFonts w:hint="eastAsia"/>
              </w:rPr>
              <w:t>97</w:t>
            </w:r>
          </w:p>
        </w:tc>
        <w:tc>
          <w:tcPr>
            <w:tcW w:w="1418" w:type="dxa"/>
            <w:tcBorders>
              <w:left w:val="nil"/>
            </w:tcBorders>
            <w:vAlign w:val="center"/>
          </w:tcPr>
          <w:p w:rsidR="00502216" w:rsidRPr="003B6B9A" w:rsidRDefault="00502216" w:rsidP="001040FB">
            <w:pPr>
              <w:ind w:rightChars="100" w:right="240"/>
              <w:jc w:val="right"/>
            </w:pPr>
            <w:r w:rsidRPr="003B6B9A">
              <w:rPr>
                <w:rFonts w:hint="eastAsia"/>
              </w:rPr>
              <w:t>12.56</w:t>
            </w:r>
          </w:p>
        </w:tc>
      </w:tr>
      <w:tr w:rsidR="00502216" w:rsidRPr="003B6B9A" w:rsidTr="001040FB">
        <w:trPr>
          <w:cantSplit/>
          <w:trHeight w:val="227"/>
        </w:trPr>
        <w:tc>
          <w:tcPr>
            <w:tcW w:w="1551" w:type="dxa"/>
            <w:tcBorders>
              <w:right w:val="single" w:sz="8" w:space="0" w:color="auto"/>
            </w:tcBorders>
            <w:vAlign w:val="center"/>
          </w:tcPr>
          <w:p w:rsidR="00502216" w:rsidRPr="003B6B9A" w:rsidRDefault="00502216" w:rsidP="001040FB">
            <w:pPr>
              <w:snapToGrid w:val="0"/>
              <w:jc w:val="both"/>
              <w:rPr>
                <w:rFonts w:eastAsia="標楷體"/>
              </w:rPr>
            </w:pPr>
            <w:r w:rsidRPr="003B6B9A">
              <w:rPr>
                <w:rFonts w:eastAsia="標楷體"/>
              </w:rPr>
              <w:t>電力供應業</w:t>
            </w:r>
          </w:p>
        </w:tc>
        <w:tc>
          <w:tcPr>
            <w:tcW w:w="1473"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52</w:t>
            </w:r>
          </w:p>
        </w:tc>
        <w:tc>
          <w:tcPr>
            <w:tcW w:w="1202"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90</w:t>
            </w:r>
          </w:p>
        </w:tc>
        <w:tc>
          <w:tcPr>
            <w:tcW w:w="1202" w:type="dxa"/>
            <w:tcBorders>
              <w:left w:val="single" w:sz="8" w:space="0" w:color="auto"/>
            </w:tcBorders>
            <w:vAlign w:val="center"/>
          </w:tcPr>
          <w:p w:rsidR="00502216" w:rsidRPr="003B6B9A" w:rsidRDefault="00502216" w:rsidP="001040FB">
            <w:pPr>
              <w:ind w:rightChars="100" w:right="240"/>
              <w:jc w:val="right"/>
            </w:pPr>
            <w:r w:rsidRPr="003B6B9A">
              <w:rPr>
                <w:rFonts w:hint="eastAsia"/>
              </w:rPr>
              <w:t>127</w:t>
            </w:r>
          </w:p>
        </w:tc>
        <w:tc>
          <w:tcPr>
            <w:tcW w:w="1384" w:type="dxa"/>
            <w:vAlign w:val="center"/>
          </w:tcPr>
          <w:p w:rsidR="00502216" w:rsidRPr="003B6B9A" w:rsidRDefault="00502216" w:rsidP="001040FB">
            <w:pPr>
              <w:ind w:rightChars="100" w:right="240"/>
              <w:jc w:val="right"/>
            </w:pPr>
            <w:r w:rsidRPr="003B6B9A">
              <w:rPr>
                <w:rFonts w:hint="eastAsia"/>
              </w:rPr>
              <w:t>24</w:t>
            </w:r>
          </w:p>
        </w:tc>
        <w:tc>
          <w:tcPr>
            <w:tcW w:w="1418" w:type="dxa"/>
            <w:tcBorders>
              <w:left w:val="nil"/>
            </w:tcBorders>
            <w:vAlign w:val="center"/>
          </w:tcPr>
          <w:p w:rsidR="00502216" w:rsidRPr="003B6B9A" w:rsidRDefault="00502216" w:rsidP="001040FB">
            <w:pPr>
              <w:ind w:rightChars="100" w:right="240"/>
              <w:jc w:val="right"/>
            </w:pPr>
            <w:r w:rsidRPr="003B6B9A">
              <w:rPr>
                <w:rFonts w:hint="eastAsia"/>
              </w:rPr>
              <w:t>26.26</w:t>
            </w:r>
          </w:p>
        </w:tc>
      </w:tr>
      <w:tr w:rsidR="00502216" w:rsidRPr="003B6B9A" w:rsidTr="001040FB">
        <w:trPr>
          <w:cantSplit/>
          <w:trHeight w:val="227"/>
        </w:trPr>
        <w:tc>
          <w:tcPr>
            <w:tcW w:w="1551" w:type="dxa"/>
            <w:tcBorders>
              <w:right w:val="single" w:sz="8" w:space="0" w:color="auto"/>
            </w:tcBorders>
            <w:vAlign w:val="center"/>
          </w:tcPr>
          <w:p w:rsidR="00502216" w:rsidRPr="003B6B9A" w:rsidRDefault="00502216" w:rsidP="001040FB">
            <w:pPr>
              <w:snapToGrid w:val="0"/>
              <w:jc w:val="both"/>
              <w:rPr>
                <w:rFonts w:eastAsia="標楷體"/>
              </w:rPr>
            </w:pPr>
            <w:r w:rsidRPr="003B6B9A">
              <w:rPr>
                <w:rFonts w:eastAsia="標楷體"/>
              </w:rPr>
              <w:t>批發、</w:t>
            </w:r>
            <w:r w:rsidRPr="003B6B9A">
              <w:rPr>
                <w:rFonts w:eastAsia="標楷體" w:hint="eastAsia"/>
              </w:rPr>
              <w:t>零售與</w:t>
            </w:r>
            <w:r w:rsidRPr="003B6B9A">
              <w:rPr>
                <w:rFonts w:eastAsia="標楷體"/>
              </w:rPr>
              <w:t>物流業</w:t>
            </w:r>
          </w:p>
        </w:tc>
        <w:tc>
          <w:tcPr>
            <w:tcW w:w="1473"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755</w:t>
            </w:r>
          </w:p>
        </w:tc>
        <w:tc>
          <w:tcPr>
            <w:tcW w:w="1202"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800</w:t>
            </w:r>
          </w:p>
        </w:tc>
        <w:tc>
          <w:tcPr>
            <w:tcW w:w="1202" w:type="dxa"/>
            <w:tcBorders>
              <w:left w:val="single" w:sz="8" w:space="0" w:color="auto"/>
            </w:tcBorders>
            <w:vAlign w:val="center"/>
          </w:tcPr>
          <w:p w:rsidR="00502216" w:rsidRPr="003B6B9A" w:rsidRDefault="00502216" w:rsidP="001040FB">
            <w:pPr>
              <w:ind w:rightChars="100" w:right="240"/>
              <w:jc w:val="right"/>
            </w:pPr>
            <w:r w:rsidRPr="003B6B9A">
              <w:rPr>
                <w:rFonts w:hint="eastAsia"/>
              </w:rPr>
              <w:t>59</w:t>
            </w:r>
          </w:p>
        </w:tc>
        <w:tc>
          <w:tcPr>
            <w:tcW w:w="1384" w:type="dxa"/>
            <w:vAlign w:val="center"/>
          </w:tcPr>
          <w:p w:rsidR="00502216" w:rsidRPr="003B6B9A" w:rsidRDefault="00502216" w:rsidP="001040FB">
            <w:pPr>
              <w:ind w:rightChars="100" w:right="240"/>
              <w:jc w:val="right"/>
            </w:pPr>
            <w:r w:rsidRPr="003B6B9A">
              <w:rPr>
                <w:rFonts w:hint="eastAsia"/>
              </w:rPr>
              <w:t>263</w:t>
            </w:r>
          </w:p>
        </w:tc>
        <w:tc>
          <w:tcPr>
            <w:tcW w:w="1418" w:type="dxa"/>
            <w:tcBorders>
              <w:left w:val="nil"/>
            </w:tcBorders>
            <w:vAlign w:val="center"/>
          </w:tcPr>
          <w:p w:rsidR="00502216" w:rsidRPr="003B6B9A" w:rsidRDefault="00502216" w:rsidP="001040FB">
            <w:pPr>
              <w:ind w:rightChars="100" w:right="240"/>
              <w:jc w:val="right"/>
            </w:pPr>
            <w:r w:rsidRPr="003B6B9A">
              <w:rPr>
                <w:rFonts w:hint="eastAsia"/>
              </w:rPr>
              <w:t>32.93</w:t>
            </w:r>
          </w:p>
        </w:tc>
      </w:tr>
      <w:tr w:rsidR="00502216" w:rsidRPr="003B6B9A" w:rsidTr="001040FB">
        <w:trPr>
          <w:cantSplit/>
          <w:trHeight w:val="227"/>
        </w:trPr>
        <w:tc>
          <w:tcPr>
            <w:tcW w:w="1551" w:type="dxa"/>
            <w:tcBorders>
              <w:top w:val="single" w:sz="8" w:space="0" w:color="auto"/>
              <w:bottom w:val="single" w:sz="8" w:space="0" w:color="auto"/>
              <w:right w:val="single" w:sz="8" w:space="0" w:color="auto"/>
            </w:tcBorders>
            <w:vAlign w:val="center"/>
          </w:tcPr>
          <w:p w:rsidR="00502216" w:rsidRPr="003B6B9A" w:rsidRDefault="00502216" w:rsidP="001040FB">
            <w:pPr>
              <w:jc w:val="both"/>
              <w:rPr>
                <w:rFonts w:eastAsia="標楷體"/>
              </w:rPr>
            </w:pPr>
            <w:r w:rsidRPr="00A95184">
              <w:rPr>
                <w:rFonts w:eastAsia="標楷體"/>
                <w:spacing w:val="315"/>
                <w:kern w:val="0"/>
                <w:fitText w:val="1134" w:id="904654336"/>
              </w:rPr>
              <w:t>總</w:t>
            </w:r>
            <w:r w:rsidRPr="00A95184">
              <w:rPr>
                <w:rFonts w:eastAsia="標楷體"/>
                <w:spacing w:val="7"/>
                <w:kern w:val="0"/>
                <w:fitText w:val="1134" w:id="904654336"/>
              </w:rPr>
              <w:t>計</w:t>
            </w:r>
          </w:p>
        </w:tc>
        <w:tc>
          <w:tcPr>
            <w:tcW w:w="1473" w:type="dxa"/>
            <w:tcBorders>
              <w:top w:val="single" w:sz="8" w:space="0" w:color="auto"/>
              <w:left w:val="single" w:sz="8" w:space="0" w:color="auto"/>
              <w:bottom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13,040</w:t>
            </w:r>
          </w:p>
        </w:tc>
        <w:tc>
          <w:tcPr>
            <w:tcW w:w="1202" w:type="dxa"/>
            <w:tcBorders>
              <w:top w:val="single" w:sz="8" w:space="0" w:color="auto"/>
              <w:left w:val="single" w:sz="8" w:space="0" w:color="auto"/>
              <w:bottom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14,000</w:t>
            </w:r>
          </w:p>
        </w:tc>
        <w:tc>
          <w:tcPr>
            <w:tcW w:w="1202" w:type="dxa"/>
            <w:tcBorders>
              <w:top w:val="single" w:sz="8" w:space="0" w:color="auto"/>
              <w:left w:val="single" w:sz="8" w:space="0" w:color="auto"/>
              <w:bottom w:val="single" w:sz="8" w:space="0" w:color="auto"/>
            </w:tcBorders>
            <w:vAlign w:val="center"/>
          </w:tcPr>
          <w:p w:rsidR="00502216" w:rsidRPr="003B6B9A" w:rsidRDefault="00502216" w:rsidP="001040FB">
            <w:pPr>
              <w:ind w:rightChars="100" w:right="240"/>
              <w:jc w:val="right"/>
            </w:pPr>
            <w:r w:rsidRPr="003B6B9A">
              <w:rPr>
                <w:rFonts w:hint="eastAsia"/>
              </w:rPr>
              <w:t>1,118</w:t>
            </w:r>
          </w:p>
        </w:tc>
        <w:tc>
          <w:tcPr>
            <w:tcW w:w="1384" w:type="dxa"/>
            <w:tcBorders>
              <w:top w:val="single" w:sz="8" w:space="0" w:color="auto"/>
              <w:bottom w:val="single" w:sz="8" w:space="0" w:color="auto"/>
            </w:tcBorders>
            <w:vAlign w:val="center"/>
          </w:tcPr>
          <w:p w:rsidR="00502216" w:rsidRPr="003B6B9A" w:rsidRDefault="00502216" w:rsidP="001040FB">
            <w:pPr>
              <w:ind w:rightChars="100" w:right="240"/>
              <w:jc w:val="right"/>
            </w:pPr>
            <w:r w:rsidRPr="003B6B9A">
              <w:rPr>
                <w:rFonts w:hint="eastAsia"/>
              </w:rPr>
              <w:t>4,586</w:t>
            </w:r>
          </w:p>
        </w:tc>
        <w:tc>
          <w:tcPr>
            <w:tcW w:w="1418" w:type="dxa"/>
            <w:tcBorders>
              <w:top w:val="single" w:sz="8" w:space="0" w:color="auto"/>
              <w:left w:val="nil"/>
              <w:bottom w:val="single" w:sz="8" w:space="0" w:color="auto"/>
            </w:tcBorders>
            <w:vAlign w:val="center"/>
          </w:tcPr>
          <w:p w:rsidR="00502216" w:rsidRPr="003B6B9A" w:rsidRDefault="00502216" w:rsidP="001040FB">
            <w:pPr>
              <w:ind w:rightChars="100" w:right="240"/>
              <w:jc w:val="right"/>
            </w:pPr>
            <w:r w:rsidRPr="003B6B9A">
              <w:rPr>
                <w:rFonts w:hint="eastAsia"/>
              </w:rPr>
              <w:t>32.76</w:t>
            </w:r>
          </w:p>
        </w:tc>
      </w:tr>
    </w:tbl>
    <w:p w:rsidR="00502216" w:rsidRPr="003B6B9A" w:rsidRDefault="00502216" w:rsidP="00502216">
      <w:pPr>
        <w:pStyle w:val="af"/>
        <w:snapToGrid w:val="0"/>
        <w:spacing w:line="240" w:lineRule="atLeast"/>
        <w:ind w:leftChars="0" w:left="0" w:firstLineChars="0" w:firstLine="0"/>
        <w:rPr>
          <w:szCs w:val="22"/>
        </w:rPr>
      </w:pPr>
      <w:r w:rsidRPr="003B6B9A">
        <w:rPr>
          <w:szCs w:val="22"/>
        </w:rPr>
        <w:t>資料來源：行政院全球招商聯合服務中心。</w:t>
      </w:r>
    </w:p>
    <w:p w:rsidR="00502216" w:rsidRPr="003B6B9A" w:rsidRDefault="00502216" w:rsidP="00502216">
      <w:pPr>
        <w:pStyle w:val="af"/>
        <w:snapToGrid w:val="0"/>
        <w:spacing w:line="240" w:lineRule="atLeast"/>
        <w:ind w:leftChars="0" w:left="0" w:firstLineChars="0" w:firstLine="0"/>
      </w:pPr>
    </w:p>
    <w:p w:rsidR="00502216" w:rsidRPr="003B6B9A" w:rsidRDefault="00502216" w:rsidP="00502216">
      <w:pPr>
        <w:pStyle w:val="k3a"/>
        <w:tabs>
          <w:tab w:val="left" w:pos="540"/>
        </w:tabs>
        <w:spacing w:before="180" w:afterLines="50" w:after="180" w:line="300" w:lineRule="auto"/>
        <w:ind w:leftChars="0" w:left="0" w:rightChars="-136" w:right="-326" w:firstLineChars="0" w:firstLine="0"/>
        <w:rPr>
          <w:b/>
          <w:bCs/>
        </w:rPr>
      </w:pPr>
      <w:r w:rsidRPr="003B6B9A">
        <w:rPr>
          <w:b/>
          <w:bCs/>
        </w:rPr>
        <w:t>３、</w:t>
      </w:r>
      <w:r w:rsidRPr="003B6B9A">
        <w:rPr>
          <w:b/>
          <w:bCs/>
        </w:rPr>
        <w:t>104</w:t>
      </w:r>
      <w:r w:rsidRPr="003B6B9A">
        <w:rPr>
          <w:b/>
          <w:bCs/>
        </w:rPr>
        <w:t>年</w:t>
      </w:r>
      <w:r w:rsidRPr="003B6B9A">
        <w:rPr>
          <w:b/>
          <w:bCs/>
        </w:rPr>
        <w:t>4</w:t>
      </w:r>
      <w:r w:rsidRPr="003B6B9A">
        <w:rPr>
          <w:b/>
          <w:bCs/>
        </w:rPr>
        <w:t>月僑外直接投資金額</w:t>
      </w:r>
      <w:r w:rsidRPr="003B6B9A">
        <w:rPr>
          <w:b/>
          <w:bCs/>
        </w:rPr>
        <w:t>2.82</w:t>
      </w:r>
      <w:r w:rsidRPr="003B6B9A">
        <w:rPr>
          <w:b/>
          <w:bCs/>
        </w:rPr>
        <w:t>億美元，成長</w:t>
      </w:r>
      <w:r w:rsidRPr="003B6B9A">
        <w:rPr>
          <w:b/>
          <w:bCs/>
        </w:rPr>
        <w:t>8.94%</w:t>
      </w:r>
    </w:p>
    <w:p w:rsidR="00502216" w:rsidRPr="003B6B9A" w:rsidRDefault="00502216" w:rsidP="00502216">
      <w:pPr>
        <w:pStyle w:val="k32"/>
        <w:topLinePunct/>
        <w:ind w:left="0" w:rightChars="-59" w:firstLineChars="202" w:firstLine="566"/>
      </w:pPr>
      <w:r w:rsidRPr="003B6B9A">
        <w:t>104</w:t>
      </w:r>
      <w:r w:rsidRPr="003B6B9A">
        <w:t>年</w:t>
      </w:r>
      <w:r w:rsidRPr="003B6B9A">
        <w:t>4</w:t>
      </w:r>
      <w:r w:rsidRPr="003B6B9A">
        <w:t>月核准僑外直接投資件數為</w:t>
      </w:r>
      <w:r w:rsidRPr="003B6B9A">
        <w:t>309</w:t>
      </w:r>
      <w:r w:rsidRPr="003B6B9A">
        <w:t>件，核准投資金額</w:t>
      </w:r>
      <w:r w:rsidRPr="003B6B9A">
        <w:t>2.82</w:t>
      </w:r>
      <w:r w:rsidRPr="003B6B9A">
        <w:t>億美元，較上年同月成長</w:t>
      </w:r>
      <w:r w:rsidRPr="003B6B9A">
        <w:t>8.94%</w:t>
      </w:r>
      <w:r w:rsidRPr="003B6B9A">
        <w:rPr>
          <w:rFonts w:hint="eastAsia"/>
        </w:rPr>
        <w:t>。</w:t>
      </w:r>
      <w:r w:rsidRPr="003B6B9A">
        <w:t>累計</w:t>
      </w:r>
      <w:r w:rsidRPr="003B6B9A">
        <w:t>1</w:t>
      </w:r>
      <w:r w:rsidRPr="003B6B9A">
        <w:t>至</w:t>
      </w:r>
      <w:r w:rsidRPr="003B6B9A">
        <w:t>4</w:t>
      </w:r>
      <w:r w:rsidRPr="003B6B9A">
        <w:t>月核准僑外直接投資件數為</w:t>
      </w:r>
      <w:r w:rsidRPr="003B6B9A">
        <w:t>1,162</w:t>
      </w:r>
      <w:r w:rsidRPr="003B6B9A">
        <w:t>件，核准投資金額</w:t>
      </w:r>
      <w:r w:rsidRPr="003B6B9A">
        <w:t>15.17</w:t>
      </w:r>
      <w:r w:rsidRPr="003B6B9A">
        <w:t>億美元，較上年同期成長</w:t>
      </w:r>
      <w:r w:rsidRPr="003B6B9A">
        <w:t>38.89%</w:t>
      </w:r>
      <w:r w:rsidRPr="003B6B9A">
        <w:t>。若就地區觀之，以加勒比海英國屬地</w:t>
      </w:r>
      <w:r w:rsidRPr="003B6B9A">
        <w:t>(32.49%</w:t>
      </w:r>
      <w:r w:rsidRPr="003B6B9A">
        <w:t>，主要為英屬維京群島、英屬蓋曼群島</w:t>
      </w:r>
      <w:r w:rsidRPr="003B6B9A">
        <w:t>)</w:t>
      </w:r>
      <w:r w:rsidRPr="003B6B9A">
        <w:t>、荷蘭</w:t>
      </w:r>
      <w:r w:rsidRPr="003B6B9A">
        <w:t>(15.14%)</w:t>
      </w:r>
      <w:r w:rsidRPr="003B6B9A">
        <w:t>、日本</w:t>
      </w:r>
      <w:r w:rsidRPr="003B6B9A">
        <w:t>(10.93%)</w:t>
      </w:r>
      <w:r w:rsidRPr="003B6B9A">
        <w:t>、薩摩亞</w:t>
      </w:r>
      <w:r w:rsidRPr="003B6B9A">
        <w:t>(8.75%)</w:t>
      </w:r>
      <w:r w:rsidRPr="003B6B9A">
        <w:t>、香港</w:t>
      </w:r>
      <w:r w:rsidRPr="003B6B9A">
        <w:t>(6.13%)</w:t>
      </w:r>
      <w:r w:rsidRPr="003B6B9A">
        <w:t>分居前</w:t>
      </w:r>
      <w:r w:rsidRPr="003B6B9A">
        <w:t>5</w:t>
      </w:r>
      <w:r w:rsidRPr="003B6B9A">
        <w:t>名，合計占</w:t>
      </w:r>
      <w:r w:rsidRPr="003B6B9A">
        <w:t>1</w:t>
      </w:r>
      <w:r w:rsidRPr="003B6B9A">
        <w:t>至</w:t>
      </w:r>
      <w:r w:rsidRPr="003B6B9A">
        <w:t>4</w:t>
      </w:r>
      <w:r w:rsidRPr="003B6B9A">
        <w:t>月僑外投資總額的</w:t>
      </w:r>
      <w:r w:rsidRPr="003B6B9A">
        <w:t>73.44%</w:t>
      </w:r>
      <w:r w:rsidRPr="003B6B9A">
        <w:t>；若就業別觀之，僑外投資以批發及零售業</w:t>
      </w:r>
      <w:r w:rsidRPr="003B6B9A">
        <w:t>(30.04%)</w:t>
      </w:r>
      <w:r w:rsidRPr="003B6B9A">
        <w:t>、金融及保險業</w:t>
      </w:r>
      <w:r w:rsidRPr="003B6B9A">
        <w:t>(21.77%)</w:t>
      </w:r>
      <w:r w:rsidRPr="003B6B9A">
        <w:t>、不動產業</w:t>
      </w:r>
      <w:r w:rsidRPr="003B6B9A">
        <w:t>(7.57%)</w:t>
      </w:r>
      <w:r w:rsidRPr="003B6B9A">
        <w:t>、專業、科學及技術服務業</w:t>
      </w:r>
      <w:r w:rsidRPr="003B6B9A">
        <w:t>(6.37%)</w:t>
      </w:r>
      <w:r w:rsidRPr="003B6B9A">
        <w:t>及電腦、電子產品及光學製品製造業</w:t>
      </w:r>
      <w:r w:rsidRPr="003B6B9A">
        <w:t>(5.65%)</w:t>
      </w:r>
      <w:r w:rsidRPr="003B6B9A">
        <w:t>分居前</w:t>
      </w:r>
      <w:r w:rsidRPr="003B6B9A">
        <w:t>5</w:t>
      </w:r>
      <w:r w:rsidRPr="003B6B9A">
        <w:t>名，合計占</w:t>
      </w:r>
      <w:r w:rsidRPr="003B6B9A">
        <w:t>1</w:t>
      </w:r>
      <w:r w:rsidRPr="003B6B9A">
        <w:t>至</w:t>
      </w:r>
      <w:r w:rsidRPr="003B6B9A">
        <w:t>4</w:t>
      </w:r>
      <w:r w:rsidRPr="003B6B9A">
        <w:t>月僑外投資總額的</w:t>
      </w:r>
      <w:r w:rsidRPr="003B6B9A">
        <w:t>71.40%</w:t>
      </w:r>
      <w:r w:rsidRPr="003B6B9A">
        <w:t>。</w:t>
      </w:r>
    </w:p>
    <w:p w:rsidR="00502216" w:rsidRPr="003B6B9A" w:rsidRDefault="00502216" w:rsidP="00502216">
      <w:pPr>
        <w:pStyle w:val="k32"/>
        <w:topLinePunct/>
        <w:ind w:left="0" w:rightChars="-59" w:firstLineChars="202" w:firstLine="566"/>
      </w:pPr>
      <w:r w:rsidRPr="003B6B9A">
        <w:t>我國外人投資的方式除了僑外投資外，亦來自國內、外金融市場募集資金。依據金管會統計，</w:t>
      </w:r>
      <w:r w:rsidRPr="003B6B9A">
        <w:t>104</w:t>
      </w:r>
      <w:r w:rsidRPr="003B6B9A">
        <w:t>年</w:t>
      </w:r>
      <w:r w:rsidRPr="003B6B9A">
        <w:t>4</w:t>
      </w:r>
      <w:r w:rsidRPr="003B6B9A">
        <w:t>月外資投資我國股市淨匯入金額</w:t>
      </w:r>
      <w:r w:rsidRPr="003B6B9A">
        <w:t>36.87</w:t>
      </w:r>
      <w:r w:rsidRPr="003B6B9A">
        <w:t>億美元；累計</w:t>
      </w:r>
      <w:r w:rsidRPr="003B6B9A">
        <w:t>1</w:t>
      </w:r>
      <w:r w:rsidRPr="003B6B9A">
        <w:t>至</w:t>
      </w:r>
      <w:r w:rsidRPr="003B6B9A">
        <w:t>4</w:t>
      </w:r>
      <w:r w:rsidRPr="003B6B9A">
        <w:t>月淨匯入</w:t>
      </w:r>
      <w:r w:rsidRPr="003B6B9A">
        <w:t>106.94</w:t>
      </w:r>
      <w:r w:rsidRPr="003B6B9A">
        <w:t>億美元。</w:t>
      </w:r>
    </w:p>
    <w:p w:rsidR="00502216" w:rsidRPr="003B6B9A" w:rsidRDefault="00502216" w:rsidP="00502216">
      <w:pPr>
        <w:pStyle w:val="k32"/>
        <w:topLinePunct/>
        <w:ind w:left="0" w:rightChars="-59" w:firstLineChars="202" w:firstLine="566"/>
      </w:pPr>
    </w:p>
    <w:p w:rsidR="00502216" w:rsidRPr="003B6B9A" w:rsidRDefault="00502216" w:rsidP="00502216">
      <w:pPr>
        <w:pStyle w:val="k32"/>
        <w:topLinePunct/>
        <w:ind w:left="0" w:rightChars="-59" w:firstLineChars="202" w:firstLine="566"/>
      </w:pPr>
    </w:p>
    <w:p w:rsidR="00502216" w:rsidRPr="003B6B9A" w:rsidRDefault="00502216" w:rsidP="00502216">
      <w:pPr>
        <w:pStyle w:val="k32"/>
        <w:topLinePunct/>
        <w:ind w:left="0" w:rightChars="-59" w:firstLineChars="0" w:firstLine="0"/>
        <w:jc w:val="right"/>
      </w:pPr>
      <w:r w:rsidRPr="003B6B9A">
        <w:rPr>
          <w:b/>
          <w:bCs/>
        </w:rPr>
        <w:t>表</w:t>
      </w:r>
      <w:r w:rsidRPr="003B6B9A">
        <w:rPr>
          <w:b/>
          <w:bCs/>
        </w:rPr>
        <w:t xml:space="preserve"> 2-6-3  </w:t>
      </w:r>
      <w:r w:rsidRPr="003B6B9A">
        <w:rPr>
          <w:b/>
          <w:bCs/>
        </w:rPr>
        <w:t>外資投入概況</w:t>
      </w:r>
      <w:r w:rsidRPr="003B6B9A">
        <w:t xml:space="preserve">           </w:t>
      </w:r>
      <w:r w:rsidRPr="003B6B9A">
        <w:rPr>
          <w:sz w:val="24"/>
          <w:szCs w:val="24"/>
        </w:rPr>
        <w:t>單位：億美元</w:t>
      </w:r>
    </w:p>
    <w:tbl>
      <w:tblPr>
        <w:tblW w:w="8347" w:type="dxa"/>
        <w:jc w:val="center"/>
        <w:tblBorders>
          <w:top w:val="single" w:sz="8" w:space="0" w:color="auto"/>
          <w:bottom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1681"/>
        <w:gridCol w:w="1314"/>
        <w:gridCol w:w="1788"/>
        <w:gridCol w:w="1782"/>
        <w:gridCol w:w="1782"/>
      </w:tblGrid>
      <w:tr w:rsidR="00502216" w:rsidRPr="003B6B9A" w:rsidTr="001040FB">
        <w:trPr>
          <w:tblHeader/>
          <w:jc w:val="center"/>
        </w:trPr>
        <w:tc>
          <w:tcPr>
            <w:tcW w:w="1681"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314"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僑外投資</w:t>
            </w:r>
          </w:p>
          <w:p w:rsidR="00502216" w:rsidRPr="003B6B9A" w:rsidRDefault="00502216" w:rsidP="001040FB">
            <w:pPr>
              <w:snapToGrid w:val="0"/>
              <w:spacing w:line="400" w:lineRule="exact"/>
              <w:jc w:val="center"/>
              <w:rPr>
                <w:rFonts w:eastAsia="標楷體"/>
              </w:rPr>
            </w:pPr>
            <w:r w:rsidRPr="003B6B9A">
              <w:rPr>
                <w:rFonts w:eastAsia="標楷體"/>
              </w:rPr>
              <w:t>總額</w:t>
            </w:r>
          </w:p>
        </w:tc>
        <w:tc>
          <w:tcPr>
            <w:tcW w:w="1788"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外資投入股市</w:t>
            </w:r>
          </w:p>
          <w:p w:rsidR="00502216" w:rsidRPr="003B6B9A" w:rsidRDefault="00502216" w:rsidP="001040FB">
            <w:pPr>
              <w:snapToGrid w:val="0"/>
              <w:spacing w:line="400" w:lineRule="exact"/>
              <w:jc w:val="center"/>
              <w:rPr>
                <w:rFonts w:eastAsia="標楷體"/>
              </w:rPr>
            </w:pPr>
            <w:r w:rsidRPr="003B6B9A">
              <w:rPr>
                <w:rFonts w:eastAsia="標楷體"/>
              </w:rPr>
              <w:t>匯入淨額</w:t>
            </w:r>
          </w:p>
        </w:tc>
        <w:tc>
          <w:tcPr>
            <w:tcW w:w="1782"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企業發行海外</w:t>
            </w:r>
          </w:p>
          <w:p w:rsidR="00502216" w:rsidRPr="003B6B9A" w:rsidRDefault="00502216" w:rsidP="001040FB">
            <w:pPr>
              <w:snapToGrid w:val="0"/>
              <w:spacing w:line="400" w:lineRule="exact"/>
              <w:jc w:val="center"/>
              <w:rPr>
                <w:rFonts w:eastAsia="標楷體"/>
              </w:rPr>
            </w:pPr>
            <w:r w:rsidRPr="003B6B9A">
              <w:rPr>
                <w:rFonts w:eastAsia="標楷體"/>
              </w:rPr>
              <w:t>存託憑證金額</w:t>
            </w:r>
          </w:p>
        </w:tc>
        <w:tc>
          <w:tcPr>
            <w:tcW w:w="1782"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企業發行海外</w:t>
            </w:r>
          </w:p>
          <w:p w:rsidR="00502216" w:rsidRPr="003B6B9A" w:rsidRDefault="00502216" w:rsidP="001040FB">
            <w:pPr>
              <w:snapToGrid w:val="0"/>
              <w:spacing w:line="400" w:lineRule="exact"/>
              <w:jc w:val="center"/>
              <w:rPr>
                <w:rFonts w:eastAsia="標楷體"/>
              </w:rPr>
            </w:pPr>
            <w:r w:rsidRPr="003B6B9A">
              <w:rPr>
                <w:rFonts w:eastAsia="標楷體"/>
              </w:rPr>
              <w:t>公司債金額</w:t>
            </w:r>
          </w:p>
        </w:tc>
      </w:tr>
      <w:tr w:rsidR="00502216" w:rsidRPr="003B6B9A" w:rsidTr="001040FB">
        <w:trPr>
          <w:jc w:val="center"/>
        </w:trPr>
        <w:tc>
          <w:tcPr>
            <w:tcW w:w="1681" w:type="dxa"/>
            <w:tcBorders>
              <w:top w:val="nil"/>
              <w:bottom w:val="nil"/>
              <w:right w:val="single" w:sz="8" w:space="0" w:color="auto"/>
            </w:tcBorders>
          </w:tcPr>
          <w:p w:rsidR="00502216" w:rsidRPr="003B6B9A" w:rsidRDefault="00502216" w:rsidP="001040FB">
            <w:pPr>
              <w:snapToGrid w:val="0"/>
              <w:spacing w:line="400" w:lineRule="exact"/>
              <w:ind w:rightChars="-39" w:right="-94"/>
              <w:rPr>
                <w:rFonts w:eastAsia="標楷體"/>
              </w:rPr>
            </w:pPr>
            <w:r w:rsidRPr="003B6B9A">
              <w:rPr>
                <w:rFonts w:eastAsia="標楷體"/>
                <w:b/>
                <w:bCs/>
              </w:rPr>
              <w:t xml:space="preserve">  99</w:t>
            </w:r>
            <w:r w:rsidRPr="003B6B9A">
              <w:rPr>
                <w:rFonts w:eastAsia="標楷體"/>
                <w:b/>
                <w:bCs/>
              </w:rPr>
              <w:t>年</w:t>
            </w:r>
          </w:p>
        </w:tc>
        <w:tc>
          <w:tcPr>
            <w:tcW w:w="1314" w:type="dxa"/>
            <w:tcBorders>
              <w:top w:val="nil"/>
              <w:left w:val="single" w:sz="8" w:space="0" w:color="auto"/>
              <w:bottom w:val="nil"/>
              <w:right w:val="nil"/>
            </w:tcBorders>
          </w:tcPr>
          <w:p w:rsidR="00502216" w:rsidRPr="003B6B9A" w:rsidRDefault="00502216" w:rsidP="001040FB">
            <w:pPr>
              <w:snapToGrid w:val="0"/>
              <w:spacing w:line="400" w:lineRule="exact"/>
              <w:ind w:rightChars="100" w:right="240"/>
              <w:jc w:val="right"/>
              <w:rPr>
                <w:rFonts w:eastAsia="標楷體"/>
                <w:b/>
                <w:bCs/>
              </w:rPr>
            </w:pPr>
            <w:r w:rsidRPr="003B6B9A">
              <w:rPr>
                <w:rFonts w:eastAsia="標楷體"/>
                <w:b/>
                <w:bCs/>
              </w:rPr>
              <w:t>38.12</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b/>
              </w:rPr>
              <w:t>165.76</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14.34</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bCs/>
              </w:rPr>
            </w:pPr>
            <w:r w:rsidRPr="003B6B9A">
              <w:rPr>
                <w:rFonts w:eastAsia="標楷體" w:hint="eastAsia"/>
                <w:b/>
                <w:bCs/>
              </w:rPr>
              <w:t>29.88</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39" w:right="-94"/>
              <w:rPr>
                <w:rFonts w:eastAsia="標楷體"/>
              </w:rPr>
            </w:pPr>
            <w:r w:rsidRPr="003B6B9A">
              <w:rPr>
                <w:rFonts w:eastAsia="標楷體"/>
                <w:b/>
                <w:bCs/>
              </w:rPr>
              <w:t xml:space="preserve"> 100</w:t>
            </w:r>
            <w:r w:rsidRPr="003B6B9A">
              <w:rPr>
                <w:rFonts w:eastAsia="標楷體"/>
                <w:b/>
                <w:bCs/>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rFonts w:eastAsia="標楷體"/>
                <w:b/>
              </w:rPr>
            </w:pPr>
            <w:r w:rsidRPr="003B6B9A">
              <w:rPr>
                <w:rFonts w:eastAsia="標楷體"/>
                <w:b/>
              </w:rPr>
              <w:t>49.55</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b/>
              </w:rPr>
              <w:t>-97.93</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rPr>
            </w:pPr>
            <w:r w:rsidRPr="003B6B9A">
              <w:rPr>
                <w:rFonts w:eastAsia="標楷體" w:hint="eastAsia"/>
                <w:b/>
              </w:rPr>
              <w:t>12.53</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rPr>
            </w:pPr>
            <w:r w:rsidRPr="003B6B9A">
              <w:rPr>
                <w:rFonts w:eastAsia="標楷體" w:hint="eastAsia"/>
                <w:b/>
              </w:rPr>
              <w:t>24.75</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jc w:val="both"/>
              <w:rPr>
                <w:rFonts w:eastAsia="標楷體"/>
                <w:b/>
                <w:bCs/>
              </w:rPr>
            </w:pPr>
            <w:r w:rsidRPr="003B6B9A">
              <w:rPr>
                <w:rFonts w:eastAsia="標楷體"/>
                <w:b/>
                <w:bCs/>
              </w:rPr>
              <w:t xml:space="preserve"> 101</w:t>
            </w:r>
            <w:r w:rsidRPr="003B6B9A">
              <w:rPr>
                <w:rFonts w:eastAsia="標楷體"/>
                <w:b/>
                <w:bCs/>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b/>
                <w:bCs/>
              </w:rPr>
            </w:pPr>
            <w:r w:rsidRPr="003B6B9A">
              <w:rPr>
                <w:b/>
                <w:bCs/>
              </w:rPr>
              <w:t>55.59</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b/>
              </w:rPr>
              <w:t>73.67</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10.61</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bCs/>
              </w:rPr>
            </w:pPr>
            <w:r w:rsidRPr="003B6B9A">
              <w:rPr>
                <w:rFonts w:eastAsia="標楷體" w:hint="eastAsia"/>
                <w:b/>
                <w:bCs/>
              </w:rPr>
              <w:t>8.95</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3" w:right="-7" w:firstLineChars="50" w:firstLine="120"/>
              <w:rPr>
                <w:rFonts w:eastAsia="標楷體"/>
                <w:b/>
              </w:rPr>
            </w:pPr>
            <w:r w:rsidRPr="003B6B9A">
              <w:rPr>
                <w:rFonts w:eastAsia="標楷體"/>
                <w:b/>
              </w:rPr>
              <w:t>102</w:t>
            </w:r>
            <w:r w:rsidRPr="003B6B9A">
              <w:rPr>
                <w:rFonts w:eastAsia="標楷體"/>
                <w:b/>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b/>
              </w:rPr>
            </w:pPr>
            <w:r w:rsidRPr="003B6B9A">
              <w:rPr>
                <w:rFonts w:hint="eastAsia"/>
                <w:b/>
              </w:rPr>
              <w:t>49.33</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hint="eastAsia"/>
                <w:b/>
              </w:rPr>
              <w:t>131.81</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18.14</w:t>
            </w:r>
          </w:p>
        </w:tc>
        <w:tc>
          <w:tcPr>
            <w:tcW w:w="1782" w:type="dxa"/>
            <w:tcBorders>
              <w:top w:val="nil"/>
              <w:left w:val="nil"/>
              <w:bottom w:val="nil"/>
            </w:tcBorders>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11.75</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jc w:val="both"/>
              <w:rPr>
                <w:rFonts w:eastAsia="標楷體"/>
                <w:b/>
                <w:bCs/>
              </w:rPr>
            </w:pPr>
            <w:r w:rsidRPr="003B6B9A">
              <w:rPr>
                <w:rFonts w:eastAsia="標楷體"/>
                <w:b/>
                <w:bCs/>
              </w:rPr>
              <w:t xml:space="preserve"> 10</w:t>
            </w:r>
            <w:r w:rsidRPr="003B6B9A">
              <w:rPr>
                <w:rFonts w:eastAsia="標楷體" w:hint="eastAsia"/>
                <w:b/>
                <w:bCs/>
              </w:rPr>
              <w:t>3</w:t>
            </w:r>
            <w:r w:rsidRPr="003B6B9A">
              <w:rPr>
                <w:rFonts w:eastAsia="標楷體"/>
                <w:b/>
                <w:bCs/>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b/>
                <w:bCs/>
              </w:rPr>
            </w:pPr>
            <w:r w:rsidRPr="003B6B9A">
              <w:rPr>
                <w:rFonts w:hint="eastAsia"/>
                <w:b/>
                <w:bCs/>
              </w:rPr>
              <w:t>57.7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b/>
                <w:bCs/>
              </w:rPr>
            </w:pPr>
            <w:r w:rsidRPr="003B6B9A">
              <w:rPr>
                <w:rFonts w:hint="eastAsia"/>
                <w:b/>
                <w:bCs/>
              </w:rPr>
              <w:t>159.32</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rPr>
            </w:pPr>
            <w:r w:rsidRPr="003B6B9A">
              <w:rPr>
                <w:rFonts w:eastAsia="標楷體" w:hint="eastAsia"/>
                <w:b/>
              </w:rPr>
              <w:t>8.58</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rPr>
            </w:pPr>
            <w:r w:rsidRPr="003B6B9A">
              <w:rPr>
                <w:rFonts w:eastAsia="標楷體" w:hint="eastAsia"/>
                <w:b/>
              </w:rPr>
              <w:t>7.82</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rPr>
              <w:t>1</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3.25</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8.01</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2</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1.97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7.22</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3</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3.12</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32.47</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3.96</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4</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2.59</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50.98</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1.50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5</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4.10</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30.81</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6</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4.10</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35.64</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7</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5.67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18.10</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1.32</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8</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6.06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-2.16</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9</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5.26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-30.16</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1.50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10</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3.55</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-12.80</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3.12</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5.00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wordWrap w:val="0"/>
              <w:snapToGrid w:val="0"/>
              <w:spacing w:line="400" w:lineRule="exact"/>
              <w:ind w:rightChars="150" w:right="360"/>
              <w:jc w:val="right"/>
              <w:rPr>
                <w:rFonts w:eastAsia="標楷體"/>
              </w:rPr>
            </w:pPr>
            <w:r w:rsidRPr="003B6B9A">
              <w:rPr>
                <w:rFonts w:eastAsia="標楷體" w:hint="eastAsia"/>
              </w:rPr>
              <w:t>11</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4.76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27.35</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wordWrap w:val="0"/>
              <w:snapToGrid w:val="0"/>
              <w:spacing w:line="400" w:lineRule="exact"/>
              <w:ind w:rightChars="150" w:right="360"/>
              <w:jc w:val="right"/>
              <w:rPr>
                <w:rFonts w:eastAsia="標楷體"/>
              </w:rPr>
            </w:pPr>
            <w:r w:rsidRPr="003B6B9A">
              <w:rPr>
                <w:rFonts w:eastAsia="標楷體" w:hint="eastAsia"/>
              </w:rPr>
              <w:t>12</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13.37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-6.14</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jc w:val="both"/>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1~4</w:t>
            </w:r>
            <w:r w:rsidRPr="003B6B9A">
              <w:rPr>
                <w:rFonts w:eastAsia="標楷體" w:hint="eastAsia"/>
                <w:b/>
                <w:bCs/>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b/>
                <w:bCs/>
              </w:rPr>
            </w:pPr>
            <w:r w:rsidRPr="003B6B9A">
              <w:rPr>
                <w:rFonts w:hint="eastAsia"/>
                <w:b/>
                <w:bCs/>
              </w:rPr>
              <w:t>15.17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b/>
                <w:bCs/>
              </w:rPr>
            </w:pPr>
            <w:r w:rsidRPr="003B6B9A">
              <w:rPr>
                <w:rFonts w:hint="eastAsia"/>
                <w:b/>
                <w:bCs/>
              </w:rPr>
              <w:t>106.94</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rPr>
            </w:pPr>
            <w:r w:rsidRPr="003B6B9A">
              <w:rPr>
                <w:rFonts w:eastAsia="標楷體" w:hint="eastAsia"/>
                <w:b/>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rPr>
            </w:pPr>
            <w:r w:rsidRPr="003B6B9A">
              <w:rPr>
                <w:rFonts w:eastAsia="標楷體" w:hint="eastAsia"/>
                <w:b/>
              </w:rPr>
              <w:t>6.30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rPr>
              <w:t>1</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3.13</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29.27</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2</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4.36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26.42</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3</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4.87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14.38</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single" w:sz="4" w:space="0" w:color="auto"/>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4</w:t>
            </w:r>
            <w:r w:rsidRPr="003B6B9A">
              <w:rPr>
                <w:rFonts w:eastAsia="標楷體" w:hint="eastAsia"/>
              </w:rPr>
              <w:t>月</w:t>
            </w:r>
          </w:p>
        </w:tc>
        <w:tc>
          <w:tcPr>
            <w:tcW w:w="1314" w:type="dxa"/>
            <w:tcBorders>
              <w:top w:val="nil"/>
              <w:left w:val="single" w:sz="4" w:space="0" w:color="auto"/>
              <w:bottom w:val="single" w:sz="4" w:space="0" w:color="auto"/>
              <w:right w:val="nil"/>
            </w:tcBorders>
          </w:tcPr>
          <w:p w:rsidR="00502216" w:rsidRPr="003B6B9A" w:rsidRDefault="00502216" w:rsidP="001040FB">
            <w:pPr>
              <w:snapToGrid w:val="0"/>
              <w:spacing w:line="400" w:lineRule="exact"/>
              <w:ind w:rightChars="100" w:right="240"/>
              <w:jc w:val="right"/>
            </w:pPr>
            <w:r w:rsidRPr="003B6B9A">
              <w:rPr>
                <w:rFonts w:hint="eastAsia"/>
              </w:rPr>
              <w:t>2.82</w:t>
            </w:r>
          </w:p>
        </w:tc>
        <w:tc>
          <w:tcPr>
            <w:tcW w:w="1788" w:type="dxa"/>
            <w:tcBorders>
              <w:top w:val="nil"/>
              <w:left w:val="nil"/>
              <w:bottom w:val="single" w:sz="4" w:space="0" w:color="auto"/>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36.87</w:t>
            </w:r>
          </w:p>
        </w:tc>
        <w:tc>
          <w:tcPr>
            <w:tcW w:w="1782" w:type="dxa"/>
            <w:tcBorders>
              <w:top w:val="nil"/>
              <w:left w:val="nil"/>
              <w:bottom w:val="single" w:sz="4" w:space="0" w:color="auto"/>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single" w:sz="4" w:space="0" w:color="auto"/>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6.30</w:t>
            </w:r>
          </w:p>
        </w:tc>
      </w:tr>
    </w:tbl>
    <w:p w:rsidR="00502216" w:rsidRPr="003B6B9A" w:rsidRDefault="00502216" w:rsidP="00502216">
      <w:pPr>
        <w:pStyle w:val="af"/>
        <w:snapToGrid w:val="0"/>
        <w:spacing w:line="240" w:lineRule="atLeast"/>
        <w:ind w:leftChars="0" w:left="0" w:firstLineChars="0" w:firstLine="0"/>
        <w:rPr>
          <w:b/>
          <w:bCs/>
          <w:sz w:val="32"/>
          <w:szCs w:val="32"/>
        </w:rPr>
      </w:pPr>
      <w:r w:rsidRPr="003B6B9A">
        <w:rPr>
          <w:szCs w:val="22"/>
        </w:rPr>
        <w:t>資料來源：金管會、經濟部投審會。</w:t>
      </w:r>
    </w:p>
    <w:p w:rsidR="00502216" w:rsidRPr="003B6B9A" w:rsidRDefault="00502216" w:rsidP="00502216">
      <w:pPr>
        <w:pStyle w:val="af"/>
        <w:snapToGrid w:val="0"/>
        <w:spacing w:line="240" w:lineRule="atLeast"/>
        <w:ind w:leftChars="0" w:left="0" w:firstLineChars="0" w:firstLine="0"/>
        <w:rPr>
          <w:szCs w:val="22"/>
        </w:rPr>
      </w:pPr>
    </w:p>
    <w:p w:rsidR="00502216" w:rsidRPr="003B6B9A" w:rsidRDefault="00502216" w:rsidP="00502216">
      <w:pPr>
        <w:pStyle w:val="af"/>
        <w:snapToGrid w:val="0"/>
        <w:spacing w:line="240" w:lineRule="atLeast"/>
        <w:ind w:leftChars="0" w:left="0" w:firstLineChars="0" w:firstLine="0"/>
        <w:rPr>
          <w:szCs w:val="22"/>
        </w:rPr>
      </w:pPr>
    </w:p>
    <w:p w:rsidR="00502216" w:rsidRPr="003B6B9A" w:rsidRDefault="00502216" w:rsidP="00502216">
      <w:pPr>
        <w:widowControl/>
        <w:rPr>
          <w:rFonts w:eastAsia="標楷體"/>
          <w:kern w:val="0"/>
          <w:sz w:val="22"/>
        </w:rPr>
      </w:pPr>
      <w:r w:rsidRPr="003B6B9A">
        <w:br w:type="page"/>
      </w:r>
    </w:p>
    <w:p w:rsidR="001D5182" w:rsidRPr="00B118E9" w:rsidRDefault="001D5182" w:rsidP="00276BD8">
      <w:pPr>
        <w:pStyle w:val="t-3"/>
        <w:snapToGrid w:val="0"/>
        <w:spacing w:beforeLines="50" w:before="180" w:line="300" w:lineRule="auto"/>
        <w:ind w:right="-60"/>
      </w:pPr>
      <w:bookmarkStart w:id="106" w:name="_（七）物價"/>
      <w:bookmarkStart w:id="107" w:name="_Toc187823737"/>
      <w:bookmarkStart w:id="108" w:name="_Toc201487790"/>
      <w:bookmarkStart w:id="109" w:name="_Toc230064843"/>
      <w:bookmarkStart w:id="110" w:name="_Toc279048482"/>
      <w:bookmarkStart w:id="111" w:name="_Toc349916587"/>
      <w:bookmarkStart w:id="112" w:name="_Toc401923800"/>
      <w:bookmarkStart w:id="113" w:name="_Toc402171717"/>
      <w:bookmarkStart w:id="114" w:name="_Toc420680042"/>
      <w:bookmarkEnd w:id="106"/>
      <w:r w:rsidRPr="00B118E9">
        <w:t>（七）物價</w:t>
      </w:r>
      <w:bookmarkEnd w:id="107"/>
      <w:bookmarkEnd w:id="108"/>
      <w:bookmarkEnd w:id="109"/>
      <w:bookmarkEnd w:id="110"/>
      <w:bookmarkEnd w:id="111"/>
      <w:bookmarkEnd w:id="112"/>
      <w:bookmarkEnd w:id="113"/>
      <w:bookmarkEnd w:id="114"/>
    </w:p>
    <w:p w:rsidR="00547C3E" w:rsidRPr="003B6B9A" w:rsidRDefault="00547C3E" w:rsidP="00547C3E">
      <w:pPr>
        <w:pStyle w:val="k3a"/>
        <w:tabs>
          <w:tab w:val="left" w:pos="540"/>
        </w:tabs>
        <w:spacing w:beforeLines="0" w:before="0" w:line="300" w:lineRule="auto"/>
        <w:ind w:leftChars="0" w:left="0" w:right="0" w:firstLineChars="0" w:firstLine="0"/>
        <w:rPr>
          <w:b/>
          <w:bCs/>
        </w:rPr>
      </w:pPr>
      <w:bookmarkStart w:id="115" w:name="_（八）金融"/>
      <w:bookmarkStart w:id="116" w:name="_Toc187823738"/>
      <w:bookmarkStart w:id="117" w:name="_Toc201487792"/>
      <w:bookmarkStart w:id="118" w:name="_Toc230064844"/>
      <w:bookmarkStart w:id="119" w:name="_Toc279048483"/>
      <w:bookmarkStart w:id="120" w:name="_Toc337122136"/>
      <w:bookmarkStart w:id="121" w:name="_Toc349916588"/>
      <w:bookmarkEnd w:id="115"/>
      <w:r w:rsidRPr="003B6B9A">
        <w:rPr>
          <w:b/>
          <w:bCs/>
        </w:rPr>
        <w:t>１、</w:t>
      </w:r>
      <w:r w:rsidRPr="003B6B9A">
        <w:rPr>
          <w:b/>
          <w:bCs/>
        </w:rPr>
        <w:t>104</w:t>
      </w:r>
      <w:r w:rsidRPr="003B6B9A">
        <w:rPr>
          <w:b/>
          <w:bCs/>
        </w:rPr>
        <w:t>年</w:t>
      </w:r>
      <w:r w:rsidRPr="003B6B9A">
        <w:rPr>
          <w:b/>
          <w:bCs/>
        </w:rPr>
        <w:t>4</w:t>
      </w:r>
      <w:r w:rsidRPr="003B6B9A">
        <w:rPr>
          <w:b/>
          <w:bCs/>
        </w:rPr>
        <w:t>月消費者物價下跌</w:t>
      </w:r>
      <w:r w:rsidRPr="003B6B9A">
        <w:rPr>
          <w:b/>
          <w:bCs/>
        </w:rPr>
        <w:t>0.80%</w:t>
      </w:r>
      <w:r w:rsidRPr="003B6B9A">
        <w:rPr>
          <w:b/>
          <w:bCs/>
        </w:rPr>
        <w:t>，躉售物價下跌</w:t>
      </w:r>
      <w:r w:rsidRPr="003B6B9A">
        <w:rPr>
          <w:b/>
          <w:bCs/>
        </w:rPr>
        <w:t>9.15%</w:t>
      </w:r>
    </w:p>
    <w:p w:rsidR="00547C3E" w:rsidRPr="003B6B9A" w:rsidRDefault="00547C3E" w:rsidP="00547C3E">
      <w:pPr>
        <w:pStyle w:val="k32"/>
        <w:topLinePunct/>
        <w:ind w:leftChars="118" w:left="283" w:rightChars="9" w:right="22" w:firstLineChars="211" w:firstLine="591"/>
        <w:rPr>
          <w:szCs w:val="28"/>
        </w:rPr>
      </w:pPr>
      <w:r w:rsidRPr="003B6B9A">
        <w:rPr>
          <w:szCs w:val="28"/>
        </w:rPr>
        <w:t>104</w:t>
      </w:r>
      <w:r w:rsidRPr="003B6B9A">
        <w:rPr>
          <w:szCs w:val="28"/>
        </w:rPr>
        <w:t>年</w:t>
      </w:r>
      <w:r w:rsidRPr="003B6B9A">
        <w:rPr>
          <w:szCs w:val="28"/>
        </w:rPr>
        <w:t>4</w:t>
      </w:r>
      <w:r w:rsidRPr="003B6B9A">
        <w:rPr>
          <w:szCs w:val="28"/>
        </w:rPr>
        <w:t>月消費者物價指數</w:t>
      </w:r>
      <w:r w:rsidRPr="003B6B9A">
        <w:rPr>
          <w:szCs w:val="28"/>
        </w:rPr>
        <w:t>(CPI)</w:t>
      </w:r>
      <w:r w:rsidRPr="003B6B9A">
        <w:rPr>
          <w:szCs w:val="28"/>
        </w:rPr>
        <w:t>較上年同月下跌</w:t>
      </w:r>
      <w:r w:rsidRPr="003B6B9A">
        <w:rPr>
          <w:szCs w:val="28"/>
        </w:rPr>
        <w:t>0.80%</w:t>
      </w:r>
      <w:r w:rsidRPr="003B6B9A">
        <w:rPr>
          <w:szCs w:val="28"/>
        </w:rPr>
        <w:t>，主因油料費、燃氣價格及電價調降，加以水果盛產價跌及</w:t>
      </w:r>
      <w:r w:rsidRPr="003B6B9A">
        <w:rPr>
          <w:szCs w:val="28"/>
        </w:rPr>
        <w:t>3C</w:t>
      </w:r>
      <w:r w:rsidRPr="003B6B9A">
        <w:rPr>
          <w:szCs w:val="28"/>
        </w:rPr>
        <w:t>消費性電子產品價格較上年為低，惟蔬菜及水產品價格相較上年為高，與調理食品、外食費等價格調漲，抵銷部分跌幅；若扣除食物，下跌</w:t>
      </w:r>
      <w:r w:rsidRPr="003B6B9A">
        <w:rPr>
          <w:szCs w:val="28"/>
        </w:rPr>
        <w:t>1.63%</w:t>
      </w:r>
      <w:r w:rsidRPr="003B6B9A">
        <w:rPr>
          <w:szCs w:val="28"/>
        </w:rPr>
        <w:t>；若剔除蔬果及能源後之總指數</w:t>
      </w:r>
      <w:r w:rsidRPr="003B6B9A">
        <w:rPr>
          <w:szCs w:val="28"/>
        </w:rPr>
        <w:t>(</w:t>
      </w:r>
      <w:r w:rsidRPr="003B6B9A">
        <w:rPr>
          <w:szCs w:val="28"/>
        </w:rPr>
        <w:t>即核心物價</w:t>
      </w:r>
      <w:r w:rsidRPr="003B6B9A">
        <w:rPr>
          <w:szCs w:val="28"/>
        </w:rPr>
        <w:t>)</w:t>
      </w:r>
      <w:r w:rsidRPr="003B6B9A">
        <w:rPr>
          <w:szCs w:val="28"/>
        </w:rPr>
        <w:t>，則漲</w:t>
      </w:r>
      <w:r w:rsidRPr="003B6B9A">
        <w:rPr>
          <w:szCs w:val="28"/>
        </w:rPr>
        <w:t>0.68%</w:t>
      </w:r>
      <w:r w:rsidRPr="003B6B9A">
        <w:rPr>
          <w:szCs w:val="28"/>
        </w:rPr>
        <w:t>。累計</w:t>
      </w:r>
      <w:r w:rsidRPr="003B6B9A">
        <w:rPr>
          <w:szCs w:val="28"/>
        </w:rPr>
        <w:t>1</w:t>
      </w:r>
      <w:r w:rsidRPr="003B6B9A">
        <w:rPr>
          <w:szCs w:val="28"/>
        </w:rPr>
        <w:t>至</w:t>
      </w:r>
      <w:r w:rsidRPr="003B6B9A">
        <w:rPr>
          <w:szCs w:val="28"/>
        </w:rPr>
        <w:t>4</w:t>
      </w:r>
      <w:r w:rsidRPr="003B6B9A">
        <w:rPr>
          <w:szCs w:val="28"/>
        </w:rPr>
        <w:t>月</w:t>
      </w:r>
      <w:r w:rsidRPr="003B6B9A">
        <w:rPr>
          <w:szCs w:val="28"/>
        </w:rPr>
        <w:t>CPI</w:t>
      </w:r>
      <w:r w:rsidRPr="003B6B9A">
        <w:rPr>
          <w:szCs w:val="28"/>
        </w:rPr>
        <w:t>較上年同期跌</w:t>
      </w:r>
      <w:r w:rsidRPr="003B6B9A">
        <w:rPr>
          <w:szCs w:val="28"/>
        </w:rPr>
        <w:t>0.64%</w:t>
      </w:r>
      <w:r w:rsidRPr="003B6B9A">
        <w:rPr>
          <w:szCs w:val="28"/>
        </w:rPr>
        <w:t>。</w:t>
      </w:r>
    </w:p>
    <w:p w:rsidR="00547C3E" w:rsidRPr="003B6B9A" w:rsidRDefault="00547C3E" w:rsidP="00547C3E">
      <w:pPr>
        <w:pStyle w:val="k32"/>
        <w:topLinePunct/>
        <w:ind w:leftChars="118" w:left="283" w:rightChars="9" w:right="22" w:firstLineChars="211" w:firstLine="591"/>
        <w:rPr>
          <w:spacing w:val="-2"/>
        </w:rPr>
      </w:pPr>
      <w:r w:rsidRPr="003B6B9A">
        <w:rPr>
          <w:szCs w:val="28"/>
        </w:rPr>
        <w:t>104</w:t>
      </w:r>
      <w:r w:rsidRPr="003B6B9A">
        <w:rPr>
          <w:szCs w:val="28"/>
        </w:rPr>
        <w:t>年</w:t>
      </w:r>
      <w:r w:rsidRPr="003B6B9A">
        <w:rPr>
          <w:szCs w:val="28"/>
        </w:rPr>
        <w:t>4</w:t>
      </w:r>
      <w:r w:rsidRPr="003B6B9A">
        <w:rPr>
          <w:szCs w:val="28"/>
        </w:rPr>
        <w:t>月躉售物價指數</w:t>
      </w:r>
      <w:r w:rsidRPr="003B6B9A">
        <w:rPr>
          <w:szCs w:val="28"/>
        </w:rPr>
        <w:t>(WPI)</w:t>
      </w:r>
      <w:r w:rsidRPr="003B6B9A">
        <w:rPr>
          <w:szCs w:val="28"/>
        </w:rPr>
        <w:t>較上年同月下跌</w:t>
      </w:r>
      <w:r w:rsidRPr="003B6B9A">
        <w:rPr>
          <w:szCs w:val="28"/>
        </w:rPr>
        <w:t>9.15%(</w:t>
      </w:r>
      <w:r w:rsidRPr="003B6B9A">
        <w:rPr>
          <w:szCs w:val="28"/>
        </w:rPr>
        <w:t>為近</w:t>
      </w:r>
      <w:r w:rsidRPr="003B6B9A">
        <w:rPr>
          <w:szCs w:val="28"/>
        </w:rPr>
        <w:t xml:space="preserve"> 67</w:t>
      </w:r>
      <w:r w:rsidRPr="003B6B9A">
        <w:rPr>
          <w:szCs w:val="28"/>
        </w:rPr>
        <w:t>個月最大跌幅，</w:t>
      </w:r>
      <w:r w:rsidRPr="003B6B9A">
        <w:rPr>
          <w:szCs w:val="28"/>
        </w:rPr>
        <w:t>98</w:t>
      </w:r>
      <w:r w:rsidRPr="003B6B9A">
        <w:rPr>
          <w:szCs w:val="28"/>
        </w:rPr>
        <w:t>年</w:t>
      </w:r>
      <w:r w:rsidRPr="003B6B9A">
        <w:rPr>
          <w:szCs w:val="28"/>
        </w:rPr>
        <w:t>9</w:t>
      </w:r>
      <w:r w:rsidRPr="003B6B9A">
        <w:rPr>
          <w:szCs w:val="28"/>
        </w:rPr>
        <w:t>月跌</w:t>
      </w:r>
      <w:r w:rsidRPr="003B6B9A">
        <w:rPr>
          <w:szCs w:val="28"/>
        </w:rPr>
        <w:t>9.47%)</w:t>
      </w:r>
      <w:r w:rsidRPr="003B6B9A">
        <w:rPr>
          <w:szCs w:val="28"/>
        </w:rPr>
        <w:t>，</w:t>
      </w:r>
      <w:r w:rsidRPr="003B6B9A">
        <w:t>主因石油及煤製品、化學材料與基本金屬類等價格下跌，且</w:t>
      </w:r>
      <w:r w:rsidRPr="003B6B9A">
        <w:t>4</w:t>
      </w:r>
      <w:r w:rsidRPr="003B6B9A">
        <w:t>月起電價調降費率所致。</w:t>
      </w:r>
      <w:r w:rsidRPr="003B6B9A">
        <w:rPr>
          <w:szCs w:val="28"/>
        </w:rPr>
        <w:t>累計</w:t>
      </w:r>
      <w:r w:rsidRPr="003B6B9A">
        <w:rPr>
          <w:szCs w:val="28"/>
        </w:rPr>
        <w:t>1</w:t>
      </w:r>
      <w:r w:rsidRPr="003B6B9A">
        <w:rPr>
          <w:szCs w:val="28"/>
        </w:rPr>
        <w:t>至</w:t>
      </w:r>
      <w:r w:rsidRPr="003B6B9A">
        <w:rPr>
          <w:szCs w:val="28"/>
        </w:rPr>
        <w:t>4</w:t>
      </w:r>
      <w:r w:rsidRPr="003B6B9A">
        <w:rPr>
          <w:szCs w:val="28"/>
        </w:rPr>
        <w:t>月</w:t>
      </w:r>
      <w:r w:rsidRPr="003B6B9A">
        <w:rPr>
          <w:szCs w:val="28"/>
        </w:rPr>
        <w:t xml:space="preserve">WPI </w:t>
      </w:r>
      <w:r w:rsidRPr="003B6B9A">
        <w:rPr>
          <w:szCs w:val="28"/>
        </w:rPr>
        <w:t>較上年同期跌</w:t>
      </w:r>
      <w:r w:rsidRPr="003B6B9A">
        <w:rPr>
          <w:szCs w:val="28"/>
        </w:rPr>
        <w:t>8.64%</w:t>
      </w:r>
      <w:r w:rsidRPr="003B6B9A">
        <w:rPr>
          <w:szCs w:val="28"/>
        </w:rPr>
        <w:t>。</w:t>
      </w:r>
    </w:p>
    <w:p w:rsidR="00547C3E" w:rsidRPr="003B6B9A" w:rsidRDefault="00547C3E" w:rsidP="00547C3E">
      <w:pPr>
        <w:pStyle w:val="k3a"/>
        <w:tabs>
          <w:tab w:val="left" w:pos="540"/>
        </w:tabs>
        <w:spacing w:before="180" w:line="300" w:lineRule="auto"/>
        <w:ind w:leftChars="0" w:left="0" w:right="0" w:firstLineChars="0" w:firstLine="0"/>
        <w:rPr>
          <w:b/>
          <w:bCs/>
        </w:rPr>
      </w:pPr>
      <w:r w:rsidRPr="003B6B9A">
        <w:rPr>
          <w:b/>
          <w:bCs/>
        </w:rPr>
        <w:t>２、</w:t>
      </w:r>
      <w:r w:rsidRPr="003B6B9A">
        <w:rPr>
          <w:b/>
          <w:bCs/>
        </w:rPr>
        <w:t>104</w:t>
      </w:r>
      <w:r w:rsidRPr="003B6B9A">
        <w:rPr>
          <w:b/>
          <w:bCs/>
        </w:rPr>
        <w:t>年</w:t>
      </w:r>
      <w:r w:rsidRPr="003B6B9A">
        <w:rPr>
          <w:b/>
          <w:bCs/>
        </w:rPr>
        <w:t>4</w:t>
      </w:r>
      <w:r w:rsidRPr="003B6B9A">
        <w:rPr>
          <w:b/>
          <w:bCs/>
        </w:rPr>
        <w:t>月進口物價下跌</w:t>
      </w:r>
      <w:r w:rsidRPr="003B6B9A">
        <w:rPr>
          <w:b/>
          <w:bCs/>
        </w:rPr>
        <w:t>13.69%</w:t>
      </w:r>
      <w:r w:rsidRPr="003B6B9A">
        <w:rPr>
          <w:b/>
          <w:bCs/>
        </w:rPr>
        <w:t>、出口物價下跌</w:t>
      </w:r>
      <w:r w:rsidRPr="003B6B9A">
        <w:rPr>
          <w:b/>
          <w:bCs/>
        </w:rPr>
        <w:t>5.15%</w:t>
      </w:r>
    </w:p>
    <w:p w:rsidR="00547C3E" w:rsidRPr="003B6B9A" w:rsidRDefault="00547C3E" w:rsidP="00547C3E">
      <w:pPr>
        <w:pStyle w:val="k32"/>
        <w:topLinePunct/>
        <w:ind w:leftChars="118" w:left="283" w:rightChars="9" w:right="22" w:firstLineChars="202" w:firstLine="566"/>
      </w:pPr>
      <w:r w:rsidRPr="003B6B9A">
        <w:t>104</w:t>
      </w:r>
      <w:r w:rsidRPr="003B6B9A">
        <w:t>年</w:t>
      </w:r>
      <w:r w:rsidRPr="003B6B9A">
        <w:t>4</w:t>
      </w:r>
      <w:r w:rsidRPr="003B6B9A">
        <w:t>月以新臺幣計價之進口物價指數，較上月下跌</w:t>
      </w:r>
      <w:r w:rsidRPr="003B6B9A">
        <w:t>1.14%</w:t>
      </w:r>
      <w:r w:rsidRPr="003B6B9A">
        <w:t>，較上年同月下跌</w:t>
      </w:r>
      <w:r w:rsidRPr="003B6B9A">
        <w:t>13.69%</w:t>
      </w:r>
      <w:r w:rsidRPr="003B6B9A">
        <w:t>，若剔除匯率變動因素</w:t>
      </w:r>
      <w:r w:rsidRPr="003B6B9A">
        <w:t>(</w:t>
      </w:r>
      <w:r w:rsidRPr="003B6B9A">
        <w:t>新臺幣對美元較上年同月貶值</w:t>
      </w:r>
      <w:r w:rsidRPr="003B6B9A">
        <w:t>2.69%)</w:t>
      </w:r>
      <w:r w:rsidRPr="003B6B9A">
        <w:t>，</w:t>
      </w:r>
      <w:r w:rsidRPr="003B6B9A">
        <w:t>4</w:t>
      </w:r>
      <w:r w:rsidRPr="003B6B9A">
        <w:t>月以美元計價之指數較上年同月下跌</w:t>
      </w:r>
      <w:r w:rsidRPr="003B6B9A">
        <w:t>16.02%</w:t>
      </w:r>
      <w:r w:rsidRPr="003B6B9A">
        <w:t>，主因礦產品類、化學或有關工業產品類與機器、電機、電視影像及聲音記錄機等設備類報價下跌所致。</w:t>
      </w:r>
    </w:p>
    <w:p w:rsidR="00547C3E" w:rsidRPr="003B6B9A" w:rsidRDefault="00547C3E" w:rsidP="00547C3E">
      <w:pPr>
        <w:pStyle w:val="k32"/>
        <w:topLinePunct/>
        <w:ind w:leftChars="118" w:left="283" w:rightChars="9" w:right="22" w:firstLineChars="202" w:firstLine="566"/>
        <w:rPr>
          <w:szCs w:val="28"/>
        </w:rPr>
      </w:pPr>
      <w:r w:rsidRPr="003B6B9A">
        <w:t>104</w:t>
      </w:r>
      <w:r w:rsidRPr="003B6B9A">
        <w:t>年</w:t>
      </w:r>
      <w:r w:rsidRPr="003B6B9A">
        <w:t>4</w:t>
      </w:r>
      <w:r w:rsidRPr="003B6B9A">
        <w:t>月以新臺幣計價之出口物價指數，較上月下跌</w:t>
      </w:r>
      <w:r w:rsidRPr="003B6B9A">
        <w:t>1.27%</w:t>
      </w:r>
      <w:r w:rsidRPr="003B6B9A">
        <w:t>，較上年同月下跌</w:t>
      </w:r>
      <w:r w:rsidRPr="003B6B9A">
        <w:t>5.15%</w:t>
      </w:r>
      <w:r w:rsidRPr="003B6B9A">
        <w:t>，若剔除匯率變動因素，</w:t>
      </w:r>
      <w:bookmarkStart w:id="122" w:name="OLE_LINK2"/>
      <w:r w:rsidRPr="003B6B9A">
        <w:t>4</w:t>
      </w:r>
      <w:r w:rsidRPr="003B6B9A">
        <w:t>月以美元計價之指數較上年同月下跌</w:t>
      </w:r>
      <w:r w:rsidRPr="003B6B9A">
        <w:t>7.74%</w:t>
      </w:r>
      <w:r w:rsidRPr="003B6B9A">
        <w:t>，</w:t>
      </w:r>
      <w:bookmarkEnd w:id="122"/>
      <w:r w:rsidRPr="003B6B9A">
        <w:rPr>
          <w:szCs w:val="28"/>
        </w:rPr>
        <w:t>主因礦產品類、機器、電機、電視影像及聲音記錄機等設備類與化學或有關工業產品類報價下跌所致。</w:t>
      </w:r>
    </w:p>
    <w:p w:rsidR="00547C3E" w:rsidRPr="003B6B9A" w:rsidRDefault="00547C3E" w:rsidP="00547C3E">
      <w:pPr>
        <w:pStyle w:val="k32"/>
        <w:topLinePunct/>
        <w:ind w:leftChars="118" w:left="283" w:rightChars="9" w:right="22" w:firstLineChars="202" w:firstLine="566"/>
        <w:rPr>
          <w:rFonts w:ascii="標楷體" w:cs="標楷體"/>
          <w:szCs w:val="28"/>
        </w:rPr>
      </w:pPr>
    </w:p>
    <w:p w:rsidR="00547C3E" w:rsidRPr="003B6B9A" w:rsidRDefault="00547C3E" w:rsidP="00547C3E">
      <w:pPr>
        <w:pStyle w:val="k32"/>
        <w:topLinePunct/>
        <w:ind w:leftChars="118" w:left="283" w:rightChars="9" w:right="22" w:firstLineChars="202" w:firstLine="558"/>
        <w:rPr>
          <w:spacing w:val="-2"/>
          <w:szCs w:val="28"/>
        </w:rPr>
      </w:pPr>
      <w:r w:rsidRPr="003B6B9A">
        <w:rPr>
          <w:spacing w:val="-2"/>
          <w:szCs w:val="28"/>
        </w:rPr>
        <w:t xml:space="preserve"> </w:t>
      </w:r>
    </w:p>
    <w:p w:rsidR="00547C3E" w:rsidRPr="003B6B9A" w:rsidRDefault="00547C3E" w:rsidP="00547C3E">
      <w:pPr>
        <w:pStyle w:val="k32"/>
        <w:topLinePunct/>
        <w:ind w:leftChars="118" w:left="283" w:rightChars="9" w:right="22" w:firstLineChars="202" w:firstLine="566"/>
      </w:pPr>
      <w:r w:rsidRPr="003B6B9A">
        <w:t xml:space="preserve"> </w:t>
      </w:r>
    </w:p>
    <w:p w:rsidR="00425DB7" w:rsidRPr="00B118E9" w:rsidRDefault="00425DB7">
      <w:pPr>
        <w:widowControl/>
        <w:rPr>
          <w:rFonts w:eastAsia="標楷體"/>
          <w:color w:val="FF0000"/>
          <w:kern w:val="0"/>
          <w:sz w:val="28"/>
          <w:szCs w:val="20"/>
        </w:rPr>
      </w:pPr>
      <w:r w:rsidRPr="00B118E9">
        <w:rPr>
          <w:rFonts w:eastAsia="標楷體"/>
          <w:color w:val="FF0000"/>
        </w:rPr>
        <w:br w:type="page"/>
      </w:r>
    </w:p>
    <w:p w:rsidR="00547C3E" w:rsidRPr="003B6B9A" w:rsidRDefault="00547C3E" w:rsidP="00547C3E">
      <w:pPr>
        <w:snapToGrid w:val="0"/>
        <w:ind w:rightChars="-59" w:right="-142"/>
        <w:jc w:val="center"/>
        <w:rPr>
          <w:rFonts w:eastAsia="標楷體"/>
          <w:b/>
          <w:bCs/>
          <w:sz w:val="28"/>
        </w:rPr>
      </w:pPr>
      <w:r w:rsidRPr="003B6B9A">
        <w:rPr>
          <w:rFonts w:eastAsia="標楷體"/>
          <w:b/>
          <w:bCs/>
          <w:sz w:val="28"/>
        </w:rPr>
        <w:t>圖</w:t>
      </w:r>
      <w:r w:rsidRPr="003B6B9A">
        <w:rPr>
          <w:rFonts w:eastAsia="標楷體"/>
          <w:b/>
          <w:bCs/>
          <w:sz w:val="28"/>
        </w:rPr>
        <w:t xml:space="preserve"> 2-7-1  </w:t>
      </w:r>
      <w:r w:rsidRPr="003B6B9A">
        <w:rPr>
          <w:rFonts w:eastAsia="標楷體"/>
          <w:b/>
          <w:bCs/>
          <w:sz w:val="28"/>
        </w:rPr>
        <w:t>消費者物價指數及躉售物價指數變化</w:t>
      </w:r>
    </w:p>
    <w:p w:rsidR="00547C3E" w:rsidRPr="003B6B9A" w:rsidRDefault="00547C3E" w:rsidP="00547C3E">
      <w:pPr>
        <w:snapToGrid w:val="0"/>
        <w:spacing w:line="300" w:lineRule="auto"/>
        <w:ind w:rightChars="-59" w:right="-142"/>
        <w:jc w:val="center"/>
        <w:rPr>
          <w:rFonts w:eastAsia="標楷體"/>
          <w:b/>
          <w:snapToGrid w:val="0"/>
          <w:sz w:val="28"/>
        </w:rPr>
      </w:pPr>
      <w:r w:rsidRPr="003B6B9A">
        <w:rPr>
          <w:rFonts w:eastAsia="標楷體"/>
          <w:noProof/>
          <w:sz w:val="28"/>
        </w:rPr>
        <mc:AlternateContent>
          <mc:Choice Requires="wps">
            <w:drawing>
              <wp:anchor distT="0" distB="0" distL="114300" distR="114300" simplePos="0" relativeHeight="252126720" behindDoc="0" locked="0" layoutInCell="1" allowOverlap="1" wp14:anchorId="0AD80952" wp14:editId="1CEA3E72">
                <wp:simplePos x="0" y="0"/>
                <wp:positionH relativeFrom="column">
                  <wp:posOffset>5082756</wp:posOffset>
                </wp:positionH>
                <wp:positionV relativeFrom="paragraph">
                  <wp:posOffset>1028700</wp:posOffset>
                </wp:positionV>
                <wp:extent cx="699770" cy="457200"/>
                <wp:effectExtent l="0" t="0" r="0" b="0"/>
                <wp:wrapNone/>
                <wp:docPr id="483"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770" cy="457200"/>
                        </a:xfrm>
                        <a:prstGeom prst="rect">
                          <a:avLst/>
                        </a:prstGeom>
                        <a:noFill/>
                        <a:ln w="9525">
                          <a:noFill/>
                          <a:miter lim="800000"/>
                          <a:headEnd/>
                          <a:tailEnd/>
                        </a:ln>
                      </wps:spPr>
                      <wps:txbx>
                        <w:txbxContent>
                          <w:p w:rsidR="00C20D7B" w:rsidRDefault="00C20D7B" w:rsidP="00547C3E">
                            <w:pPr>
                              <w:spacing w:line="240" w:lineRule="exact"/>
                              <w:jc w:val="center"/>
                              <w:rPr>
                                <w:b/>
                              </w:rPr>
                            </w:pPr>
                            <w:r>
                              <w:rPr>
                                <w:rFonts w:hint="eastAsia"/>
                                <w:b/>
                              </w:rPr>
                              <w:t>WPI</w:t>
                            </w:r>
                          </w:p>
                          <w:p w:rsidR="00C20D7B" w:rsidRPr="00BE0B3C" w:rsidRDefault="00C20D7B" w:rsidP="00547C3E">
                            <w:pPr>
                              <w:spacing w:line="240" w:lineRule="exact"/>
                              <w:jc w:val="center"/>
                              <w:rPr>
                                <w:b/>
                              </w:rPr>
                            </w:pPr>
                            <w:r>
                              <w:rPr>
                                <w:rFonts w:hint="eastAsia"/>
                                <w:b/>
                              </w:rPr>
                              <w:t>-9.15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400.2pt;margin-top:81pt;width:55.1pt;height:36pt;z-index:25212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" filled="f" stroked="f">
                <v:textbox>
                  <w:txbxContent>
                    <w:p w:rsidR="00C20D7B" w:rsidRDefault="00C20D7B" w:rsidP="00547C3E">
                      <w:pPr>
                        <w:spacing w:line="240" w:lineRule="exact"/>
                        <w:jc w:val="center"/>
                        <w:rPr>
                          <w:b/>
                        </w:rPr>
                      </w:pPr>
                      <w:r>
                        <w:rPr>
                          <w:rFonts w:hint="eastAsia"/>
                          <w:b/>
                        </w:rPr>
                        <w:t>WPI</w:t>
                      </w:r>
                    </w:p>
                    <w:p w:rsidR="00C20D7B" w:rsidRPr="00BE0B3C" w:rsidRDefault="00C20D7B" w:rsidP="00547C3E">
                      <w:pPr>
                        <w:spacing w:line="240" w:lineRule="exact"/>
                        <w:jc w:val="center"/>
                        <w:rPr>
                          <w:b/>
                        </w:rPr>
                      </w:pPr>
                      <w:r>
                        <w:rPr>
                          <w:rFonts w:hint="eastAsia"/>
                          <w:b/>
                        </w:rPr>
                        <w:t>-9.15</w:t>
                      </w:r>
                    </w:p>
                  </w:txbxContent>
                </v:textbox>
              </v:shape>
            </w:pict>
          </mc:Fallback>
        </mc:AlternateContent>
      </w:r>
      <w:r w:rsidRPr="003B6B9A">
        <w:rPr>
          <w:rFonts w:eastAsia="標楷體"/>
          <w:noProof/>
          <w:sz w:val="28"/>
        </w:rPr>
        <mc:AlternateContent>
          <mc:Choice Requires="wps">
            <w:drawing>
              <wp:anchor distT="0" distB="0" distL="114300" distR="114300" simplePos="0" relativeHeight="252125696" behindDoc="0" locked="0" layoutInCell="1" allowOverlap="1" wp14:anchorId="616A62F8" wp14:editId="4963AFD7">
                <wp:simplePos x="0" y="0"/>
                <wp:positionH relativeFrom="column">
                  <wp:posOffset>4965700</wp:posOffset>
                </wp:positionH>
                <wp:positionV relativeFrom="paragraph">
                  <wp:posOffset>388991</wp:posOffset>
                </wp:positionV>
                <wp:extent cx="690245" cy="534035"/>
                <wp:effectExtent l="0" t="0" r="0" b="0"/>
                <wp:wrapNone/>
                <wp:docPr id="30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534035"/>
                        </a:xfrm>
                        <a:prstGeom prst="rect">
                          <a:avLst/>
                        </a:prstGeom>
                        <a:noFill/>
                        <a:ln w="9525">
                          <a:noFill/>
                          <a:miter lim="800000"/>
                          <a:headEnd/>
                          <a:tailEnd/>
                        </a:ln>
                      </wps:spPr>
                      <wps:txbx>
                        <w:txbxContent>
                          <w:p w:rsidR="00C20D7B" w:rsidRPr="000B3D15" w:rsidRDefault="00C20D7B" w:rsidP="00547C3E">
                            <w:pPr>
                              <w:spacing w:line="260" w:lineRule="exact"/>
                              <w:jc w:val="center"/>
                              <w:rPr>
                                <w:b/>
                              </w:rPr>
                            </w:pPr>
                            <w:r w:rsidRPr="000B3D15">
                              <w:rPr>
                                <w:b/>
                              </w:rPr>
                              <w:t>CPI</w:t>
                            </w:r>
                          </w:p>
                          <w:p w:rsidR="00C20D7B" w:rsidRPr="000B3D15" w:rsidRDefault="00C20D7B" w:rsidP="00547C3E">
                            <w:pPr>
                              <w:spacing w:line="260" w:lineRule="exact"/>
                              <w:jc w:val="center"/>
                              <w:rPr>
                                <w:b/>
                              </w:rPr>
                            </w:pPr>
                            <w:r>
                              <w:rPr>
                                <w:rFonts w:hint="eastAsia"/>
                                <w:b/>
                              </w:rPr>
                              <w:t>-0.80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391pt;margin-top:30.65pt;width:54.35pt;height:42.05pt;z-index:25212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" filled="f" stroked="f">
                <v:textbox>
                  <w:txbxContent>
                    <w:p w:rsidR="00C20D7B" w:rsidRPr="000B3D15" w:rsidRDefault="00C20D7B" w:rsidP="00547C3E">
                      <w:pPr>
                        <w:spacing w:line="260" w:lineRule="exact"/>
                        <w:jc w:val="center"/>
                        <w:rPr>
                          <w:b/>
                        </w:rPr>
                      </w:pPr>
                      <w:r w:rsidRPr="000B3D15">
                        <w:rPr>
                          <w:b/>
                        </w:rPr>
                        <w:t>CPI</w:t>
                      </w:r>
                    </w:p>
                    <w:p w:rsidR="00C20D7B" w:rsidRPr="000B3D15" w:rsidRDefault="00C20D7B" w:rsidP="00547C3E">
                      <w:pPr>
                        <w:spacing w:line="260" w:lineRule="exact"/>
                        <w:jc w:val="center"/>
                        <w:rPr>
                          <w:b/>
                        </w:rPr>
                      </w:pPr>
                      <w:r>
                        <w:rPr>
                          <w:rFonts w:hint="eastAsia"/>
                          <w:b/>
                        </w:rPr>
                        <w:t>-0.80</w:t>
                      </w:r>
                    </w:p>
                  </w:txbxContent>
                </v:textbox>
              </v:shape>
            </w:pict>
          </mc:Fallback>
        </mc:AlternateContent>
      </w:r>
      <w:r w:rsidRPr="003B6B9A">
        <w:rPr>
          <w:noProof/>
        </w:rPr>
        <w:drawing>
          <wp:inline distT="0" distB="0" distL="0" distR="0" wp14:anchorId="105DAC97" wp14:editId="74B2DC64">
            <wp:extent cx="5400040" cy="2278200"/>
            <wp:effectExtent l="0" t="0" r="0" b="8255"/>
            <wp:docPr id="9" name="圖表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547C3E" w:rsidRPr="003B6B9A" w:rsidRDefault="00547C3E" w:rsidP="00547C3E">
      <w:pPr>
        <w:snapToGrid w:val="0"/>
        <w:spacing w:line="300" w:lineRule="auto"/>
        <w:ind w:rightChars="-59" w:right="-142"/>
        <w:jc w:val="center"/>
        <w:rPr>
          <w:rFonts w:eastAsia="標楷體"/>
          <w:b/>
          <w:snapToGrid w:val="0"/>
          <w:sz w:val="28"/>
        </w:rPr>
      </w:pPr>
      <w:r w:rsidRPr="003B6B9A">
        <w:rPr>
          <w:rFonts w:eastAsia="標楷體"/>
          <w:b/>
          <w:snapToGrid w:val="0"/>
          <w:sz w:val="28"/>
        </w:rPr>
        <w:t>表</w:t>
      </w:r>
      <w:r w:rsidRPr="003B6B9A">
        <w:rPr>
          <w:rFonts w:eastAsia="標楷體"/>
          <w:b/>
          <w:snapToGrid w:val="0"/>
          <w:sz w:val="28"/>
        </w:rPr>
        <w:t xml:space="preserve"> 2-7-1  </w:t>
      </w:r>
      <w:r w:rsidRPr="003B6B9A">
        <w:rPr>
          <w:rFonts w:eastAsia="標楷體"/>
          <w:b/>
          <w:snapToGrid w:val="0"/>
          <w:sz w:val="28"/>
        </w:rPr>
        <w:t>物價變動</w:t>
      </w:r>
    </w:p>
    <w:p w:rsidR="00547C3E" w:rsidRPr="003B6B9A" w:rsidRDefault="00547C3E" w:rsidP="00547C3E">
      <w:pPr>
        <w:snapToGrid w:val="0"/>
        <w:ind w:rightChars="-59" w:right="-142"/>
        <w:jc w:val="right"/>
        <w:rPr>
          <w:rFonts w:eastAsia="標楷體"/>
          <w:snapToGrid w:val="0"/>
          <w:sz w:val="22"/>
          <w:szCs w:val="22"/>
        </w:rPr>
      </w:pPr>
      <w:r w:rsidRPr="003B6B9A">
        <w:rPr>
          <w:rFonts w:eastAsia="標楷體" w:hint="eastAsia"/>
          <w:snapToGrid w:val="0"/>
          <w:sz w:val="22"/>
          <w:szCs w:val="22"/>
        </w:rPr>
        <w:t>單位：</w:t>
      </w:r>
      <w:r w:rsidRPr="003B6B9A">
        <w:rPr>
          <w:rFonts w:eastAsia="標楷體" w:hint="eastAsia"/>
          <w:snapToGrid w:val="0"/>
          <w:sz w:val="22"/>
          <w:szCs w:val="22"/>
        </w:rPr>
        <w:t>%</w:t>
      </w:r>
    </w:p>
    <w:tbl>
      <w:tblPr>
        <w:tblW w:w="9156" w:type="dxa"/>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3"/>
        <w:gridCol w:w="1103"/>
        <w:gridCol w:w="1045"/>
        <w:gridCol w:w="1154"/>
        <w:gridCol w:w="1027"/>
        <w:gridCol w:w="851"/>
        <w:gridCol w:w="1067"/>
        <w:gridCol w:w="1070"/>
        <w:gridCol w:w="46"/>
      </w:tblGrid>
      <w:tr w:rsidR="00547C3E" w:rsidRPr="003B6B9A" w:rsidTr="001040FB">
        <w:trPr>
          <w:cantSplit/>
          <w:jc w:val="center"/>
        </w:trPr>
        <w:tc>
          <w:tcPr>
            <w:tcW w:w="1793" w:type="dxa"/>
            <w:vMerge w:val="restart"/>
            <w:tcBorders>
              <w:left w:val="nil"/>
            </w:tcBorders>
            <w:vAlign w:val="center"/>
          </w:tcPr>
          <w:p w:rsidR="00547C3E" w:rsidRPr="003B6B9A" w:rsidRDefault="00547C3E" w:rsidP="001040FB">
            <w:pPr>
              <w:spacing w:line="36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3302" w:type="dxa"/>
            <w:gridSpan w:val="3"/>
            <w:tcBorders>
              <w:bottom w:val="nil"/>
            </w:tcBorders>
          </w:tcPr>
          <w:p w:rsidR="00547C3E" w:rsidRPr="003B6B9A" w:rsidRDefault="00547C3E" w:rsidP="001040FB">
            <w:pPr>
              <w:spacing w:line="360" w:lineRule="exact"/>
              <w:rPr>
                <w:rFonts w:eastAsia="標楷體"/>
              </w:rPr>
            </w:pPr>
            <w:r w:rsidRPr="003B6B9A">
              <w:rPr>
                <w:rFonts w:eastAsia="標楷體"/>
              </w:rPr>
              <w:t>消費者物價指數</w:t>
            </w:r>
          </w:p>
        </w:tc>
        <w:tc>
          <w:tcPr>
            <w:tcW w:w="4061" w:type="dxa"/>
            <w:gridSpan w:val="5"/>
            <w:tcBorders>
              <w:bottom w:val="nil"/>
              <w:right w:val="nil"/>
            </w:tcBorders>
          </w:tcPr>
          <w:p w:rsidR="00547C3E" w:rsidRPr="003B6B9A" w:rsidRDefault="00547C3E" w:rsidP="001040FB">
            <w:pPr>
              <w:pStyle w:val="xl41"/>
              <w:widowControl w:val="0"/>
              <w:spacing w:before="0" w:beforeAutospacing="0" w:after="0" w:afterAutospacing="0" w:line="360" w:lineRule="exact"/>
              <w:textAlignment w:val="auto"/>
              <w:rPr>
                <w:rFonts w:ascii="Times New Roman" w:eastAsia="標楷體" w:hAnsi="Times New Roman" w:cs="Times New Roman" w:hint="default"/>
                <w:color w:val="auto"/>
                <w:kern w:val="2"/>
              </w:rPr>
            </w:pPr>
            <w:r w:rsidRPr="003B6B9A">
              <w:rPr>
                <w:rFonts w:ascii="Times New Roman" w:eastAsia="標楷體" w:hAnsi="Times New Roman" w:cs="Times New Roman" w:hint="default"/>
                <w:color w:val="auto"/>
                <w:kern w:val="2"/>
              </w:rPr>
              <w:t>躉售物價指數</w:t>
            </w:r>
          </w:p>
        </w:tc>
      </w:tr>
      <w:tr w:rsidR="00547C3E" w:rsidRPr="003B6B9A" w:rsidTr="001040FB">
        <w:trPr>
          <w:cantSplit/>
          <w:jc w:val="center"/>
        </w:trPr>
        <w:tc>
          <w:tcPr>
            <w:tcW w:w="1793" w:type="dxa"/>
            <w:vMerge/>
            <w:tcBorders>
              <w:left w:val="nil"/>
              <w:bottom w:val="single" w:sz="4" w:space="0" w:color="auto"/>
            </w:tcBorders>
          </w:tcPr>
          <w:p w:rsidR="00547C3E" w:rsidRPr="003B6B9A" w:rsidRDefault="00547C3E" w:rsidP="001040FB">
            <w:pPr>
              <w:spacing w:line="360" w:lineRule="exact"/>
              <w:rPr>
                <w:rFonts w:eastAsia="標楷體"/>
              </w:rPr>
            </w:pPr>
          </w:p>
        </w:tc>
        <w:tc>
          <w:tcPr>
            <w:tcW w:w="1103" w:type="dxa"/>
            <w:tcBorders>
              <w:top w:val="nil"/>
              <w:bottom w:val="single" w:sz="4" w:space="0" w:color="auto"/>
            </w:tcBorders>
            <w:vAlign w:val="center"/>
          </w:tcPr>
          <w:p w:rsidR="00547C3E" w:rsidRPr="003B6B9A" w:rsidRDefault="00547C3E" w:rsidP="001040FB">
            <w:pPr>
              <w:pStyle w:val="d00"/>
              <w:tabs>
                <w:tab w:val="clear" w:pos="1320"/>
                <w:tab w:val="clear" w:pos="1920"/>
                <w:tab w:val="clear" w:pos="2880"/>
                <w:tab w:val="clear" w:pos="3840"/>
                <w:tab w:val="clear" w:pos="4800"/>
                <w:tab w:val="clear" w:pos="5760"/>
              </w:tabs>
              <w:autoSpaceDE/>
              <w:autoSpaceDN/>
              <w:adjustRightInd/>
              <w:spacing w:before="0" w:after="0" w:line="360" w:lineRule="exact"/>
              <w:textAlignment w:val="auto"/>
              <w:rPr>
                <w:rFonts w:eastAsia="標楷體"/>
                <w:spacing w:val="0"/>
                <w:kern w:val="2"/>
                <w:szCs w:val="24"/>
              </w:rPr>
            </w:pPr>
            <w:r w:rsidRPr="003B6B9A">
              <w:rPr>
                <w:rFonts w:eastAsia="標楷體"/>
                <w:spacing w:val="0"/>
                <w:kern w:val="2"/>
                <w:szCs w:val="24"/>
              </w:rPr>
              <w:t>年增率</w:t>
            </w:r>
          </w:p>
        </w:tc>
        <w:tc>
          <w:tcPr>
            <w:tcW w:w="1045" w:type="dxa"/>
            <w:tcBorders>
              <w:top w:val="single" w:sz="4" w:space="0" w:color="auto"/>
              <w:bottom w:val="single" w:sz="4" w:space="0" w:color="auto"/>
            </w:tcBorders>
            <w:vAlign w:val="center"/>
          </w:tcPr>
          <w:p w:rsidR="00547C3E" w:rsidRPr="003B6B9A" w:rsidRDefault="00547C3E" w:rsidP="001040FB">
            <w:pPr>
              <w:pStyle w:val="k02"/>
              <w:spacing w:before="0" w:beforeAutospacing="0" w:after="0" w:afterAutospacing="0" w:line="320" w:lineRule="exact"/>
              <w:jc w:val="center"/>
              <w:rPr>
                <w:rFonts w:ascii="Times New Roman" w:eastAsia="標楷體"/>
                <w:spacing w:val="-34"/>
              </w:rPr>
            </w:pPr>
            <w:r w:rsidRPr="003B6B9A">
              <w:rPr>
                <w:rFonts w:ascii="Times New Roman" w:eastAsia="標楷體"/>
              </w:rPr>
              <w:t>不</w:t>
            </w:r>
            <w:r w:rsidRPr="003B6B9A">
              <w:rPr>
                <w:rFonts w:ascii="Times New Roman" w:eastAsia="標楷體" w:hint="eastAsia"/>
              </w:rPr>
              <w:t>含食物</w:t>
            </w:r>
          </w:p>
        </w:tc>
        <w:tc>
          <w:tcPr>
            <w:tcW w:w="1154" w:type="dxa"/>
            <w:tcBorders>
              <w:top w:val="single" w:sz="4" w:space="0" w:color="auto"/>
              <w:bottom w:val="single" w:sz="4" w:space="0" w:color="auto"/>
            </w:tcBorders>
            <w:vAlign w:val="center"/>
          </w:tcPr>
          <w:p w:rsidR="00547C3E" w:rsidRPr="003B6B9A" w:rsidRDefault="00547C3E" w:rsidP="001040FB">
            <w:pPr>
              <w:pStyle w:val="k02"/>
              <w:spacing w:before="0" w:beforeAutospacing="0" w:after="0" w:afterAutospacing="0" w:line="320" w:lineRule="exact"/>
              <w:jc w:val="center"/>
              <w:rPr>
                <w:rFonts w:ascii="Times New Roman" w:eastAsia="標楷體"/>
              </w:rPr>
            </w:pPr>
            <w:r w:rsidRPr="003B6B9A">
              <w:rPr>
                <w:rFonts w:ascii="Times New Roman" w:eastAsia="標楷體"/>
              </w:rPr>
              <w:t>不含蔬果及能源</w:t>
            </w:r>
          </w:p>
          <w:p w:rsidR="00547C3E" w:rsidRPr="003B6B9A" w:rsidRDefault="00547C3E" w:rsidP="001040FB">
            <w:pPr>
              <w:pStyle w:val="k02"/>
              <w:spacing w:before="0" w:beforeAutospacing="0" w:after="0" w:afterAutospacing="0" w:line="320" w:lineRule="exact"/>
              <w:jc w:val="center"/>
              <w:rPr>
                <w:rFonts w:ascii="Times New Roman" w:eastAsia="標楷體"/>
                <w:spacing w:val="-34"/>
              </w:rPr>
            </w:pPr>
            <w:r w:rsidRPr="003B6B9A">
              <w:rPr>
                <w:rFonts w:ascii="Times New Roman" w:eastAsia="標楷體"/>
              </w:rPr>
              <w:t>(</w:t>
            </w:r>
            <w:r w:rsidRPr="003B6B9A">
              <w:rPr>
                <w:rFonts w:ascii="Times New Roman" w:eastAsia="標楷體"/>
              </w:rPr>
              <w:t>核心</w:t>
            </w:r>
            <w:r w:rsidRPr="003B6B9A">
              <w:rPr>
                <w:rFonts w:ascii="Times New Roman" w:eastAsia="標楷體"/>
              </w:rPr>
              <w:t>CPI)</w:t>
            </w:r>
          </w:p>
        </w:tc>
        <w:tc>
          <w:tcPr>
            <w:tcW w:w="1027" w:type="dxa"/>
            <w:tcBorders>
              <w:top w:val="nil"/>
              <w:bottom w:val="single" w:sz="4" w:space="0" w:color="auto"/>
            </w:tcBorders>
          </w:tcPr>
          <w:p w:rsidR="00547C3E" w:rsidRPr="003B6B9A" w:rsidRDefault="00547C3E" w:rsidP="001040FB">
            <w:pPr>
              <w:spacing w:line="320" w:lineRule="exact"/>
              <w:jc w:val="center"/>
              <w:rPr>
                <w:rFonts w:eastAsia="標楷體"/>
              </w:rPr>
            </w:pPr>
          </w:p>
          <w:p w:rsidR="00547C3E" w:rsidRPr="003B6B9A" w:rsidRDefault="00547C3E" w:rsidP="001040FB">
            <w:pPr>
              <w:spacing w:line="320" w:lineRule="exact"/>
              <w:jc w:val="center"/>
              <w:rPr>
                <w:rFonts w:eastAsia="標楷體"/>
              </w:rPr>
            </w:pPr>
            <w:r w:rsidRPr="003B6B9A">
              <w:rPr>
                <w:rFonts w:eastAsia="標楷體"/>
              </w:rPr>
              <w:t>年增率</w:t>
            </w:r>
          </w:p>
        </w:tc>
        <w:tc>
          <w:tcPr>
            <w:tcW w:w="851" w:type="dxa"/>
            <w:tcBorders>
              <w:top w:val="single" w:sz="4" w:space="0" w:color="auto"/>
              <w:bottom w:val="single" w:sz="4" w:space="0" w:color="auto"/>
            </w:tcBorders>
            <w:vAlign w:val="center"/>
          </w:tcPr>
          <w:p w:rsidR="00547C3E" w:rsidRPr="003B6B9A" w:rsidRDefault="00547C3E" w:rsidP="001040FB">
            <w:pPr>
              <w:spacing w:line="320" w:lineRule="exact"/>
              <w:jc w:val="center"/>
              <w:rPr>
                <w:rFonts w:eastAsia="標楷體"/>
              </w:rPr>
            </w:pPr>
            <w:r w:rsidRPr="003B6B9A">
              <w:rPr>
                <w:rFonts w:eastAsia="標楷體"/>
              </w:rPr>
              <w:t>國產</w:t>
            </w:r>
          </w:p>
          <w:p w:rsidR="00547C3E" w:rsidRPr="003B6B9A" w:rsidRDefault="00547C3E" w:rsidP="001040FB">
            <w:pPr>
              <w:spacing w:line="320" w:lineRule="exact"/>
              <w:jc w:val="center"/>
              <w:rPr>
                <w:rFonts w:eastAsia="標楷體"/>
              </w:rPr>
            </w:pPr>
            <w:r w:rsidRPr="003B6B9A">
              <w:rPr>
                <w:rFonts w:eastAsia="標楷體"/>
              </w:rPr>
              <w:t>內銷</w:t>
            </w:r>
          </w:p>
        </w:tc>
        <w:tc>
          <w:tcPr>
            <w:tcW w:w="1067" w:type="dxa"/>
            <w:tcBorders>
              <w:top w:val="single" w:sz="4" w:space="0" w:color="auto"/>
              <w:bottom w:val="single" w:sz="4" w:space="0" w:color="auto"/>
            </w:tcBorders>
            <w:vAlign w:val="center"/>
          </w:tcPr>
          <w:p w:rsidR="00547C3E" w:rsidRPr="003B6B9A" w:rsidRDefault="00547C3E" w:rsidP="001040FB">
            <w:pPr>
              <w:spacing w:line="320" w:lineRule="exact"/>
              <w:jc w:val="center"/>
              <w:rPr>
                <w:rFonts w:eastAsia="標楷體"/>
              </w:rPr>
            </w:pPr>
            <w:r w:rsidRPr="003B6B9A">
              <w:rPr>
                <w:rFonts w:eastAsia="標楷體"/>
              </w:rPr>
              <w:t>進口</w:t>
            </w:r>
          </w:p>
          <w:p w:rsidR="00547C3E" w:rsidRPr="003B6B9A" w:rsidRDefault="00547C3E" w:rsidP="001040FB">
            <w:pPr>
              <w:spacing w:line="320" w:lineRule="exact"/>
              <w:jc w:val="center"/>
              <w:rPr>
                <w:rFonts w:eastAsia="標楷體"/>
              </w:rPr>
            </w:pPr>
            <w:r w:rsidRPr="003B6B9A">
              <w:rPr>
                <w:rFonts w:eastAsia="標楷體"/>
              </w:rPr>
              <w:t>(</w:t>
            </w:r>
            <w:r w:rsidRPr="003B6B9A">
              <w:rPr>
                <w:rFonts w:eastAsia="標楷體"/>
              </w:rPr>
              <w:t>新臺幣</w:t>
            </w:r>
            <w:r w:rsidRPr="003B6B9A">
              <w:rPr>
                <w:rFonts w:eastAsia="標楷體"/>
              </w:rPr>
              <w:t>)</w:t>
            </w:r>
          </w:p>
        </w:tc>
        <w:tc>
          <w:tcPr>
            <w:tcW w:w="1116" w:type="dxa"/>
            <w:gridSpan w:val="2"/>
            <w:tcBorders>
              <w:top w:val="single" w:sz="4" w:space="0" w:color="auto"/>
              <w:bottom w:val="single" w:sz="4" w:space="0" w:color="auto"/>
              <w:right w:val="nil"/>
            </w:tcBorders>
            <w:vAlign w:val="center"/>
          </w:tcPr>
          <w:p w:rsidR="00547C3E" w:rsidRPr="003B6B9A" w:rsidRDefault="00547C3E" w:rsidP="001040FB">
            <w:pPr>
              <w:spacing w:line="320" w:lineRule="exact"/>
              <w:jc w:val="center"/>
              <w:rPr>
                <w:rFonts w:eastAsia="標楷體"/>
              </w:rPr>
            </w:pPr>
            <w:r w:rsidRPr="003B6B9A">
              <w:rPr>
                <w:rFonts w:eastAsia="標楷體"/>
              </w:rPr>
              <w:t>出口</w:t>
            </w:r>
          </w:p>
          <w:p w:rsidR="00547C3E" w:rsidRPr="003B6B9A" w:rsidRDefault="00547C3E" w:rsidP="001040FB">
            <w:pPr>
              <w:spacing w:line="320" w:lineRule="exact"/>
              <w:jc w:val="center"/>
              <w:rPr>
                <w:rFonts w:eastAsia="標楷體"/>
              </w:rPr>
            </w:pPr>
            <w:r w:rsidRPr="003B6B9A">
              <w:rPr>
                <w:rFonts w:eastAsia="標楷體"/>
              </w:rPr>
              <w:t>(</w:t>
            </w:r>
            <w:r w:rsidRPr="003B6B9A">
              <w:rPr>
                <w:rFonts w:eastAsia="標楷體"/>
              </w:rPr>
              <w:t>新臺幣</w:t>
            </w:r>
            <w:r w:rsidRPr="003B6B9A">
              <w:rPr>
                <w:rFonts w:eastAsia="標楷體"/>
              </w:rPr>
              <w:t>)</w:t>
            </w:r>
          </w:p>
        </w:tc>
      </w:tr>
      <w:tr w:rsidR="00547C3E" w:rsidRPr="003B6B9A" w:rsidTr="001040FB">
        <w:trPr>
          <w:gridAfter w:val="1"/>
          <w:wAfter w:w="46" w:type="dxa"/>
          <w:jc w:val="center"/>
        </w:trPr>
        <w:tc>
          <w:tcPr>
            <w:tcW w:w="1793" w:type="dxa"/>
            <w:tcBorders>
              <w:top w:val="nil"/>
              <w:left w:val="nil"/>
              <w:bottom w:val="nil"/>
            </w:tcBorders>
          </w:tcPr>
          <w:p w:rsidR="00547C3E" w:rsidRPr="003B6B9A" w:rsidRDefault="00547C3E" w:rsidP="001040FB">
            <w:pPr>
              <w:spacing w:line="360" w:lineRule="exact"/>
              <w:rPr>
                <w:rFonts w:eastAsia="標楷體"/>
                <w:b/>
                <w:bCs/>
              </w:rPr>
            </w:pPr>
            <w:r w:rsidRPr="003B6B9A">
              <w:rPr>
                <w:rFonts w:eastAsia="標楷體"/>
                <w:b/>
                <w:bCs/>
              </w:rPr>
              <w:t xml:space="preserve">   99</w:t>
            </w:r>
            <w:r w:rsidRPr="003B6B9A">
              <w:rPr>
                <w:rFonts w:eastAsia="標楷體"/>
                <w:b/>
                <w:bCs/>
              </w:rPr>
              <w:t>年</w:t>
            </w:r>
          </w:p>
        </w:tc>
        <w:tc>
          <w:tcPr>
            <w:tcW w:w="1103" w:type="dxa"/>
            <w:tcBorders>
              <w:top w:val="nil"/>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b/>
                <w:bCs/>
              </w:rPr>
              <w:t>0.96</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1.09</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0.58</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5.46</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7.44</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7.04</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2.02</w:t>
            </w:r>
          </w:p>
        </w:tc>
      </w:tr>
      <w:tr w:rsidR="00547C3E" w:rsidRPr="003B6B9A" w:rsidTr="001040FB">
        <w:trPr>
          <w:gridAfter w:val="1"/>
          <w:wAfter w:w="46" w:type="dxa"/>
          <w:jc w:val="center"/>
        </w:trPr>
        <w:tc>
          <w:tcPr>
            <w:tcW w:w="1793" w:type="dxa"/>
            <w:tcBorders>
              <w:top w:val="nil"/>
              <w:left w:val="nil"/>
              <w:bottom w:val="nil"/>
            </w:tcBorders>
          </w:tcPr>
          <w:p w:rsidR="00547C3E" w:rsidRPr="003B6B9A" w:rsidRDefault="00547C3E" w:rsidP="001040FB">
            <w:pPr>
              <w:spacing w:line="360" w:lineRule="exact"/>
              <w:rPr>
                <w:rFonts w:eastAsia="標楷體"/>
                <w:b/>
                <w:bCs/>
              </w:rPr>
            </w:pPr>
            <w:r w:rsidRPr="003B6B9A">
              <w:rPr>
                <w:rFonts w:eastAsia="標楷體"/>
                <w:b/>
                <w:bCs/>
              </w:rPr>
              <w:t xml:space="preserve">  100</w:t>
            </w:r>
            <w:r w:rsidRPr="003B6B9A">
              <w:rPr>
                <w:rFonts w:eastAsia="標楷體"/>
                <w:b/>
                <w:bCs/>
              </w:rPr>
              <w:t>年</w:t>
            </w:r>
          </w:p>
        </w:tc>
        <w:tc>
          <w:tcPr>
            <w:tcW w:w="1103" w:type="dxa"/>
            <w:tcBorders>
              <w:top w:val="nil"/>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b/>
                <w:bCs/>
              </w:rPr>
              <w:t>1.42</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1.10</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1.26</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4.32</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5.04</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7.65</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0.09</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napToGrid w:val="0"/>
              <w:spacing w:line="360" w:lineRule="exact"/>
              <w:ind w:rightChars="12" w:right="29"/>
              <w:jc w:val="both"/>
              <w:rPr>
                <w:rFonts w:eastAsia="標楷體"/>
                <w:b/>
                <w:bCs/>
              </w:rPr>
            </w:pPr>
            <w:r w:rsidRPr="003B6B9A">
              <w:rPr>
                <w:rFonts w:eastAsia="標楷體"/>
                <w:b/>
                <w:bCs/>
              </w:rPr>
              <w:t xml:space="preserve">  101</w:t>
            </w:r>
            <w:r w:rsidRPr="003B6B9A">
              <w:rPr>
                <w:rFonts w:eastAsia="標楷體"/>
                <w:b/>
                <w:bCs/>
              </w:rPr>
              <w:t>年</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b/>
                <w:bCs/>
              </w:rPr>
              <w:t>1.93</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1.07</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1.00</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-1.16</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-0.59</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-1.28</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-1.62</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napToGrid w:val="0"/>
              <w:spacing w:line="360" w:lineRule="exact"/>
              <w:ind w:rightChars="12" w:right="29" w:firstLineChars="100" w:firstLine="240"/>
              <w:jc w:val="both"/>
              <w:rPr>
                <w:rFonts w:eastAsia="標楷體"/>
                <w:b/>
              </w:rPr>
            </w:pPr>
            <w:r w:rsidRPr="003B6B9A">
              <w:rPr>
                <w:rFonts w:eastAsia="標楷體"/>
                <w:b/>
                <w:bCs/>
              </w:rPr>
              <w:t>102</w:t>
            </w:r>
            <w:r w:rsidRPr="003B6B9A">
              <w:rPr>
                <w:rFonts w:eastAsia="標楷體"/>
                <w:b/>
              </w:rPr>
              <w:t>年</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b/>
              </w:rPr>
            </w:pPr>
            <w:r w:rsidRPr="003B6B9A">
              <w:rPr>
                <w:rFonts w:eastAsia="標楷體"/>
                <w:b/>
              </w:rPr>
              <w:t>0.79</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0.59</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0.66</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-2.43</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-0.71</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-4.45</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-2.06</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napToGrid w:val="0"/>
              <w:spacing w:line="360" w:lineRule="exact"/>
              <w:ind w:rightChars="12" w:right="29" w:firstLineChars="100" w:firstLine="240"/>
              <w:jc w:val="both"/>
              <w:rPr>
                <w:rFonts w:eastAsia="標楷體"/>
                <w:b/>
                <w:bCs/>
              </w:rPr>
            </w:pPr>
            <w:r w:rsidRPr="003B6B9A">
              <w:rPr>
                <w:rFonts w:eastAsia="標楷體"/>
                <w:b/>
              </w:rPr>
              <w:t>103</w:t>
            </w:r>
            <w:r w:rsidRPr="003B6B9A">
              <w:rPr>
                <w:rFonts w:eastAsia="標楷體"/>
                <w:b/>
                <w:bCs/>
              </w:rPr>
              <w:t>年</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hint="eastAsia"/>
                <w:b/>
                <w:bCs/>
              </w:rPr>
              <w:t>1.20</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0.30</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rFonts w:hint="eastAsia"/>
                <w:b/>
              </w:rPr>
              <w:t>1.26</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-0.57</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rFonts w:hint="eastAsia"/>
                <w:b/>
              </w:rPr>
              <w:t>0.28</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-2.10</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0.10</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4</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rPr>
              <w:t>1.66</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0.46</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1.25</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0.07</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1.46</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-0.64</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-0.40</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5</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rPr>
              <w:t>1.62</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0.69</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1.47</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1.15</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1.97</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1.03</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0.59</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6</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rPr>
              <w:t>1.64</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0.88</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1.47</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0.80</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2.62</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0.23</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-0.22</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7</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rPr>
              <w:t>1.76</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0.90</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1.55</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0.85</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2.83</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-0.01</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-0.01</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8</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rPr>
              <w:t>2.07</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0.85</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1.68</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0.03</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2.05</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-1.59</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-0.21</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9</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0.71</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0.45</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1.55</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-0.8</w:t>
            </w:r>
            <w:r w:rsidRPr="003B6B9A">
              <w:rPr>
                <w:rFonts w:hint="eastAsia"/>
              </w:rPr>
              <w:t>5</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0.1</w:t>
            </w:r>
            <w:r w:rsidRPr="003B6B9A">
              <w:rPr>
                <w:rFonts w:hint="eastAsia"/>
              </w:rPr>
              <w:t>3</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-2.5</w:t>
            </w:r>
            <w:r w:rsidRPr="003B6B9A">
              <w:rPr>
                <w:rFonts w:hint="eastAsia"/>
              </w:rPr>
              <w:t>8</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w:t>
            </w:r>
            <w:r w:rsidRPr="003B6B9A">
              <w:rPr>
                <w:rFonts w:hint="eastAsia"/>
              </w:rPr>
              <w:t>15</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10</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rPr>
              <w:t>1.0</w:t>
            </w:r>
            <w:r w:rsidRPr="003B6B9A">
              <w:rPr>
                <w:rFonts w:eastAsia="標楷體" w:hint="eastAsia"/>
              </w:rPr>
              <w:t>5</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0.23</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1.6</w:t>
            </w:r>
            <w:r w:rsidRPr="003B6B9A">
              <w:rPr>
                <w:rFonts w:hint="eastAsia"/>
              </w:rPr>
              <w:t>0</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-1.</w:t>
            </w:r>
            <w:r w:rsidRPr="003B6B9A">
              <w:rPr>
                <w:rFonts w:hint="eastAsia"/>
              </w:rPr>
              <w:t>38</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-1.</w:t>
            </w:r>
            <w:r w:rsidRPr="003B6B9A">
              <w:rPr>
                <w:rFonts w:hint="eastAsia"/>
              </w:rPr>
              <w:t>28</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-3.</w:t>
            </w:r>
            <w:r w:rsidRPr="003B6B9A">
              <w:rPr>
                <w:rFonts w:hint="eastAsia"/>
              </w:rPr>
              <w:t>32</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w:t>
            </w:r>
            <w:r w:rsidRPr="003B6B9A">
              <w:rPr>
                <w:rFonts w:hint="eastAsia"/>
              </w:rPr>
              <w:t>25</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hint="eastAsia"/>
              </w:rPr>
              <w:t>11</w:t>
            </w:r>
            <w:r w:rsidRPr="003B6B9A">
              <w:rPr>
                <w:rFonts w:eastAsia="標楷體" w:hint="eastAsia"/>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0.85</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-0.14</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rPr>
                <w:rFonts w:hint="eastAsia"/>
              </w:rPr>
              <w:t>1.40</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-2.90</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rPr>
                <w:rFonts w:hint="eastAsia"/>
              </w:rPr>
              <w:t>-2.81</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-6.14</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-0.05</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hint="eastAsia"/>
              </w:rPr>
              <w:t>12</w:t>
            </w:r>
            <w:r w:rsidRPr="003B6B9A">
              <w:rPr>
                <w:rFonts w:eastAsia="標楷體" w:hint="eastAsia"/>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0.60</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-0.73</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rPr>
                <w:rFonts w:hint="eastAsia"/>
              </w:rPr>
              <w:t>1.37</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-4.75</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rPr>
                <w:rFonts w:hint="eastAsia"/>
              </w:rPr>
              <w:t>-5.06</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-9.01</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-0.67</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napToGrid w:val="0"/>
              <w:spacing w:line="360" w:lineRule="exact"/>
              <w:ind w:rightChars="12" w:right="29" w:firstLineChars="100" w:firstLine="240"/>
              <w:jc w:val="both"/>
              <w:rPr>
                <w:rFonts w:eastAsia="標楷體"/>
                <w:b/>
              </w:rPr>
            </w:pPr>
            <w:r w:rsidRPr="003B6B9A">
              <w:rPr>
                <w:rFonts w:eastAsia="標楷體"/>
                <w:b/>
                <w:bCs/>
              </w:rPr>
              <w:t>10</w:t>
            </w:r>
            <w:r w:rsidRPr="003B6B9A">
              <w:rPr>
                <w:rFonts w:eastAsia="標楷體" w:hint="eastAsia"/>
                <w:b/>
                <w:bCs/>
              </w:rPr>
              <w:t>4</w:t>
            </w:r>
            <w:r w:rsidRPr="003B6B9A">
              <w:rPr>
                <w:rFonts w:eastAsia="標楷體"/>
                <w:b/>
              </w:rPr>
              <w:t>年</w:t>
            </w:r>
            <w:r w:rsidRPr="003B6B9A">
              <w:rPr>
                <w:rFonts w:eastAsia="標楷體" w:hint="eastAsia"/>
                <w:b/>
              </w:rPr>
              <w:t>1~4</w:t>
            </w:r>
            <w:r w:rsidRPr="003B6B9A">
              <w:rPr>
                <w:rFonts w:eastAsia="標楷體" w:hint="eastAsia"/>
                <w:b/>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b/>
              </w:rPr>
            </w:pPr>
            <w:r w:rsidRPr="003B6B9A">
              <w:rPr>
                <w:rFonts w:eastAsia="標楷體" w:hint="eastAsia"/>
                <w:b/>
              </w:rPr>
              <w:t>-0.64</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-1.80</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rFonts w:hint="eastAsia"/>
                <w:b/>
              </w:rPr>
              <w:t>1.02</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-8.64</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rFonts w:hint="eastAsia"/>
                <w:b/>
              </w:rPr>
              <w:t>-8.65</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-13.42</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-4.37</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1</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-0.94</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-2.85</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rPr>
                <w:rFonts w:hint="eastAsia"/>
              </w:rPr>
              <w:t>0.64</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-7.87</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rPr>
                <w:rFonts w:hint="eastAsia"/>
              </w:rPr>
              <w:t>-8.28</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-12.98</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-2.95</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hint="eastAsia"/>
              </w:rPr>
              <w:t>2</w:t>
            </w:r>
            <w:r w:rsidRPr="003B6B9A">
              <w:rPr>
                <w:rFonts w:eastAsia="標楷體" w:hint="eastAsia"/>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-0.20</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-1.38</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rPr>
                <w:rFonts w:hint="eastAsia"/>
              </w:rPr>
              <w:t>1.78</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-8.79</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rPr>
                <w:rFonts w:hint="eastAsia"/>
              </w:rPr>
              <w:t>-8.62</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-13.52</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-4.71</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hint="eastAsia"/>
              </w:rPr>
              <w:t>3</w:t>
            </w:r>
            <w:r w:rsidRPr="003B6B9A">
              <w:rPr>
                <w:rFonts w:eastAsia="標楷體" w:hint="eastAsia"/>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-0.61</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-1.35</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rPr>
                <w:rFonts w:hint="eastAsia"/>
              </w:rPr>
              <w:t>0.97</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-8.75</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rPr>
                <w:rFonts w:hint="eastAsia"/>
              </w:rPr>
              <w:t>-8.60</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-13.46</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-4.66</w:t>
            </w:r>
          </w:p>
        </w:tc>
      </w:tr>
      <w:tr w:rsidR="00547C3E" w:rsidRPr="003B6B9A" w:rsidTr="001040FB">
        <w:trPr>
          <w:gridAfter w:val="1"/>
          <w:wAfter w:w="46" w:type="dxa"/>
          <w:jc w:val="center"/>
        </w:trPr>
        <w:tc>
          <w:tcPr>
            <w:tcW w:w="1793" w:type="dxa"/>
            <w:tcBorders>
              <w:top w:val="nil"/>
              <w:left w:val="nil"/>
              <w:bottom w:val="single" w:sz="4" w:space="0" w:color="auto"/>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hint="eastAsia"/>
              </w:rPr>
              <w:t>4</w:t>
            </w:r>
            <w:r w:rsidRPr="003B6B9A">
              <w:rPr>
                <w:rFonts w:eastAsia="標楷體" w:hint="eastAsia"/>
              </w:rPr>
              <w:t>月</w:t>
            </w:r>
          </w:p>
        </w:tc>
        <w:tc>
          <w:tcPr>
            <w:tcW w:w="1103" w:type="dxa"/>
            <w:tcBorders>
              <w:top w:val="nil"/>
              <w:left w:val="single" w:sz="4" w:space="0" w:color="auto"/>
              <w:bottom w:val="single" w:sz="4" w:space="0" w:color="auto"/>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-0.80</w:t>
            </w:r>
          </w:p>
        </w:tc>
        <w:tc>
          <w:tcPr>
            <w:tcW w:w="1045" w:type="dxa"/>
            <w:tcBorders>
              <w:top w:val="nil"/>
              <w:left w:val="nil"/>
              <w:bottom w:val="single" w:sz="4" w:space="0" w:color="auto"/>
              <w:right w:val="nil"/>
            </w:tcBorders>
            <w:vAlign w:val="center"/>
          </w:tcPr>
          <w:p w:rsidR="00547C3E" w:rsidRPr="003B6B9A" w:rsidRDefault="00547C3E" w:rsidP="001040FB">
            <w:pPr>
              <w:pStyle w:val="ab"/>
              <w:spacing w:line="360" w:lineRule="exact"/>
              <w:ind w:rightChars="100" w:right="240"/>
            </w:pPr>
            <w:r w:rsidRPr="003B6B9A">
              <w:rPr>
                <w:rFonts w:hint="eastAsia"/>
              </w:rPr>
              <w:t>-1.63</w:t>
            </w:r>
          </w:p>
        </w:tc>
        <w:tc>
          <w:tcPr>
            <w:tcW w:w="1154" w:type="dxa"/>
            <w:tcBorders>
              <w:top w:val="nil"/>
              <w:left w:val="nil"/>
              <w:bottom w:val="single" w:sz="4" w:space="0" w:color="auto"/>
              <w:right w:val="nil"/>
            </w:tcBorders>
            <w:vAlign w:val="center"/>
          </w:tcPr>
          <w:p w:rsidR="00547C3E" w:rsidRPr="003B6B9A" w:rsidRDefault="00547C3E" w:rsidP="001040FB">
            <w:pPr>
              <w:pStyle w:val="ab"/>
              <w:spacing w:line="360" w:lineRule="exact"/>
              <w:ind w:rightChars="115" w:right="276"/>
            </w:pPr>
            <w:r w:rsidRPr="003B6B9A">
              <w:rPr>
                <w:rFonts w:hint="eastAsia"/>
              </w:rPr>
              <w:t>0.68</w:t>
            </w:r>
          </w:p>
        </w:tc>
        <w:tc>
          <w:tcPr>
            <w:tcW w:w="1027" w:type="dxa"/>
            <w:tcBorders>
              <w:top w:val="nil"/>
              <w:left w:val="nil"/>
              <w:bottom w:val="single" w:sz="4" w:space="0" w:color="auto"/>
              <w:right w:val="nil"/>
            </w:tcBorders>
            <w:vAlign w:val="center"/>
          </w:tcPr>
          <w:p w:rsidR="00547C3E" w:rsidRPr="003B6B9A" w:rsidRDefault="00547C3E" w:rsidP="001040FB">
            <w:pPr>
              <w:pStyle w:val="ab"/>
              <w:spacing w:line="360" w:lineRule="exact"/>
              <w:ind w:rightChars="100" w:right="240"/>
            </w:pPr>
            <w:r w:rsidRPr="003B6B9A">
              <w:rPr>
                <w:rFonts w:hint="eastAsia"/>
              </w:rPr>
              <w:t>-9.15</w:t>
            </w:r>
          </w:p>
        </w:tc>
        <w:tc>
          <w:tcPr>
            <w:tcW w:w="851" w:type="dxa"/>
            <w:tcBorders>
              <w:top w:val="nil"/>
              <w:left w:val="nil"/>
              <w:bottom w:val="single" w:sz="4" w:space="0" w:color="auto"/>
              <w:right w:val="nil"/>
            </w:tcBorders>
            <w:vAlign w:val="center"/>
          </w:tcPr>
          <w:p w:rsidR="00547C3E" w:rsidRPr="003B6B9A" w:rsidRDefault="00547C3E" w:rsidP="001040FB">
            <w:pPr>
              <w:pStyle w:val="ab"/>
              <w:spacing w:line="360" w:lineRule="exact"/>
              <w:ind w:rightChars="50" w:right="120"/>
            </w:pPr>
            <w:r w:rsidRPr="003B6B9A">
              <w:rPr>
                <w:rFonts w:hint="eastAsia"/>
              </w:rPr>
              <w:t>-9.10</w:t>
            </w:r>
          </w:p>
        </w:tc>
        <w:tc>
          <w:tcPr>
            <w:tcW w:w="1067" w:type="dxa"/>
            <w:tcBorders>
              <w:top w:val="nil"/>
              <w:left w:val="nil"/>
              <w:bottom w:val="single" w:sz="4" w:space="0" w:color="auto"/>
              <w:right w:val="nil"/>
            </w:tcBorders>
            <w:vAlign w:val="center"/>
          </w:tcPr>
          <w:p w:rsidR="00547C3E" w:rsidRPr="003B6B9A" w:rsidRDefault="00547C3E" w:rsidP="001040FB">
            <w:pPr>
              <w:pStyle w:val="ab"/>
              <w:spacing w:line="360" w:lineRule="exact"/>
              <w:ind w:rightChars="100" w:right="240"/>
            </w:pPr>
            <w:r w:rsidRPr="003B6B9A">
              <w:rPr>
                <w:rFonts w:hint="eastAsia"/>
              </w:rPr>
              <w:t>-13.69</w:t>
            </w:r>
          </w:p>
        </w:tc>
        <w:tc>
          <w:tcPr>
            <w:tcW w:w="1070" w:type="dxa"/>
            <w:tcBorders>
              <w:top w:val="nil"/>
              <w:left w:val="nil"/>
              <w:bottom w:val="single" w:sz="4" w:space="0" w:color="auto"/>
              <w:right w:val="nil"/>
            </w:tcBorders>
            <w:vAlign w:val="center"/>
          </w:tcPr>
          <w:p w:rsidR="00547C3E" w:rsidRPr="003B6B9A" w:rsidRDefault="00547C3E" w:rsidP="001040FB">
            <w:pPr>
              <w:pStyle w:val="ab"/>
              <w:spacing w:line="360" w:lineRule="exact"/>
              <w:ind w:rightChars="100" w:right="240"/>
            </w:pPr>
            <w:r w:rsidRPr="003B6B9A">
              <w:rPr>
                <w:rFonts w:hint="eastAsia"/>
              </w:rPr>
              <w:t>-5.15</w:t>
            </w:r>
          </w:p>
        </w:tc>
      </w:tr>
    </w:tbl>
    <w:p w:rsidR="00547C3E" w:rsidRPr="003B6B9A" w:rsidRDefault="00547C3E" w:rsidP="00547C3E">
      <w:pPr>
        <w:pStyle w:val="af"/>
        <w:snapToGrid w:val="0"/>
        <w:spacing w:line="240" w:lineRule="atLeast"/>
        <w:ind w:leftChars="0" w:left="0" w:firstLineChars="0" w:firstLine="0"/>
        <w:rPr>
          <w:b/>
          <w:bCs/>
          <w:szCs w:val="22"/>
        </w:rPr>
      </w:pPr>
      <w:r w:rsidRPr="003B6B9A">
        <w:rPr>
          <w:szCs w:val="22"/>
        </w:rPr>
        <w:t>資料來源：行政院主計總處。</w:t>
      </w:r>
    </w:p>
    <w:p w:rsidR="0056670D" w:rsidRPr="003B6B9A" w:rsidRDefault="00F75424" w:rsidP="0056670D">
      <w:pPr>
        <w:pStyle w:val="af"/>
        <w:snapToGrid w:val="0"/>
        <w:spacing w:line="300" w:lineRule="auto"/>
        <w:ind w:leftChars="0" w:left="0" w:firstLineChars="0" w:firstLine="0"/>
        <w:jc w:val="center"/>
        <w:rPr>
          <w:b/>
          <w:bCs/>
          <w:sz w:val="28"/>
        </w:rPr>
      </w:pPr>
      <w:r w:rsidRPr="00B118E9">
        <w:rPr>
          <w:color w:val="FF0000"/>
          <w:sz w:val="28"/>
        </w:rPr>
        <w:br w:type="page"/>
      </w:r>
      <w:r w:rsidR="0056670D" w:rsidRPr="003B6B9A">
        <w:rPr>
          <w:b/>
          <w:bCs/>
          <w:sz w:val="28"/>
        </w:rPr>
        <w:t>圖</w:t>
      </w:r>
      <w:r w:rsidR="0056670D" w:rsidRPr="003B6B9A">
        <w:rPr>
          <w:b/>
          <w:bCs/>
          <w:sz w:val="28"/>
        </w:rPr>
        <w:t xml:space="preserve"> 2-7-2  </w:t>
      </w:r>
      <w:r w:rsidR="0056670D" w:rsidRPr="003B6B9A">
        <w:rPr>
          <w:b/>
          <w:bCs/>
          <w:sz w:val="28"/>
        </w:rPr>
        <w:t>進出口物價指數變動率</w:t>
      </w:r>
    </w:p>
    <w:p w:rsidR="0056670D" w:rsidRPr="003B6B9A" w:rsidRDefault="0056670D" w:rsidP="0056670D">
      <w:pPr>
        <w:snapToGrid w:val="0"/>
        <w:rPr>
          <w:rFonts w:eastAsia="標楷體"/>
          <w:sz w:val="28"/>
        </w:rPr>
      </w:pPr>
      <w:r w:rsidRPr="003B6B9A">
        <w:rPr>
          <w:rFonts w:eastAsia="標楷體"/>
          <w:noProof/>
          <w:sz w:val="28"/>
        </w:rPr>
        <w:drawing>
          <wp:inline distT="0" distB="0" distL="0" distR="0" wp14:anchorId="0CBDE9BC" wp14:editId="6CBC7915">
            <wp:extent cx="5641675" cy="2449902"/>
            <wp:effectExtent l="0" t="0" r="0" b="0"/>
            <wp:docPr id="10" name="物件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56670D" w:rsidRPr="003B6B9A" w:rsidRDefault="0056670D" w:rsidP="0056670D">
      <w:pPr>
        <w:snapToGrid w:val="0"/>
        <w:rPr>
          <w:rFonts w:eastAsia="標楷體"/>
          <w:snapToGrid w:val="0"/>
          <w:sz w:val="22"/>
          <w:szCs w:val="22"/>
        </w:rPr>
      </w:pPr>
      <w:r w:rsidRPr="003B6B9A">
        <w:rPr>
          <w:rFonts w:eastAsia="標楷體"/>
          <w:sz w:val="22"/>
          <w:szCs w:val="22"/>
        </w:rPr>
        <w:t>資料來源：</w:t>
      </w:r>
      <w:r w:rsidRPr="003B6B9A">
        <w:rPr>
          <w:rFonts w:eastAsia="標楷體"/>
          <w:snapToGrid w:val="0"/>
          <w:sz w:val="22"/>
          <w:szCs w:val="22"/>
        </w:rPr>
        <w:t>行政院主計總處。</w:t>
      </w:r>
    </w:p>
    <w:p w:rsidR="0056670D" w:rsidRPr="003B6B9A" w:rsidRDefault="0056670D" w:rsidP="0056670D">
      <w:pPr>
        <w:pStyle w:val="k3a"/>
        <w:spacing w:before="180" w:line="240" w:lineRule="atLeast"/>
        <w:ind w:leftChars="0" w:left="0" w:firstLineChars="0" w:firstLine="0"/>
        <w:jc w:val="center"/>
        <w:rPr>
          <w:b/>
          <w:snapToGrid w:val="0"/>
          <w:kern w:val="2"/>
          <w:szCs w:val="24"/>
        </w:rPr>
      </w:pPr>
      <w:r w:rsidRPr="003B6B9A">
        <w:rPr>
          <w:b/>
          <w:snapToGrid w:val="0"/>
          <w:kern w:val="2"/>
          <w:szCs w:val="24"/>
        </w:rPr>
        <w:t>表</w:t>
      </w:r>
      <w:r w:rsidRPr="003B6B9A">
        <w:rPr>
          <w:b/>
          <w:snapToGrid w:val="0"/>
          <w:kern w:val="2"/>
          <w:szCs w:val="24"/>
        </w:rPr>
        <w:t xml:space="preserve"> 2-7-2  </w:t>
      </w:r>
      <w:r w:rsidRPr="003B6B9A">
        <w:rPr>
          <w:b/>
          <w:snapToGrid w:val="0"/>
          <w:kern w:val="2"/>
          <w:szCs w:val="24"/>
        </w:rPr>
        <w:t>消費者物價指數依性質別分類之變動率</w:t>
      </w:r>
    </w:p>
    <w:p w:rsidR="0056670D" w:rsidRPr="003B6B9A" w:rsidRDefault="0056670D" w:rsidP="0056670D">
      <w:pPr>
        <w:pStyle w:val="k3a"/>
        <w:spacing w:before="180" w:line="240" w:lineRule="atLeast"/>
        <w:ind w:leftChars="0" w:left="0" w:firstLineChars="0" w:firstLine="0"/>
        <w:jc w:val="right"/>
        <w:rPr>
          <w:snapToGrid w:val="0"/>
          <w:kern w:val="2"/>
          <w:sz w:val="24"/>
          <w:szCs w:val="24"/>
        </w:rPr>
      </w:pPr>
      <w:r w:rsidRPr="003B6B9A">
        <w:rPr>
          <w:b/>
          <w:snapToGrid w:val="0"/>
          <w:kern w:val="2"/>
          <w:szCs w:val="24"/>
        </w:rPr>
        <w:t xml:space="preserve"> </w:t>
      </w:r>
      <w:r w:rsidRPr="003B6B9A">
        <w:rPr>
          <w:snapToGrid w:val="0"/>
          <w:kern w:val="2"/>
          <w:sz w:val="22"/>
          <w:szCs w:val="24"/>
        </w:rPr>
        <w:t>單位：</w:t>
      </w:r>
      <w:r w:rsidRPr="003B6B9A">
        <w:rPr>
          <w:rFonts w:hint="eastAsia"/>
          <w:snapToGrid w:val="0"/>
          <w:kern w:val="2"/>
          <w:sz w:val="22"/>
          <w:szCs w:val="24"/>
        </w:rPr>
        <w:t>%</w:t>
      </w:r>
    </w:p>
    <w:tbl>
      <w:tblPr>
        <w:tblW w:w="5361" w:type="pct"/>
        <w:jc w:val="center"/>
        <w:tblInd w:w="454" w:type="dxa"/>
        <w:tblCellMar>
          <w:left w:w="28" w:type="dxa"/>
          <w:right w:w="28" w:type="dxa"/>
        </w:tblCellMar>
        <w:tblLook w:val="0000" w:firstRow="0" w:lastRow="0" w:firstColumn="0" w:lastColumn="0" w:noHBand="0" w:noVBand="0"/>
      </w:tblPr>
      <w:tblGrid>
        <w:gridCol w:w="1692"/>
        <w:gridCol w:w="929"/>
        <w:gridCol w:w="929"/>
        <w:gridCol w:w="1647"/>
        <w:gridCol w:w="929"/>
        <w:gridCol w:w="1169"/>
        <w:gridCol w:w="1883"/>
      </w:tblGrid>
      <w:tr w:rsidR="0056670D" w:rsidRPr="003B6B9A" w:rsidTr="001040FB">
        <w:trPr>
          <w:cantSplit/>
          <w:jc w:val="center"/>
        </w:trPr>
        <w:tc>
          <w:tcPr>
            <w:tcW w:w="922" w:type="pct"/>
            <w:vMerge w:val="restart"/>
            <w:tcBorders>
              <w:top w:val="single" w:sz="6" w:space="0" w:color="auto"/>
              <w:right w:val="single" w:sz="6" w:space="0" w:color="auto"/>
            </w:tcBorders>
            <w:vAlign w:val="center"/>
          </w:tcPr>
          <w:p w:rsidR="0056670D" w:rsidRPr="003B6B9A" w:rsidRDefault="0056670D" w:rsidP="001040FB">
            <w:pPr>
              <w:snapToGrid w:val="0"/>
              <w:spacing w:line="320" w:lineRule="exact"/>
              <w:jc w:val="center"/>
              <w:rPr>
                <w:rFonts w:eastAsia="標楷體"/>
                <w:snapToGrid w:val="0"/>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4078" w:type="pct"/>
            <w:gridSpan w:val="6"/>
            <w:tcBorders>
              <w:top w:val="single" w:sz="6" w:space="0" w:color="auto"/>
              <w:left w:val="single" w:sz="6" w:space="0" w:color="auto"/>
            </w:tcBorders>
          </w:tcPr>
          <w:p w:rsidR="0056670D" w:rsidRPr="003B6B9A" w:rsidRDefault="0056670D" w:rsidP="001040FB">
            <w:pPr>
              <w:snapToGrid w:val="0"/>
              <w:spacing w:line="320" w:lineRule="exact"/>
              <w:jc w:val="both"/>
              <w:rPr>
                <w:rFonts w:eastAsia="標楷體"/>
                <w:snapToGrid w:val="0"/>
              </w:rPr>
            </w:pPr>
            <w:r w:rsidRPr="003B6B9A">
              <w:rPr>
                <w:rFonts w:eastAsia="標楷體"/>
                <w:snapToGrid w:val="0"/>
              </w:rPr>
              <w:t>消費者物價指數</w:t>
            </w:r>
          </w:p>
        </w:tc>
      </w:tr>
      <w:tr w:rsidR="0056670D" w:rsidRPr="003B6B9A" w:rsidTr="001040FB">
        <w:trPr>
          <w:cantSplit/>
          <w:jc w:val="center"/>
        </w:trPr>
        <w:tc>
          <w:tcPr>
            <w:tcW w:w="922" w:type="pct"/>
            <w:vMerge/>
            <w:tcBorders>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506" w:type="pct"/>
            <w:vMerge w:val="restart"/>
            <w:tcBorders>
              <w:left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1403" w:type="pct"/>
            <w:gridSpan w:val="2"/>
            <w:tcBorders>
              <w:top w:val="single" w:sz="6" w:space="0" w:color="auto"/>
              <w:left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r w:rsidRPr="003B6B9A">
              <w:rPr>
                <w:rFonts w:eastAsia="標楷體"/>
                <w:snapToGrid w:val="0"/>
              </w:rPr>
              <w:t>商品</w:t>
            </w:r>
          </w:p>
        </w:tc>
        <w:tc>
          <w:tcPr>
            <w:tcW w:w="2169" w:type="pct"/>
            <w:gridSpan w:val="3"/>
            <w:tcBorders>
              <w:top w:val="single" w:sz="6" w:space="0" w:color="auto"/>
              <w:left w:val="single" w:sz="6" w:space="0" w:color="auto"/>
            </w:tcBorders>
          </w:tcPr>
          <w:p w:rsidR="0056670D" w:rsidRPr="003B6B9A" w:rsidRDefault="0056670D" w:rsidP="001040FB">
            <w:pPr>
              <w:snapToGrid w:val="0"/>
              <w:spacing w:line="320" w:lineRule="exact"/>
              <w:jc w:val="both"/>
              <w:rPr>
                <w:rFonts w:eastAsia="標楷體"/>
                <w:snapToGrid w:val="0"/>
              </w:rPr>
            </w:pPr>
            <w:r w:rsidRPr="003B6B9A">
              <w:rPr>
                <w:rFonts w:eastAsia="標楷體"/>
                <w:snapToGrid w:val="0"/>
              </w:rPr>
              <w:t>服務</w:t>
            </w:r>
          </w:p>
        </w:tc>
      </w:tr>
      <w:tr w:rsidR="0056670D" w:rsidRPr="003B6B9A" w:rsidTr="001040FB">
        <w:trPr>
          <w:cantSplit/>
          <w:jc w:val="center"/>
        </w:trPr>
        <w:tc>
          <w:tcPr>
            <w:tcW w:w="922" w:type="pct"/>
            <w:vMerge/>
            <w:tcBorders>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506" w:type="pct"/>
            <w:vMerge/>
            <w:tcBorders>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506" w:type="pct"/>
            <w:tcBorders>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897" w:type="pct"/>
            <w:tcBorders>
              <w:top w:val="single" w:sz="6" w:space="0" w:color="auto"/>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center"/>
              <w:rPr>
                <w:rFonts w:eastAsia="標楷體"/>
                <w:snapToGrid w:val="0"/>
              </w:rPr>
            </w:pPr>
            <w:r w:rsidRPr="003B6B9A">
              <w:rPr>
                <w:rFonts w:eastAsia="標楷體"/>
                <w:snapToGrid w:val="0"/>
              </w:rPr>
              <w:t>耐久性消費品</w:t>
            </w:r>
          </w:p>
        </w:tc>
        <w:tc>
          <w:tcPr>
            <w:tcW w:w="506" w:type="pct"/>
            <w:tcBorders>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637" w:type="pct"/>
            <w:tcBorders>
              <w:top w:val="single" w:sz="6" w:space="0" w:color="auto"/>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center"/>
              <w:rPr>
                <w:rFonts w:eastAsia="標楷體"/>
                <w:snapToGrid w:val="0"/>
              </w:rPr>
            </w:pPr>
            <w:r w:rsidRPr="003B6B9A">
              <w:rPr>
                <w:rFonts w:eastAsia="標楷體"/>
                <w:snapToGrid w:val="0"/>
              </w:rPr>
              <w:t>居住服務</w:t>
            </w:r>
          </w:p>
        </w:tc>
        <w:tc>
          <w:tcPr>
            <w:tcW w:w="1026" w:type="pct"/>
            <w:tcBorders>
              <w:top w:val="single" w:sz="6" w:space="0" w:color="auto"/>
              <w:left w:val="single" w:sz="6" w:space="0" w:color="auto"/>
              <w:bottom w:val="single" w:sz="6" w:space="0" w:color="auto"/>
            </w:tcBorders>
          </w:tcPr>
          <w:p w:rsidR="0056670D" w:rsidRPr="003B6B9A" w:rsidRDefault="0056670D" w:rsidP="001040FB">
            <w:pPr>
              <w:snapToGrid w:val="0"/>
              <w:spacing w:line="320" w:lineRule="exact"/>
              <w:jc w:val="center"/>
              <w:rPr>
                <w:rFonts w:eastAsia="標楷體"/>
                <w:snapToGrid w:val="0"/>
              </w:rPr>
            </w:pPr>
            <w:r w:rsidRPr="003B6B9A">
              <w:rPr>
                <w:rFonts w:eastAsia="標楷體"/>
                <w:snapToGrid w:val="0"/>
              </w:rPr>
              <w:t>交通</w:t>
            </w:r>
            <w:r w:rsidRPr="003B6B9A">
              <w:rPr>
                <w:rFonts w:eastAsia="標楷體" w:hint="eastAsia"/>
                <w:snapToGrid w:val="0"/>
              </w:rPr>
              <w:t>及通訊</w:t>
            </w:r>
            <w:r w:rsidRPr="003B6B9A">
              <w:rPr>
                <w:rFonts w:eastAsia="標楷體"/>
                <w:snapToGrid w:val="0"/>
              </w:rPr>
              <w:t>服務</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 xml:space="preserve">    99</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b/>
                <w:bCs/>
              </w:rPr>
              <w:t>0.96</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b/>
                <w:bCs/>
              </w:rPr>
              <w:t>1.78</w:t>
            </w:r>
          </w:p>
        </w:tc>
        <w:tc>
          <w:tcPr>
            <w:tcW w:w="897" w:type="pct"/>
            <w:vAlign w:val="center"/>
          </w:tcPr>
          <w:p w:rsidR="0056670D" w:rsidRPr="003B6B9A" w:rsidRDefault="0056670D" w:rsidP="001040FB">
            <w:pPr>
              <w:snapToGrid w:val="0"/>
              <w:spacing w:line="340" w:lineRule="exact"/>
              <w:ind w:rightChars="200" w:right="480"/>
              <w:jc w:val="right"/>
              <w:rPr>
                <w:rFonts w:eastAsia="標楷體"/>
                <w:b/>
                <w:bCs/>
                <w:snapToGrid w:val="0"/>
              </w:rPr>
            </w:pPr>
            <w:r w:rsidRPr="003B6B9A">
              <w:rPr>
                <w:rFonts w:eastAsia="標楷體"/>
                <w:b/>
                <w:bCs/>
                <w:snapToGrid w:val="0"/>
              </w:rPr>
              <w:t>-1.14</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b/>
              </w:rPr>
              <w:t>0.31</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b/>
                <w:bCs/>
              </w:rPr>
              <w:t>0.01</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b/>
                <w:bCs/>
              </w:rPr>
              <w:t>-0.56</w:t>
            </w:r>
          </w:p>
        </w:tc>
      </w:tr>
      <w:tr w:rsidR="0056670D" w:rsidRPr="003B6B9A" w:rsidTr="001040FB">
        <w:trPr>
          <w:trHeight w:val="370"/>
          <w:jc w:val="center"/>
        </w:trPr>
        <w:tc>
          <w:tcPr>
            <w:tcW w:w="922" w:type="pct"/>
            <w:tcBorders>
              <w:right w:val="single" w:sz="6" w:space="0" w:color="auto"/>
            </w:tcBorders>
            <w:vAlign w:val="center"/>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 xml:space="preserve">   100</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b/>
                <w:bCs/>
              </w:rPr>
              <w:t xml:space="preserve">1.42 </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b/>
                <w:bCs/>
              </w:rPr>
              <w:t>2.39</w:t>
            </w:r>
          </w:p>
        </w:tc>
        <w:tc>
          <w:tcPr>
            <w:tcW w:w="897" w:type="pct"/>
            <w:vAlign w:val="center"/>
          </w:tcPr>
          <w:p w:rsidR="0056670D" w:rsidRPr="003B6B9A" w:rsidRDefault="0056670D" w:rsidP="001040FB">
            <w:pPr>
              <w:snapToGrid w:val="0"/>
              <w:spacing w:line="340" w:lineRule="exact"/>
              <w:ind w:rightChars="200" w:right="480"/>
              <w:jc w:val="right"/>
              <w:rPr>
                <w:b/>
                <w:bCs/>
              </w:rPr>
            </w:pPr>
            <w:r w:rsidRPr="003B6B9A">
              <w:rPr>
                <w:b/>
                <w:bCs/>
              </w:rPr>
              <w:t>-0.35</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b/>
              </w:rPr>
              <w:t>0.64</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b/>
                <w:bCs/>
              </w:rPr>
              <w:t>0.39</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b/>
                <w:bCs/>
              </w:rPr>
              <w:t>-1.13</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 xml:space="preserve">   101</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b/>
                <w:bCs/>
              </w:rPr>
              <w:t>1.93</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b/>
                <w:bCs/>
              </w:rPr>
              <w:t>3.38</w:t>
            </w:r>
          </w:p>
        </w:tc>
        <w:tc>
          <w:tcPr>
            <w:tcW w:w="897" w:type="pct"/>
            <w:vAlign w:val="center"/>
          </w:tcPr>
          <w:p w:rsidR="0056670D" w:rsidRPr="003B6B9A" w:rsidRDefault="0056670D" w:rsidP="001040FB">
            <w:pPr>
              <w:snapToGrid w:val="0"/>
              <w:spacing w:line="340" w:lineRule="exact"/>
              <w:ind w:rightChars="200" w:right="480"/>
              <w:jc w:val="right"/>
              <w:rPr>
                <w:rFonts w:eastAsia="標楷體"/>
                <w:b/>
                <w:bCs/>
                <w:snapToGrid w:val="0"/>
              </w:rPr>
            </w:pPr>
            <w:r w:rsidRPr="003B6B9A">
              <w:rPr>
                <w:rFonts w:eastAsia="標楷體"/>
                <w:b/>
                <w:bCs/>
                <w:snapToGrid w:val="0"/>
              </w:rPr>
              <w:t>-0.30</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b/>
              </w:rPr>
              <w:t>0.75</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b/>
                <w:bCs/>
              </w:rPr>
              <w:t>0.55</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b/>
                <w:bCs/>
              </w:rPr>
              <w:t>-2.35</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102</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rPr>
            </w:pPr>
            <w:r w:rsidRPr="003B6B9A">
              <w:rPr>
                <w:rFonts w:eastAsia="標楷體" w:hint="eastAsia"/>
                <w:b/>
              </w:rPr>
              <w:t>0.79</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hint="eastAsia"/>
                <w:b/>
              </w:rPr>
              <w:t>0.78</w:t>
            </w:r>
          </w:p>
        </w:tc>
        <w:tc>
          <w:tcPr>
            <w:tcW w:w="897" w:type="pct"/>
            <w:vAlign w:val="center"/>
          </w:tcPr>
          <w:p w:rsidR="0056670D" w:rsidRPr="003B6B9A" w:rsidRDefault="0056670D" w:rsidP="001040FB">
            <w:pPr>
              <w:snapToGrid w:val="0"/>
              <w:spacing w:line="340" w:lineRule="exact"/>
              <w:ind w:rightChars="200" w:right="480"/>
              <w:jc w:val="right"/>
              <w:rPr>
                <w:rFonts w:eastAsia="標楷體"/>
                <w:b/>
                <w:snapToGrid w:val="0"/>
              </w:rPr>
            </w:pPr>
            <w:r w:rsidRPr="003B6B9A">
              <w:rPr>
                <w:rFonts w:eastAsia="標楷體" w:hint="eastAsia"/>
                <w:b/>
                <w:snapToGrid w:val="0"/>
              </w:rPr>
              <w:t>-1.84</w:t>
            </w:r>
          </w:p>
        </w:tc>
        <w:tc>
          <w:tcPr>
            <w:tcW w:w="506" w:type="pct"/>
            <w:vAlign w:val="center"/>
          </w:tcPr>
          <w:p w:rsidR="0056670D" w:rsidRPr="003B6B9A" w:rsidRDefault="0056670D" w:rsidP="001040FB">
            <w:pPr>
              <w:pStyle w:val="ab"/>
              <w:spacing w:line="360" w:lineRule="exact"/>
              <w:ind w:rightChars="50" w:right="120"/>
              <w:rPr>
                <w:b/>
              </w:rPr>
            </w:pPr>
            <w:r w:rsidRPr="003B6B9A">
              <w:rPr>
                <w:rFonts w:hint="eastAsia"/>
                <w:b/>
              </w:rPr>
              <w:t>0.</w:t>
            </w:r>
            <w:r w:rsidRPr="003B6B9A">
              <w:rPr>
                <w:rFonts w:eastAsia="標楷體" w:hint="eastAsia"/>
                <w:b/>
              </w:rPr>
              <w:t>73</w:t>
            </w:r>
          </w:p>
        </w:tc>
        <w:tc>
          <w:tcPr>
            <w:tcW w:w="637" w:type="pct"/>
          </w:tcPr>
          <w:p w:rsidR="0056670D" w:rsidRPr="003B6B9A" w:rsidRDefault="0056670D" w:rsidP="001040FB">
            <w:pPr>
              <w:snapToGrid w:val="0"/>
              <w:spacing w:line="340" w:lineRule="exact"/>
              <w:ind w:rightChars="84" w:right="202"/>
              <w:jc w:val="right"/>
              <w:rPr>
                <w:b/>
              </w:rPr>
            </w:pPr>
            <w:r w:rsidRPr="003B6B9A">
              <w:rPr>
                <w:rFonts w:hint="eastAsia"/>
                <w:b/>
              </w:rPr>
              <w:t>0.62</w:t>
            </w:r>
          </w:p>
        </w:tc>
        <w:tc>
          <w:tcPr>
            <w:tcW w:w="1026" w:type="pct"/>
            <w:vAlign w:val="center"/>
          </w:tcPr>
          <w:p w:rsidR="0056670D" w:rsidRPr="003B6B9A" w:rsidRDefault="0056670D" w:rsidP="001040FB">
            <w:pPr>
              <w:snapToGrid w:val="0"/>
              <w:spacing w:line="340" w:lineRule="exact"/>
              <w:ind w:rightChars="278" w:right="667"/>
              <w:jc w:val="right"/>
              <w:rPr>
                <w:b/>
              </w:rPr>
            </w:pPr>
            <w:r w:rsidRPr="003B6B9A">
              <w:rPr>
                <w:rFonts w:hint="eastAsia"/>
                <w:b/>
              </w:rPr>
              <w:t>-0.31</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rPr>
            </w:pPr>
            <w:r w:rsidRPr="003B6B9A">
              <w:rPr>
                <w:rFonts w:eastAsia="標楷體"/>
                <w:b/>
                <w:bCs/>
                <w:snapToGrid w:val="0"/>
              </w:rPr>
              <w:t>10</w:t>
            </w:r>
            <w:r w:rsidRPr="003B6B9A">
              <w:rPr>
                <w:rFonts w:eastAsia="標楷體" w:hint="eastAsia"/>
                <w:b/>
                <w:bCs/>
                <w:snapToGrid w:val="0"/>
              </w:rPr>
              <w:t>3</w:t>
            </w:r>
            <w:r w:rsidRPr="003B6B9A">
              <w:rPr>
                <w:rFonts w:eastAsia="標楷體"/>
                <w:b/>
                <w:bCs/>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hint="eastAsia"/>
                <w:b/>
                <w:bCs/>
              </w:rPr>
              <w:t>1.20</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rFonts w:hint="eastAsia"/>
                <w:b/>
                <w:bCs/>
              </w:rPr>
              <w:t>1.25</w:t>
            </w:r>
          </w:p>
        </w:tc>
        <w:tc>
          <w:tcPr>
            <w:tcW w:w="897" w:type="pct"/>
            <w:vAlign w:val="center"/>
          </w:tcPr>
          <w:p w:rsidR="0056670D" w:rsidRPr="003B6B9A" w:rsidRDefault="0056670D" w:rsidP="001040FB">
            <w:pPr>
              <w:snapToGrid w:val="0"/>
              <w:spacing w:line="340" w:lineRule="exact"/>
              <w:ind w:rightChars="200" w:right="480"/>
              <w:jc w:val="right"/>
              <w:rPr>
                <w:rFonts w:eastAsia="標楷體"/>
                <w:b/>
                <w:bCs/>
                <w:snapToGrid w:val="0"/>
              </w:rPr>
            </w:pPr>
            <w:r w:rsidRPr="003B6B9A">
              <w:rPr>
                <w:rFonts w:eastAsia="標楷體" w:hint="eastAsia"/>
                <w:b/>
                <w:bCs/>
                <w:snapToGrid w:val="0"/>
              </w:rPr>
              <w:t>-1.92</w:t>
            </w:r>
          </w:p>
        </w:tc>
        <w:tc>
          <w:tcPr>
            <w:tcW w:w="506" w:type="pct"/>
            <w:vAlign w:val="center"/>
          </w:tcPr>
          <w:p w:rsidR="0056670D" w:rsidRPr="003B6B9A" w:rsidRDefault="0056670D" w:rsidP="001040FB">
            <w:pPr>
              <w:pStyle w:val="ab"/>
              <w:spacing w:line="360" w:lineRule="exact"/>
              <w:ind w:rightChars="50" w:right="120"/>
              <w:rPr>
                <w:b/>
                <w:bCs/>
              </w:rPr>
            </w:pPr>
            <w:r w:rsidRPr="003B6B9A">
              <w:rPr>
                <w:rFonts w:hint="eastAsia"/>
                <w:b/>
                <w:bCs/>
              </w:rPr>
              <w:t>1.16</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rFonts w:hint="eastAsia"/>
                <w:b/>
                <w:bCs/>
              </w:rPr>
              <w:t>0.73</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rFonts w:hint="eastAsia"/>
                <w:b/>
                <w:bCs/>
              </w:rPr>
              <w:t>-0.15</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4</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1.66</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2.52</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-2.13</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1.03</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0.75</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-1.35</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5</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1.62</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2.19</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-1.39</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1.21</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0.75</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-1.18</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6</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1.64</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2.10</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-1.66</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1.29</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-0.96</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7</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1.76</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2.23</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-1.29</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1.42</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0.74</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0.73</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8</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2.07</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2.80</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-1.33</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1.54</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1.08</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9</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0.71</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-0.15</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-1.77</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1.39</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1.20</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10</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1.05</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0.52</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-1.96</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1.48</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1.17</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11</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0.85</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0.06</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-2.03</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1.47</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0.78</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1.24</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12</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0.60</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-0.61</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-1.73</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1.53</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0.67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1.37</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firstLineChars="10" w:firstLine="24"/>
              <w:jc w:val="right"/>
              <w:rPr>
                <w:rFonts w:eastAsia="標楷體"/>
              </w:rPr>
            </w:pPr>
            <w:r w:rsidRPr="003B6B9A">
              <w:rPr>
                <w:rFonts w:eastAsia="標楷體"/>
                <w:b/>
                <w:bCs/>
                <w:snapToGrid w:val="0"/>
              </w:rPr>
              <w:t>10</w:t>
            </w:r>
            <w:r w:rsidRPr="003B6B9A">
              <w:rPr>
                <w:rFonts w:eastAsia="標楷體" w:hint="eastAsia"/>
                <w:b/>
                <w:bCs/>
                <w:snapToGrid w:val="0"/>
              </w:rPr>
              <w:t>4</w:t>
            </w:r>
            <w:r w:rsidRPr="003B6B9A">
              <w:rPr>
                <w:rFonts w:eastAsia="標楷體"/>
                <w:b/>
                <w:bCs/>
              </w:rPr>
              <w:t>年</w:t>
            </w:r>
            <w:r w:rsidRPr="003B6B9A">
              <w:rPr>
                <w:rFonts w:eastAsia="標楷體" w:hint="eastAsia"/>
                <w:b/>
                <w:bCs/>
              </w:rPr>
              <w:t>1~4</w:t>
            </w:r>
            <w:r w:rsidRPr="003B6B9A">
              <w:rPr>
                <w:rFonts w:eastAsia="標楷體" w:hint="eastAsia"/>
                <w:b/>
                <w:bCs/>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3" w:right="127"/>
              <w:rPr>
                <w:rFonts w:eastAsia="標楷體"/>
                <w:b/>
              </w:rPr>
            </w:pPr>
            <w:r w:rsidRPr="003B6B9A">
              <w:rPr>
                <w:rFonts w:eastAsia="標楷體" w:hint="eastAsia"/>
                <w:b/>
              </w:rPr>
              <w:t>-0.64</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rFonts w:hint="eastAsia"/>
                <w:b/>
                <w:bCs/>
              </w:rPr>
              <w:t>-3.08</w:t>
            </w:r>
          </w:p>
        </w:tc>
        <w:tc>
          <w:tcPr>
            <w:tcW w:w="897" w:type="pct"/>
            <w:vAlign w:val="center"/>
          </w:tcPr>
          <w:p w:rsidR="0056670D" w:rsidRPr="003B6B9A" w:rsidRDefault="0056670D" w:rsidP="001040FB">
            <w:pPr>
              <w:snapToGrid w:val="0"/>
              <w:spacing w:line="340" w:lineRule="exact"/>
              <w:ind w:rightChars="200" w:right="480"/>
              <w:jc w:val="right"/>
              <w:rPr>
                <w:rFonts w:eastAsia="標楷體"/>
                <w:b/>
                <w:bCs/>
                <w:snapToGrid w:val="0"/>
              </w:rPr>
            </w:pPr>
            <w:r w:rsidRPr="003B6B9A">
              <w:rPr>
                <w:rFonts w:eastAsia="標楷體" w:hint="eastAsia"/>
                <w:b/>
                <w:bCs/>
                <w:snapToGrid w:val="0"/>
              </w:rPr>
              <w:t>-1.42</w:t>
            </w:r>
          </w:p>
        </w:tc>
        <w:tc>
          <w:tcPr>
            <w:tcW w:w="506" w:type="pct"/>
            <w:vAlign w:val="center"/>
          </w:tcPr>
          <w:p w:rsidR="0056670D" w:rsidRPr="003B6B9A" w:rsidRDefault="0056670D" w:rsidP="001040FB">
            <w:pPr>
              <w:pStyle w:val="ab"/>
              <w:spacing w:line="360" w:lineRule="exact"/>
              <w:ind w:rightChars="50" w:right="120"/>
              <w:rPr>
                <w:b/>
                <w:bCs/>
              </w:rPr>
            </w:pPr>
            <w:r w:rsidRPr="003B6B9A">
              <w:rPr>
                <w:rFonts w:hint="eastAsia"/>
                <w:b/>
                <w:bCs/>
              </w:rPr>
              <w:t>1.20</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rFonts w:hint="eastAsia"/>
                <w:b/>
                <w:bCs/>
              </w:rPr>
              <w:t>0.80</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rFonts w:hint="eastAsia"/>
                <w:b/>
                <w:bCs/>
              </w:rPr>
              <w:t>1.13</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rPr>
              <w:t>1</w:t>
            </w:r>
            <w:r w:rsidRPr="003B6B9A">
              <w:rPr>
                <w:rFonts w:eastAsia="標楷體"/>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3" w:right="127"/>
              <w:rPr>
                <w:rFonts w:eastAsia="標楷體"/>
              </w:rPr>
            </w:pPr>
            <w:r w:rsidRPr="003B6B9A">
              <w:rPr>
                <w:rFonts w:eastAsia="標楷體" w:hint="eastAsia"/>
              </w:rPr>
              <w:t>-0.94</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-2.64</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-1.54</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0.33</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0.60</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1.13</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2</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3" w:right="127"/>
              <w:rPr>
                <w:rFonts w:eastAsia="標楷體"/>
              </w:rPr>
            </w:pPr>
            <w:r w:rsidRPr="003B6B9A">
              <w:rPr>
                <w:rFonts w:eastAsia="標楷體" w:hint="eastAsia"/>
              </w:rPr>
              <w:t>-0.20</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-3.63</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-1.99</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2.36</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1.05</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1.64</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3</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3" w:right="127"/>
              <w:rPr>
                <w:rFonts w:eastAsia="標楷體"/>
              </w:rPr>
            </w:pPr>
            <w:r w:rsidRPr="003B6B9A">
              <w:rPr>
                <w:rFonts w:eastAsia="標楷體" w:hint="eastAsia"/>
              </w:rPr>
              <w:t>-0.61</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-2.97</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-1.36</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1.17</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0.95</w:t>
            </w:r>
          </w:p>
        </w:tc>
      </w:tr>
      <w:tr w:rsidR="0056670D" w:rsidRPr="003B6B9A" w:rsidTr="001040FB">
        <w:trPr>
          <w:trHeight w:val="370"/>
          <w:jc w:val="center"/>
        </w:trPr>
        <w:tc>
          <w:tcPr>
            <w:tcW w:w="922" w:type="pct"/>
            <w:tcBorders>
              <w:bottom w:val="single" w:sz="4" w:space="0" w:color="auto"/>
              <w:right w:val="single" w:sz="6" w:space="0" w:color="auto"/>
            </w:tcBorders>
          </w:tcPr>
          <w:p w:rsidR="0056670D" w:rsidRPr="003B6B9A" w:rsidRDefault="0056670D" w:rsidP="001040FB">
            <w:pPr>
              <w:wordWrap w:val="0"/>
              <w:spacing w:line="340" w:lineRule="exact"/>
              <w:ind w:right="284"/>
              <w:jc w:val="right"/>
              <w:rPr>
                <w:rFonts w:eastAsia="標楷體"/>
              </w:rPr>
            </w:pPr>
            <w:r w:rsidRPr="003B6B9A">
              <w:rPr>
                <w:rFonts w:eastAsia="標楷體" w:hint="eastAsia"/>
              </w:rPr>
              <w:t>4</w:t>
            </w:r>
            <w:r w:rsidRPr="003B6B9A">
              <w:rPr>
                <w:rFonts w:eastAsia="標楷體" w:hint="eastAsia"/>
              </w:rPr>
              <w:t>月</w:t>
            </w:r>
          </w:p>
        </w:tc>
        <w:tc>
          <w:tcPr>
            <w:tcW w:w="506" w:type="pct"/>
            <w:tcBorders>
              <w:left w:val="single" w:sz="6" w:space="0" w:color="auto"/>
              <w:bottom w:val="single" w:sz="4" w:space="0" w:color="auto"/>
            </w:tcBorders>
            <w:vAlign w:val="center"/>
          </w:tcPr>
          <w:p w:rsidR="0056670D" w:rsidRPr="003B6B9A" w:rsidRDefault="0056670D" w:rsidP="001040FB">
            <w:pPr>
              <w:pStyle w:val="ab"/>
              <w:spacing w:line="360" w:lineRule="exact"/>
              <w:ind w:rightChars="53" w:right="127"/>
              <w:rPr>
                <w:rFonts w:eastAsia="標楷體"/>
              </w:rPr>
            </w:pPr>
            <w:r w:rsidRPr="003B6B9A">
              <w:rPr>
                <w:rFonts w:eastAsia="標楷體" w:hint="eastAsia"/>
              </w:rPr>
              <w:t>-0.80</w:t>
            </w:r>
          </w:p>
        </w:tc>
        <w:tc>
          <w:tcPr>
            <w:tcW w:w="506" w:type="pct"/>
            <w:tcBorders>
              <w:bottom w:val="single" w:sz="4" w:space="0" w:color="auto"/>
            </w:tcBorders>
            <w:vAlign w:val="center"/>
          </w:tcPr>
          <w:p w:rsidR="0056670D" w:rsidRPr="003B6B9A" w:rsidRDefault="0056670D" w:rsidP="001040FB">
            <w:pPr>
              <w:snapToGrid w:val="0"/>
              <w:spacing w:line="340" w:lineRule="exact"/>
              <w:ind w:rightChars="50" w:right="120"/>
              <w:jc w:val="right"/>
            </w:pPr>
            <w:r w:rsidRPr="003B6B9A">
              <w:rPr>
                <w:rFonts w:hint="eastAsia"/>
              </w:rPr>
              <w:t>-3.12</w:t>
            </w:r>
          </w:p>
        </w:tc>
        <w:tc>
          <w:tcPr>
            <w:tcW w:w="897" w:type="pct"/>
            <w:tcBorders>
              <w:bottom w:val="single" w:sz="4" w:space="0" w:color="auto"/>
            </w:tcBorders>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-0.79</w:t>
            </w:r>
          </w:p>
        </w:tc>
        <w:tc>
          <w:tcPr>
            <w:tcW w:w="506" w:type="pct"/>
            <w:tcBorders>
              <w:bottom w:val="single" w:sz="4"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0.95</w:t>
            </w:r>
          </w:p>
        </w:tc>
        <w:tc>
          <w:tcPr>
            <w:tcW w:w="637" w:type="pct"/>
            <w:tcBorders>
              <w:bottom w:val="single" w:sz="4" w:space="0" w:color="auto"/>
            </w:tcBorders>
            <w:vAlign w:val="center"/>
          </w:tcPr>
          <w:p w:rsidR="0056670D" w:rsidRPr="003B6B9A" w:rsidRDefault="0056670D" w:rsidP="001040FB">
            <w:pPr>
              <w:snapToGrid w:val="0"/>
              <w:spacing w:line="340" w:lineRule="exact"/>
              <w:ind w:rightChars="84" w:right="202"/>
              <w:jc w:val="right"/>
            </w:pPr>
            <w:r w:rsidRPr="003B6B9A">
              <w:rPr>
                <w:rFonts w:hint="eastAsia"/>
              </w:rPr>
              <w:t>0.78</w:t>
            </w:r>
          </w:p>
        </w:tc>
        <w:tc>
          <w:tcPr>
            <w:tcW w:w="1026" w:type="pct"/>
            <w:tcBorders>
              <w:bottom w:val="single" w:sz="4" w:space="0" w:color="auto"/>
            </w:tcBorders>
            <w:vAlign w:val="center"/>
          </w:tcPr>
          <w:p w:rsidR="0056670D" w:rsidRPr="003B6B9A" w:rsidRDefault="0056670D" w:rsidP="001040FB">
            <w:pPr>
              <w:snapToGrid w:val="0"/>
              <w:spacing w:line="340" w:lineRule="exact"/>
              <w:ind w:rightChars="278" w:right="667"/>
              <w:jc w:val="right"/>
            </w:pPr>
            <w:r w:rsidRPr="003B6B9A">
              <w:rPr>
                <w:rFonts w:hint="eastAsia"/>
              </w:rPr>
              <w:t>0.78</w:t>
            </w:r>
          </w:p>
        </w:tc>
      </w:tr>
    </w:tbl>
    <w:p w:rsidR="0056670D" w:rsidRPr="003B6B9A" w:rsidRDefault="0056670D" w:rsidP="0056670D">
      <w:pPr>
        <w:pStyle w:val="af"/>
        <w:snapToGrid w:val="0"/>
        <w:spacing w:line="300" w:lineRule="auto"/>
        <w:ind w:leftChars="0" w:left="0" w:firstLineChars="0" w:firstLine="0"/>
        <w:jc w:val="left"/>
        <w:rPr>
          <w:snapToGrid w:val="0"/>
          <w:szCs w:val="22"/>
        </w:rPr>
      </w:pPr>
      <w:r w:rsidRPr="003B6B9A">
        <w:rPr>
          <w:snapToGrid w:val="0"/>
          <w:szCs w:val="22"/>
        </w:rPr>
        <w:t>資料來源：行政院主計總處。</w:t>
      </w:r>
    </w:p>
    <w:p w:rsidR="0056670D" w:rsidRPr="003B6B9A" w:rsidRDefault="00F75424" w:rsidP="0056670D">
      <w:pPr>
        <w:pStyle w:val="k3a"/>
        <w:tabs>
          <w:tab w:val="left" w:pos="540"/>
        </w:tabs>
        <w:spacing w:before="180" w:line="300" w:lineRule="auto"/>
        <w:ind w:leftChars="0" w:left="0" w:right="0" w:firstLineChars="0" w:firstLine="0"/>
        <w:rPr>
          <w:b/>
          <w:bCs/>
        </w:rPr>
      </w:pPr>
      <w:r w:rsidRPr="00B118E9">
        <w:rPr>
          <w:b/>
          <w:bCs/>
          <w:color w:val="FF0000"/>
        </w:rPr>
        <w:br w:type="page"/>
      </w:r>
      <w:r w:rsidR="0056670D" w:rsidRPr="003B6B9A">
        <w:rPr>
          <w:b/>
          <w:bCs/>
        </w:rPr>
        <w:t>３、</w:t>
      </w:r>
      <w:r w:rsidR="0056670D" w:rsidRPr="003B6B9A">
        <w:rPr>
          <w:b/>
          <w:bCs/>
        </w:rPr>
        <w:t>104</w:t>
      </w:r>
      <w:r w:rsidR="0056670D" w:rsidRPr="003B6B9A">
        <w:rPr>
          <w:b/>
          <w:bCs/>
        </w:rPr>
        <w:t>年</w:t>
      </w:r>
      <w:r w:rsidR="0056670D" w:rsidRPr="003B6B9A">
        <w:rPr>
          <w:b/>
          <w:bCs/>
        </w:rPr>
        <w:t>4</w:t>
      </w:r>
      <w:r w:rsidR="0056670D" w:rsidRPr="003B6B9A">
        <w:rPr>
          <w:b/>
          <w:bCs/>
        </w:rPr>
        <w:t>月美國西德州原油月均價每桶</w:t>
      </w:r>
      <w:r w:rsidR="0056670D" w:rsidRPr="003B6B9A">
        <w:rPr>
          <w:b/>
          <w:bCs/>
        </w:rPr>
        <w:t>54.44</w:t>
      </w:r>
      <w:r w:rsidR="0056670D" w:rsidRPr="003B6B9A">
        <w:rPr>
          <w:b/>
          <w:bCs/>
        </w:rPr>
        <w:t>美元</w:t>
      </w:r>
    </w:p>
    <w:p w:rsidR="0056670D" w:rsidRPr="003B6B9A" w:rsidRDefault="0056670D" w:rsidP="0056670D">
      <w:pPr>
        <w:pStyle w:val="k32"/>
        <w:topLinePunct/>
        <w:ind w:leftChars="118" w:left="283" w:rightChars="18" w:right="43" w:firstLineChars="202" w:firstLine="566"/>
      </w:pPr>
      <w:bookmarkStart w:id="123" w:name="_Toc196014079"/>
      <w:bookmarkStart w:id="124" w:name="_Toc196122088"/>
      <w:bookmarkStart w:id="125" w:name="_Toc196215348"/>
      <w:bookmarkStart w:id="126" w:name="_Toc196540374"/>
      <w:bookmarkStart w:id="127" w:name="_Toc198464389"/>
      <w:bookmarkStart w:id="128" w:name="_Toc198464553"/>
      <w:bookmarkStart w:id="129" w:name="_Toc201487150"/>
      <w:bookmarkStart w:id="130" w:name="_Toc201487791"/>
      <w:r w:rsidRPr="003B6B9A">
        <w:t>104</w:t>
      </w:r>
      <w:r w:rsidRPr="003B6B9A">
        <w:t>年</w:t>
      </w:r>
      <w:r w:rsidRPr="003B6B9A">
        <w:t>4</w:t>
      </w:r>
      <w:r w:rsidRPr="003B6B9A">
        <w:t>月美國西德州原油</w:t>
      </w:r>
      <w:r w:rsidRPr="003B6B9A">
        <w:t>(WTI)</w:t>
      </w:r>
      <w:r w:rsidRPr="003B6B9A">
        <w:t>現貨月均價為每桶</w:t>
      </w:r>
      <w:r w:rsidRPr="003B6B9A">
        <w:t>54.44</w:t>
      </w:r>
      <w:r w:rsidRPr="003B6B9A">
        <w:t>美元，較上月每桶</w:t>
      </w:r>
      <w:r w:rsidRPr="003B6B9A">
        <w:t>47.85</w:t>
      </w:r>
      <w:r w:rsidRPr="003B6B9A">
        <w:t>美元，上漲</w:t>
      </w:r>
      <w:r w:rsidRPr="003B6B9A">
        <w:t>13.77%</w:t>
      </w:r>
      <w:r w:rsidRPr="003B6B9A">
        <w:t>；北海布蘭特及杜拜價格亦呈上漲走勢。</w:t>
      </w:r>
    </w:p>
    <w:p w:rsidR="0056670D" w:rsidRPr="003B6B9A" w:rsidRDefault="0056670D" w:rsidP="0056670D">
      <w:pPr>
        <w:pStyle w:val="k32"/>
        <w:topLinePunct/>
        <w:ind w:leftChars="118" w:left="283" w:rightChars="18" w:right="43" w:firstLineChars="202" w:firstLine="566"/>
      </w:pPr>
      <w:r w:rsidRPr="003B6B9A">
        <w:t>美國能源資訊署</w:t>
      </w:r>
      <w:r w:rsidRPr="003B6B9A">
        <w:t>(EIA)2015</w:t>
      </w:r>
      <w:r w:rsidRPr="003B6B9A">
        <w:t>年</w:t>
      </w:r>
      <w:r w:rsidRPr="003B6B9A">
        <w:t>5</w:t>
      </w:r>
      <w:r w:rsidRPr="003B6B9A">
        <w:t>月預測未來</w:t>
      </w:r>
      <w:r w:rsidRPr="003B6B9A">
        <w:t>3</w:t>
      </w:r>
      <w:r w:rsidRPr="003B6B9A">
        <w:t>個月</w:t>
      </w:r>
      <w:r w:rsidRPr="003B6B9A">
        <w:t>(2015</w:t>
      </w:r>
      <w:r w:rsidRPr="003B6B9A">
        <w:t>年</w:t>
      </w:r>
      <w:r w:rsidRPr="003B6B9A">
        <w:t>5</w:t>
      </w:r>
      <w:r w:rsidRPr="003B6B9A">
        <w:t>月、</w:t>
      </w:r>
      <w:r w:rsidRPr="003B6B9A">
        <w:t>6</w:t>
      </w:r>
      <w:r w:rsidRPr="003B6B9A">
        <w:t>月、</w:t>
      </w:r>
      <w:r w:rsidRPr="003B6B9A">
        <w:rPr>
          <w:rFonts w:hint="eastAsia"/>
        </w:rPr>
        <w:t>7</w:t>
      </w:r>
      <w:r w:rsidRPr="003B6B9A">
        <w:t>月</w:t>
      </w:r>
      <w:r w:rsidRPr="003B6B9A">
        <w:t>)</w:t>
      </w:r>
      <w:r w:rsidRPr="003B6B9A">
        <w:t>的</w:t>
      </w:r>
      <w:r w:rsidRPr="003B6B9A">
        <w:t>WTI</w:t>
      </w:r>
      <w:r w:rsidRPr="003B6B9A">
        <w:t>原油平均價格分別為每桶</w:t>
      </w:r>
      <w:r w:rsidRPr="003B6B9A">
        <w:t>56.00</w:t>
      </w:r>
      <w:r w:rsidRPr="003B6B9A">
        <w:t>、</w:t>
      </w:r>
      <w:r w:rsidRPr="003B6B9A">
        <w:t>56.00</w:t>
      </w:r>
      <w:r w:rsidRPr="003B6B9A">
        <w:t>及</w:t>
      </w:r>
      <w:r w:rsidRPr="003B6B9A">
        <w:t>57.00</w:t>
      </w:r>
      <w:r w:rsidRPr="003B6B9A">
        <w:t>美元，</w:t>
      </w:r>
      <w:r w:rsidRPr="003B6B9A">
        <w:t>2015</w:t>
      </w:r>
      <w:r w:rsidRPr="003B6B9A">
        <w:t>年第</w:t>
      </w:r>
      <w:r w:rsidRPr="003B6B9A">
        <w:t>2</w:t>
      </w:r>
      <w:r w:rsidRPr="003B6B9A">
        <w:t>季平均價格為</w:t>
      </w:r>
      <w:r w:rsidRPr="003B6B9A">
        <w:t>55.48</w:t>
      </w:r>
      <w:r w:rsidRPr="003B6B9A">
        <w:t>美元，</w:t>
      </w:r>
      <w:r w:rsidRPr="003B6B9A">
        <w:t>2015</w:t>
      </w:r>
      <w:r w:rsidRPr="003B6B9A">
        <w:t>年平均價格為</w:t>
      </w:r>
      <w:r w:rsidRPr="003B6B9A">
        <w:t>54.30</w:t>
      </w:r>
      <w:r w:rsidRPr="003B6B9A">
        <w:t>美元。</w:t>
      </w:r>
    </w:p>
    <w:bookmarkEnd w:id="123"/>
    <w:bookmarkEnd w:id="124"/>
    <w:bookmarkEnd w:id="125"/>
    <w:bookmarkEnd w:id="126"/>
    <w:bookmarkEnd w:id="127"/>
    <w:bookmarkEnd w:id="128"/>
    <w:bookmarkEnd w:id="129"/>
    <w:bookmarkEnd w:id="130"/>
    <w:p w:rsidR="0056670D" w:rsidRPr="003B6B9A" w:rsidRDefault="0056670D" w:rsidP="0056670D">
      <w:pPr>
        <w:pStyle w:val="k32"/>
        <w:topLinePunct/>
        <w:ind w:leftChars="118" w:left="283" w:rightChars="18" w:right="43" w:firstLineChars="202" w:firstLine="566"/>
      </w:pPr>
    </w:p>
    <w:p w:rsidR="0056670D" w:rsidRPr="003B6B9A" w:rsidRDefault="0056670D" w:rsidP="0056670D">
      <w:pPr>
        <w:pStyle w:val="k3a"/>
        <w:spacing w:before="180" w:line="240" w:lineRule="atLeast"/>
        <w:ind w:leftChars="0" w:left="0" w:firstLineChars="0" w:firstLine="0"/>
        <w:jc w:val="center"/>
        <w:rPr>
          <w:b/>
          <w:snapToGrid w:val="0"/>
          <w:kern w:val="2"/>
          <w:szCs w:val="24"/>
        </w:rPr>
      </w:pPr>
      <w:r w:rsidRPr="003B6B9A">
        <w:rPr>
          <w:b/>
          <w:snapToGrid w:val="0"/>
          <w:kern w:val="2"/>
          <w:szCs w:val="24"/>
        </w:rPr>
        <w:t>表</w:t>
      </w:r>
      <w:r w:rsidRPr="003B6B9A">
        <w:rPr>
          <w:b/>
          <w:snapToGrid w:val="0"/>
          <w:kern w:val="2"/>
          <w:szCs w:val="24"/>
        </w:rPr>
        <w:t xml:space="preserve"> 2-7-3   </w:t>
      </w:r>
      <w:r w:rsidRPr="003B6B9A">
        <w:rPr>
          <w:b/>
          <w:snapToGrid w:val="0"/>
          <w:kern w:val="2"/>
          <w:szCs w:val="24"/>
        </w:rPr>
        <w:t>近年國際主要原油價格變動</w:t>
      </w:r>
    </w:p>
    <w:p w:rsidR="0056670D" w:rsidRPr="003B6B9A" w:rsidRDefault="0056670D" w:rsidP="0056670D">
      <w:pPr>
        <w:snapToGrid w:val="0"/>
        <w:spacing w:line="240" w:lineRule="atLeast"/>
        <w:jc w:val="center"/>
        <w:rPr>
          <w:rFonts w:eastAsia="標楷體"/>
          <w:sz w:val="18"/>
        </w:rPr>
      </w:pPr>
      <w:r w:rsidRPr="003B6B9A">
        <w:rPr>
          <w:noProof/>
        </w:rPr>
        <mc:AlternateContent>
          <mc:Choice Requires="wps">
            <w:drawing>
              <wp:anchor distT="0" distB="0" distL="180340" distR="114300" simplePos="0" relativeHeight="252128768" behindDoc="0" locked="0" layoutInCell="1" allowOverlap="1" wp14:anchorId="157E05C7" wp14:editId="1EB07365">
                <wp:simplePos x="0" y="0"/>
                <wp:positionH relativeFrom="column">
                  <wp:posOffset>3415665</wp:posOffset>
                </wp:positionH>
                <wp:positionV relativeFrom="page">
                  <wp:posOffset>5965825</wp:posOffset>
                </wp:positionV>
                <wp:extent cx="1981200" cy="1087755"/>
                <wp:effectExtent l="0" t="0" r="0" b="0"/>
                <wp:wrapNone/>
                <wp:docPr id="30"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1087755"/>
                        </a:xfrm>
                        <a:prstGeom prst="rect">
                          <a:avLst/>
                        </a:prstGeom>
                        <a:noFill/>
                        <a:ln>
                          <a:noFill/>
                        </a:ln>
                        <a:effectLst/>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C20D7B" w:rsidRPr="003A42E7" w:rsidRDefault="00C20D7B" w:rsidP="0056670D">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4</w:t>
                            </w:r>
                            <w:r w:rsidRPr="003A42E7">
                              <w:rPr>
                                <w:rFonts w:eastAsia="標楷體"/>
                                <w:b/>
                              </w:rPr>
                              <w:t>月油價</w:t>
                            </w:r>
                            <w:r w:rsidRPr="003A42E7">
                              <w:rPr>
                                <w:rFonts w:eastAsia="標楷體"/>
                                <w:b/>
                              </w:rPr>
                              <w:t>:</w:t>
                            </w:r>
                          </w:p>
                          <w:p w:rsidR="00C20D7B" w:rsidRDefault="00C20D7B" w:rsidP="0056670D">
                            <w:pPr>
                              <w:rPr>
                                <w:rFonts w:eastAsia="標楷體"/>
                                <w:b/>
                              </w:rPr>
                            </w:pPr>
                            <w:r w:rsidRPr="003A42E7">
                              <w:rPr>
                                <w:rFonts w:eastAsia="標楷體"/>
                                <w:b/>
                              </w:rPr>
                              <w:t xml:space="preserve">WTI         </w:t>
                            </w:r>
                            <w:r>
                              <w:rPr>
                                <w:rFonts w:eastAsia="標楷體" w:hint="eastAsia"/>
                                <w:b/>
                              </w:rPr>
                              <w:t>54.44</w:t>
                            </w:r>
                          </w:p>
                          <w:p w:rsidR="00C20D7B" w:rsidRPr="003A42E7" w:rsidRDefault="00C20D7B" w:rsidP="0056670D">
                            <w:pPr>
                              <w:rPr>
                                <w:rFonts w:eastAsia="標楷體"/>
                                <w:b/>
                              </w:rPr>
                            </w:pPr>
                            <w:r w:rsidRPr="003A42E7">
                              <w:rPr>
                                <w:rFonts w:eastAsia="標楷體"/>
                                <w:b/>
                              </w:rPr>
                              <w:t>杜拜</w:t>
                            </w:r>
                            <w:r w:rsidRPr="003A42E7">
                              <w:rPr>
                                <w:rFonts w:eastAsia="標楷體"/>
                                <w:b/>
                              </w:rPr>
                              <w:t xml:space="preserve">         </w:t>
                            </w:r>
                            <w:r>
                              <w:rPr>
                                <w:rFonts w:eastAsia="標楷體" w:hint="eastAsia"/>
                                <w:b/>
                              </w:rPr>
                              <w:t>58.80</w:t>
                            </w:r>
                          </w:p>
                          <w:p w:rsidR="00C20D7B" w:rsidRPr="003A42E7" w:rsidRDefault="00C20D7B" w:rsidP="0056670D">
                            <w:pPr>
                              <w:rPr>
                                <w:rFonts w:eastAsia="標楷體"/>
                                <w:b/>
                              </w:rPr>
                            </w:pPr>
                            <w:r w:rsidRPr="003A42E7">
                              <w:rPr>
                                <w:rFonts w:eastAsia="標楷體"/>
                                <w:b/>
                              </w:rPr>
                              <w:t>北海布蘭特</w:t>
                            </w:r>
                            <w:r w:rsidRPr="003A42E7">
                              <w:rPr>
                                <w:rFonts w:eastAsia="標楷體"/>
                                <w:b/>
                              </w:rPr>
                              <w:t xml:space="preserve">   </w:t>
                            </w:r>
                            <w:r>
                              <w:rPr>
                                <w:rFonts w:eastAsia="標楷體" w:hint="eastAsia"/>
                                <w:b/>
                              </w:rPr>
                              <w:t>60.59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7" o:spid="_x0000_s1035" type="#_x0000_t202" style="position:absolute;left:0;text-align:left;margin-left:268.95pt;margin-top:469.75pt;width:156pt;height:85.65pt;z-index:252128768;visibility:visible;mso-wrap-style:square;mso-width-percent:0;mso-height-percent:0;mso-wrap-distance-left:14.2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" filled="f" fillcolor="#ff9" stroked="f">
                <v:textbox>
                  <w:txbxContent>
                    <w:p w:rsidR="00C20D7B" w:rsidRPr="003A42E7" w:rsidRDefault="00C20D7B" w:rsidP="0056670D">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4</w:t>
                      </w:r>
                      <w:r w:rsidRPr="003A42E7">
                        <w:rPr>
                          <w:rFonts w:eastAsia="標楷體"/>
                          <w:b/>
                        </w:rPr>
                        <w:t>月油價</w:t>
                      </w:r>
                      <w:r w:rsidRPr="003A42E7">
                        <w:rPr>
                          <w:rFonts w:eastAsia="標楷體"/>
                          <w:b/>
                        </w:rPr>
                        <w:t>:</w:t>
                      </w:r>
                    </w:p>
                    <w:p w:rsidR="00C20D7B" w:rsidRDefault="00C20D7B" w:rsidP="0056670D">
                      <w:pPr>
                        <w:rPr>
                          <w:rFonts w:eastAsia="標楷體"/>
                          <w:b/>
                        </w:rPr>
                      </w:pPr>
                      <w:r w:rsidRPr="003A42E7">
                        <w:rPr>
                          <w:rFonts w:eastAsia="標楷體"/>
                          <w:b/>
                        </w:rPr>
                        <w:t xml:space="preserve">WTI         </w:t>
                      </w:r>
                      <w:r>
                        <w:rPr>
                          <w:rFonts w:eastAsia="標楷體" w:hint="eastAsia"/>
                          <w:b/>
                        </w:rPr>
                        <w:t>54.44</w:t>
                      </w:r>
                    </w:p>
                    <w:p w:rsidR="00C20D7B" w:rsidRPr="003A42E7" w:rsidRDefault="00C20D7B" w:rsidP="0056670D">
                      <w:pPr>
                        <w:rPr>
                          <w:rFonts w:eastAsia="標楷體"/>
                          <w:b/>
                        </w:rPr>
                      </w:pPr>
                      <w:r w:rsidRPr="003A42E7">
                        <w:rPr>
                          <w:rFonts w:eastAsia="標楷體"/>
                          <w:b/>
                        </w:rPr>
                        <w:t>杜拜</w:t>
                      </w:r>
                      <w:r w:rsidRPr="003A42E7">
                        <w:rPr>
                          <w:rFonts w:eastAsia="標楷體"/>
                          <w:b/>
                        </w:rPr>
                        <w:t xml:space="preserve">         </w:t>
                      </w:r>
                      <w:r>
                        <w:rPr>
                          <w:rFonts w:eastAsia="標楷體" w:hint="eastAsia"/>
                          <w:b/>
                        </w:rPr>
                        <w:t>58.80</w:t>
                      </w:r>
                    </w:p>
                    <w:p w:rsidR="00C20D7B" w:rsidRPr="003A42E7" w:rsidRDefault="00C20D7B" w:rsidP="0056670D">
                      <w:pPr>
                        <w:rPr>
                          <w:rFonts w:eastAsia="標楷體"/>
                          <w:b/>
                        </w:rPr>
                      </w:pPr>
                      <w:r w:rsidRPr="003A42E7">
                        <w:rPr>
                          <w:rFonts w:eastAsia="標楷體"/>
                          <w:b/>
                        </w:rPr>
                        <w:t>北海布蘭特</w:t>
                      </w:r>
                      <w:r w:rsidRPr="003A42E7">
                        <w:rPr>
                          <w:rFonts w:eastAsia="標楷體"/>
                          <w:b/>
                        </w:rPr>
                        <w:t xml:space="preserve">   </w:t>
                      </w:r>
                      <w:r>
                        <w:rPr>
                          <w:rFonts w:eastAsia="標楷體" w:hint="eastAsia"/>
                          <w:b/>
                        </w:rPr>
                        <w:t>60.59</w:t>
                      </w:r>
                    </w:p>
                  </w:txbxContent>
                </v:textbox>
                <w10:wrap anchory="page"/>
              </v:shape>
            </w:pict>
          </mc:Fallback>
        </mc:AlternateContent>
      </w:r>
      <w:r w:rsidRPr="003B6B9A">
        <w:rPr>
          <w:rFonts w:eastAsia="標楷體"/>
          <w:noProof/>
          <w:sz w:val="18"/>
        </w:rPr>
        <w:drawing>
          <wp:inline distT="0" distB="0" distL="0" distR="0" wp14:anchorId="7247A3D5" wp14:editId="416520C8">
            <wp:extent cx="5400040" cy="3281563"/>
            <wp:effectExtent l="0" t="0" r="0" b="0"/>
            <wp:docPr id="12" name="物件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56670D" w:rsidRPr="003B6B9A" w:rsidRDefault="0056670D" w:rsidP="0056670D">
      <w:pPr>
        <w:pStyle w:val="k3a"/>
        <w:tabs>
          <w:tab w:val="left" w:pos="540"/>
        </w:tabs>
        <w:spacing w:before="180" w:line="300" w:lineRule="auto"/>
        <w:ind w:leftChars="0" w:left="0" w:right="0" w:firstLineChars="0" w:firstLine="0"/>
        <w:rPr>
          <w:sz w:val="22"/>
          <w:szCs w:val="22"/>
        </w:rPr>
      </w:pPr>
      <w:r w:rsidRPr="003B6B9A">
        <w:rPr>
          <w:sz w:val="22"/>
          <w:szCs w:val="22"/>
        </w:rPr>
        <w:t>資料來源：經濟部能源局。</w:t>
      </w:r>
    </w:p>
    <w:p w:rsidR="0056670D" w:rsidRPr="003B6B9A" w:rsidRDefault="0056670D" w:rsidP="0056670D">
      <w:pPr>
        <w:widowControl/>
        <w:rPr>
          <w:rFonts w:eastAsia="標楷體"/>
          <w:b/>
          <w:bCs/>
          <w:kern w:val="0"/>
          <w:sz w:val="28"/>
          <w:szCs w:val="20"/>
        </w:rPr>
      </w:pPr>
      <w:r w:rsidRPr="003B6B9A">
        <w:rPr>
          <w:b/>
          <w:bCs/>
        </w:rPr>
        <w:br w:type="page"/>
      </w:r>
    </w:p>
    <w:p w:rsidR="0056670D" w:rsidRPr="003B6B9A" w:rsidRDefault="0056670D" w:rsidP="0056670D">
      <w:pPr>
        <w:pStyle w:val="k3a"/>
        <w:tabs>
          <w:tab w:val="left" w:pos="540"/>
        </w:tabs>
        <w:spacing w:before="180" w:line="300" w:lineRule="auto"/>
        <w:ind w:leftChars="0" w:left="0" w:right="0" w:firstLineChars="0" w:firstLine="0"/>
        <w:rPr>
          <w:b/>
          <w:bCs/>
        </w:rPr>
      </w:pPr>
      <w:r w:rsidRPr="003B6B9A">
        <w:rPr>
          <w:b/>
          <w:bCs/>
        </w:rPr>
        <w:t>４、</w:t>
      </w:r>
      <w:r w:rsidRPr="003B6B9A">
        <w:rPr>
          <w:b/>
          <w:bCs/>
        </w:rPr>
        <w:t>104</w:t>
      </w:r>
      <w:r w:rsidRPr="003B6B9A">
        <w:rPr>
          <w:b/>
          <w:bCs/>
        </w:rPr>
        <w:t>年</w:t>
      </w:r>
      <w:r w:rsidRPr="003B6B9A">
        <w:rPr>
          <w:b/>
          <w:bCs/>
        </w:rPr>
        <w:t>4</w:t>
      </w:r>
      <w:r w:rsidRPr="003B6B9A">
        <w:rPr>
          <w:b/>
          <w:bCs/>
        </w:rPr>
        <w:t>月</w:t>
      </w:r>
      <w:r w:rsidRPr="003B6B9A">
        <w:rPr>
          <w:rFonts w:hint="eastAsia"/>
          <w:b/>
          <w:bCs/>
        </w:rPr>
        <w:t>除黃豆外，</w:t>
      </w:r>
      <w:r w:rsidRPr="003B6B9A">
        <w:rPr>
          <w:b/>
          <w:bCs/>
        </w:rPr>
        <w:t>小麥及玉米期貨價格</w:t>
      </w:r>
      <w:r w:rsidRPr="003B6B9A">
        <w:rPr>
          <w:rFonts w:hint="eastAsia"/>
          <w:b/>
          <w:bCs/>
        </w:rPr>
        <w:t>均</w:t>
      </w:r>
      <w:r w:rsidRPr="003B6B9A">
        <w:rPr>
          <w:b/>
          <w:bCs/>
        </w:rPr>
        <w:t>較上月下跌</w:t>
      </w:r>
    </w:p>
    <w:p w:rsidR="0056670D" w:rsidRPr="003B6B9A" w:rsidRDefault="0056670D" w:rsidP="0056670D">
      <w:pPr>
        <w:autoSpaceDE w:val="0"/>
        <w:autoSpaceDN w:val="0"/>
        <w:snapToGrid w:val="0"/>
        <w:spacing w:beforeLines="50" w:before="180" w:line="300" w:lineRule="auto"/>
        <w:ind w:rightChars="18" w:right="43" w:firstLineChars="202" w:firstLine="566"/>
        <w:rPr>
          <w:rFonts w:eastAsia="標楷體"/>
          <w:sz w:val="28"/>
        </w:rPr>
      </w:pPr>
      <w:r w:rsidRPr="003B6B9A">
        <w:rPr>
          <w:rFonts w:eastAsia="標楷體"/>
          <w:sz w:val="28"/>
        </w:rPr>
        <w:t>根據行政院主計總處公布之國際大宗物資期貨價格</w:t>
      </w:r>
      <w:r w:rsidRPr="003B6B9A">
        <w:rPr>
          <w:rFonts w:eastAsia="標楷體"/>
          <w:sz w:val="28"/>
        </w:rPr>
        <w:t>(</w:t>
      </w:r>
      <w:r w:rsidRPr="003B6B9A">
        <w:rPr>
          <w:rFonts w:eastAsia="標楷體"/>
          <w:sz w:val="28"/>
        </w:rPr>
        <w:t>芝加哥穀物價格</w:t>
      </w:r>
      <w:r w:rsidRPr="003B6B9A">
        <w:rPr>
          <w:rFonts w:eastAsia="標楷體"/>
          <w:sz w:val="28"/>
        </w:rPr>
        <w:t>)</w:t>
      </w:r>
      <w:r w:rsidRPr="003B6B9A">
        <w:rPr>
          <w:rFonts w:eastAsia="標楷體"/>
          <w:sz w:val="28"/>
        </w:rPr>
        <w:t>顯示：</w:t>
      </w:r>
    </w:p>
    <w:p w:rsidR="0056670D" w:rsidRPr="003B6B9A" w:rsidRDefault="0056670D" w:rsidP="0056670D">
      <w:pPr>
        <w:snapToGrid w:val="0"/>
        <w:spacing w:before="50" w:line="300" w:lineRule="auto"/>
        <w:ind w:left="283" w:rightChars="18" w:right="43" w:hangingChars="101" w:hanging="283"/>
        <w:jc w:val="both"/>
        <w:rPr>
          <w:rFonts w:eastAsia="標楷體"/>
          <w:sz w:val="28"/>
        </w:rPr>
      </w:pPr>
      <w:r w:rsidRPr="003B6B9A">
        <w:rPr>
          <w:rFonts w:eastAsia="標楷體"/>
          <w:sz w:val="28"/>
        </w:rPr>
        <w:t>－黃豆價格</w:t>
      </w:r>
      <w:r w:rsidRPr="003B6B9A">
        <w:rPr>
          <w:rFonts w:eastAsia="標楷體"/>
          <w:sz w:val="28"/>
        </w:rPr>
        <w:t>101</w:t>
      </w:r>
      <w:r w:rsidRPr="003B6B9A">
        <w:rPr>
          <w:rFonts w:eastAsia="標楷體"/>
          <w:sz w:val="28"/>
        </w:rPr>
        <w:t>年</w:t>
      </w:r>
      <w:r w:rsidRPr="003B6B9A">
        <w:rPr>
          <w:rFonts w:eastAsia="標楷體"/>
          <w:sz w:val="28"/>
        </w:rPr>
        <w:t>8</w:t>
      </w:r>
      <w:r w:rsidRPr="003B6B9A">
        <w:rPr>
          <w:rFonts w:eastAsia="標楷體"/>
          <w:sz w:val="28"/>
        </w:rPr>
        <w:t>月達到歷史新高點每英斗</w:t>
      </w:r>
      <w:r w:rsidRPr="003B6B9A">
        <w:rPr>
          <w:rFonts w:eastAsia="標楷體"/>
          <w:sz w:val="28"/>
        </w:rPr>
        <w:t>17.65</w:t>
      </w:r>
      <w:r w:rsidRPr="003B6B9A">
        <w:rPr>
          <w:rFonts w:eastAsia="標楷體"/>
          <w:sz w:val="28"/>
        </w:rPr>
        <w:t>美元。</w:t>
      </w:r>
      <w:r w:rsidRPr="003B6B9A">
        <w:rPr>
          <w:rFonts w:eastAsia="標楷體"/>
          <w:sz w:val="28"/>
        </w:rPr>
        <w:t>104</w:t>
      </w:r>
      <w:r w:rsidRPr="003B6B9A">
        <w:rPr>
          <w:rFonts w:eastAsia="標楷體"/>
          <w:sz w:val="28"/>
        </w:rPr>
        <w:t>年</w:t>
      </w:r>
      <w:r w:rsidRPr="003B6B9A">
        <w:rPr>
          <w:rFonts w:eastAsia="標楷體"/>
          <w:sz w:val="28"/>
        </w:rPr>
        <w:t>4</w:t>
      </w:r>
      <w:r w:rsidRPr="003B6B9A">
        <w:rPr>
          <w:rFonts w:eastAsia="標楷體"/>
          <w:sz w:val="28"/>
        </w:rPr>
        <w:t>月為</w:t>
      </w:r>
      <w:r w:rsidRPr="003B6B9A">
        <w:rPr>
          <w:rFonts w:eastAsia="標楷體"/>
          <w:sz w:val="28"/>
        </w:rPr>
        <w:t>9.79</w:t>
      </w:r>
      <w:r w:rsidRPr="003B6B9A">
        <w:rPr>
          <w:rFonts w:eastAsia="標楷體"/>
          <w:sz w:val="28"/>
        </w:rPr>
        <w:t>美元，較上月上漲</w:t>
      </w:r>
      <w:r w:rsidRPr="003B6B9A">
        <w:rPr>
          <w:rFonts w:eastAsia="標楷體"/>
          <w:sz w:val="28"/>
        </w:rPr>
        <w:t>0.62%</w:t>
      </w:r>
      <w:r w:rsidRPr="003B6B9A">
        <w:rPr>
          <w:rFonts w:eastAsia="標楷體"/>
          <w:sz w:val="28"/>
        </w:rPr>
        <w:t>，較上年同月下跌</w:t>
      </w:r>
      <w:r w:rsidRPr="003B6B9A">
        <w:rPr>
          <w:rFonts w:eastAsia="標楷體"/>
          <w:sz w:val="28"/>
        </w:rPr>
        <w:t>36.1%</w:t>
      </w:r>
      <w:r w:rsidRPr="003B6B9A">
        <w:rPr>
          <w:rFonts w:eastAsia="標楷體"/>
          <w:sz w:val="28"/>
        </w:rPr>
        <w:t>。</w:t>
      </w:r>
    </w:p>
    <w:p w:rsidR="0056670D" w:rsidRPr="003B6B9A" w:rsidRDefault="0056670D" w:rsidP="0056670D">
      <w:pPr>
        <w:snapToGrid w:val="0"/>
        <w:spacing w:before="50" w:line="300" w:lineRule="auto"/>
        <w:ind w:left="283" w:rightChars="18" w:right="43" w:hangingChars="101" w:hanging="283"/>
        <w:jc w:val="both"/>
        <w:rPr>
          <w:rFonts w:eastAsia="標楷體"/>
          <w:sz w:val="28"/>
        </w:rPr>
      </w:pPr>
      <w:r w:rsidRPr="003B6B9A">
        <w:rPr>
          <w:rFonts w:eastAsia="標楷體"/>
          <w:sz w:val="28"/>
        </w:rPr>
        <w:t>－小麥價格在</w:t>
      </w:r>
      <w:r w:rsidRPr="003B6B9A">
        <w:rPr>
          <w:rFonts w:eastAsia="標楷體"/>
          <w:sz w:val="28"/>
        </w:rPr>
        <w:t>97</w:t>
      </w:r>
      <w:r w:rsidRPr="003B6B9A">
        <w:rPr>
          <w:rFonts w:eastAsia="標楷體"/>
          <w:sz w:val="28"/>
        </w:rPr>
        <w:t>年</w:t>
      </w:r>
      <w:r w:rsidRPr="003B6B9A">
        <w:rPr>
          <w:rFonts w:eastAsia="標楷體"/>
          <w:sz w:val="28"/>
        </w:rPr>
        <w:t>2</w:t>
      </w:r>
      <w:r w:rsidRPr="003B6B9A">
        <w:rPr>
          <w:rFonts w:eastAsia="標楷體"/>
          <w:sz w:val="28"/>
        </w:rPr>
        <w:t>月達到最高點每英斗</w:t>
      </w:r>
      <w:r w:rsidRPr="003B6B9A">
        <w:rPr>
          <w:rFonts w:eastAsia="標楷體"/>
          <w:sz w:val="28"/>
        </w:rPr>
        <w:t>10.73</w:t>
      </w:r>
      <w:r w:rsidRPr="003B6B9A">
        <w:rPr>
          <w:rFonts w:eastAsia="標楷體"/>
          <w:sz w:val="28"/>
        </w:rPr>
        <w:t>美元。</w:t>
      </w:r>
      <w:r w:rsidRPr="003B6B9A">
        <w:rPr>
          <w:rFonts w:eastAsia="標楷體"/>
          <w:sz w:val="28"/>
        </w:rPr>
        <w:t>104</w:t>
      </w:r>
      <w:r w:rsidRPr="003B6B9A">
        <w:rPr>
          <w:rFonts w:eastAsia="標楷體"/>
          <w:sz w:val="28"/>
        </w:rPr>
        <w:t>年</w:t>
      </w:r>
      <w:r w:rsidRPr="003B6B9A">
        <w:rPr>
          <w:rFonts w:eastAsia="標楷體"/>
          <w:sz w:val="28"/>
        </w:rPr>
        <w:t>4</w:t>
      </w:r>
      <w:r w:rsidRPr="003B6B9A">
        <w:rPr>
          <w:rFonts w:eastAsia="標楷體"/>
          <w:sz w:val="28"/>
        </w:rPr>
        <w:t>月為</w:t>
      </w:r>
      <w:r w:rsidRPr="003B6B9A">
        <w:rPr>
          <w:rFonts w:eastAsia="標楷體"/>
          <w:sz w:val="28"/>
        </w:rPr>
        <w:t>4.67</w:t>
      </w:r>
      <w:r w:rsidRPr="003B6B9A">
        <w:rPr>
          <w:rFonts w:eastAsia="標楷體"/>
          <w:sz w:val="28"/>
        </w:rPr>
        <w:t>美元，較上月下跌</w:t>
      </w:r>
      <w:r w:rsidRPr="003B6B9A">
        <w:rPr>
          <w:rFonts w:eastAsia="標楷體"/>
          <w:sz w:val="28"/>
        </w:rPr>
        <w:t>8.79%</w:t>
      </w:r>
      <w:r w:rsidRPr="003B6B9A">
        <w:rPr>
          <w:rFonts w:eastAsia="標楷體"/>
          <w:sz w:val="28"/>
        </w:rPr>
        <w:t>，較上年同月下跌</w:t>
      </w:r>
      <w:r w:rsidRPr="003B6B9A">
        <w:rPr>
          <w:rFonts w:eastAsia="標楷體"/>
          <w:sz w:val="28"/>
        </w:rPr>
        <w:t>34.5%</w:t>
      </w:r>
      <w:r w:rsidRPr="003B6B9A">
        <w:rPr>
          <w:rFonts w:eastAsia="標楷體"/>
          <w:sz w:val="28"/>
        </w:rPr>
        <w:t>。</w:t>
      </w:r>
    </w:p>
    <w:p w:rsidR="0056670D" w:rsidRPr="003B6B9A" w:rsidRDefault="0056670D" w:rsidP="0056670D">
      <w:pPr>
        <w:snapToGrid w:val="0"/>
        <w:spacing w:before="50" w:line="300" w:lineRule="auto"/>
        <w:ind w:left="283" w:rightChars="18" w:right="43" w:hangingChars="101" w:hanging="283"/>
        <w:jc w:val="both"/>
        <w:rPr>
          <w:rFonts w:eastAsia="標楷體"/>
          <w:sz w:val="28"/>
        </w:rPr>
      </w:pPr>
      <w:r w:rsidRPr="003B6B9A">
        <w:rPr>
          <w:rFonts w:eastAsia="標楷體"/>
          <w:sz w:val="28"/>
        </w:rPr>
        <w:t>－玉米價格在</w:t>
      </w:r>
      <w:r w:rsidRPr="003B6B9A">
        <w:rPr>
          <w:rFonts w:eastAsia="標楷體"/>
          <w:sz w:val="28"/>
        </w:rPr>
        <w:t>101</w:t>
      </w:r>
      <w:r w:rsidRPr="003B6B9A">
        <w:rPr>
          <w:rFonts w:eastAsia="標楷體"/>
          <w:sz w:val="28"/>
        </w:rPr>
        <w:t>年</w:t>
      </w:r>
      <w:r w:rsidRPr="003B6B9A">
        <w:rPr>
          <w:rFonts w:eastAsia="標楷體"/>
          <w:sz w:val="28"/>
        </w:rPr>
        <w:t>7</w:t>
      </w:r>
      <w:r w:rsidRPr="003B6B9A">
        <w:rPr>
          <w:rFonts w:eastAsia="標楷體"/>
          <w:sz w:val="28"/>
        </w:rPr>
        <w:t>月達到歷史新高點每英斗</w:t>
      </w:r>
      <w:r w:rsidRPr="003B6B9A">
        <w:rPr>
          <w:rFonts w:eastAsia="標楷體"/>
          <w:sz w:val="28"/>
        </w:rPr>
        <w:t>8.07</w:t>
      </w:r>
      <w:r w:rsidRPr="003B6B9A">
        <w:rPr>
          <w:rFonts w:eastAsia="標楷體"/>
          <w:sz w:val="28"/>
        </w:rPr>
        <w:t>美元。</w:t>
      </w:r>
      <w:r w:rsidRPr="003B6B9A">
        <w:rPr>
          <w:rFonts w:eastAsia="標楷體"/>
          <w:sz w:val="28"/>
        </w:rPr>
        <w:t>104</w:t>
      </w:r>
      <w:r w:rsidRPr="003B6B9A">
        <w:rPr>
          <w:rFonts w:eastAsia="標楷體"/>
          <w:sz w:val="28"/>
        </w:rPr>
        <w:t>年</w:t>
      </w:r>
      <w:r w:rsidRPr="003B6B9A">
        <w:rPr>
          <w:rFonts w:eastAsia="標楷體"/>
          <w:sz w:val="28"/>
        </w:rPr>
        <w:t>4</w:t>
      </w:r>
      <w:r w:rsidRPr="003B6B9A">
        <w:rPr>
          <w:rFonts w:eastAsia="標楷體"/>
          <w:sz w:val="28"/>
        </w:rPr>
        <w:t>月為</w:t>
      </w:r>
      <w:r w:rsidRPr="003B6B9A">
        <w:rPr>
          <w:rFonts w:eastAsia="標楷體"/>
          <w:sz w:val="28"/>
        </w:rPr>
        <w:t>3.63</w:t>
      </w:r>
      <w:r w:rsidRPr="003B6B9A">
        <w:rPr>
          <w:rFonts w:eastAsia="標楷體"/>
          <w:sz w:val="28"/>
        </w:rPr>
        <w:t>美元，較上月下跌</w:t>
      </w:r>
      <w:r w:rsidRPr="003B6B9A">
        <w:rPr>
          <w:rFonts w:eastAsia="標楷體"/>
          <w:sz w:val="28"/>
        </w:rPr>
        <w:t>3.46%</w:t>
      </w:r>
      <w:r w:rsidRPr="003B6B9A">
        <w:rPr>
          <w:rFonts w:eastAsia="標楷體"/>
          <w:sz w:val="28"/>
        </w:rPr>
        <w:t>，較上年同月下跌</w:t>
      </w:r>
      <w:r w:rsidRPr="003B6B9A">
        <w:rPr>
          <w:rFonts w:eastAsia="標楷體"/>
          <w:sz w:val="28"/>
        </w:rPr>
        <w:t>29.4%</w:t>
      </w:r>
      <w:r w:rsidRPr="003B6B9A">
        <w:rPr>
          <w:rFonts w:eastAsia="標楷體"/>
          <w:sz w:val="28"/>
        </w:rPr>
        <w:t>。</w:t>
      </w:r>
    </w:p>
    <w:p w:rsidR="0056670D" w:rsidRPr="003B6B9A" w:rsidRDefault="0056670D" w:rsidP="0056670D">
      <w:pPr>
        <w:snapToGrid w:val="0"/>
        <w:spacing w:before="50" w:line="300" w:lineRule="auto"/>
        <w:ind w:left="283" w:rightChars="18" w:right="43" w:hangingChars="101" w:hanging="283"/>
        <w:jc w:val="both"/>
        <w:rPr>
          <w:rFonts w:eastAsia="標楷體"/>
          <w:sz w:val="28"/>
        </w:rPr>
      </w:pPr>
    </w:p>
    <w:p w:rsidR="0056670D" w:rsidRPr="003B6B9A" w:rsidRDefault="0056670D" w:rsidP="0056670D">
      <w:pPr>
        <w:snapToGrid w:val="0"/>
        <w:spacing w:before="240" w:line="300" w:lineRule="auto"/>
        <w:ind w:rightChars="-59" w:right="-142"/>
        <w:jc w:val="center"/>
        <w:rPr>
          <w:rFonts w:eastAsia="標楷體"/>
          <w:b/>
          <w:bCs/>
          <w:sz w:val="28"/>
        </w:rPr>
      </w:pPr>
      <w:r w:rsidRPr="003B6B9A">
        <w:rPr>
          <w:noProof/>
        </w:rPr>
        <w:drawing>
          <wp:anchor distT="0" distB="0" distL="114300" distR="114300" simplePos="0" relativeHeight="252130816" behindDoc="0" locked="0" layoutInCell="1" allowOverlap="1" wp14:anchorId="5FA782FA" wp14:editId="3858A75C">
            <wp:simplePos x="0" y="0"/>
            <wp:positionH relativeFrom="column">
              <wp:posOffset>-118110</wp:posOffset>
            </wp:positionH>
            <wp:positionV relativeFrom="paragraph">
              <wp:posOffset>563245</wp:posOffset>
            </wp:positionV>
            <wp:extent cx="6162675" cy="3524250"/>
            <wp:effectExtent l="0" t="0" r="9525" b="0"/>
            <wp:wrapSquare wrapText="bothSides"/>
            <wp:docPr id="14" name="圖表 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r w:rsidRPr="003B6B9A">
        <w:rPr>
          <w:rFonts w:eastAsia="標楷體"/>
          <w:b/>
          <w:bCs/>
          <w:sz w:val="28"/>
        </w:rPr>
        <w:t>表</w:t>
      </w:r>
      <w:r w:rsidRPr="003B6B9A">
        <w:rPr>
          <w:rFonts w:eastAsia="標楷體"/>
          <w:b/>
          <w:bCs/>
          <w:sz w:val="28"/>
        </w:rPr>
        <w:t xml:space="preserve"> 2-7-4   </w:t>
      </w:r>
      <w:r w:rsidRPr="003B6B9A">
        <w:rPr>
          <w:rFonts w:eastAsia="標楷體"/>
          <w:b/>
          <w:bCs/>
          <w:sz w:val="28"/>
        </w:rPr>
        <w:t>近年國際主要大宗物資價格變動</w:t>
      </w:r>
    </w:p>
    <w:p w:rsidR="0056670D" w:rsidRPr="003B6B9A" w:rsidRDefault="0056670D" w:rsidP="0056670D">
      <w:pPr>
        <w:snapToGrid w:val="0"/>
        <w:spacing w:before="120" w:line="300" w:lineRule="auto"/>
        <w:ind w:rightChars="-59" w:right="-142"/>
        <w:rPr>
          <w:rFonts w:eastAsia="標楷體"/>
          <w:sz w:val="22"/>
          <w:szCs w:val="22"/>
        </w:rPr>
      </w:pPr>
    </w:p>
    <w:p w:rsidR="00F75424" w:rsidRPr="00B118E9" w:rsidRDefault="00F75424" w:rsidP="00F75424">
      <w:pPr>
        <w:snapToGrid w:val="0"/>
        <w:spacing w:before="120" w:line="300" w:lineRule="auto"/>
        <w:ind w:rightChars="-59" w:right="-142"/>
        <w:rPr>
          <w:rFonts w:eastAsia="標楷體"/>
          <w:color w:val="FF0000"/>
        </w:rPr>
      </w:pPr>
      <w:r w:rsidRPr="00B118E9">
        <w:rPr>
          <w:rFonts w:eastAsia="標楷體"/>
          <w:color w:val="FF0000"/>
          <w:sz w:val="22"/>
          <w:szCs w:val="22"/>
        </w:rPr>
        <w:br w:type="page"/>
      </w:r>
    </w:p>
    <w:p w:rsidR="00DD297D" w:rsidRPr="00B118E9" w:rsidRDefault="00DD297D" w:rsidP="00DD297D">
      <w:pPr>
        <w:pStyle w:val="t-3"/>
        <w:snapToGrid w:val="0"/>
        <w:spacing w:beforeLines="50" w:before="180" w:line="300" w:lineRule="auto"/>
        <w:ind w:right="-60"/>
      </w:pPr>
      <w:bookmarkStart w:id="131" w:name="_Toc401923801"/>
      <w:bookmarkStart w:id="132" w:name="_Toc402171718"/>
      <w:bookmarkStart w:id="133" w:name="_Toc420680043"/>
      <w:bookmarkStart w:id="134" w:name="_Toc187823739"/>
      <w:bookmarkStart w:id="135" w:name="_Toc187823740"/>
      <w:bookmarkStart w:id="136" w:name="_Toc201487793"/>
      <w:bookmarkStart w:id="137" w:name="_Toc230064845"/>
      <w:bookmarkStart w:id="138" w:name="_Toc279048484"/>
      <w:bookmarkStart w:id="139" w:name="_Toc337122137"/>
      <w:bookmarkStart w:id="140" w:name="_Toc349916589"/>
      <w:bookmarkEnd w:id="116"/>
      <w:bookmarkEnd w:id="117"/>
      <w:bookmarkEnd w:id="118"/>
      <w:bookmarkEnd w:id="119"/>
      <w:bookmarkEnd w:id="120"/>
      <w:bookmarkEnd w:id="121"/>
      <w:r w:rsidRPr="00B118E9">
        <w:t>（八）金融</w:t>
      </w:r>
      <w:bookmarkEnd w:id="131"/>
      <w:bookmarkEnd w:id="132"/>
      <w:bookmarkEnd w:id="133"/>
    </w:p>
    <w:p w:rsidR="007A7306" w:rsidRPr="003B6B9A" w:rsidRDefault="007A7306" w:rsidP="007A7306">
      <w:pPr>
        <w:pStyle w:val="t-4"/>
        <w:tabs>
          <w:tab w:val="clear" w:pos="540"/>
          <w:tab w:val="left" w:pos="709"/>
        </w:tabs>
        <w:snapToGrid w:val="0"/>
        <w:spacing w:beforeLines="50" w:before="180" w:afterLines="0" w:after="0" w:line="300" w:lineRule="auto"/>
        <w:ind w:leftChars="0" w:left="566" w:rightChars="-61" w:right="-146" w:hangingChars="214" w:hanging="566"/>
        <w:jc w:val="both"/>
        <w:rPr>
          <w:color w:val="auto"/>
          <w:spacing w:val="-8"/>
        </w:rPr>
      </w:pPr>
      <w:bookmarkStart w:id="141" w:name="_（九）就業"/>
      <w:bookmarkEnd w:id="141"/>
      <w:r w:rsidRPr="003B6B9A">
        <w:rPr>
          <w:color w:val="auto"/>
          <w:spacing w:val="-8"/>
        </w:rPr>
        <w:t>１、</w:t>
      </w:r>
      <w:r w:rsidRPr="003B6B9A">
        <w:rPr>
          <w:color w:val="auto"/>
          <w:spacing w:val="-8"/>
        </w:rPr>
        <w:t>10</w:t>
      </w:r>
      <w:r w:rsidRPr="003B6B9A">
        <w:rPr>
          <w:rFonts w:hint="eastAsia"/>
          <w:color w:val="auto"/>
          <w:spacing w:val="-8"/>
        </w:rPr>
        <w:t>4</w:t>
      </w:r>
      <w:r w:rsidRPr="003B6B9A">
        <w:rPr>
          <w:color w:val="auto"/>
          <w:spacing w:val="-8"/>
        </w:rPr>
        <w:t>年</w:t>
      </w:r>
      <w:r w:rsidRPr="003B6B9A">
        <w:rPr>
          <w:rFonts w:hint="eastAsia"/>
          <w:color w:val="auto"/>
          <w:spacing w:val="-8"/>
        </w:rPr>
        <w:t>4</w:t>
      </w:r>
      <w:r w:rsidRPr="003B6B9A">
        <w:rPr>
          <w:color w:val="auto"/>
          <w:spacing w:val="-8"/>
        </w:rPr>
        <w:t>月</w:t>
      </w:r>
      <w:r w:rsidRPr="003B6B9A">
        <w:rPr>
          <w:color w:val="auto"/>
          <w:spacing w:val="-8"/>
        </w:rPr>
        <w:t>M1</w:t>
      </w:r>
      <w:r w:rsidRPr="003B6B9A">
        <w:rPr>
          <w:rFonts w:hint="eastAsia"/>
          <w:color w:val="auto"/>
          <w:spacing w:val="-8"/>
        </w:rPr>
        <w:t>B</w:t>
      </w:r>
      <w:r w:rsidRPr="003B6B9A">
        <w:rPr>
          <w:rFonts w:hint="eastAsia"/>
          <w:color w:val="auto"/>
          <w:spacing w:val="-8"/>
        </w:rPr>
        <w:t>及</w:t>
      </w:r>
      <w:r w:rsidRPr="003B6B9A">
        <w:rPr>
          <w:rFonts w:hint="eastAsia"/>
          <w:color w:val="auto"/>
          <w:spacing w:val="-8"/>
        </w:rPr>
        <w:t>M2</w:t>
      </w:r>
      <w:r w:rsidRPr="003B6B9A">
        <w:rPr>
          <w:rFonts w:hint="eastAsia"/>
          <w:color w:val="auto"/>
          <w:spacing w:val="-8"/>
        </w:rPr>
        <w:t>年增率均低於上月</w:t>
      </w:r>
      <w:r w:rsidRPr="003B6B9A">
        <w:rPr>
          <w:noProof/>
          <w:color w:val="auto"/>
          <w:spacing w:val="-8"/>
        </w:rPr>
        <w:drawing>
          <wp:anchor distT="0" distB="0" distL="114300" distR="114300" simplePos="0" relativeHeight="252132864" behindDoc="0" locked="0" layoutInCell="1" allowOverlap="1" wp14:anchorId="3C193589" wp14:editId="2E279CB1">
            <wp:simplePos x="0" y="0"/>
            <wp:positionH relativeFrom="column">
              <wp:posOffset>2767965</wp:posOffset>
            </wp:positionH>
            <wp:positionV relativeFrom="paragraph">
              <wp:posOffset>171450</wp:posOffset>
            </wp:positionV>
            <wp:extent cx="3497580" cy="2514600"/>
            <wp:effectExtent l="0" t="0" r="0" b="0"/>
            <wp:wrapSquare wrapText="bothSides"/>
            <wp:docPr id="23" name="圖表 2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p>
    <w:p w:rsidR="007A7306" w:rsidRPr="003B6B9A" w:rsidRDefault="007A7306" w:rsidP="007A7306">
      <w:pPr>
        <w:pStyle w:val="k32"/>
        <w:topLinePunct/>
        <w:spacing w:beforeLines="0" w:before="0"/>
        <w:ind w:leftChars="118" w:left="283" w:rightChars="10" w:right="24" w:firstLineChars="202" w:firstLine="566"/>
      </w:pPr>
      <w:r w:rsidRPr="003B6B9A">
        <w:t>10</w:t>
      </w:r>
      <w:r w:rsidRPr="003B6B9A">
        <w:rPr>
          <w:rFonts w:hint="eastAsia"/>
        </w:rPr>
        <w:t>4</w:t>
      </w:r>
      <w:r w:rsidRPr="003B6B9A">
        <w:t>年</w:t>
      </w:r>
      <w:r w:rsidRPr="003B6B9A">
        <w:rPr>
          <w:rFonts w:hint="eastAsia"/>
        </w:rPr>
        <w:t>4</w:t>
      </w:r>
      <w:r w:rsidRPr="003B6B9A">
        <w:t>月</w:t>
      </w:r>
      <w:r w:rsidRPr="003B6B9A">
        <w:t>M1A</w:t>
      </w:r>
      <w:r w:rsidRPr="003B6B9A">
        <w:t>、</w:t>
      </w:r>
      <w:r w:rsidRPr="003B6B9A">
        <w:t>M1B</w:t>
      </w:r>
      <w:r w:rsidRPr="003B6B9A">
        <w:t>及</w:t>
      </w:r>
      <w:r w:rsidRPr="003B6B9A">
        <w:t>M2</w:t>
      </w:r>
      <w:r w:rsidRPr="003B6B9A">
        <w:t>年增</w:t>
      </w:r>
      <w:r w:rsidRPr="003B6B9A">
        <w:rPr>
          <w:spacing w:val="-8"/>
        </w:rPr>
        <w:t>率分別為</w:t>
      </w:r>
      <w:r w:rsidRPr="003B6B9A">
        <w:rPr>
          <w:rFonts w:hint="eastAsia"/>
          <w:spacing w:val="-8"/>
        </w:rPr>
        <w:t>5.97</w:t>
      </w:r>
      <w:r w:rsidRPr="003B6B9A">
        <w:rPr>
          <w:spacing w:val="-8"/>
        </w:rPr>
        <w:t>%</w:t>
      </w:r>
      <w:r w:rsidRPr="003B6B9A">
        <w:rPr>
          <w:spacing w:val="-8"/>
        </w:rPr>
        <w:t>、</w:t>
      </w:r>
      <w:r w:rsidRPr="003B6B9A">
        <w:rPr>
          <w:rFonts w:hint="eastAsia"/>
          <w:spacing w:val="-8"/>
        </w:rPr>
        <w:t>5.85</w:t>
      </w:r>
      <w:r w:rsidRPr="003B6B9A">
        <w:rPr>
          <w:spacing w:val="-8"/>
        </w:rPr>
        <w:t>%</w:t>
      </w:r>
      <w:r w:rsidRPr="003B6B9A">
        <w:rPr>
          <w:spacing w:val="-8"/>
        </w:rPr>
        <w:t>及</w:t>
      </w:r>
      <w:r w:rsidRPr="003B6B9A">
        <w:rPr>
          <w:rFonts w:hint="eastAsia"/>
          <w:spacing w:val="-8"/>
        </w:rPr>
        <w:t>6.53</w:t>
      </w:r>
      <w:r w:rsidRPr="003B6B9A">
        <w:rPr>
          <w:spacing w:val="-8"/>
        </w:rPr>
        <w:t>%</w:t>
      </w:r>
      <w:r w:rsidRPr="003B6B9A">
        <w:rPr>
          <w:spacing w:val="-8"/>
        </w:rPr>
        <w:t>。</w:t>
      </w:r>
      <w:r w:rsidRPr="003B6B9A">
        <w:t>M1B</w:t>
      </w:r>
      <w:r w:rsidRPr="003B6B9A">
        <w:rPr>
          <w:rFonts w:hint="eastAsia"/>
        </w:rPr>
        <w:t>及</w:t>
      </w:r>
      <w:r w:rsidRPr="003B6B9A">
        <w:rPr>
          <w:rFonts w:hint="eastAsia"/>
        </w:rPr>
        <w:t>M2</w:t>
      </w:r>
      <w:r w:rsidRPr="003B6B9A">
        <w:t>年增率下降</w:t>
      </w:r>
      <w:r w:rsidRPr="003B6B9A">
        <w:rPr>
          <w:rFonts w:hint="eastAsia"/>
        </w:rPr>
        <w:t>，</w:t>
      </w:r>
      <w:r w:rsidRPr="003B6B9A">
        <w:t>主要</w:t>
      </w:r>
      <w:r w:rsidRPr="003B6B9A">
        <w:rPr>
          <w:rFonts w:hint="eastAsia"/>
        </w:rPr>
        <w:t>因銀行放款與投資成長減緩所致</w:t>
      </w:r>
      <w:r w:rsidRPr="003B6B9A">
        <w:t>。</w:t>
      </w:r>
    </w:p>
    <w:p w:rsidR="007A7306" w:rsidRPr="003B6B9A" w:rsidRDefault="007A7306" w:rsidP="007A7306">
      <w:pPr>
        <w:pStyle w:val="k32"/>
        <w:topLinePunct/>
        <w:spacing w:beforeLines="0" w:before="0"/>
        <w:ind w:leftChars="118" w:left="283" w:rightChars="10" w:right="24" w:firstLineChars="202" w:firstLine="566"/>
      </w:pPr>
    </w:p>
    <w:p w:rsidR="007A7306" w:rsidRPr="003B6B9A" w:rsidRDefault="007A7306" w:rsidP="007A7306">
      <w:pPr>
        <w:pStyle w:val="k32"/>
        <w:topLinePunct/>
        <w:spacing w:beforeLines="0" w:before="0"/>
        <w:ind w:leftChars="118" w:left="283" w:rightChars="10" w:right="24" w:firstLineChars="202" w:firstLine="566"/>
      </w:pPr>
    </w:p>
    <w:p w:rsidR="007A7306" w:rsidRPr="003B6B9A" w:rsidRDefault="007A7306" w:rsidP="007A7306">
      <w:pPr>
        <w:pStyle w:val="k32"/>
        <w:topLinePunct/>
        <w:spacing w:beforeLines="0" w:before="0"/>
        <w:ind w:leftChars="118" w:left="283" w:rightChars="10" w:right="24" w:firstLineChars="202" w:firstLine="566"/>
      </w:pPr>
    </w:p>
    <w:p w:rsidR="007A7306" w:rsidRPr="003B6B9A" w:rsidRDefault="007A7306" w:rsidP="007A7306">
      <w:pPr>
        <w:snapToGrid w:val="0"/>
        <w:spacing w:line="300" w:lineRule="auto"/>
        <w:jc w:val="center"/>
        <w:rPr>
          <w:rFonts w:eastAsia="標楷體"/>
          <w:b/>
          <w:bCs/>
          <w:sz w:val="28"/>
        </w:rPr>
      </w:pPr>
      <w:r w:rsidRPr="003B6B9A">
        <w:rPr>
          <w:rFonts w:eastAsia="標楷體"/>
          <w:b/>
          <w:bCs/>
          <w:sz w:val="28"/>
        </w:rPr>
        <w:t>表</w:t>
      </w:r>
      <w:r w:rsidRPr="003B6B9A">
        <w:rPr>
          <w:rFonts w:eastAsia="標楷體"/>
          <w:b/>
          <w:bCs/>
          <w:sz w:val="28"/>
        </w:rPr>
        <w:t xml:space="preserve"> 2-8-1  </w:t>
      </w:r>
      <w:r w:rsidRPr="003B6B9A">
        <w:rPr>
          <w:rFonts w:eastAsia="標楷體"/>
          <w:b/>
          <w:bCs/>
          <w:sz w:val="28"/>
        </w:rPr>
        <w:t>金融指標</w:t>
      </w:r>
    </w:p>
    <w:tbl>
      <w:tblPr>
        <w:tblW w:w="8763" w:type="dxa"/>
        <w:jc w:val="center"/>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38"/>
        <w:gridCol w:w="1360"/>
        <w:gridCol w:w="1513"/>
        <w:gridCol w:w="1500"/>
        <w:gridCol w:w="1416"/>
        <w:gridCol w:w="1336"/>
      </w:tblGrid>
      <w:tr w:rsidR="007A7306" w:rsidRPr="003B6B9A" w:rsidTr="001040FB">
        <w:trPr>
          <w:trHeight w:val="621"/>
          <w:jc w:val="center"/>
        </w:trPr>
        <w:tc>
          <w:tcPr>
            <w:tcW w:w="1638" w:type="dxa"/>
            <w:tcBorders>
              <w:left w:val="nil"/>
              <w:bottom w:val="single" w:sz="4" w:space="0" w:color="auto"/>
            </w:tcBorders>
            <w:vAlign w:val="center"/>
          </w:tcPr>
          <w:p w:rsidR="007A7306" w:rsidRPr="003B6B9A" w:rsidRDefault="007A7306"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240" w:lineRule="atLeast"/>
              <w:ind w:right="-6"/>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360" w:type="dxa"/>
            <w:tcBorders>
              <w:left w:val="nil"/>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貨幣供給</w:t>
            </w:r>
            <w:r w:rsidRPr="003B6B9A">
              <w:rPr>
                <w:rFonts w:eastAsia="標楷體"/>
                <w:spacing w:val="-20"/>
              </w:rPr>
              <w:t>M2</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hint="eastAsia"/>
                <w:spacing w:val="-20"/>
              </w:rPr>
              <w:t>%</w:t>
            </w:r>
            <w:r w:rsidRPr="003B6B9A">
              <w:rPr>
                <w:rFonts w:eastAsia="標楷體"/>
                <w:spacing w:val="-20"/>
              </w:rPr>
              <w:t>)</w:t>
            </w:r>
          </w:p>
        </w:tc>
        <w:tc>
          <w:tcPr>
            <w:tcW w:w="1513" w:type="dxa"/>
            <w:tcBorders>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貨幣供給</w:t>
            </w:r>
            <w:r w:rsidRPr="003B6B9A">
              <w:rPr>
                <w:rFonts w:eastAsia="標楷體"/>
                <w:spacing w:val="-20"/>
              </w:rPr>
              <w:t>M1A</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hint="eastAsia"/>
                <w:spacing w:val="-20"/>
              </w:rPr>
              <w:t>%</w:t>
            </w:r>
            <w:r w:rsidRPr="003B6B9A">
              <w:rPr>
                <w:rFonts w:eastAsia="標楷體"/>
                <w:spacing w:val="-20"/>
              </w:rPr>
              <w:t>)</w:t>
            </w:r>
          </w:p>
        </w:tc>
        <w:tc>
          <w:tcPr>
            <w:tcW w:w="1500" w:type="dxa"/>
            <w:tcBorders>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貨幣供給</w:t>
            </w:r>
            <w:r w:rsidRPr="003B6B9A">
              <w:rPr>
                <w:rFonts w:eastAsia="標楷體"/>
                <w:spacing w:val="-20"/>
              </w:rPr>
              <w:t>M1B</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hint="eastAsia"/>
                <w:spacing w:val="-20"/>
              </w:rPr>
              <w:t>%</w:t>
            </w:r>
            <w:r w:rsidRPr="003B6B9A">
              <w:rPr>
                <w:rFonts w:eastAsia="標楷體"/>
                <w:spacing w:val="-20"/>
              </w:rPr>
              <w:t>)</w:t>
            </w:r>
          </w:p>
        </w:tc>
        <w:tc>
          <w:tcPr>
            <w:tcW w:w="1416" w:type="dxa"/>
            <w:tcBorders>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新臺幣兌美元</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平均匯率</w:t>
            </w:r>
          </w:p>
        </w:tc>
        <w:tc>
          <w:tcPr>
            <w:tcW w:w="1336" w:type="dxa"/>
            <w:tcBorders>
              <w:bottom w:val="single" w:sz="4" w:space="0" w:color="auto"/>
              <w:right w:val="nil"/>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金融業隔夜</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拆款利率</w:t>
            </w:r>
            <w:r w:rsidRPr="003B6B9A">
              <w:rPr>
                <w:rFonts w:eastAsia="標楷體"/>
                <w:spacing w:val="-20"/>
              </w:rPr>
              <w:t>(</w:t>
            </w:r>
            <w:r w:rsidRPr="003B6B9A">
              <w:rPr>
                <w:rFonts w:eastAsia="標楷體" w:hint="eastAsia"/>
                <w:spacing w:val="-20"/>
              </w:rPr>
              <w:t>%</w:t>
            </w:r>
            <w:r w:rsidRPr="003B6B9A">
              <w:rPr>
                <w:rFonts w:eastAsia="標楷體"/>
                <w:spacing w:val="-20"/>
              </w:rPr>
              <w:t>)</w:t>
            </w:r>
          </w:p>
        </w:tc>
      </w:tr>
      <w:tr w:rsidR="007A7306" w:rsidRPr="003B6B9A" w:rsidTr="001040FB">
        <w:trPr>
          <w:trHeight w:val="80"/>
          <w:jc w:val="center"/>
        </w:trPr>
        <w:tc>
          <w:tcPr>
            <w:tcW w:w="1638" w:type="dxa"/>
            <w:tcBorders>
              <w:top w:val="nil"/>
              <w:left w:val="nil"/>
              <w:bottom w:val="nil"/>
              <w:right w:val="single" w:sz="4" w:space="0" w:color="auto"/>
            </w:tcBorders>
            <w:vAlign w:val="center"/>
          </w:tcPr>
          <w:p w:rsidR="007A7306" w:rsidRPr="003B6B9A" w:rsidRDefault="007A7306" w:rsidP="001040FB">
            <w:pPr>
              <w:snapToGrid w:val="0"/>
              <w:spacing w:line="340" w:lineRule="atLeast"/>
              <w:jc w:val="both"/>
              <w:rPr>
                <w:rFonts w:eastAsia="標楷體"/>
                <w:bCs/>
              </w:rPr>
            </w:pPr>
            <w:r w:rsidRPr="003B6B9A">
              <w:rPr>
                <w:rFonts w:eastAsia="標楷體"/>
                <w:b/>
                <w:bCs/>
              </w:rPr>
              <w:t xml:space="preserve">   99</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snapToGrid w:val="0"/>
              <w:spacing w:line="340" w:lineRule="atLeast"/>
              <w:ind w:rightChars="174" w:right="418"/>
              <w:jc w:val="right"/>
              <w:rPr>
                <w:rFonts w:eastAsia="標楷體"/>
                <w:b/>
                <w:bCs/>
              </w:rPr>
            </w:pPr>
            <w:r w:rsidRPr="003B6B9A">
              <w:rPr>
                <w:rFonts w:eastAsia="標楷體"/>
                <w:b/>
                <w:bCs/>
              </w:rPr>
              <w:t>4.53</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標楷體"/>
                <w:b/>
                <w:bCs/>
              </w:rPr>
            </w:pPr>
            <w:r w:rsidRPr="003B6B9A">
              <w:rPr>
                <w:rFonts w:eastAsia="標楷體"/>
                <w:b/>
                <w:bCs/>
              </w:rPr>
              <w:t>14.71</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rFonts w:eastAsia="標楷體"/>
                <w:b/>
                <w:bCs/>
              </w:rPr>
            </w:pPr>
            <w:r w:rsidRPr="003B6B9A">
              <w:rPr>
                <w:rFonts w:eastAsia="標楷體"/>
                <w:b/>
                <w:bCs/>
              </w:rPr>
              <w:t>14.93</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rFonts w:eastAsia="標楷體"/>
                <w:b/>
                <w:bCs/>
              </w:rPr>
            </w:pPr>
            <w:r w:rsidRPr="003B6B9A">
              <w:rPr>
                <w:rFonts w:eastAsia="標楷體"/>
                <w:b/>
                <w:bCs/>
              </w:rPr>
              <w:t>31.642</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標楷體"/>
                <w:b/>
                <w:bCs/>
              </w:rPr>
            </w:pPr>
            <w:r w:rsidRPr="003B6B9A">
              <w:rPr>
                <w:rFonts w:eastAsia="標楷體"/>
                <w:b/>
                <w:bCs/>
              </w:rPr>
              <w:t>0.181</w:t>
            </w:r>
          </w:p>
        </w:tc>
      </w:tr>
      <w:tr w:rsidR="007A7306" w:rsidRPr="003B6B9A" w:rsidTr="001040FB">
        <w:trPr>
          <w:trHeight w:val="80"/>
          <w:jc w:val="center"/>
        </w:trPr>
        <w:tc>
          <w:tcPr>
            <w:tcW w:w="1638" w:type="dxa"/>
            <w:tcBorders>
              <w:top w:val="nil"/>
              <w:left w:val="nil"/>
              <w:bottom w:val="nil"/>
              <w:right w:val="single" w:sz="4" w:space="0" w:color="auto"/>
            </w:tcBorders>
            <w:vAlign w:val="center"/>
          </w:tcPr>
          <w:p w:rsidR="007A7306" w:rsidRPr="003B6B9A" w:rsidRDefault="007A7306" w:rsidP="001040FB">
            <w:pPr>
              <w:snapToGrid w:val="0"/>
              <w:spacing w:line="340" w:lineRule="atLeast"/>
              <w:jc w:val="both"/>
              <w:rPr>
                <w:rFonts w:eastAsia="標楷體"/>
                <w:bCs/>
              </w:rPr>
            </w:pPr>
            <w:r w:rsidRPr="003B6B9A">
              <w:rPr>
                <w:rFonts w:eastAsia="標楷體"/>
                <w:b/>
                <w:bCs/>
              </w:rPr>
              <w:t xml:space="preserve">  100</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snapToGrid w:val="0"/>
              <w:spacing w:line="340" w:lineRule="atLeast"/>
              <w:ind w:rightChars="174" w:right="418"/>
              <w:jc w:val="right"/>
              <w:rPr>
                <w:rFonts w:eastAsia="標楷體"/>
                <w:b/>
                <w:bCs/>
              </w:rPr>
            </w:pPr>
            <w:r w:rsidRPr="003B6B9A">
              <w:rPr>
                <w:rFonts w:eastAsia="標楷體"/>
                <w:b/>
                <w:bCs/>
              </w:rPr>
              <w:t>5.8</w:t>
            </w:r>
            <w:r w:rsidRPr="003B6B9A">
              <w:rPr>
                <w:rFonts w:eastAsia="標楷體" w:hint="eastAsia"/>
                <w:b/>
                <w:bCs/>
              </w:rPr>
              <w:t>3</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標楷體"/>
                <w:b/>
                <w:bCs/>
              </w:rPr>
            </w:pPr>
            <w:r w:rsidRPr="003B6B9A">
              <w:rPr>
                <w:rFonts w:eastAsia="標楷體"/>
                <w:b/>
                <w:bCs/>
              </w:rPr>
              <w:t>8.10</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rFonts w:eastAsia="標楷體"/>
                <w:b/>
                <w:bCs/>
              </w:rPr>
            </w:pPr>
            <w:r w:rsidRPr="003B6B9A">
              <w:rPr>
                <w:rFonts w:eastAsia="標楷體"/>
                <w:b/>
                <w:bCs/>
              </w:rPr>
              <w:t>7.16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rFonts w:eastAsia="標楷體"/>
                <w:b/>
                <w:bCs/>
              </w:rPr>
            </w:pPr>
            <w:r w:rsidRPr="003B6B9A">
              <w:rPr>
                <w:rFonts w:eastAsia="標楷體"/>
                <w:b/>
                <w:bCs/>
              </w:rPr>
              <w:t>29.464</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標楷體"/>
                <w:b/>
                <w:bCs/>
              </w:rPr>
            </w:pPr>
            <w:r w:rsidRPr="003B6B9A">
              <w:rPr>
                <w:rFonts w:eastAsia="標楷體"/>
                <w:b/>
                <w:bCs/>
              </w:rPr>
              <w:t>0.341</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66"/>
              <w:jc w:val="both"/>
              <w:rPr>
                <w:rFonts w:eastAsia="標楷體"/>
              </w:rPr>
            </w:pPr>
            <w:r w:rsidRPr="003B6B9A">
              <w:rPr>
                <w:rFonts w:eastAsia="標楷體"/>
                <w:b/>
                <w:bCs/>
              </w:rPr>
              <w:t xml:space="preserve">  101</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b/>
                <w:bCs/>
              </w:rPr>
              <w:t>4.17</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b/>
                <w:bCs/>
                <w:spacing w:val="4"/>
                <w:kern w:val="0"/>
                <w:szCs w:val="27"/>
              </w:rPr>
            </w:pPr>
            <w:r w:rsidRPr="003B6B9A">
              <w:rPr>
                <w:rFonts w:eastAsia="華康粗圓體"/>
                <w:b/>
                <w:bCs/>
                <w:spacing w:val="4"/>
                <w:kern w:val="0"/>
                <w:szCs w:val="27"/>
              </w:rPr>
              <w:t>3.55</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b/>
                <w:bCs/>
              </w:rPr>
            </w:pPr>
            <w:r w:rsidRPr="003B6B9A">
              <w:rPr>
                <w:b/>
                <w:bCs/>
              </w:rPr>
              <w:t>3.45</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b/>
                <w:bCs/>
              </w:rPr>
            </w:pPr>
            <w:r w:rsidRPr="003B6B9A">
              <w:rPr>
                <w:b/>
                <w:bCs/>
              </w:rPr>
              <w:t>29.614</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b/>
                <w:bCs/>
                <w:spacing w:val="4"/>
                <w:kern w:val="0"/>
                <w:szCs w:val="27"/>
              </w:rPr>
            </w:pPr>
            <w:r w:rsidRPr="003B6B9A">
              <w:rPr>
                <w:rFonts w:eastAsia="華康粗圓體"/>
                <w:b/>
                <w:bCs/>
                <w:spacing w:val="4"/>
                <w:kern w:val="0"/>
                <w:szCs w:val="27"/>
              </w:rPr>
              <w:t>0.424</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62" w:firstLineChars="100" w:firstLine="240"/>
              <w:rPr>
                <w:rFonts w:eastAsia="標楷體"/>
                <w:b/>
              </w:rPr>
            </w:pPr>
            <w:r w:rsidRPr="003B6B9A">
              <w:rPr>
                <w:rFonts w:eastAsia="標楷體"/>
                <w:b/>
              </w:rPr>
              <w:t>102</w:t>
            </w:r>
            <w:r w:rsidRPr="003B6B9A">
              <w:rPr>
                <w:rFonts w:eastAsia="標楷體"/>
                <w:b/>
              </w:rPr>
              <w:t>年</w:t>
            </w:r>
          </w:p>
        </w:tc>
        <w:tc>
          <w:tcPr>
            <w:tcW w:w="1360" w:type="dxa"/>
            <w:tcBorders>
              <w:top w:val="nil"/>
              <w:left w:val="single" w:sz="4" w:space="0" w:color="auto"/>
              <w:bottom w:val="nil"/>
              <w:right w:val="nil"/>
            </w:tcBorders>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rFonts w:hint="eastAsia"/>
                <w:b/>
                <w:bCs/>
              </w:rPr>
              <w:t>4.78</w:t>
            </w:r>
          </w:p>
        </w:tc>
        <w:tc>
          <w:tcPr>
            <w:tcW w:w="1513" w:type="dxa"/>
            <w:tcBorders>
              <w:top w:val="nil"/>
              <w:left w:val="nil"/>
              <w:bottom w:val="nil"/>
              <w:right w:val="nil"/>
            </w:tcBorders>
          </w:tcPr>
          <w:p w:rsidR="007A7306" w:rsidRPr="003B6B9A" w:rsidRDefault="007A7306" w:rsidP="001040FB">
            <w:pPr>
              <w:snapToGrid w:val="0"/>
              <w:spacing w:line="340" w:lineRule="atLeast"/>
              <w:ind w:rightChars="213" w:right="511"/>
              <w:jc w:val="right"/>
              <w:rPr>
                <w:b/>
                <w:bCs/>
              </w:rPr>
            </w:pPr>
            <w:r w:rsidRPr="003B6B9A">
              <w:rPr>
                <w:rFonts w:hint="eastAsia"/>
                <w:b/>
                <w:bCs/>
              </w:rPr>
              <w:t>9.15</w:t>
            </w:r>
          </w:p>
        </w:tc>
        <w:tc>
          <w:tcPr>
            <w:tcW w:w="1500" w:type="dxa"/>
            <w:tcBorders>
              <w:top w:val="nil"/>
              <w:left w:val="nil"/>
              <w:bottom w:val="nil"/>
              <w:right w:val="nil"/>
            </w:tcBorders>
          </w:tcPr>
          <w:p w:rsidR="007A7306" w:rsidRPr="003B6B9A" w:rsidRDefault="007A7306" w:rsidP="001040FB">
            <w:pPr>
              <w:snapToGrid w:val="0"/>
              <w:spacing w:line="340" w:lineRule="atLeast"/>
              <w:ind w:rightChars="189" w:right="454"/>
              <w:jc w:val="right"/>
              <w:rPr>
                <w:b/>
                <w:bCs/>
              </w:rPr>
            </w:pPr>
            <w:r w:rsidRPr="003B6B9A">
              <w:rPr>
                <w:rFonts w:hint="eastAsia"/>
                <w:b/>
                <w:bCs/>
              </w:rPr>
              <w:t>7.27</w:t>
            </w:r>
          </w:p>
        </w:tc>
        <w:tc>
          <w:tcPr>
            <w:tcW w:w="1416" w:type="dxa"/>
            <w:tcBorders>
              <w:top w:val="nil"/>
              <w:left w:val="nil"/>
              <w:bottom w:val="nil"/>
              <w:right w:val="nil"/>
            </w:tcBorders>
          </w:tcPr>
          <w:p w:rsidR="007A7306" w:rsidRPr="003B6B9A" w:rsidRDefault="007A7306" w:rsidP="001040FB">
            <w:pPr>
              <w:snapToGrid w:val="0"/>
              <w:spacing w:line="340" w:lineRule="atLeast"/>
              <w:ind w:rightChars="188" w:right="451"/>
              <w:jc w:val="right"/>
              <w:rPr>
                <w:b/>
                <w:bCs/>
              </w:rPr>
            </w:pPr>
            <w:r w:rsidRPr="003B6B9A">
              <w:rPr>
                <w:rFonts w:hint="eastAsia"/>
                <w:b/>
                <w:bCs/>
              </w:rPr>
              <w:t>29.770</w:t>
            </w:r>
          </w:p>
        </w:tc>
        <w:tc>
          <w:tcPr>
            <w:tcW w:w="1336" w:type="dxa"/>
            <w:tcBorders>
              <w:top w:val="nil"/>
              <w:left w:val="nil"/>
              <w:bottom w:val="nil"/>
              <w:right w:val="nil"/>
            </w:tcBorders>
          </w:tcPr>
          <w:p w:rsidR="007A7306" w:rsidRPr="003B6B9A" w:rsidRDefault="007A7306" w:rsidP="001040FB">
            <w:pPr>
              <w:snapToGrid w:val="0"/>
              <w:spacing w:line="340" w:lineRule="atLeast"/>
              <w:ind w:rightChars="154" w:right="370"/>
              <w:jc w:val="right"/>
              <w:rPr>
                <w:b/>
                <w:bCs/>
              </w:rPr>
            </w:pPr>
            <w:r w:rsidRPr="003B6B9A">
              <w:rPr>
                <w:rFonts w:hint="eastAsia"/>
                <w:b/>
                <w:bCs/>
              </w:rPr>
              <w:t>0.386</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62" w:firstLineChars="100" w:firstLine="240"/>
              <w:rPr>
                <w:rFonts w:eastAsia="標楷體"/>
              </w:rPr>
            </w:pPr>
            <w:r w:rsidRPr="003B6B9A">
              <w:rPr>
                <w:rFonts w:eastAsia="標楷體"/>
                <w:b/>
                <w:bCs/>
              </w:rPr>
              <w:t>10</w:t>
            </w:r>
            <w:r w:rsidRPr="003B6B9A">
              <w:rPr>
                <w:rFonts w:eastAsia="標楷體" w:hint="eastAsia"/>
                <w:b/>
                <w:bCs/>
              </w:rPr>
              <w:t>3</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rFonts w:hint="eastAsia"/>
                <w:b/>
                <w:bCs/>
              </w:rPr>
              <w:t>5.66</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b/>
                <w:bCs/>
                <w:spacing w:val="4"/>
                <w:kern w:val="0"/>
                <w:szCs w:val="27"/>
              </w:rPr>
            </w:pPr>
            <w:r w:rsidRPr="003B6B9A">
              <w:rPr>
                <w:rFonts w:eastAsia="華康粗圓體" w:hint="eastAsia"/>
                <w:b/>
                <w:bCs/>
                <w:spacing w:val="4"/>
                <w:kern w:val="0"/>
                <w:szCs w:val="27"/>
              </w:rPr>
              <w:t>9.27</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b/>
                <w:bCs/>
              </w:rPr>
            </w:pPr>
            <w:r w:rsidRPr="003B6B9A">
              <w:rPr>
                <w:rFonts w:hint="eastAsia"/>
                <w:b/>
                <w:bCs/>
              </w:rPr>
              <w:t>7.96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b/>
                <w:bCs/>
              </w:rPr>
            </w:pPr>
            <w:r w:rsidRPr="003B6B9A">
              <w:rPr>
                <w:rFonts w:hint="eastAsia"/>
                <w:b/>
                <w:bCs/>
              </w:rPr>
              <w:t>30.370</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b/>
                <w:bCs/>
                <w:spacing w:val="4"/>
                <w:kern w:val="0"/>
                <w:szCs w:val="27"/>
              </w:rPr>
            </w:pPr>
            <w:r w:rsidRPr="003B6B9A">
              <w:rPr>
                <w:rFonts w:eastAsia="華康粗圓體" w:hint="eastAsia"/>
                <w:b/>
                <w:bCs/>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4</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6.24</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9.85</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9.10</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30.268</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5</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5.91</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9.34</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8.14</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30.177</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0.388</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6</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5.74</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8.08</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7.46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30.043</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7</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5.63</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8.61</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7.65</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30.000</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8</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5.64</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9.16</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7.56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30.037</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0.386</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9</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5.31</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9.24</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7.36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30.155</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10</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4.98</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9.71</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7.18</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30.432</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11</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5.22</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8.65</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6.95</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30.793</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12</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5.85</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7.62</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6.90</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31.451</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leftChars="-16" w:right="62" w:hangingChars="16" w:hanging="38"/>
              <w:rPr>
                <w:rFonts w:eastAsia="標楷體"/>
              </w:rPr>
            </w:pPr>
            <w:r w:rsidRPr="003B6B9A">
              <w:rPr>
                <w:rFonts w:eastAsia="標楷體"/>
                <w:b/>
                <w:bCs/>
              </w:rPr>
              <w:t>10</w:t>
            </w:r>
            <w:r w:rsidRPr="003B6B9A">
              <w:rPr>
                <w:rFonts w:eastAsia="標楷體" w:hint="eastAsia"/>
                <w:b/>
                <w:bCs/>
              </w:rPr>
              <w:t>4</w:t>
            </w:r>
            <w:r w:rsidRPr="003B6B9A">
              <w:rPr>
                <w:rFonts w:eastAsia="標楷體"/>
                <w:b/>
                <w:bCs/>
              </w:rPr>
              <w:t>年</w:t>
            </w:r>
            <w:r w:rsidRPr="003B6B9A">
              <w:rPr>
                <w:rFonts w:eastAsia="標楷體" w:hint="eastAsia"/>
                <w:b/>
                <w:bCs/>
              </w:rPr>
              <w:t>1~4</w:t>
            </w:r>
            <w:r w:rsidRPr="003B6B9A">
              <w:rPr>
                <w:rFonts w:eastAsia="標楷體" w:hint="eastAsia"/>
                <w:b/>
                <w:bCs/>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rFonts w:hint="eastAsia"/>
                <w:b/>
                <w:bCs/>
              </w:rPr>
              <w:t>6.37</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b/>
                <w:bCs/>
                <w:spacing w:val="4"/>
                <w:kern w:val="0"/>
                <w:szCs w:val="27"/>
              </w:rPr>
            </w:pPr>
            <w:r w:rsidRPr="003B6B9A">
              <w:rPr>
                <w:rFonts w:eastAsia="華康粗圓體" w:hint="eastAsia"/>
                <w:b/>
                <w:bCs/>
                <w:spacing w:val="4"/>
                <w:kern w:val="0"/>
                <w:szCs w:val="27"/>
              </w:rPr>
              <w:t>5.98</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b/>
                <w:bCs/>
              </w:rPr>
            </w:pPr>
            <w:r w:rsidRPr="003B6B9A">
              <w:rPr>
                <w:rFonts w:hint="eastAsia"/>
                <w:b/>
                <w:bCs/>
              </w:rPr>
              <w:t>5.72</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b/>
                <w:bCs/>
              </w:rPr>
            </w:pPr>
            <w:r w:rsidRPr="003B6B9A">
              <w:rPr>
                <w:rFonts w:hint="eastAsia"/>
                <w:b/>
                <w:bCs/>
              </w:rPr>
              <w:t>31.477</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b/>
                <w:bCs/>
                <w:spacing w:val="4"/>
                <w:kern w:val="0"/>
                <w:szCs w:val="27"/>
              </w:rPr>
            </w:pPr>
            <w:r w:rsidRPr="003B6B9A">
              <w:rPr>
                <w:rFonts w:eastAsia="華康粗圓體" w:hint="eastAsia"/>
                <w:b/>
                <w:bCs/>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rPr>
              <w:t>1</w:t>
            </w:r>
            <w:r w:rsidRPr="003B6B9A">
              <w:rPr>
                <w:rFonts w:eastAsia="標楷體"/>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5.86</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4.61</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5.03</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31.685</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2</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6.51</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7.09</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6.12</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31.566</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0.388</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3</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6.57</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6.23</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5.87</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31.526</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single" w:sz="4" w:space="0" w:color="auto"/>
              <w:right w:val="single" w:sz="4" w:space="0" w:color="auto"/>
            </w:tcBorders>
          </w:tcPr>
          <w:p w:rsidR="007A7306" w:rsidRPr="003B6B9A" w:rsidRDefault="007A7306" w:rsidP="001040FB">
            <w:pPr>
              <w:wordWrap w:val="0"/>
              <w:snapToGrid w:val="0"/>
              <w:spacing w:line="340" w:lineRule="atLeast"/>
              <w:ind w:right="284"/>
              <w:jc w:val="right"/>
              <w:rPr>
                <w:rFonts w:eastAsia="標楷體"/>
              </w:rPr>
            </w:pPr>
            <w:r w:rsidRPr="003B6B9A">
              <w:rPr>
                <w:rFonts w:eastAsia="標楷體" w:hint="eastAsia"/>
              </w:rPr>
              <w:t>4</w:t>
            </w:r>
            <w:r w:rsidRPr="003B6B9A">
              <w:rPr>
                <w:rFonts w:eastAsia="標楷體" w:hint="eastAsia"/>
              </w:rPr>
              <w:t>月</w:t>
            </w:r>
          </w:p>
        </w:tc>
        <w:tc>
          <w:tcPr>
            <w:tcW w:w="1360" w:type="dxa"/>
            <w:tcBorders>
              <w:top w:val="nil"/>
              <w:left w:val="single" w:sz="4" w:space="0" w:color="auto"/>
              <w:bottom w:val="single" w:sz="4" w:space="0" w:color="auto"/>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6.53</w:t>
            </w:r>
          </w:p>
        </w:tc>
        <w:tc>
          <w:tcPr>
            <w:tcW w:w="1513" w:type="dxa"/>
            <w:tcBorders>
              <w:top w:val="nil"/>
              <w:left w:val="nil"/>
              <w:bottom w:val="single" w:sz="4" w:space="0" w:color="auto"/>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5.97</w:t>
            </w:r>
          </w:p>
        </w:tc>
        <w:tc>
          <w:tcPr>
            <w:tcW w:w="1500" w:type="dxa"/>
            <w:tcBorders>
              <w:top w:val="nil"/>
              <w:left w:val="nil"/>
              <w:bottom w:val="single" w:sz="4" w:space="0" w:color="auto"/>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5.85</w:t>
            </w:r>
          </w:p>
        </w:tc>
        <w:tc>
          <w:tcPr>
            <w:tcW w:w="1416" w:type="dxa"/>
            <w:tcBorders>
              <w:top w:val="nil"/>
              <w:left w:val="nil"/>
              <w:bottom w:val="single" w:sz="4" w:space="0" w:color="auto"/>
              <w:right w:val="nil"/>
            </w:tcBorders>
            <w:vAlign w:val="center"/>
          </w:tcPr>
          <w:p w:rsidR="007A7306" w:rsidRPr="003B6B9A" w:rsidRDefault="007A7306" w:rsidP="001040FB">
            <w:pPr>
              <w:snapToGrid w:val="0"/>
              <w:spacing w:line="340" w:lineRule="atLeast"/>
              <w:ind w:rightChars="188" w:right="451"/>
              <w:jc w:val="right"/>
            </w:pPr>
            <w:r w:rsidRPr="003B6B9A">
              <w:t>31.130</w:t>
            </w:r>
          </w:p>
        </w:tc>
        <w:tc>
          <w:tcPr>
            <w:tcW w:w="1336" w:type="dxa"/>
            <w:tcBorders>
              <w:top w:val="nil"/>
              <w:left w:val="nil"/>
              <w:bottom w:val="single" w:sz="4" w:space="0" w:color="auto"/>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bl>
    <w:p w:rsidR="007A7306" w:rsidRPr="003B6B9A" w:rsidRDefault="007A7306" w:rsidP="007A7306">
      <w:pPr>
        <w:spacing w:line="240" w:lineRule="atLeast"/>
        <w:ind w:left="425" w:hangingChars="193" w:hanging="425"/>
        <w:rPr>
          <w:rFonts w:eastAsia="標楷體"/>
          <w:kern w:val="0"/>
          <w:sz w:val="22"/>
          <w:szCs w:val="22"/>
        </w:rPr>
      </w:pPr>
      <w:r w:rsidRPr="003B6B9A">
        <w:rPr>
          <w:rFonts w:eastAsia="標楷體"/>
          <w:kern w:val="0"/>
          <w:sz w:val="22"/>
          <w:szCs w:val="22"/>
        </w:rPr>
        <w:t>註：</w:t>
      </w:r>
      <w:r w:rsidRPr="003B6B9A">
        <w:rPr>
          <w:rFonts w:eastAsia="標楷體"/>
          <w:kern w:val="0"/>
          <w:sz w:val="22"/>
          <w:szCs w:val="22"/>
        </w:rPr>
        <w:t>M1A</w:t>
      </w:r>
      <w:r w:rsidRPr="003B6B9A">
        <w:rPr>
          <w:rFonts w:eastAsia="標楷體"/>
          <w:kern w:val="0"/>
          <w:sz w:val="22"/>
          <w:szCs w:val="22"/>
        </w:rPr>
        <w:t>為通貨淨額加上企業及個人在貨幣機構的支票存款及活期存款；</w:t>
      </w:r>
      <w:r w:rsidRPr="003B6B9A">
        <w:rPr>
          <w:rFonts w:eastAsia="標楷體"/>
          <w:kern w:val="0"/>
          <w:sz w:val="22"/>
          <w:szCs w:val="22"/>
        </w:rPr>
        <w:t>M1B</w:t>
      </w:r>
      <w:r w:rsidRPr="003B6B9A">
        <w:rPr>
          <w:rFonts w:eastAsia="標楷體"/>
          <w:kern w:val="0"/>
          <w:sz w:val="22"/>
          <w:szCs w:val="22"/>
        </w:rPr>
        <w:t>為</w:t>
      </w:r>
      <w:r w:rsidRPr="003B6B9A">
        <w:rPr>
          <w:rFonts w:eastAsia="標楷體"/>
          <w:kern w:val="0"/>
          <w:sz w:val="22"/>
          <w:szCs w:val="22"/>
        </w:rPr>
        <w:t>M1A</w:t>
      </w:r>
      <w:r w:rsidRPr="003B6B9A">
        <w:rPr>
          <w:rFonts w:eastAsia="標楷體"/>
          <w:kern w:val="0"/>
          <w:sz w:val="22"/>
          <w:szCs w:val="22"/>
        </w:rPr>
        <w:t>加上個人活期儲蓄存款；</w:t>
      </w:r>
      <w:r w:rsidRPr="003B6B9A">
        <w:rPr>
          <w:rFonts w:eastAsia="標楷體"/>
          <w:kern w:val="0"/>
          <w:sz w:val="22"/>
          <w:szCs w:val="22"/>
        </w:rPr>
        <w:t>M2</w:t>
      </w:r>
      <w:r w:rsidRPr="003B6B9A">
        <w:rPr>
          <w:rFonts w:eastAsia="標楷體"/>
          <w:kern w:val="0"/>
          <w:sz w:val="22"/>
          <w:szCs w:val="22"/>
        </w:rPr>
        <w:t>為</w:t>
      </w:r>
      <w:r w:rsidRPr="003B6B9A">
        <w:rPr>
          <w:rFonts w:eastAsia="標楷體"/>
          <w:kern w:val="0"/>
          <w:sz w:val="22"/>
          <w:szCs w:val="22"/>
        </w:rPr>
        <w:t>M1B</w:t>
      </w:r>
      <w:r w:rsidRPr="003B6B9A">
        <w:rPr>
          <w:rFonts w:eastAsia="標楷體"/>
          <w:kern w:val="0"/>
          <w:sz w:val="22"/>
          <w:szCs w:val="22"/>
        </w:rPr>
        <w:t>加上準貨幣。</w:t>
      </w:r>
    </w:p>
    <w:p w:rsidR="007A7306" w:rsidRPr="003B6B9A" w:rsidRDefault="007A7306" w:rsidP="007A7306">
      <w:pPr>
        <w:pStyle w:val="af"/>
        <w:snapToGrid w:val="0"/>
        <w:spacing w:line="240" w:lineRule="auto"/>
        <w:ind w:leftChars="0" w:left="0" w:firstLineChars="0" w:firstLine="0"/>
        <w:rPr>
          <w:szCs w:val="22"/>
        </w:rPr>
      </w:pPr>
      <w:r w:rsidRPr="003B6B9A">
        <w:rPr>
          <w:szCs w:val="22"/>
        </w:rPr>
        <w:t>資料來源：中央銀行。</w:t>
      </w:r>
    </w:p>
    <w:p w:rsidR="007A7306" w:rsidRPr="003B6B9A" w:rsidRDefault="007A7306" w:rsidP="007A7306">
      <w:pPr>
        <w:pStyle w:val="af"/>
        <w:snapToGrid w:val="0"/>
        <w:spacing w:line="240" w:lineRule="auto"/>
        <w:ind w:leftChars="0" w:left="0" w:firstLineChars="0" w:firstLine="0"/>
        <w:rPr>
          <w:szCs w:val="22"/>
        </w:rPr>
      </w:pPr>
    </w:p>
    <w:p w:rsidR="00DD297D" w:rsidRPr="00B118E9" w:rsidRDefault="00DD297D" w:rsidP="00885F48">
      <w:pPr>
        <w:pStyle w:val="af"/>
        <w:snapToGrid w:val="0"/>
        <w:spacing w:line="240" w:lineRule="auto"/>
        <w:ind w:leftChars="0" w:left="0" w:firstLineChars="0" w:firstLine="0"/>
        <w:rPr>
          <w:szCs w:val="22"/>
        </w:rPr>
      </w:pPr>
    </w:p>
    <w:p w:rsidR="007A7306" w:rsidRPr="003B6B9A" w:rsidRDefault="007A7306" w:rsidP="007A7306">
      <w:pPr>
        <w:pStyle w:val="t-4"/>
        <w:tabs>
          <w:tab w:val="clear" w:pos="540"/>
        </w:tabs>
        <w:snapToGrid w:val="0"/>
        <w:spacing w:before="360" w:afterLines="0" w:after="0" w:line="300" w:lineRule="auto"/>
        <w:ind w:leftChars="0" w:left="0" w:firstLineChars="0" w:firstLine="0"/>
        <w:rPr>
          <w:color w:val="auto"/>
        </w:rPr>
      </w:pPr>
      <w:r w:rsidRPr="003B6B9A">
        <w:rPr>
          <w:color w:val="auto"/>
        </w:rPr>
        <w:t>２、</w:t>
      </w:r>
      <w:r w:rsidRPr="003B6B9A">
        <w:rPr>
          <w:color w:val="auto"/>
        </w:rPr>
        <w:t>10</w:t>
      </w:r>
      <w:r w:rsidRPr="003B6B9A">
        <w:rPr>
          <w:rFonts w:hint="eastAsia"/>
          <w:color w:val="auto"/>
        </w:rPr>
        <w:t>4</w:t>
      </w:r>
      <w:r w:rsidRPr="003B6B9A">
        <w:rPr>
          <w:color w:val="auto"/>
        </w:rPr>
        <w:t>年</w:t>
      </w:r>
      <w:r w:rsidRPr="003B6B9A">
        <w:rPr>
          <w:rFonts w:hint="eastAsia"/>
          <w:color w:val="auto"/>
        </w:rPr>
        <w:t>4</w:t>
      </w:r>
      <w:r w:rsidRPr="003B6B9A">
        <w:rPr>
          <w:color w:val="auto"/>
        </w:rPr>
        <w:t>月市場利率</w:t>
      </w:r>
    </w:p>
    <w:p w:rsidR="007A7306" w:rsidRPr="003B6B9A" w:rsidRDefault="007A7306" w:rsidP="007A7306">
      <w:pPr>
        <w:pStyle w:val="k32"/>
        <w:topLinePunct/>
        <w:ind w:leftChars="118" w:left="283" w:rightChars="-59" w:firstLineChars="202" w:firstLine="404"/>
        <w:rPr>
          <w:szCs w:val="28"/>
        </w:rPr>
      </w:pPr>
      <w:r w:rsidRPr="003B6B9A">
        <w:rPr>
          <w:noProof/>
          <w:sz w:val="20"/>
        </w:rPr>
        <w:drawing>
          <wp:anchor distT="0" distB="0" distL="114300" distR="114300" simplePos="0" relativeHeight="252135936" behindDoc="0" locked="0" layoutInCell="1" allowOverlap="1" wp14:anchorId="40B2F690" wp14:editId="2CA9B7FF">
            <wp:simplePos x="0" y="0"/>
            <wp:positionH relativeFrom="column">
              <wp:posOffset>2085340</wp:posOffset>
            </wp:positionH>
            <wp:positionV relativeFrom="paragraph">
              <wp:posOffset>60960</wp:posOffset>
            </wp:positionV>
            <wp:extent cx="3803650" cy="2510155"/>
            <wp:effectExtent l="0" t="0" r="25400" b="23495"/>
            <wp:wrapSquare wrapText="bothSides"/>
            <wp:docPr id="490" name="圖表 49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r w:rsidRPr="003B6B9A">
        <w:rPr>
          <w:szCs w:val="28"/>
        </w:rPr>
        <w:t>貨幣市場方面，</w:t>
      </w:r>
      <w:r w:rsidRPr="003B6B9A">
        <w:rPr>
          <w:szCs w:val="28"/>
        </w:rPr>
        <w:t>10</w:t>
      </w:r>
      <w:r w:rsidRPr="003B6B9A">
        <w:rPr>
          <w:rFonts w:hint="eastAsia"/>
          <w:szCs w:val="28"/>
        </w:rPr>
        <w:t>4</w:t>
      </w:r>
      <w:r w:rsidRPr="003B6B9A">
        <w:rPr>
          <w:szCs w:val="28"/>
        </w:rPr>
        <w:t>年</w:t>
      </w:r>
      <w:r w:rsidRPr="003B6B9A">
        <w:rPr>
          <w:rFonts w:hint="eastAsia"/>
          <w:szCs w:val="28"/>
        </w:rPr>
        <w:t>4</w:t>
      </w:r>
      <w:r w:rsidRPr="003B6B9A">
        <w:rPr>
          <w:szCs w:val="28"/>
        </w:rPr>
        <w:t>月金融業隔夜拆款利率</w:t>
      </w:r>
      <w:r w:rsidRPr="003B6B9A">
        <w:rPr>
          <w:szCs w:val="28"/>
        </w:rPr>
        <w:t>0.38</w:t>
      </w:r>
      <w:r w:rsidRPr="003B6B9A">
        <w:rPr>
          <w:rFonts w:hint="eastAsia"/>
          <w:szCs w:val="28"/>
        </w:rPr>
        <w:t>7%</w:t>
      </w:r>
      <w:r w:rsidRPr="003B6B9A">
        <w:rPr>
          <w:szCs w:val="28"/>
        </w:rPr>
        <w:t>，初級市場商業本票</w:t>
      </w:r>
      <w:r w:rsidRPr="003B6B9A">
        <w:t>30</w:t>
      </w:r>
      <w:r w:rsidRPr="003B6B9A">
        <w:rPr>
          <w:szCs w:val="28"/>
        </w:rPr>
        <w:t>天期利率</w:t>
      </w:r>
      <w:r w:rsidRPr="003B6B9A">
        <w:rPr>
          <w:rFonts w:hint="eastAsia"/>
          <w:szCs w:val="28"/>
        </w:rPr>
        <w:t>0.79%</w:t>
      </w:r>
      <w:r w:rsidRPr="003B6B9A">
        <w:rPr>
          <w:szCs w:val="28"/>
        </w:rPr>
        <w:t>，</w:t>
      </w:r>
      <w:r w:rsidRPr="003B6B9A">
        <w:rPr>
          <w:rFonts w:hint="eastAsia"/>
          <w:szCs w:val="28"/>
        </w:rPr>
        <w:t>均與上月相同</w:t>
      </w:r>
      <w:r w:rsidRPr="003B6B9A">
        <w:rPr>
          <w:szCs w:val="28"/>
        </w:rPr>
        <w:t>。</w:t>
      </w:r>
    </w:p>
    <w:p w:rsidR="007A7306" w:rsidRPr="003B6B9A" w:rsidRDefault="007A7306" w:rsidP="007A7306">
      <w:pPr>
        <w:snapToGrid w:val="0"/>
        <w:spacing w:before="120" w:line="300" w:lineRule="auto"/>
        <w:ind w:rightChars="-59" w:right="-142"/>
        <w:jc w:val="both"/>
        <w:rPr>
          <w:rFonts w:eastAsia="標楷體"/>
          <w:sz w:val="28"/>
          <w:szCs w:val="16"/>
        </w:rPr>
      </w:pPr>
    </w:p>
    <w:p w:rsidR="007A7306" w:rsidRPr="003B6B9A" w:rsidRDefault="007A7306" w:rsidP="007A7306">
      <w:pPr>
        <w:snapToGrid w:val="0"/>
        <w:spacing w:before="120" w:line="300" w:lineRule="auto"/>
        <w:ind w:rightChars="-59" w:right="-142"/>
        <w:jc w:val="both"/>
        <w:rPr>
          <w:rFonts w:eastAsia="標楷體"/>
          <w:sz w:val="28"/>
          <w:szCs w:val="16"/>
        </w:rPr>
      </w:pPr>
    </w:p>
    <w:p w:rsidR="007A7306" w:rsidRPr="003B6B9A" w:rsidRDefault="007A7306" w:rsidP="007A7306">
      <w:pPr>
        <w:snapToGrid w:val="0"/>
        <w:spacing w:before="120" w:line="300" w:lineRule="auto"/>
        <w:ind w:rightChars="-59" w:right="-142"/>
        <w:jc w:val="both"/>
        <w:rPr>
          <w:rFonts w:eastAsia="標楷體"/>
          <w:sz w:val="28"/>
          <w:szCs w:val="16"/>
        </w:rPr>
      </w:pPr>
    </w:p>
    <w:p w:rsidR="007A7306" w:rsidRPr="003B6B9A" w:rsidRDefault="007A7306" w:rsidP="007A7306">
      <w:pPr>
        <w:pStyle w:val="t-4"/>
        <w:snapToGrid w:val="0"/>
        <w:spacing w:before="120" w:afterLines="0" w:after="0" w:line="300" w:lineRule="auto"/>
        <w:ind w:leftChars="0" w:left="426" w:hangingChars="152" w:hanging="426"/>
        <w:rPr>
          <w:color w:val="auto"/>
        </w:rPr>
      </w:pPr>
      <w:r w:rsidRPr="003B6B9A">
        <w:rPr>
          <w:color w:val="auto"/>
        </w:rPr>
        <w:t>３、</w:t>
      </w:r>
      <w:r w:rsidRPr="003B6B9A">
        <w:rPr>
          <w:color w:val="auto"/>
        </w:rPr>
        <w:t>10</w:t>
      </w:r>
      <w:r w:rsidRPr="003B6B9A">
        <w:rPr>
          <w:rFonts w:hint="eastAsia"/>
          <w:color w:val="auto"/>
        </w:rPr>
        <w:t>4</w:t>
      </w:r>
      <w:r w:rsidRPr="003B6B9A">
        <w:rPr>
          <w:color w:val="auto"/>
        </w:rPr>
        <w:t>年</w:t>
      </w:r>
      <w:r w:rsidRPr="003B6B9A">
        <w:rPr>
          <w:rFonts w:hint="eastAsia"/>
          <w:color w:val="auto"/>
        </w:rPr>
        <w:t>4</w:t>
      </w:r>
      <w:r w:rsidRPr="003B6B9A">
        <w:rPr>
          <w:color w:val="auto"/>
        </w:rPr>
        <w:t>月主要金融機構放款及投資</w:t>
      </w:r>
    </w:p>
    <w:p w:rsidR="007A7306" w:rsidRPr="003B6B9A" w:rsidRDefault="007A7306" w:rsidP="007A7306">
      <w:pPr>
        <w:pStyle w:val="k32"/>
        <w:topLinePunct/>
        <w:ind w:leftChars="118" w:left="283" w:rightChars="-59" w:firstLineChars="202" w:firstLine="566"/>
        <w:rPr>
          <w:b/>
          <w:bCs/>
        </w:rPr>
      </w:pPr>
      <w:r w:rsidRPr="003B6B9A">
        <w:rPr>
          <w:noProof/>
        </w:rPr>
        <w:drawing>
          <wp:anchor distT="0" distB="0" distL="114300" distR="114300" simplePos="0" relativeHeight="252134912" behindDoc="0" locked="0" layoutInCell="1" allowOverlap="1" wp14:anchorId="060488A2" wp14:editId="76FA5DE7">
            <wp:simplePos x="0" y="0"/>
            <wp:positionH relativeFrom="column">
              <wp:posOffset>2085340</wp:posOffset>
            </wp:positionH>
            <wp:positionV relativeFrom="paragraph">
              <wp:posOffset>14605</wp:posOffset>
            </wp:positionV>
            <wp:extent cx="4105275" cy="2857500"/>
            <wp:effectExtent l="0" t="0" r="0" b="0"/>
            <wp:wrapSquare wrapText="bothSides"/>
            <wp:docPr id="493" name="圖表 49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Pr="003B6B9A">
        <w:t>10</w:t>
      </w:r>
      <w:r w:rsidRPr="003B6B9A">
        <w:rPr>
          <w:rFonts w:hint="eastAsia"/>
        </w:rPr>
        <w:t>4</w:t>
      </w:r>
      <w:r w:rsidRPr="003B6B9A">
        <w:t>年</w:t>
      </w:r>
      <w:r w:rsidRPr="003B6B9A">
        <w:rPr>
          <w:rFonts w:hint="eastAsia"/>
        </w:rPr>
        <w:t>4</w:t>
      </w:r>
      <w:r w:rsidRPr="003B6B9A">
        <w:t>月主要金融機構放款與投資餘額為</w:t>
      </w:r>
      <w:r w:rsidRPr="003B6B9A">
        <w:rPr>
          <w:rFonts w:hint="eastAsia"/>
        </w:rPr>
        <w:t>28.62</w:t>
      </w:r>
      <w:r w:rsidRPr="003B6B9A">
        <w:t>兆元，較</w:t>
      </w:r>
      <w:r w:rsidRPr="003B6B9A">
        <w:rPr>
          <w:rFonts w:hint="eastAsia"/>
        </w:rPr>
        <w:t>上</w:t>
      </w:r>
      <w:r w:rsidRPr="003B6B9A">
        <w:t>月</w:t>
      </w:r>
      <w:r w:rsidRPr="003B6B9A">
        <w:rPr>
          <w:rFonts w:hint="eastAsia"/>
        </w:rPr>
        <w:t>增加</w:t>
      </w:r>
      <w:r w:rsidRPr="003B6B9A">
        <w:t>，年增率</w:t>
      </w:r>
      <w:r w:rsidRPr="003B6B9A">
        <w:rPr>
          <w:rFonts w:hint="eastAsia"/>
        </w:rPr>
        <w:t>4.71%</w:t>
      </w:r>
      <w:r w:rsidRPr="003B6B9A">
        <w:t>；</w:t>
      </w:r>
      <w:r w:rsidRPr="003B6B9A">
        <w:t>10</w:t>
      </w:r>
      <w:r w:rsidRPr="003B6B9A">
        <w:rPr>
          <w:rFonts w:hint="eastAsia"/>
        </w:rPr>
        <w:t>4</w:t>
      </w:r>
      <w:r w:rsidRPr="003B6B9A">
        <w:t>年</w:t>
      </w:r>
      <w:r w:rsidRPr="003B6B9A">
        <w:rPr>
          <w:rFonts w:hint="eastAsia"/>
        </w:rPr>
        <w:t>4</w:t>
      </w:r>
      <w:r w:rsidRPr="003B6B9A">
        <w:t>月放款餘額較</w:t>
      </w:r>
      <w:r w:rsidRPr="003B6B9A">
        <w:rPr>
          <w:rFonts w:hint="eastAsia"/>
        </w:rPr>
        <w:t>上</w:t>
      </w:r>
      <w:r w:rsidRPr="003B6B9A">
        <w:t>月</w:t>
      </w:r>
      <w:r w:rsidRPr="003B6B9A">
        <w:rPr>
          <w:rFonts w:hint="eastAsia"/>
        </w:rPr>
        <w:t>減少，</w:t>
      </w:r>
      <w:r w:rsidRPr="003B6B9A">
        <w:t>年增率</w:t>
      </w:r>
      <w:r w:rsidRPr="003B6B9A">
        <w:rPr>
          <w:rFonts w:hint="eastAsia"/>
        </w:rPr>
        <w:t>3.21%</w:t>
      </w:r>
      <w:r w:rsidRPr="003B6B9A">
        <w:t>。</w:t>
      </w:r>
    </w:p>
    <w:p w:rsidR="007A7306" w:rsidRPr="003B6B9A" w:rsidRDefault="007A7306" w:rsidP="007A7306">
      <w:pPr>
        <w:pStyle w:val="t-4"/>
        <w:spacing w:before="180" w:after="180"/>
        <w:ind w:leftChars="0" w:left="0" w:firstLineChars="0" w:firstLine="0"/>
        <w:rPr>
          <w:color w:val="auto"/>
        </w:rPr>
      </w:pPr>
    </w:p>
    <w:p w:rsidR="007A7306" w:rsidRPr="003B6B9A" w:rsidRDefault="007A7306" w:rsidP="007A7306"/>
    <w:p w:rsidR="007A7306" w:rsidRPr="003B6B9A" w:rsidRDefault="007A7306" w:rsidP="007A7306"/>
    <w:p w:rsidR="007A7306" w:rsidRPr="003B6B9A" w:rsidRDefault="007A7306" w:rsidP="007A7306"/>
    <w:p w:rsidR="007A7306" w:rsidRPr="003B6B9A" w:rsidRDefault="007A7306" w:rsidP="007A7306">
      <w:pPr>
        <w:pStyle w:val="t-4"/>
        <w:snapToGrid w:val="0"/>
        <w:spacing w:before="120" w:afterLines="0" w:after="0" w:line="300" w:lineRule="auto"/>
        <w:ind w:leftChars="0" w:left="0" w:firstLineChars="0" w:firstLine="0"/>
        <w:rPr>
          <w:color w:val="auto"/>
        </w:rPr>
      </w:pPr>
      <w:r w:rsidRPr="003B6B9A">
        <w:rPr>
          <w:color w:val="auto"/>
        </w:rPr>
        <w:t>４、</w:t>
      </w:r>
      <w:r w:rsidRPr="003B6B9A">
        <w:rPr>
          <w:color w:val="auto"/>
        </w:rPr>
        <w:t>10</w:t>
      </w:r>
      <w:r w:rsidRPr="003B6B9A">
        <w:rPr>
          <w:rFonts w:hint="eastAsia"/>
          <w:color w:val="auto"/>
        </w:rPr>
        <w:t>4</w:t>
      </w:r>
      <w:r w:rsidRPr="003B6B9A">
        <w:rPr>
          <w:color w:val="auto"/>
        </w:rPr>
        <w:t>年</w:t>
      </w:r>
      <w:r w:rsidRPr="003B6B9A">
        <w:rPr>
          <w:rFonts w:hint="eastAsia"/>
          <w:color w:val="auto"/>
        </w:rPr>
        <w:t>4</w:t>
      </w:r>
      <w:r w:rsidRPr="003B6B9A">
        <w:rPr>
          <w:color w:val="auto"/>
        </w:rPr>
        <w:t>月平均新臺幣</w:t>
      </w:r>
      <w:r w:rsidRPr="003B6B9A">
        <w:rPr>
          <w:rFonts w:hint="eastAsia"/>
          <w:color w:val="auto"/>
        </w:rPr>
        <w:t>對</w:t>
      </w:r>
      <w:r w:rsidRPr="003B6B9A">
        <w:rPr>
          <w:color w:val="auto"/>
        </w:rPr>
        <w:t>美元匯率為</w:t>
      </w:r>
      <w:r w:rsidRPr="003B6B9A">
        <w:rPr>
          <w:rFonts w:hint="eastAsia"/>
          <w:color w:val="auto"/>
        </w:rPr>
        <w:t>31.130</w:t>
      </w:r>
    </w:p>
    <w:p w:rsidR="007A7306" w:rsidRPr="003B6B9A" w:rsidRDefault="007A7306" w:rsidP="007A7306">
      <w:pPr>
        <w:pStyle w:val="k32"/>
        <w:topLinePunct/>
        <w:spacing w:beforeLines="0" w:before="120"/>
        <w:ind w:leftChars="118" w:left="283" w:rightChars="-59" w:firstLineChars="202" w:firstLine="566"/>
      </w:pPr>
      <w:r w:rsidRPr="003B6B9A">
        <w:t>10</w:t>
      </w:r>
      <w:r w:rsidRPr="003B6B9A">
        <w:rPr>
          <w:rFonts w:hint="eastAsia"/>
        </w:rPr>
        <w:t>4</w:t>
      </w:r>
      <w:r w:rsidRPr="003B6B9A">
        <w:t>年</w:t>
      </w:r>
      <w:r w:rsidRPr="003B6B9A">
        <w:rPr>
          <w:rFonts w:hint="eastAsia"/>
        </w:rPr>
        <w:t>4</w:t>
      </w:r>
      <w:r w:rsidRPr="003B6B9A">
        <w:t>月新臺幣</w:t>
      </w:r>
      <w:r w:rsidRPr="003B6B9A">
        <w:rPr>
          <w:rFonts w:hint="eastAsia"/>
        </w:rPr>
        <w:t>對</w:t>
      </w:r>
      <w:r w:rsidRPr="003B6B9A">
        <w:t>美元平均匯率為</w:t>
      </w:r>
      <w:r w:rsidRPr="003B6B9A">
        <w:rPr>
          <w:rFonts w:hint="eastAsia"/>
        </w:rPr>
        <w:t>31.130</w:t>
      </w:r>
      <w:r w:rsidRPr="003B6B9A">
        <w:t>，較</w:t>
      </w:r>
      <w:r w:rsidRPr="003B6B9A">
        <w:rPr>
          <w:rFonts w:hint="eastAsia"/>
        </w:rPr>
        <w:t>上</w:t>
      </w:r>
      <w:r w:rsidRPr="003B6B9A">
        <w:t>月匯率</w:t>
      </w:r>
      <w:r w:rsidRPr="003B6B9A">
        <w:rPr>
          <w:rFonts w:hint="eastAsia"/>
        </w:rPr>
        <w:t>31.526</w:t>
      </w:r>
      <w:r w:rsidRPr="003B6B9A">
        <w:rPr>
          <w:rFonts w:hint="eastAsia"/>
        </w:rPr>
        <w:t>升值</w:t>
      </w:r>
      <w:r w:rsidRPr="003B6B9A">
        <w:rPr>
          <w:rFonts w:hint="eastAsia"/>
        </w:rPr>
        <w:t>1.27%</w:t>
      </w:r>
      <w:r w:rsidRPr="003B6B9A">
        <w:t>，較</w:t>
      </w:r>
      <w:r w:rsidRPr="003B6B9A">
        <w:rPr>
          <w:rFonts w:hint="eastAsia"/>
        </w:rPr>
        <w:t>上</w:t>
      </w:r>
      <w:r w:rsidRPr="003B6B9A">
        <w:t>年同月匯率</w:t>
      </w:r>
      <w:r w:rsidRPr="003B6B9A">
        <w:rPr>
          <w:rFonts w:hint="eastAsia"/>
        </w:rPr>
        <w:t>30.268</w:t>
      </w:r>
      <w:r w:rsidRPr="003B6B9A">
        <w:rPr>
          <w:rFonts w:hint="eastAsia"/>
        </w:rPr>
        <w:t>貶值</w:t>
      </w:r>
      <w:r w:rsidRPr="003B6B9A">
        <w:rPr>
          <w:rFonts w:hint="eastAsia"/>
        </w:rPr>
        <w:t>2.77%</w:t>
      </w:r>
      <w:r w:rsidRPr="003B6B9A">
        <w:t>。</w:t>
      </w:r>
    </w:p>
    <w:p w:rsidR="00DD297D" w:rsidRPr="007A7306" w:rsidRDefault="00DD297D" w:rsidP="004E38AF">
      <w:pPr>
        <w:pStyle w:val="k32"/>
        <w:topLinePunct/>
        <w:spacing w:beforeLines="0" w:before="120"/>
        <w:ind w:leftChars="118" w:left="283" w:rightChars="-59" w:firstLineChars="202" w:firstLine="566"/>
        <w:rPr>
          <w:color w:val="FF0000"/>
        </w:rPr>
      </w:pPr>
    </w:p>
    <w:p w:rsidR="00DD297D" w:rsidRPr="00B118E9" w:rsidRDefault="00DD297D" w:rsidP="00DD297D">
      <w:pPr>
        <w:rPr>
          <w:rFonts w:eastAsia="標楷體"/>
          <w:color w:val="FF0000"/>
        </w:rPr>
      </w:pPr>
    </w:p>
    <w:p w:rsidR="00DD297D" w:rsidRPr="00B118E9" w:rsidRDefault="00DD297D" w:rsidP="00DD297D">
      <w:pPr>
        <w:rPr>
          <w:rFonts w:eastAsia="標楷體"/>
          <w:color w:val="FF0000"/>
        </w:rPr>
      </w:pPr>
    </w:p>
    <w:p w:rsidR="00494B27" w:rsidRPr="00B118E9" w:rsidRDefault="00494B27" w:rsidP="00DD297D">
      <w:pPr>
        <w:rPr>
          <w:rFonts w:eastAsia="標楷體"/>
          <w:color w:val="FF0000"/>
        </w:rPr>
      </w:pPr>
    </w:p>
    <w:p w:rsidR="00DD297D" w:rsidRPr="00B118E9" w:rsidRDefault="00DD297D" w:rsidP="00DD297D">
      <w:pPr>
        <w:rPr>
          <w:rFonts w:eastAsia="標楷體"/>
          <w:color w:val="FF0000"/>
        </w:rPr>
      </w:pPr>
    </w:p>
    <w:p w:rsidR="00FD08C2" w:rsidRPr="003B6B9A" w:rsidRDefault="00FD08C2" w:rsidP="00FD08C2">
      <w:pPr>
        <w:pStyle w:val="t-4"/>
        <w:spacing w:before="180" w:afterLines="0" w:after="0" w:line="300" w:lineRule="auto"/>
        <w:ind w:leftChars="0" w:left="0" w:firstLineChars="0" w:firstLine="0"/>
        <w:rPr>
          <w:color w:val="auto"/>
        </w:rPr>
      </w:pPr>
      <w:bookmarkStart w:id="142" w:name="_Toc401923802"/>
      <w:bookmarkStart w:id="143" w:name="_Toc402171719"/>
      <w:r w:rsidRPr="003B6B9A">
        <w:rPr>
          <w:color w:val="auto"/>
        </w:rPr>
        <w:t>５、</w:t>
      </w:r>
      <w:r w:rsidRPr="003B6B9A">
        <w:rPr>
          <w:color w:val="auto"/>
        </w:rPr>
        <w:t>10</w:t>
      </w:r>
      <w:r w:rsidRPr="003B6B9A">
        <w:rPr>
          <w:rFonts w:hint="eastAsia"/>
          <w:color w:val="auto"/>
        </w:rPr>
        <w:t>4</w:t>
      </w:r>
      <w:r w:rsidRPr="003B6B9A">
        <w:rPr>
          <w:color w:val="auto"/>
        </w:rPr>
        <w:t>年</w:t>
      </w:r>
      <w:r w:rsidRPr="003B6B9A">
        <w:rPr>
          <w:rFonts w:hint="eastAsia"/>
          <w:color w:val="auto"/>
        </w:rPr>
        <w:t>4</w:t>
      </w:r>
      <w:r w:rsidRPr="003B6B9A">
        <w:rPr>
          <w:color w:val="auto"/>
        </w:rPr>
        <w:t>月底外匯存底為</w:t>
      </w:r>
      <w:r w:rsidRPr="003B6B9A">
        <w:rPr>
          <w:color w:val="auto"/>
        </w:rPr>
        <w:t>4,</w:t>
      </w:r>
      <w:r w:rsidRPr="003B6B9A">
        <w:rPr>
          <w:rFonts w:hint="eastAsia"/>
          <w:color w:val="auto"/>
        </w:rPr>
        <w:t>181.74</w:t>
      </w:r>
      <w:r w:rsidRPr="003B6B9A">
        <w:rPr>
          <w:color w:val="auto"/>
        </w:rPr>
        <w:t>美元</w:t>
      </w:r>
    </w:p>
    <w:p w:rsidR="00FD08C2" w:rsidRPr="003B6B9A" w:rsidRDefault="00FD08C2"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r w:rsidRPr="003B6B9A">
        <w:rPr>
          <w:rFonts w:eastAsia="標楷體"/>
          <w:noProof/>
          <w:sz w:val="28"/>
          <w:szCs w:val="28"/>
        </w:rPr>
        <w:drawing>
          <wp:anchor distT="0" distB="0" distL="114300" distR="114300" simplePos="0" relativeHeight="252137984" behindDoc="1" locked="0" layoutInCell="1" allowOverlap="1" wp14:anchorId="7DF169D0" wp14:editId="31755D5B">
            <wp:simplePos x="0" y="0"/>
            <wp:positionH relativeFrom="column">
              <wp:posOffset>2497455</wp:posOffset>
            </wp:positionH>
            <wp:positionV relativeFrom="paragraph">
              <wp:posOffset>88900</wp:posOffset>
            </wp:positionV>
            <wp:extent cx="3569970" cy="2743200"/>
            <wp:effectExtent l="0" t="0" r="0" b="0"/>
            <wp:wrapSquare wrapText="bothSides"/>
            <wp:docPr id="495" name="圖表 49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Pr="003B6B9A">
        <w:rPr>
          <w:rFonts w:eastAsia="標楷體" w:hint="eastAsia"/>
          <w:sz w:val="28"/>
          <w:szCs w:val="28"/>
        </w:rPr>
        <w:t>104</w:t>
      </w:r>
      <w:r w:rsidRPr="003B6B9A">
        <w:rPr>
          <w:rFonts w:eastAsia="標楷體" w:hint="eastAsia"/>
          <w:sz w:val="28"/>
          <w:szCs w:val="28"/>
        </w:rPr>
        <w:t>年</w:t>
      </w:r>
      <w:r w:rsidRPr="003B6B9A">
        <w:rPr>
          <w:rFonts w:eastAsia="標楷體" w:hint="eastAsia"/>
          <w:sz w:val="28"/>
          <w:szCs w:val="28"/>
        </w:rPr>
        <w:t>4</w:t>
      </w:r>
      <w:r w:rsidRPr="003B6B9A">
        <w:rPr>
          <w:rFonts w:eastAsia="標楷體" w:hint="eastAsia"/>
          <w:sz w:val="28"/>
          <w:szCs w:val="28"/>
        </w:rPr>
        <w:t>月底，我國外匯存底金額為</w:t>
      </w:r>
      <w:r w:rsidRPr="003B6B9A">
        <w:rPr>
          <w:rFonts w:eastAsia="標楷體"/>
          <w:sz w:val="28"/>
          <w:szCs w:val="28"/>
        </w:rPr>
        <w:t>4,</w:t>
      </w:r>
      <w:r w:rsidRPr="003B6B9A">
        <w:rPr>
          <w:rFonts w:eastAsia="標楷體" w:hint="eastAsia"/>
          <w:sz w:val="28"/>
          <w:szCs w:val="28"/>
        </w:rPr>
        <w:t>181.74</w:t>
      </w:r>
      <w:r w:rsidRPr="003B6B9A">
        <w:rPr>
          <w:rFonts w:eastAsia="標楷體" w:hint="eastAsia"/>
          <w:sz w:val="28"/>
          <w:szCs w:val="28"/>
        </w:rPr>
        <w:t>億美元，較上月底增加</w:t>
      </w:r>
      <w:r w:rsidRPr="003B6B9A">
        <w:rPr>
          <w:rFonts w:eastAsia="標楷體" w:hint="eastAsia"/>
          <w:sz w:val="28"/>
          <w:szCs w:val="28"/>
        </w:rPr>
        <w:t>34.85</w:t>
      </w:r>
      <w:r w:rsidRPr="003B6B9A">
        <w:rPr>
          <w:rFonts w:eastAsia="標楷體" w:hint="eastAsia"/>
          <w:sz w:val="28"/>
          <w:szCs w:val="28"/>
        </w:rPr>
        <w:t>億美元，主要係因</w:t>
      </w:r>
      <w:r w:rsidRPr="003B6B9A">
        <w:rPr>
          <w:rFonts w:eastAsia="標楷體"/>
          <w:sz w:val="28"/>
          <w:szCs w:val="28"/>
        </w:rPr>
        <w:t>歐元等貨幣對美元</w:t>
      </w:r>
      <w:r w:rsidRPr="003B6B9A">
        <w:rPr>
          <w:rFonts w:eastAsia="標楷體" w:hint="eastAsia"/>
          <w:sz w:val="28"/>
          <w:szCs w:val="28"/>
        </w:rPr>
        <w:t>升值</w:t>
      </w:r>
      <w:r w:rsidRPr="003B6B9A">
        <w:rPr>
          <w:rFonts w:eastAsia="標楷體"/>
          <w:sz w:val="28"/>
          <w:szCs w:val="28"/>
        </w:rPr>
        <w:t>，以該等貨幣持有之外匯折計美元後</w:t>
      </w:r>
      <w:r w:rsidRPr="003B6B9A">
        <w:rPr>
          <w:rFonts w:eastAsia="標楷體" w:hint="eastAsia"/>
          <w:sz w:val="28"/>
          <w:szCs w:val="28"/>
        </w:rPr>
        <w:t>金額增加所致。</w:t>
      </w:r>
    </w:p>
    <w:p w:rsidR="00FD08C2" w:rsidRPr="003B6B9A" w:rsidRDefault="00FD08C2" w:rsidP="00FD08C2">
      <w:pPr>
        <w:widowControl/>
        <w:spacing w:after="120" w:line="384" w:lineRule="auto"/>
        <w:rPr>
          <w:rFonts w:ascii="Arial" w:hAnsi="Arial" w:cs="Arial"/>
          <w:kern w:val="0"/>
        </w:rPr>
      </w:pPr>
    </w:p>
    <w:p w:rsidR="00FD08C2" w:rsidRPr="003B6B9A" w:rsidRDefault="00FD08C2"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FD08C2" w:rsidRPr="003B6B9A" w:rsidRDefault="00FD08C2"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FD08C2" w:rsidRPr="003B6B9A" w:rsidRDefault="00FD08C2" w:rsidP="00FD08C2">
      <w:pPr>
        <w:pStyle w:val="k32"/>
        <w:topLinePunct/>
        <w:spacing w:beforeLines="100" w:before="360"/>
        <w:ind w:left="0" w:rightChars="-59" w:firstLineChars="0" w:firstLine="0"/>
        <w:rPr>
          <w:b/>
          <w:bCs/>
        </w:rPr>
      </w:pPr>
      <w:r w:rsidRPr="003B6B9A">
        <w:rPr>
          <w:b/>
          <w:bCs/>
        </w:rPr>
        <w:t>６、</w:t>
      </w:r>
      <w:r w:rsidRPr="003B6B9A">
        <w:rPr>
          <w:b/>
          <w:bCs/>
        </w:rPr>
        <w:t>10</w:t>
      </w:r>
      <w:r w:rsidRPr="003B6B9A">
        <w:rPr>
          <w:rFonts w:hint="eastAsia"/>
          <w:b/>
          <w:bCs/>
        </w:rPr>
        <w:t>4</w:t>
      </w:r>
      <w:r w:rsidRPr="003B6B9A">
        <w:rPr>
          <w:b/>
          <w:bCs/>
        </w:rPr>
        <w:t>年</w:t>
      </w:r>
      <w:r w:rsidRPr="003B6B9A">
        <w:rPr>
          <w:rFonts w:hint="eastAsia"/>
          <w:b/>
          <w:bCs/>
        </w:rPr>
        <w:t>4</w:t>
      </w:r>
      <w:r w:rsidRPr="003B6B9A">
        <w:rPr>
          <w:b/>
          <w:bCs/>
        </w:rPr>
        <w:t>月臺灣加權股價平均收盤指數為</w:t>
      </w:r>
      <w:r w:rsidRPr="003B6B9A">
        <w:rPr>
          <w:rFonts w:hint="eastAsia"/>
          <w:b/>
          <w:bCs/>
        </w:rPr>
        <w:t>9</w:t>
      </w:r>
      <w:r w:rsidRPr="003B6B9A">
        <w:rPr>
          <w:b/>
          <w:bCs/>
        </w:rPr>
        <w:t>,</w:t>
      </w:r>
      <w:r w:rsidRPr="003B6B9A">
        <w:rPr>
          <w:rFonts w:hint="eastAsia"/>
          <w:b/>
          <w:bCs/>
        </w:rPr>
        <w:t>679.93</w:t>
      </w:r>
    </w:p>
    <w:p w:rsidR="00FD08C2" w:rsidRPr="003B6B9A" w:rsidRDefault="00FD08C2" w:rsidP="00FD08C2">
      <w:pPr>
        <w:pStyle w:val="k32"/>
        <w:topLinePunct/>
        <w:ind w:leftChars="118" w:left="283" w:rightChars="-59" w:firstLineChars="202" w:firstLine="566"/>
      </w:pPr>
      <w:r w:rsidRPr="003B6B9A">
        <w:rPr>
          <w:rFonts w:hint="eastAsia"/>
        </w:rPr>
        <w:t>臺灣股票市場</w:t>
      </w:r>
      <w:r w:rsidRPr="003B6B9A">
        <w:rPr>
          <w:rFonts w:hint="eastAsia"/>
        </w:rPr>
        <w:t>104</w:t>
      </w:r>
      <w:r w:rsidRPr="003B6B9A">
        <w:rPr>
          <w:rFonts w:hint="eastAsia"/>
        </w:rPr>
        <w:t>年</w:t>
      </w:r>
      <w:r w:rsidRPr="003B6B9A">
        <w:rPr>
          <w:rFonts w:hint="eastAsia"/>
        </w:rPr>
        <w:t>4</w:t>
      </w:r>
      <w:r w:rsidRPr="003B6B9A">
        <w:rPr>
          <w:rFonts w:hint="eastAsia"/>
        </w:rPr>
        <w:t>月平均股價收盤指數為</w:t>
      </w:r>
      <w:r w:rsidRPr="003B6B9A">
        <w:rPr>
          <w:rFonts w:hint="eastAsia"/>
        </w:rPr>
        <w:t>9</w:t>
      </w:r>
      <w:r w:rsidRPr="003B6B9A">
        <w:t>,</w:t>
      </w:r>
      <w:r w:rsidRPr="003B6B9A">
        <w:rPr>
          <w:rFonts w:hint="eastAsia"/>
        </w:rPr>
        <w:t>679.93</w:t>
      </w:r>
      <w:r w:rsidRPr="003B6B9A">
        <w:rPr>
          <w:rFonts w:hint="eastAsia"/>
        </w:rPr>
        <w:t>，較上月平均收盤指數</w:t>
      </w:r>
      <w:r w:rsidRPr="003B6B9A">
        <w:rPr>
          <w:rFonts w:hint="eastAsia"/>
        </w:rPr>
        <w:t>9,611.30</w:t>
      </w:r>
      <w:r w:rsidRPr="003B6B9A">
        <w:rPr>
          <w:rFonts w:hint="eastAsia"/>
        </w:rPr>
        <w:t>上漲</w:t>
      </w:r>
      <w:r w:rsidRPr="003B6B9A">
        <w:rPr>
          <w:rFonts w:hint="eastAsia"/>
        </w:rPr>
        <w:t>0.71%</w:t>
      </w:r>
      <w:r w:rsidRPr="003B6B9A">
        <w:rPr>
          <w:rFonts w:hint="eastAsia"/>
        </w:rPr>
        <w:t>，較上年同月</w:t>
      </w:r>
      <w:r w:rsidRPr="003B6B9A">
        <w:rPr>
          <w:rFonts w:hint="eastAsia"/>
        </w:rPr>
        <w:t>8,900.14</w:t>
      </w:r>
      <w:r w:rsidRPr="003B6B9A">
        <w:rPr>
          <w:rFonts w:hint="eastAsia"/>
        </w:rPr>
        <w:t>上漲</w:t>
      </w:r>
      <w:r w:rsidRPr="003B6B9A">
        <w:rPr>
          <w:rFonts w:hint="eastAsia"/>
        </w:rPr>
        <w:t>8.76%</w:t>
      </w:r>
      <w:r w:rsidRPr="003B6B9A">
        <w:rPr>
          <w:rFonts w:hint="eastAsia"/>
        </w:rPr>
        <w:t>。</w:t>
      </w:r>
    </w:p>
    <w:p w:rsidR="00FD08C2" w:rsidRDefault="00FD08C2" w:rsidP="00FD08C2">
      <w:pPr>
        <w:pStyle w:val="k32"/>
        <w:topLinePunct/>
        <w:ind w:left="0" w:rightChars="-59" w:firstLineChars="0" w:firstLine="1"/>
        <w:jc w:val="center"/>
      </w:pPr>
      <w:r w:rsidRPr="003B6B9A">
        <w:rPr>
          <w:noProof/>
        </w:rPr>
        <w:drawing>
          <wp:inline distT="0" distB="0" distL="0" distR="0" wp14:anchorId="7E8B2B38" wp14:editId="3C060844">
            <wp:extent cx="5400040" cy="3000976"/>
            <wp:effectExtent l="0" t="0" r="10160" b="0"/>
            <wp:docPr id="496" name="圖表 49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FD08C2" w:rsidRDefault="00FD08C2" w:rsidP="00FD08C2">
      <w:pPr>
        <w:pStyle w:val="k32"/>
        <w:topLinePunct/>
        <w:ind w:left="0" w:rightChars="-59" w:firstLineChars="0" w:firstLine="1"/>
        <w:jc w:val="center"/>
      </w:pPr>
    </w:p>
    <w:p w:rsidR="00FD08C2" w:rsidRPr="003B6B9A" w:rsidRDefault="00FD08C2" w:rsidP="00FD08C2">
      <w:pPr>
        <w:pStyle w:val="k32"/>
        <w:topLinePunct/>
        <w:ind w:left="0" w:rightChars="-59" w:firstLineChars="0" w:firstLine="1"/>
        <w:jc w:val="center"/>
      </w:pPr>
    </w:p>
    <w:p w:rsidR="00576223" w:rsidRPr="00B118E9" w:rsidRDefault="00576223" w:rsidP="00F81704">
      <w:pPr>
        <w:pStyle w:val="t-3"/>
        <w:snapToGrid w:val="0"/>
        <w:spacing w:line="300" w:lineRule="auto"/>
        <w:ind w:right="-60"/>
      </w:pPr>
      <w:bookmarkStart w:id="144" w:name="_Toc420680044"/>
      <w:r w:rsidRPr="00B118E9">
        <w:t>（九）就業</w:t>
      </w:r>
      <w:bookmarkEnd w:id="134"/>
      <w:bookmarkEnd w:id="135"/>
      <w:bookmarkEnd w:id="136"/>
      <w:bookmarkEnd w:id="137"/>
      <w:bookmarkEnd w:id="138"/>
      <w:bookmarkEnd w:id="139"/>
      <w:bookmarkEnd w:id="140"/>
      <w:bookmarkEnd w:id="142"/>
      <w:bookmarkEnd w:id="143"/>
      <w:bookmarkEnd w:id="144"/>
    </w:p>
    <w:p w:rsidR="004B772B" w:rsidRPr="003B6B9A" w:rsidRDefault="004B772B" w:rsidP="004B772B">
      <w:pPr>
        <w:tabs>
          <w:tab w:val="left" w:pos="540"/>
        </w:tabs>
        <w:snapToGrid w:val="0"/>
        <w:spacing w:line="300" w:lineRule="auto"/>
        <w:ind w:rightChars="-136" w:right="-326"/>
        <w:rPr>
          <w:rFonts w:eastAsia="標楷體"/>
          <w:b/>
          <w:bCs/>
          <w:spacing w:val="-4"/>
          <w:sz w:val="28"/>
          <w:szCs w:val="28"/>
        </w:rPr>
      </w:pPr>
      <w:r w:rsidRPr="003B6B9A">
        <w:rPr>
          <w:rFonts w:eastAsia="標楷體"/>
          <w:b/>
          <w:bCs/>
          <w:spacing w:val="-4"/>
          <w:sz w:val="28"/>
          <w:szCs w:val="28"/>
        </w:rPr>
        <w:t>１、</w:t>
      </w:r>
      <w:r w:rsidRPr="003B6B9A">
        <w:rPr>
          <w:rFonts w:eastAsia="標楷體"/>
          <w:b/>
          <w:bCs/>
          <w:spacing w:val="-4"/>
          <w:sz w:val="28"/>
          <w:szCs w:val="28"/>
        </w:rPr>
        <w:t>104</w:t>
      </w:r>
      <w:r w:rsidRPr="003B6B9A">
        <w:rPr>
          <w:rFonts w:eastAsia="標楷體"/>
          <w:b/>
          <w:bCs/>
          <w:spacing w:val="-4"/>
          <w:sz w:val="28"/>
          <w:szCs w:val="28"/>
        </w:rPr>
        <w:t>年</w:t>
      </w:r>
      <w:r w:rsidRPr="003B6B9A">
        <w:rPr>
          <w:rFonts w:eastAsia="標楷體"/>
          <w:b/>
          <w:bCs/>
          <w:spacing w:val="-4"/>
          <w:sz w:val="28"/>
          <w:szCs w:val="28"/>
        </w:rPr>
        <w:t>4</w:t>
      </w:r>
      <w:r w:rsidRPr="003B6B9A">
        <w:rPr>
          <w:rFonts w:eastAsia="標楷體"/>
          <w:b/>
          <w:bCs/>
          <w:spacing w:val="-4"/>
          <w:sz w:val="28"/>
          <w:szCs w:val="28"/>
        </w:rPr>
        <w:t>月失業率為</w:t>
      </w:r>
      <w:r w:rsidRPr="003B6B9A">
        <w:rPr>
          <w:rFonts w:eastAsia="標楷體"/>
          <w:b/>
          <w:bCs/>
          <w:spacing w:val="-4"/>
          <w:sz w:val="28"/>
          <w:szCs w:val="28"/>
        </w:rPr>
        <w:t>3.63%</w:t>
      </w:r>
      <w:r w:rsidRPr="003B6B9A">
        <w:rPr>
          <w:rFonts w:eastAsia="標楷體"/>
          <w:b/>
          <w:bCs/>
          <w:spacing w:val="-4"/>
          <w:sz w:val="28"/>
          <w:szCs w:val="28"/>
        </w:rPr>
        <w:t>，較上年同月下降</w:t>
      </w:r>
      <w:r w:rsidRPr="003B6B9A">
        <w:rPr>
          <w:rFonts w:eastAsia="標楷體"/>
          <w:b/>
          <w:bCs/>
          <w:spacing w:val="-4"/>
          <w:sz w:val="28"/>
          <w:szCs w:val="28"/>
        </w:rPr>
        <w:t>0.28</w:t>
      </w:r>
      <w:r w:rsidRPr="003B6B9A">
        <w:rPr>
          <w:rFonts w:eastAsia="標楷體"/>
          <w:b/>
          <w:bCs/>
          <w:spacing w:val="-4"/>
          <w:sz w:val="28"/>
          <w:szCs w:val="28"/>
        </w:rPr>
        <w:t>個百分點</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－勞動力為</w:t>
      </w:r>
      <w:r w:rsidRPr="003B6B9A">
        <w:rPr>
          <w:rFonts w:eastAsia="標楷體"/>
          <w:sz w:val="28"/>
          <w:szCs w:val="28"/>
        </w:rPr>
        <w:t>1,159.1</w:t>
      </w:r>
      <w:r w:rsidRPr="003B6B9A">
        <w:rPr>
          <w:rFonts w:eastAsia="標楷體"/>
          <w:sz w:val="28"/>
          <w:szCs w:val="28"/>
        </w:rPr>
        <w:t>萬人，較上年同月增加</w:t>
      </w:r>
      <w:r w:rsidRPr="003B6B9A">
        <w:rPr>
          <w:rFonts w:eastAsia="標楷體"/>
          <w:sz w:val="28"/>
          <w:szCs w:val="28"/>
        </w:rPr>
        <w:t>0.89%</w:t>
      </w:r>
      <w:r w:rsidRPr="003B6B9A">
        <w:rPr>
          <w:rFonts w:eastAsia="標楷體"/>
          <w:sz w:val="28"/>
          <w:szCs w:val="28"/>
        </w:rPr>
        <w:t>；勞動力參與率為</w:t>
      </w:r>
      <w:r w:rsidRPr="003B6B9A">
        <w:rPr>
          <w:rFonts w:eastAsia="標楷體"/>
          <w:sz w:val="28"/>
          <w:szCs w:val="28"/>
        </w:rPr>
        <w:t>58.51%</w:t>
      </w:r>
      <w:r w:rsidRPr="003B6B9A">
        <w:rPr>
          <w:rFonts w:eastAsia="標楷體"/>
          <w:sz w:val="28"/>
          <w:szCs w:val="28"/>
        </w:rPr>
        <w:t>，較上年同月上升</w:t>
      </w:r>
      <w:r w:rsidRPr="003B6B9A">
        <w:rPr>
          <w:rFonts w:eastAsia="標楷體"/>
          <w:sz w:val="28"/>
          <w:szCs w:val="28"/>
        </w:rPr>
        <w:t>0.12</w:t>
      </w:r>
      <w:r w:rsidRPr="003B6B9A">
        <w:rPr>
          <w:rFonts w:eastAsia="標楷體"/>
          <w:sz w:val="28"/>
          <w:szCs w:val="28"/>
        </w:rPr>
        <w:t>個百分點。</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－就業人數為</w:t>
      </w:r>
      <w:r w:rsidRPr="003B6B9A">
        <w:rPr>
          <w:rFonts w:eastAsia="標楷體"/>
          <w:sz w:val="28"/>
          <w:szCs w:val="28"/>
        </w:rPr>
        <w:t>1,117.0</w:t>
      </w:r>
      <w:r w:rsidRPr="003B6B9A">
        <w:rPr>
          <w:rFonts w:eastAsia="標楷體"/>
          <w:sz w:val="28"/>
          <w:szCs w:val="28"/>
        </w:rPr>
        <w:t>萬人，較上年同月增加</w:t>
      </w:r>
      <w:r w:rsidRPr="003B6B9A">
        <w:rPr>
          <w:rFonts w:eastAsia="標楷體"/>
          <w:sz w:val="28"/>
          <w:szCs w:val="28"/>
        </w:rPr>
        <w:t>1.18%</w:t>
      </w:r>
      <w:r w:rsidRPr="003B6B9A">
        <w:rPr>
          <w:rFonts w:eastAsia="標楷體"/>
          <w:sz w:val="28"/>
          <w:szCs w:val="28"/>
        </w:rPr>
        <w:t>。</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－失業人數為</w:t>
      </w:r>
      <w:r w:rsidRPr="003B6B9A">
        <w:rPr>
          <w:rFonts w:eastAsia="標楷體"/>
          <w:sz w:val="28"/>
          <w:szCs w:val="28"/>
        </w:rPr>
        <w:t>42.1</w:t>
      </w:r>
      <w:r w:rsidRPr="003B6B9A">
        <w:rPr>
          <w:rFonts w:eastAsia="標楷體"/>
          <w:sz w:val="28"/>
          <w:szCs w:val="28"/>
        </w:rPr>
        <w:t>萬人，失業率為</w:t>
      </w:r>
      <w:r w:rsidRPr="003B6B9A">
        <w:rPr>
          <w:rFonts w:eastAsia="標楷體"/>
          <w:sz w:val="28"/>
          <w:szCs w:val="28"/>
        </w:rPr>
        <w:t>3.63%</w:t>
      </w:r>
      <w:r w:rsidRPr="003B6B9A">
        <w:rPr>
          <w:rFonts w:eastAsia="標楷體"/>
          <w:sz w:val="28"/>
          <w:szCs w:val="28"/>
        </w:rPr>
        <w:t>，較上年同月下降</w:t>
      </w:r>
      <w:r w:rsidRPr="003B6B9A">
        <w:rPr>
          <w:rFonts w:eastAsia="標楷體"/>
          <w:sz w:val="28"/>
          <w:szCs w:val="28"/>
        </w:rPr>
        <w:t>0.28</w:t>
      </w:r>
      <w:r w:rsidRPr="003B6B9A">
        <w:rPr>
          <w:rFonts w:eastAsia="標楷體"/>
          <w:sz w:val="28"/>
          <w:szCs w:val="28"/>
        </w:rPr>
        <w:t>個百分點。</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－就業結構：農業</w:t>
      </w:r>
      <w:r w:rsidRPr="003B6B9A">
        <w:rPr>
          <w:rFonts w:eastAsia="標楷體"/>
          <w:sz w:val="28"/>
          <w:szCs w:val="28"/>
        </w:rPr>
        <w:t>55.4</w:t>
      </w:r>
      <w:r w:rsidRPr="003B6B9A">
        <w:rPr>
          <w:rFonts w:eastAsia="標楷體"/>
          <w:sz w:val="28"/>
          <w:szCs w:val="28"/>
        </w:rPr>
        <w:t>萬人</w:t>
      </w:r>
      <w:r w:rsidRPr="003B6B9A">
        <w:rPr>
          <w:rFonts w:eastAsia="標楷體"/>
          <w:sz w:val="28"/>
          <w:szCs w:val="28"/>
        </w:rPr>
        <w:t>(</w:t>
      </w:r>
      <w:r w:rsidRPr="003B6B9A">
        <w:rPr>
          <w:rFonts w:eastAsia="標楷體"/>
          <w:sz w:val="28"/>
          <w:szCs w:val="28"/>
        </w:rPr>
        <w:t>占</w:t>
      </w:r>
      <w:r w:rsidRPr="003B6B9A">
        <w:rPr>
          <w:rFonts w:eastAsia="標楷體"/>
          <w:sz w:val="28"/>
          <w:szCs w:val="28"/>
        </w:rPr>
        <w:t>4.96%)</w:t>
      </w:r>
      <w:r w:rsidRPr="003B6B9A">
        <w:rPr>
          <w:rFonts w:eastAsia="標楷體"/>
          <w:sz w:val="28"/>
          <w:szCs w:val="28"/>
        </w:rPr>
        <w:t>，工業</w:t>
      </w:r>
      <w:r w:rsidRPr="003B6B9A">
        <w:rPr>
          <w:rFonts w:eastAsia="標楷體"/>
          <w:sz w:val="28"/>
          <w:szCs w:val="28"/>
        </w:rPr>
        <w:t>403.1</w:t>
      </w:r>
      <w:r w:rsidRPr="003B6B9A">
        <w:rPr>
          <w:rFonts w:eastAsia="標楷體"/>
          <w:sz w:val="28"/>
          <w:szCs w:val="28"/>
        </w:rPr>
        <w:t>萬人</w:t>
      </w:r>
      <w:r w:rsidRPr="003B6B9A">
        <w:rPr>
          <w:rFonts w:eastAsia="標楷體"/>
          <w:sz w:val="28"/>
          <w:szCs w:val="28"/>
        </w:rPr>
        <w:t>(</w:t>
      </w:r>
      <w:r w:rsidRPr="003B6B9A">
        <w:rPr>
          <w:rFonts w:eastAsia="標楷體"/>
          <w:sz w:val="28"/>
          <w:szCs w:val="28"/>
        </w:rPr>
        <w:t>占</w:t>
      </w:r>
      <w:r w:rsidRPr="003B6B9A">
        <w:rPr>
          <w:rFonts w:eastAsia="標楷體"/>
          <w:sz w:val="28"/>
          <w:szCs w:val="28"/>
        </w:rPr>
        <w:t>36.09%)</w:t>
      </w:r>
      <w:r w:rsidRPr="003B6B9A">
        <w:rPr>
          <w:rFonts w:eastAsia="標楷體"/>
          <w:sz w:val="28"/>
          <w:szCs w:val="28"/>
        </w:rPr>
        <w:t>，服務業</w:t>
      </w:r>
      <w:r w:rsidRPr="003B6B9A">
        <w:rPr>
          <w:rFonts w:eastAsia="標楷體"/>
          <w:sz w:val="28"/>
          <w:szCs w:val="28"/>
        </w:rPr>
        <w:t>658.5</w:t>
      </w:r>
      <w:r w:rsidRPr="003B6B9A">
        <w:rPr>
          <w:rFonts w:eastAsia="標楷體"/>
          <w:sz w:val="28"/>
          <w:szCs w:val="28"/>
        </w:rPr>
        <w:t>萬人</w:t>
      </w:r>
      <w:r w:rsidRPr="003B6B9A">
        <w:rPr>
          <w:rFonts w:eastAsia="標楷體"/>
          <w:sz w:val="28"/>
          <w:szCs w:val="28"/>
        </w:rPr>
        <w:t>(</w:t>
      </w:r>
      <w:r w:rsidRPr="003B6B9A">
        <w:rPr>
          <w:rFonts w:eastAsia="標楷體"/>
          <w:sz w:val="28"/>
          <w:szCs w:val="28"/>
        </w:rPr>
        <w:t>占</w:t>
      </w:r>
      <w:r w:rsidRPr="003B6B9A">
        <w:rPr>
          <w:rFonts w:eastAsia="標楷體"/>
          <w:sz w:val="28"/>
          <w:szCs w:val="28"/>
        </w:rPr>
        <w:t>58.96%)</w:t>
      </w:r>
      <w:r w:rsidRPr="003B6B9A">
        <w:rPr>
          <w:rFonts w:eastAsia="標楷體"/>
          <w:sz w:val="28"/>
          <w:szCs w:val="28"/>
        </w:rPr>
        <w:t>。</w:t>
      </w:r>
    </w:p>
    <w:p w:rsidR="004B772B" w:rsidRPr="003B6B9A" w:rsidRDefault="004B772B" w:rsidP="004B772B">
      <w:pPr>
        <w:snapToGrid w:val="0"/>
        <w:spacing w:beforeLines="50" w:before="180" w:line="300" w:lineRule="auto"/>
        <w:ind w:rightChars="-511" w:right="-1226"/>
        <w:jc w:val="center"/>
        <w:rPr>
          <w:rFonts w:eastAsia="標楷體"/>
          <w:szCs w:val="28"/>
        </w:rPr>
      </w:pPr>
      <w:r w:rsidRPr="003B6B9A">
        <w:rPr>
          <w:rFonts w:eastAsia="標楷體"/>
          <w:b/>
          <w:bCs/>
          <w:sz w:val="28"/>
        </w:rPr>
        <w:t>表</w:t>
      </w:r>
      <w:r w:rsidRPr="003B6B9A">
        <w:rPr>
          <w:rFonts w:eastAsia="標楷體"/>
          <w:b/>
          <w:bCs/>
          <w:sz w:val="28"/>
        </w:rPr>
        <w:t xml:space="preserve"> 2-9-1  </w:t>
      </w:r>
      <w:r w:rsidRPr="003B6B9A">
        <w:rPr>
          <w:rFonts w:eastAsia="標楷體"/>
          <w:b/>
          <w:bCs/>
          <w:sz w:val="28"/>
        </w:rPr>
        <w:t>就業市場相關指標</w:t>
      </w:r>
      <w:r w:rsidRPr="003B6B9A">
        <w:rPr>
          <w:rFonts w:eastAsia="標楷體"/>
          <w:b/>
          <w:bCs/>
          <w:sz w:val="28"/>
        </w:rPr>
        <w:t xml:space="preserve"> </w:t>
      </w:r>
    </w:p>
    <w:tbl>
      <w:tblPr>
        <w:tblW w:w="9715" w:type="dxa"/>
        <w:jc w:val="center"/>
        <w:tblInd w:w="-141" w:type="dxa"/>
        <w:tblBorders>
          <w:top w:val="single" w:sz="4" w:space="0" w:color="auto"/>
          <w:bottom w:val="single" w:sz="4" w:space="0" w:color="auto"/>
          <w:insideH w:val="single" w:sz="4" w:space="0" w:color="auto"/>
        </w:tblBorders>
        <w:tblCellMar>
          <w:left w:w="0" w:type="dxa"/>
          <w:right w:w="0" w:type="dxa"/>
        </w:tblCellMar>
        <w:tblLook w:val="0000" w:firstRow="0" w:lastRow="0" w:firstColumn="0" w:lastColumn="0" w:noHBand="0" w:noVBand="0"/>
      </w:tblPr>
      <w:tblGrid>
        <w:gridCol w:w="1514"/>
        <w:gridCol w:w="633"/>
        <w:gridCol w:w="726"/>
        <w:gridCol w:w="624"/>
        <w:gridCol w:w="684"/>
        <w:gridCol w:w="542"/>
        <w:gridCol w:w="651"/>
        <w:gridCol w:w="742"/>
        <w:gridCol w:w="655"/>
        <w:gridCol w:w="712"/>
        <w:gridCol w:w="26"/>
        <w:gridCol w:w="722"/>
        <w:gridCol w:w="742"/>
        <w:gridCol w:w="742"/>
      </w:tblGrid>
      <w:tr w:rsidR="004B772B" w:rsidRPr="003B6B9A" w:rsidTr="001040FB">
        <w:trPr>
          <w:cantSplit/>
          <w:jc w:val="center"/>
        </w:trPr>
        <w:tc>
          <w:tcPr>
            <w:tcW w:w="1514" w:type="dxa"/>
            <w:vMerge w:val="restart"/>
            <w:tcBorders>
              <w:right w:val="single" w:sz="4" w:space="0" w:color="auto"/>
            </w:tcBorders>
            <w:vAlign w:val="center"/>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年</w:t>
            </w:r>
            <w:r w:rsidRPr="003B6B9A">
              <w:rPr>
                <w:rFonts w:eastAsia="標楷體"/>
                <w:spacing w:val="-20"/>
              </w:rPr>
              <w:t>(</w:t>
            </w:r>
            <w:r w:rsidRPr="003B6B9A">
              <w:rPr>
                <w:rFonts w:eastAsia="標楷體"/>
                <w:spacing w:val="-20"/>
              </w:rPr>
              <w:t>月</w:t>
            </w:r>
            <w:r w:rsidRPr="003B6B9A">
              <w:rPr>
                <w:rFonts w:eastAsia="標楷體"/>
                <w:spacing w:val="-20"/>
              </w:rPr>
              <w:t>)</w:t>
            </w:r>
          </w:p>
        </w:tc>
        <w:tc>
          <w:tcPr>
            <w:tcW w:w="1983" w:type="dxa"/>
            <w:gridSpan w:val="3"/>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勞動力</w:t>
            </w:r>
            <w:r w:rsidRPr="003B6B9A">
              <w:rPr>
                <w:rFonts w:eastAsia="標楷體"/>
                <w:spacing w:val="-20"/>
              </w:rPr>
              <w:t>(</w:t>
            </w:r>
            <w:r w:rsidRPr="003B6B9A">
              <w:rPr>
                <w:rFonts w:eastAsia="標楷體"/>
                <w:spacing w:val="-20"/>
              </w:rPr>
              <w:t>萬人</w:t>
            </w:r>
            <w:r w:rsidRPr="003B6B9A">
              <w:rPr>
                <w:rFonts w:eastAsia="標楷體"/>
                <w:spacing w:val="-20"/>
              </w:rPr>
              <w:t>)</w:t>
            </w:r>
          </w:p>
        </w:tc>
        <w:tc>
          <w:tcPr>
            <w:tcW w:w="684" w:type="dxa"/>
            <w:vMerge w:val="restart"/>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勞動力參與率</w:t>
            </w:r>
            <w:r w:rsidRPr="003B6B9A">
              <w:rPr>
                <w:rFonts w:eastAsia="標楷體"/>
                <w:spacing w:val="-20"/>
              </w:rPr>
              <w:t>(%)</w:t>
            </w:r>
          </w:p>
        </w:tc>
        <w:tc>
          <w:tcPr>
            <w:tcW w:w="2590" w:type="dxa"/>
            <w:gridSpan w:val="4"/>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就業者結構</w:t>
            </w:r>
            <w:r w:rsidRPr="003B6B9A">
              <w:rPr>
                <w:rFonts w:eastAsia="標楷體"/>
                <w:spacing w:val="-20"/>
              </w:rPr>
              <w:t xml:space="preserve"> (</w:t>
            </w:r>
            <w:r w:rsidRPr="003B6B9A">
              <w:rPr>
                <w:rFonts w:eastAsia="標楷體"/>
                <w:spacing w:val="-20"/>
                <w:szCs w:val="28"/>
              </w:rPr>
              <w:t>萬人</w:t>
            </w:r>
            <w:r w:rsidRPr="003B6B9A">
              <w:rPr>
                <w:rFonts w:eastAsia="標楷體"/>
                <w:spacing w:val="-20"/>
              </w:rPr>
              <w:t>)</w:t>
            </w:r>
          </w:p>
        </w:tc>
        <w:tc>
          <w:tcPr>
            <w:tcW w:w="712"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失業率</w:t>
            </w:r>
          </w:p>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w:t>
            </w:r>
          </w:p>
        </w:tc>
        <w:tc>
          <w:tcPr>
            <w:tcW w:w="2232" w:type="dxa"/>
            <w:gridSpan w:val="4"/>
            <w:tcBorders>
              <w:lef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失業率按年齡分</w:t>
            </w:r>
            <w:r w:rsidRPr="003B6B9A">
              <w:rPr>
                <w:rFonts w:eastAsia="標楷體"/>
                <w:spacing w:val="-20"/>
              </w:rPr>
              <w:t>(%)</w:t>
            </w:r>
          </w:p>
        </w:tc>
      </w:tr>
      <w:tr w:rsidR="004B772B" w:rsidRPr="003B6B9A" w:rsidTr="001040FB">
        <w:trPr>
          <w:cantSplit/>
          <w:trHeight w:val="134"/>
          <w:jc w:val="center"/>
        </w:trPr>
        <w:tc>
          <w:tcPr>
            <w:tcW w:w="1514" w:type="dxa"/>
            <w:vMerge/>
            <w:tcBorders>
              <w:right w:val="single" w:sz="4" w:space="0" w:color="auto"/>
            </w:tcBorders>
          </w:tcPr>
          <w:p w:rsidR="004B772B" w:rsidRPr="003B6B9A" w:rsidRDefault="004B772B" w:rsidP="001040FB">
            <w:pPr>
              <w:snapToGrid w:val="0"/>
              <w:spacing w:line="320" w:lineRule="exact"/>
              <w:rPr>
                <w:rFonts w:eastAsia="標楷體"/>
                <w:b/>
                <w:bCs/>
                <w:spacing w:val="-20"/>
              </w:rPr>
            </w:pPr>
          </w:p>
        </w:tc>
        <w:tc>
          <w:tcPr>
            <w:tcW w:w="633"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合計</w:t>
            </w:r>
          </w:p>
        </w:tc>
        <w:tc>
          <w:tcPr>
            <w:tcW w:w="726"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就業者</w:t>
            </w:r>
          </w:p>
        </w:tc>
        <w:tc>
          <w:tcPr>
            <w:tcW w:w="624"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失業者</w:t>
            </w:r>
          </w:p>
        </w:tc>
        <w:tc>
          <w:tcPr>
            <w:tcW w:w="684" w:type="dxa"/>
            <w:vMerge/>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p>
        </w:tc>
        <w:tc>
          <w:tcPr>
            <w:tcW w:w="542"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農業</w:t>
            </w:r>
          </w:p>
        </w:tc>
        <w:tc>
          <w:tcPr>
            <w:tcW w:w="651" w:type="dxa"/>
            <w:vMerge w:val="restart"/>
            <w:tcBorders>
              <w:left w:val="single" w:sz="4" w:space="0" w:color="auto"/>
              <w:right w:val="nil"/>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工業</w:t>
            </w:r>
          </w:p>
        </w:tc>
        <w:tc>
          <w:tcPr>
            <w:tcW w:w="742" w:type="dxa"/>
            <w:tcBorders>
              <w:left w:val="nil"/>
              <w:right w:val="single" w:sz="4" w:space="0" w:color="auto"/>
            </w:tcBorders>
          </w:tcPr>
          <w:p w:rsidR="004B772B" w:rsidRPr="003B6B9A" w:rsidRDefault="004B772B" w:rsidP="001040FB">
            <w:pPr>
              <w:snapToGrid w:val="0"/>
              <w:spacing w:line="240" w:lineRule="exact"/>
              <w:jc w:val="center"/>
              <w:rPr>
                <w:rFonts w:eastAsia="標楷體"/>
                <w:b/>
                <w:bCs/>
                <w:spacing w:val="-20"/>
              </w:rPr>
            </w:pPr>
          </w:p>
        </w:tc>
        <w:tc>
          <w:tcPr>
            <w:tcW w:w="655"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服務業</w:t>
            </w:r>
          </w:p>
        </w:tc>
        <w:tc>
          <w:tcPr>
            <w:tcW w:w="712" w:type="dxa"/>
            <w:vMerge/>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p>
        </w:tc>
        <w:tc>
          <w:tcPr>
            <w:tcW w:w="748" w:type="dxa"/>
            <w:gridSpan w:val="2"/>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15-24</w:t>
            </w:r>
            <w:r w:rsidRPr="003B6B9A">
              <w:rPr>
                <w:rFonts w:eastAsia="標楷體"/>
                <w:spacing w:val="-20"/>
              </w:rPr>
              <w:t>歲</w:t>
            </w:r>
          </w:p>
        </w:tc>
        <w:tc>
          <w:tcPr>
            <w:tcW w:w="742"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25-44</w:t>
            </w:r>
            <w:r w:rsidRPr="003B6B9A">
              <w:rPr>
                <w:rFonts w:eastAsia="標楷體"/>
                <w:spacing w:val="-20"/>
              </w:rPr>
              <w:t>歲</w:t>
            </w:r>
          </w:p>
        </w:tc>
        <w:tc>
          <w:tcPr>
            <w:tcW w:w="742" w:type="dxa"/>
            <w:vMerge w:val="restart"/>
            <w:tcBorders>
              <w:lef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45-64</w:t>
            </w:r>
            <w:r w:rsidRPr="003B6B9A">
              <w:rPr>
                <w:rFonts w:eastAsia="標楷體"/>
                <w:spacing w:val="-20"/>
              </w:rPr>
              <w:t>歲</w:t>
            </w:r>
          </w:p>
        </w:tc>
      </w:tr>
      <w:tr w:rsidR="004B772B" w:rsidRPr="003B6B9A" w:rsidTr="001040FB">
        <w:trPr>
          <w:cantSplit/>
          <w:jc w:val="center"/>
        </w:trPr>
        <w:tc>
          <w:tcPr>
            <w:tcW w:w="1514" w:type="dxa"/>
            <w:vMerge/>
            <w:tcBorders>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633"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726"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624"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684"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542"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651"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742" w:type="dxa"/>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製造業</w:t>
            </w:r>
          </w:p>
        </w:tc>
        <w:tc>
          <w:tcPr>
            <w:tcW w:w="655"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712"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748" w:type="dxa"/>
            <w:gridSpan w:val="2"/>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742"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742" w:type="dxa"/>
            <w:vMerge/>
            <w:tcBorders>
              <w:left w:val="single" w:sz="4" w:space="0" w:color="auto"/>
              <w:bottom w:val="single" w:sz="4" w:space="0" w:color="auto"/>
            </w:tcBorders>
          </w:tcPr>
          <w:p w:rsidR="004B772B" w:rsidRPr="003B6B9A" w:rsidRDefault="004B772B" w:rsidP="001040FB">
            <w:pPr>
              <w:snapToGrid w:val="0"/>
              <w:spacing w:line="320" w:lineRule="exact"/>
              <w:jc w:val="center"/>
              <w:rPr>
                <w:rFonts w:eastAsia="標楷體"/>
                <w:spacing w:val="-20"/>
              </w:rPr>
            </w:pP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rPr>
                <w:rFonts w:eastAsia="標楷體"/>
                <w:b/>
                <w:bCs/>
              </w:rPr>
            </w:pPr>
            <w:r w:rsidRPr="003B6B9A">
              <w:rPr>
                <w:rFonts w:eastAsia="標楷體"/>
                <w:b/>
                <w:bCs/>
              </w:rPr>
              <w:t xml:space="preserve">  99</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1,107.0</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1,049.3</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57.7</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58.07</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55.0</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376.9</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286.1</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617.4</w:t>
            </w:r>
          </w:p>
        </w:tc>
        <w:tc>
          <w:tcPr>
            <w:tcW w:w="71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5.21</w:t>
            </w:r>
          </w:p>
        </w:tc>
        <w:tc>
          <w:tcPr>
            <w:tcW w:w="74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13.09</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5.35</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3.39</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both"/>
              <w:rPr>
                <w:rFonts w:eastAsia="標楷體"/>
                <w:b/>
                <w:bCs/>
              </w:rPr>
            </w:pPr>
            <w:r w:rsidRPr="003B6B9A">
              <w:rPr>
                <w:rFonts w:eastAsia="標楷體"/>
                <w:b/>
                <w:bCs/>
              </w:rPr>
              <w:t xml:space="preserve"> 100</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1,120.0</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1,070.9</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49.1</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58.17</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54.2</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389.2</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294.8</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627.5</w:t>
            </w:r>
          </w:p>
        </w:tc>
        <w:tc>
          <w:tcPr>
            <w:tcW w:w="71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4.39</w:t>
            </w:r>
          </w:p>
        </w:tc>
        <w:tc>
          <w:tcPr>
            <w:tcW w:w="74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12.47</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4.46</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2.64</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both"/>
              <w:rPr>
                <w:rFonts w:eastAsia="標楷體"/>
              </w:rPr>
            </w:pPr>
            <w:r w:rsidRPr="003B6B9A">
              <w:rPr>
                <w:rFonts w:eastAsia="標楷體"/>
                <w:b/>
                <w:bCs/>
              </w:rPr>
              <w:t xml:space="preserve"> 101</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1,134.1</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1,086.0</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48.1</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58.35</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54.4</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393.5</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297.5</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638.1</w:t>
            </w:r>
          </w:p>
        </w:tc>
        <w:tc>
          <w:tcPr>
            <w:tcW w:w="71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4.24</w:t>
            </w:r>
          </w:p>
        </w:tc>
        <w:tc>
          <w:tcPr>
            <w:tcW w:w="74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12.66</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4.38</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2.31</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ind w:firstLineChars="50" w:firstLine="120"/>
              <w:rPr>
                <w:rFonts w:eastAsia="標楷體"/>
                <w:b/>
              </w:rPr>
            </w:pPr>
            <w:r w:rsidRPr="003B6B9A">
              <w:rPr>
                <w:rFonts w:eastAsia="標楷體"/>
                <w:b/>
              </w:rPr>
              <w:t>102</w:t>
            </w:r>
            <w:r w:rsidRPr="003B6B9A">
              <w:rPr>
                <w:rFonts w:eastAsia="標楷體"/>
                <w:b/>
              </w:rPr>
              <w:t>年</w:t>
            </w:r>
          </w:p>
        </w:tc>
        <w:tc>
          <w:tcPr>
            <w:tcW w:w="633" w:type="dxa"/>
            <w:tcBorders>
              <w:top w:val="nil"/>
              <w:left w:val="single" w:sz="4" w:space="0" w:color="auto"/>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1,144.5</w:t>
            </w:r>
          </w:p>
        </w:tc>
        <w:tc>
          <w:tcPr>
            <w:tcW w:w="726"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1,096.7</w:t>
            </w:r>
          </w:p>
        </w:tc>
        <w:tc>
          <w:tcPr>
            <w:tcW w:w="624"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47.8</w:t>
            </w:r>
          </w:p>
        </w:tc>
        <w:tc>
          <w:tcPr>
            <w:tcW w:w="684"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58.43</w:t>
            </w:r>
          </w:p>
        </w:tc>
        <w:tc>
          <w:tcPr>
            <w:tcW w:w="5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54.4</w:t>
            </w:r>
          </w:p>
        </w:tc>
        <w:tc>
          <w:tcPr>
            <w:tcW w:w="651"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396.5</w:t>
            </w:r>
          </w:p>
        </w:tc>
        <w:tc>
          <w:tcPr>
            <w:tcW w:w="7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298.8</w:t>
            </w:r>
          </w:p>
        </w:tc>
        <w:tc>
          <w:tcPr>
            <w:tcW w:w="655"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645.8</w:t>
            </w:r>
          </w:p>
        </w:tc>
        <w:tc>
          <w:tcPr>
            <w:tcW w:w="71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4.18</w:t>
            </w:r>
          </w:p>
        </w:tc>
        <w:tc>
          <w:tcPr>
            <w:tcW w:w="748" w:type="dxa"/>
            <w:gridSpan w:val="2"/>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13.17</w:t>
            </w:r>
          </w:p>
        </w:tc>
        <w:tc>
          <w:tcPr>
            <w:tcW w:w="7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4.27</w:t>
            </w:r>
          </w:p>
        </w:tc>
        <w:tc>
          <w:tcPr>
            <w:tcW w:w="7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2.25</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ind w:firstLineChars="50" w:firstLine="120"/>
              <w:rPr>
                <w:rFonts w:eastAsia="標楷體"/>
              </w:rPr>
            </w:pPr>
            <w:r w:rsidRPr="003B6B9A">
              <w:rPr>
                <w:rFonts w:eastAsia="標楷體"/>
                <w:b/>
              </w:rPr>
              <w:t>103</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1,153.5</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1,107.9</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45.7</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58.54</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54.8</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400.4</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300.7</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652.6</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3.96</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12.63</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4.13</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2.09</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4</w:t>
            </w:r>
            <w:r w:rsidRPr="003B6B9A">
              <w:rPr>
                <w:rFonts w:eastAsia="標楷體"/>
              </w:rPr>
              <w:t>月</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1,148.9</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1,104.0</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44.9</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58.39</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54.7</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399.2</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300.2</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650.1</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3.91</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12.27</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4.13</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spacing w:val="-20"/>
              </w:rPr>
            </w:pPr>
            <w:r w:rsidRPr="003B6B9A">
              <w:rPr>
                <w:spacing w:val="-20"/>
              </w:rPr>
              <w:t>2.04</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5</w:t>
            </w:r>
            <w:r w:rsidRPr="003B6B9A">
              <w:rPr>
                <w:rFonts w:eastAsia="標楷體"/>
              </w:rPr>
              <w:t>月</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1,149.6</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1,105.2</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44.3</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58.39</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54.4</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399.5</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300.0</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651.4</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3.85</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11.80</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4.15</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spacing w:val="-20"/>
              </w:rPr>
            </w:pPr>
            <w:r w:rsidRPr="003B6B9A">
              <w:rPr>
                <w:spacing w:val="-20"/>
              </w:rPr>
              <w:t>1.98</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6</w:t>
            </w:r>
            <w:r w:rsidRPr="003B6B9A">
              <w:rPr>
                <w:rFonts w:eastAsia="標楷體"/>
              </w:rPr>
              <w:t>月</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1,151.3</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1,106.2</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45.1</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58.45</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54.6</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400.0</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300.6</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651.6</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3.92</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12.30</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4.15</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spacing w:val="-20"/>
              </w:rPr>
            </w:pPr>
            <w:r w:rsidRPr="003B6B9A">
              <w:rPr>
                <w:spacing w:val="-20"/>
              </w:rPr>
              <w:t>2.05</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7</w:t>
            </w:r>
            <w:r w:rsidRPr="003B6B9A">
              <w:rPr>
                <w:rFonts w:eastAsia="標楷體"/>
              </w:rPr>
              <w:t>月</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1,155.5</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1,109.1</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46.4</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58.63</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54.9</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400.8</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301.2</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653.4</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4.02</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12.83</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4.20</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spacing w:val="-20"/>
              </w:rPr>
            </w:pPr>
            <w:r w:rsidRPr="003B6B9A">
              <w:rPr>
                <w:spacing w:val="-20"/>
              </w:rPr>
              <w:t>2.08</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8</w:t>
            </w:r>
            <w:r w:rsidRPr="003B6B9A">
              <w:rPr>
                <w:rFonts w:eastAsia="標楷體"/>
              </w:rPr>
              <w:t>月</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1,158.3</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1,111.0</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47.3</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58.73</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55.0</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401.5</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301.7</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654.5</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4.08</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13.25</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4.16</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spacing w:val="-20"/>
              </w:rPr>
            </w:pPr>
            <w:r w:rsidRPr="003B6B9A">
              <w:rPr>
                <w:spacing w:val="-20"/>
              </w:rPr>
              <w:t>2.20</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9</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1,155.7</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1,109.9</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45.8</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58.57</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54.7</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401.4</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301.4</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653.8</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3.96</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12.94</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4.07</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2.10</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10</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1,157.7</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1,112.0</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45.7</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58.64</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54.9</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401.7</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301.3</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655.4</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3.95</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13.02</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4.08</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2.04</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11</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1,158.8</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1,113.7</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45.1</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58.66</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55.0</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401.9</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301.5</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656.8</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3.89</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12.79</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4.02</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2.04</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12</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1,159.0</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1,115.1</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43.9</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58.64</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55.2</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402.1</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301.7</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657.8</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3.79</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12.17</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3.97</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1.95</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ind w:firstLineChars="50" w:firstLine="120"/>
              <w:rPr>
                <w:rFonts w:eastAsia="標楷體"/>
              </w:rPr>
            </w:pPr>
            <w:r w:rsidRPr="003B6B9A">
              <w:rPr>
                <w:rFonts w:eastAsia="標楷體"/>
                <w:b/>
              </w:rPr>
              <w:t>104</w:t>
            </w:r>
            <w:r w:rsidRPr="003B6B9A">
              <w:rPr>
                <w:rFonts w:eastAsia="標楷體"/>
                <w:b/>
                <w:bCs/>
              </w:rPr>
              <w:t>年</w:t>
            </w:r>
            <w:r w:rsidRPr="003B6B9A">
              <w:rPr>
                <w:rFonts w:eastAsia="標楷體"/>
                <w:b/>
                <w:bCs/>
              </w:rPr>
              <w:t>1~4</w:t>
            </w:r>
            <w:r w:rsidRPr="003B6B9A">
              <w:rPr>
                <w:rFonts w:eastAsia="標楷體"/>
                <w:b/>
                <w:bCs/>
              </w:rPr>
              <w:t>月</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1,159.0</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1,116.3</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42.7</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58.56</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55.4</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402.7</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301.9</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658.1</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3.69</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11.69</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3.88</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1.93</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1</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1,158.9</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1,115.9</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43.0</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58.60</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55.3</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402.5</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301.9</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658.1</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3.71</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11.95</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3.89</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1.91</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2</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1,158.8</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1,116.0</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42.8</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58.56</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55.4</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402.6</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301.7</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658.1</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3.69</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11.75</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3.88</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1.93</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3</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1,159.3</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1,116.2</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43.1</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58.55</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55.6</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402.8</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302.1</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657.8</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3.72</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11.58</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3.91</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1.99</w:t>
            </w:r>
          </w:p>
        </w:tc>
      </w:tr>
      <w:tr w:rsidR="004B772B" w:rsidRPr="003B6B9A" w:rsidTr="001040FB">
        <w:trPr>
          <w:jc w:val="center"/>
        </w:trPr>
        <w:tc>
          <w:tcPr>
            <w:tcW w:w="1514" w:type="dxa"/>
            <w:tcBorders>
              <w:top w:val="nil"/>
              <w:bottom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4</w:t>
            </w:r>
            <w:r w:rsidRPr="003B6B9A">
              <w:rPr>
                <w:rFonts w:eastAsia="標楷體"/>
              </w:rPr>
              <w:t>月</w:t>
            </w:r>
          </w:p>
        </w:tc>
        <w:tc>
          <w:tcPr>
            <w:tcW w:w="633" w:type="dxa"/>
            <w:tcBorders>
              <w:top w:val="nil"/>
              <w:left w:val="single" w:sz="4" w:space="0" w:color="auto"/>
              <w:bottom w:val="single" w:sz="4" w:space="0" w:color="auto"/>
              <w:right w:val="nil"/>
            </w:tcBorders>
            <w:vAlign w:val="center"/>
          </w:tcPr>
          <w:p w:rsidR="004B772B" w:rsidRPr="003B6B9A" w:rsidRDefault="004B772B" w:rsidP="001040FB">
            <w:pPr>
              <w:snapToGrid w:val="0"/>
              <w:spacing w:line="320" w:lineRule="exact"/>
              <w:jc w:val="center"/>
              <w:rPr>
                <w:spacing w:val="-20"/>
              </w:rPr>
            </w:pPr>
            <w:r w:rsidRPr="003B6B9A">
              <w:rPr>
                <w:spacing w:val="-20"/>
              </w:rPr>
              <w:t>1,159.1</w:t>
            </w:r>
          </w:p>
        </w:tc>
        <w:tc>
          <w:tcPr>
            <w:tcW w:w="726" w:type="dxa"/>
            <w:tcBorders>
              <w:top w:val="nil"/>
              <w:left w:val="nil"/>
              <w:bottom w:val="single" w:sz="4" w:space="0" w:color="auto"/>
              <w:right w:val="nil"/>
            </w:tcBorders>
            <w:vAlign w:val="center"/>
          </w:tcPr>
          <w:p w:rsidR="004B772B" w:rsidRPr="003B6B9A" w:rsidRDefault="004B772B" w:rsidP="001040FB">
            <w:pPr>
              <w:snapToGrid w:val="0"/>
              <w:spacing w:line="320" w:lineRule="exact"/>
              <w:jc w:val="center"/>
              <w:rPr>
                <w:spacing w:val="-20"/>
              </w:rPr>
            </w:pPr>
            <w:r w:rsidRPr="003B6B9A">
              <w:rPr>
                <w:spacing w:val="-20"/>
              </w:rPr>
              <w:t>1,117.0</w:t>
            </w:r>
          </w:p>
        </w:tc>
        <w:tc>
          <w:tcPr>
            <w:tcW w:w="624" w:type="dxa"/>
            <w:tcBorders>
              <w:top w:val="nil"/>
              <w:left w:val="nil"/>
              <w:bottom w:val="single" w:sz="4" w:space="0" w:color="auto"/>
              <w:right w:val="nil"/>
            </w:tcBorders>
            <w:vAlign w:val="center"/>
          </w:tcPr>
          <w:p w:rsidR="004B772B" w:rsidRPr="003B6B9A" w:rsidRDefault="004B772B" w:rsidP="001040FB">
            <w:pPr>
              <w:snapToGrid w:val="0"/>
              <w:spacing w:line="320" w:lineRule="exact"/>
              <w:jc w:val="center"/>
              <w:rPr>
                <w:spacing w:val="-20"/>
              </w:rPr>
            </w:pPr>
            <w:r w:rsidRPr="003B6B9A">
              <w:rPr>
                <w:spacing w:val="-20"/>
              </w:rPr>
              <w:t>42.1</w:t>
            </w:r>
          </w:p>
        </w:tc>
        <w:tc>
          <w:tcPr>
            <w:tcW w:w="684" w:type="dxa"/>
            <w:tcBorders>
              <w:top w:val="nil"/>
              <w:left w:val="nil"/>
              <w:bottom w:val="single" w:sz="4" w:space="0" w:color="auto"/>
              <w:right w:val="nil"/>
            </w:tcBorders>
            <w:vAlign w:val="center"/>
          </w:tcPr>
          <w:p w:rsidR="004B772B" w:rsidRPr="003B6B9A" w:rsidRDefault="004B772B" w:rsidP="001040FB">
            <w:pPr>
              <w:snapToGrid w:val="0"/>
              <w:spacing w:line="320" w:lineRule="exact"/>
              <w:jc w:val="center"/>
              <w:rPr>
                <w:spacing w:val="-20"/>
              </w:rPr>
            </w:pPr>
            <w:r w:rsidRPr="003B6B9A">
              <w:rPr>
                <w:spacing w:val="-20"/>
              </w:rPr>
              <w:t>58.51</w:t>
            </w:r>
          </w:p>
        </w:tc>
        <w:tc>
          <w:tcPr>
            <w:tcW w:w="542" w:type="dxa"/>
            <w:tcBorders>
              <w:top w:val="nil"/>
              <w:left w:val="nil"/>
              <w:bottom w:val="single" w:sz="4" w:space="0" w:color="auto"/>
              <w:right w:val="nil"/>
            </w:tcBorders>
            <w:vAlign w:val="center"/>
          </w:tcPr>
          <w:p w:rsidR="004B772B" w:rsidRPr="003B6B9A" w:rsidRDefault="004B772B" w:rsidP="001040FB">
            <w:pPr>
              <w:snapToGrid w:val="0"/>
              <w:spacing w:line="320" w:lineRule="exact"/>
              <w:jc w:val="center"/>
              <w:rPr>
                <w:spacing w:val="-20"/>
              </w:rPr>
            </w:pPr>
            <w:r w:rsidRPr="003B6B9A">
              <w:rPr>
                <w:spacing w:val="-20"/>
              </w:rPr>
              <w:t>55.4</w:t>
            </w:r>
          </w:p>
        </w:tc>
        <w:tc>
          <w:tcPr>
            <w:tcW w:w="651" w:type="dxa"/>
            <w:tcBorders>
              <w:top w:val="nil"/>
              <w:left w:val="nil"/>
              <w:bottom w:val="single" w:sz="4" w:space="0" w:color="auto"/>
              <w:right w:val="nil"/>
            </w:tcBorders>
            <w:vAlign w:val="center"/>
          </w:tcPr>
          <w:p w:rsidR="004B772B" w:rsidRPr="003B6B9A" w:rsidRDefault="004B772B" w:rsidP="001040FB">
            <w:pPr>
              <w:snapToGrid w:val="0"/>
              <w:spacing w:line="320" w:lineRule="exact"/>
              <w:jc w:val="center"/>
              <w:rPr>
                <w:spacing w:val="-20"/>
              </w:rPr>
            </w:pPr>
            <w:r w:rsidRPr="003B6B9A">
              <w:rPr>
                <w:spacing w:val="-20"/>
              </w:rPr>
              <w:t>403.1</w:t>
            </w:r>
          </w:p>
        </w:tc>
        <w:tc>
          <w:tcPr>
            <w:tcW w:w="742" w:type="dxa"/>
            <w:tcBorders>
              <w:top w:val="nil"/>
              <w:left w:val="nil"/>
              <w:bottom w:val="single" w:sz="4" w:space="0" w:color="auto"/>
              <w:right w:val="nil"/>
            </w:tcBorders>
            <w:vAlign w:val="center"/>
          </w:tcPr>
          <w:p w:rsidR="004B772B" w:rsidRPr="003B6B9A" w:rsidRDefault="004B772B" w:rsidP="001040FB">
            <w:pPr>
              <w:snapToGrid w:val="0"/>
              <w:spacing w:line="320" w:lineRule="exact"/>
              <w:jc w:val="center"/>
              <w:rPr>
                <w:spacing w:val="-20"/>
              </w:rPr>
            </w:pPr>
            <w:r w:rsidRPr="003B6B9A">
              <w:rPr>
                <w:spacing w:val="-20"/>
              </w:rPr>
              <w:t>302.0</w:t>
            </w:r>
          </w:p>
        </w:tc>
        <w:tc>
          <w:tcPr>
            <w:tcW w:w="655" w:type="dxa"/>
            <w:tcBorders>
              <w:top w:val="nil"/>
              <w:left w:val="nil"/>
              <w:bottom w:val="single" w:sz="4" w:space="0" w:color="auto"/>
              <w:right w:val="nil"/>
            </w:tcBorders>
            <w:vAlign w:val="center"/>
          </w:tcPr>
          <w:p w:rsidR="004B772B" w:rsidRPr="003B6B9A" w:rsidRDefault="004B772B" w:rsidP="001040FB">
            <w:pPr>
              <w:snapToGrid w:val="0"/>
              <w:spacing w:line="320" w:lineRule="exact"/>
              <w:jc w:val="center"/>
              <w:rPr>
                <w:spacing w:val="-20"/>
              </w:rPr>
            </w:pPr>
            <w:r w:rsidRPr="003B6B9A">
              <w:rPr>
                <w:spacing w:val="-20"/>
              </w:rPr>
              <w:t>658.5</w:t>
            </w:r>
          </w:p>
        </w:tc>
        <w:tc>
          <w:tcPr>
            <w:tcW w:w="738" w:type="dxa"/>
            <w:gridSpan w:val="2"/>
            <w:tcBorders>
              <w:top w:val="nil"/>
              <w:left w:val="nil"/>
              <w:bottom w:val="single" w:sz="4" w:space="0" w:color="auto"/>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3.63</w:t>
            </w:r>
          </w:p>
        </w:tc>
        <w:tc>
          <w:tcPr>
            <w:tcW w:w="722" w:type="dxa"/>
            <w:tcBorders>
              <w:top w:val="nil"/>
              <w:left w:val="nil"/>
              <w:bottom w:val="single" w:sz="4" w:space="0" w:color="auto"/>
              <w:right w:val="nil"/>
            </w:tcBorders>
            <w:vAlign w:val="center"/>
          </w:tcPr>
          <w:p w:rsidR="004B772B" w:rsidRPr="003B6B9A" w:rsidRDefault="004B772B" w:rsidP="001040FB">
            <w:pPr>
              <w:snapToGrid w:val="0"/>
              <w:spacing w:line="320" w:lineRule="exact"/>
              <w:jc w:val="center"/>
              <w:rPr>
                <w:spacing w:val="-20"/>
              </w:rPr>
            </w:pPr>
            <w:r w:rsidRPr="003B6B9A">
              <w:rPr>
                <w:spacing w:val="-20"/>
              </w:rPr>
              <w:t>11.48</w:t>
            </w:r>
          </w:p>
        </w:tc>
        <w:tc>
          <w:tcPr>
            <w:tcW w:w="742" w:type="dxa"/>
            <w:tcBorders>
              <w:top w:val="nil"/>
              <w:left w:val="nil"/>
              <w:bottom w:val="single" w:sz="4" w:space="0" w:color="auto"/>
              <w:right w:val="nil"/>
            </w:tcBorders>
            <w:vAlign w:val="center"/>
          </w:tcPr>
          <w:p w:rsidR="004B772B" w:rsidRPr="003B6B9A" w:rsidRDefault="004B772B" w:rsidP="001040FB">
            <w:pPr>
              <w:snapToGrid w:val="0"/>
              <w:spacing w:line="320" w:lineRule="exact"/>
              <w:jc w:val="center"/>
              <w:rPr>
                <w:spacing w:val="-20"/>
              </w:rPr>
            </w:pPr>
            <w:r w:rsidRPr="003B6B9A">
              <w:rPr>
                <w:spacing w:val="-20"/>
              </w:rPr>
              <w:t>3.83</w:t>
            </w:r>
          </w:p>
        </w:tc>
        <w:tc>
          <w:tcPr>
            <w:tcW w:w="742" w:type="dxa"/>
            <w:tcBorders>
              <w:top w:val="nil"/>
              <w:left w:val="nil"/>
              <w:bottom w:val="single" w:sz="4" w:space="0" w:color="auto"/>
            </w:tcBorders>
            <w:vAlign w:val="center"/>
          </w:tcPr>
          <w:p w:rsidR="004B772B" w:rsidRPr="003B6B9A" w:rsidRDefault="004B772B" w:rsidP="001040FB">
            <w:pPr>
              <w:snapToGrid w:val="0"/>
              <w:spacing w:line="320" w:lineRule="exact"/>
              <w:jc w:val="center"/>
              <w:rPr>
                <w:spacing w:val="-20"/>
              </w:rPr>
            </w:pPr>
            <w:r w:rsidRPr="003B6B9A">
              <w:rPr>
                <w:spacing w:val="-20"/>
              </w:rPr>
              <w:t>1.90</w:t>
            </w:r>
          </w:p>
        </w:tc>
      </w:tr>
      <w:tr w:rsidR="004B772B" w:rsidRPr="003B6B9A" w:rsidTr="001040FB">
        <w:trPr>
          <w:jc w:val="center"/>
        </w:trPr>
        <w:tc>
          <w:tcPr>
            <w:tcW w:w="1514" w:type="dxa"/>
            <w:tcBorders>
              <w:top w:val="single" w:sz="4" w:space="0" w:color="auto"/>
              <w:bottom w:val="single" w:sz="4" w:space="0" w:color="auto"/>
              <w:right w:val="single" w:sz="4" w:space="0" w:color="auto"/>
            </w:tcBorders>
            <w:vAlign w:val="center"/>
          </w:tcPr>
          <w:p w:rsidR="004B772B" w:rsidRPr="003B6B9A" w:rsidRDefault="004B772B" w:rsidP="001040FB">
            <w:pPr>
              <w:snapToGrid w:val="0"/>
              <w:spacing w:line="280" w:lineRule="exact"/>
              <w:jc w:val="center"/>
              <w:rPr>
                <w:rFonts w:eastAsia="標楷體"/>
                <w:w w:val="95"/>
                <w:sz w:val="22"/>
                <w:szCs w:val="22"/>
              </w:rPr>
            </w:pPr>
            <w:r w:rsidRPr="003B6B9A">
              <w:rPr>
                <w:rFonts w:eastAsia="標楷體"/>
                <w:w w:val="95"/>
                <w:sz w:val="22"/>
                <w:szCs w:val="22"/>
              </w:rPr>
              <w:t>較</w:t>
            </w:r>
            <w:r w:rsidRPr="003B6B9A">
              <w:rPr>
                <w:rFonts w:eastAsia="標楷體"/>
                <w:w w:val="95"/>
                <w:sz w:val="22"/>
                <w:szCs w:val="22"/>
              </w:rPr>
              <w:t>103</w:t>
            </w:r>
            <w:r w:rsidRPr="003B6B9A">
              <w:rPr>
                <w:rFonts w:eastAsia="標楷體"/>
                <w:w w:val="95"/>
                <w:sz w:val="22"/>
                <w:szCs w:val="22"/>
              </w:rPr>
              <w:t>年同月變動</w:t>
            </w:r>
            <w:r w:rsidRPr="003B6B9A">
              <w:rPr>
                <w:rFonts w:eastAsia="標楷體"/>
                <w:w w:val="95"/>
                <w:sz w:val="22"/>
                <w:szCs w:val="22"/>
              </w:rPr>
              <w:t>(%</w:t>
            </w:r>
            <w:r w:rsidRPr="003B6B9A">
              <w:rPr>
                <w:rFonts w:eastAsia="標楷體"/>
                <w:w w:val="95"/>
                <w:sz w:val="22"/>
                <w:szCs w:val="22"/>
              </w:rPr>
              <w:t>或百分點</w:t>
            </w:r>
            <w:r w:rsidRPr="003B6B9A">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4B772B" w:rsidRPr="003B6B9A" w:rsidRDefault="004B772B" w:rsidP="001040FB">
            <w:pPr>
              <w:jc w:val="center"/>
              <w:rPr>
                <w:spacing w:val="-20"/>
              </w:rPr>
            </w:pPr>
            <w:r w:rsidRPr="003B6B9A">
              <w:rPr>
                <w:spacing w:val="-20"/>
              </w:rPr>
              <w:t>0.89</w:t>
            </w:r>
          </w:p>
        </w:tc>
        <w:tc>
          <w:tcPr>
            <w:tcW w:w="726"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1.18</w:t>
            </w:r>
          </w:p>
        </w:tc>
        <w:tc>
          <w:tcPr>
            <w:tcW w:w="624"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-6.23</w:t>
            </w:r>
          </w:p>
        </w:tc>
        <w:tc>
          <w:tcPr>
            <w:tcW w:w="684"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0.12*</w:t>
            </w:r>
          </w:p>
        </w:tc>
        <w:tc>
          <w:tcPr>
            <w:tcW w:w="542"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1.23</w:t>
            </w:r>
          </w:p>
        </w:tc>
        <w:tc>
          <w:tcPr>
            <w:tcW w:w="651"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0.97</w:t>
            </w:r>
          </w:p>
        </w:tc>
        <w:tc>
          <w:tcPr>
            <w:tcW w:w="742"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0.61</w:t>
            </w:r>
          </w:p>
        </w:tc>
        <w:tc>
          <w:tcPr>
            <w:tcW w:w="655"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1.30</w:t>
            </w:r>
          </w:p>
        </w:tc>
        <w:tc>
          <w:tcPr>
            <w:tcW w:w="712"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-0.28*</w:t>
            </w:r>
          </w:p>
        </w:tc>
        <w:tc>
          <w:tcPr>
            <w:tcW w:w="748" w:type="dxa"/>
            <w:gridSpan w:val="2"/>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-0.79*</w:t>
            </w:r>
          </w:p>
        </w:tc>
        <w:tc>
          <w:tcPr>
            <w:tcW w:w="742"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-0.30*</w:t>
            </w:r>
          </w:p>
        </w:tc>
        <w:tc>
          <w:tcPr>
            <w:tcW w:w="742" w:type="dxa"/>
            <w:tcBorders>
              <w:top w:val="single" w:sz="4" w:space="0" w:color="auto"/>
              <w:left w:val="nil"/>
              <w:bottom w:val="single" w:sz="4" w:space="0" w:color="auto"/>
            </w:tcBorders>
            <w:vAlign w:val="center"/>
          </w:tcPr>
          <w:p w:rsidR="004B772B" w:rsidRPr="003B6B9A" w:rsidRDefault="004B772B" w:rsidP="001040FB">
            <w:pPr>
              <w:jc w:val="center"/>
              <w:rPr>
                <w:spacing w:val="-20"/>
              </w:rPr>
            </w:pPr>
            <w:r w:rsidRPr="003B6B9A">
              <w:rPr>
                <w:spacing w:val="-20"/>
              </w:rPr>
              <w:t>-0.14*</w:t>
            </w:r>
          </w:p>
        </w:tc>
      </w:tr>
      <w:tr w:rsidR="004B772B" w:rsidRPr="003B6B9A" w:rsidTr="001040FB">
        <w:trPr>
          <w:jc w:val="center"/>
        </w:trPr>
        <w:tc>
          <w:tcPr>
            <w:tcW w:w="1514" w:type="dxa"/>
            <w:tcBorders>
              <w:top w:val="single" w:sz="4" w:space="0" w:color="auto"/>
              <w:bottom w:val="single" w:sz="4" w:space="0" w:color="auto"/>
              <w:right w:val="single" w:sz="4" w:space="0" w:color="auto"/>
            </w:tcBorders>
            <w:vAlign w:val="center"/>
          </w:tcPr>
          <w:p w:rsidR="004B772B" w:rsidRPr="003B6B9A" w:rsidRDefault="004B772B" w:rsidP="001040FB">
            <w:pPr>
              <w:snapToGrid w:val="0"/>
              <w:spacing w:line="280" w:lineRule="exact"/>
              <w:jc w:val="center"/>
              <w:rPr>
                <w:rFonts w:eastAsia="標楷體"/>
                <w:w w:val="95"/>
                <w:sz w:val="22"/>
                <w:szCs w:val="22"/>
              </w:rPr>
            </w:pPr>
            <w:r w:rsidRPr="003B6B9A">
              <w:rPr>
                <w:rFonts w:eastAsia="標楷體"/>
                <w:w w:val="95"/>
                <w:sz w:val="22"/>
                <w:szCs w:val="22"/>
              </w:rPr>
              <w:t>累計較</w:t>
            </w:r>
            <w:r w:rsidRPr="003B6B9A">
              <w:rPr>
                <w:rFonts w:eastAsia="標楷體"/>
                <w:w w:val="95"/>
                <w:sz w:val="22"/>
                <w:szCs w:val="22"/>
              </w:rPr>
              <w:t>103</w:t>
            </w:r>
            <w:r w:rsidRPr="003B6B9A">
              <w:rPr>
                <w:rFonts w:eastAsia="標楷體"/>
                <w:w w:val="95"/>
                <w:sz w:val="22"/>
                <w:szCs w:val="22"/>
              </w:rPr>
              <w:t>年同期變動</w:t>
            </w:r>
            <w:r w:rsidRPr="003B6B9A">
              <w:rPr>
                <w:rFonts w:eastAsia="標楷體"/>
                <w:w w:val="95"/>
                <w:sz w:val="22"/>
                <w:szCs w:val="22"/>
              </w:rPr>
              <w:t>(%</w:t>
            </w:r>
            <w:r w:rsidRPr="003B6B9A">
              <w:rPr>
                <w:rFonts w:eastAsia="標楷體"/>
                <w:w w:val="95"/>
                <w:sz w:val="22"/>
                <w:szCs w:val="22"/>
              </w:rPr>
              <w:t>或百分點</w:t>
            </w:r>
            <w:r w:rsidRPr="003B6B9A">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4B772B" w:rsidRPr="003B6B9A" w:rsidRDefault="004B772B" w:rsidP="001040FB">
            <w:pPr>
              <w:jc w:val="center"/>
              <w:rPr>
                <w:spacing w:val="-20"/>
              </w:rPr>
            </w:pPr>
            <w:r w:rsidRPr="003B6B9A">
              <w:rPr>
                <w:spacing w:val="-20"/>
              </w:rPr>
              <w:t>0.86</w:t>
            </w:r>
          </w:p>
        </w:tc>
        <w:tc>
          <w:tcPr>
            <w:tcW w:w="726"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1.20</w:t>
            </w:r>
          </w:p>
        </w:tc>
        <w:tc>
          <w:tcPr>
            <w:tcW w:w="624"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-7.27</w:t>
            </w:r>
          </w:p>
        </w:tc>
        <w:tc>
          <w:tcPr>
            <w:tcW w:w="684"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0.12*</w:t>
            </w:r>
          </w:p>
        </w:tc>
        <w:tc>
          <w:tcPr>
            <w:tcW w:w="542"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1.15</w:t>
            </w:r>
          </w:p>
        </w:tc>
        <w:tc>
          <w:tcPr>
            <w:tcW w:w="651"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0.93</w:t>
            </w:r>
          </w:p>
        </w:tc>
        <w:tc>
          <w:tcPr>
            <w:tcW w:w="742"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0.69</w:t>
            </w:r>
          </w:p>
        </w:tc>
        <w:tc>
          <w:tcPr>
            <w:tcW w:w="655"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1.37</w:t>
            </w:r>
          </w:p>
        </w:tc>
        <w:tc>
          <w:tcPr>
            <w:tcW w:w="712"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-0.32*</w:t>
            </w:r>
          </w:p>
        </w:tc>
        <w:tc>
          <w:tcPr>
            <w:tcW w:w="748" w:type="dxa"/>
            <w:gridSpan w:val="2"/>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-0.92*</w:t>
            </w:r>
          </w:p>
        </w:tc>
        <w:tc>
          <w:tcPr>
            <w:tcW w:w="742" w:type="dxa"/>
            <w:tcBorders>
              <w:top w:val="single" w:sz="4" w:space="0" w:color="auto"/>
              <w:left w:val="nil"/>
              <w:bottom w:val="single" w:sz="4" w:space="0" w:color="auto"/>
              <w:right w:val="nil"/>
            </w:tcBorders>
            <w:vAlign w:val="center"/>
          </w:tcPr>
          <w:p w:rsidR="004B772B" w:rsidRPr="003B6B9A" w:rsidRDefault="004B772B" w:rsidP="001040FB">
            <w:pPr>
              <w:jc w:val="center"/>
              <w:rPr>
                <w:spacing w:val="-20"/>
              </w:rPr>
            </w:pPr>
            <w:r w:rsidRPr="003B6B9A">
              <w:rPr>
                <w:spacing w:val="-20"/>
              </w:rPr>
              <w:t>-0.30*</w:t>
            </w:r>
          </w:p>
        </w:tc>
        <w:tc>
          <w:tcPr>
            <w:tcW w:w="742" w:type="dxa"/>
            <w:tcBorders>
              <w:top w:val="single" w:sz="4" w:space="0" w:color="auto"/>
              <w:left w:val="nil"/>
              <w:bottom w:val="single" w:sz="4" w:space="0" w:color="auto"/>
            </w:tcBorders>
            <w:vAlign w:val="center"/>
          </w:tcPr>
          <w:p w:rsidR="004B772B" w:rsidRPr="003B6B9A" w:rsidRDefault="004B772B" w:rsidP="001040FB">
            <w:pPr>
              <w:jc w:val="center"/>
              <w:rPr>
                <w:spacing w:val="-20"/>
              </w:rPr>
            </w:pPr>
            <w:r w:rsidRPr="003B6B9A">
              <w:rPr>
                <w:spacing w:val="-20"/>
              </w:rPr>
              <w:t>-0.22*</w:t>
            </w:r>
          </w:p>
        </w:tc>
      </w:tr>
    </w:tbl>
    <w:p w:rsidR="004B772B" w:rsidRPr="003B6B9A" w:rsidRDefault="004B772B" w:rsidP="004B772B">
      <w:pPr>
        <w:snapToGrid w:val="0"/>
        <w:spacing w:line="240" w:lineRule="atLeast"/>
        <w:ind w:right="-465"/>
        <w:rPr>
          <w:rFonts w:eastAsia="標楷體"/>
          <w:sz w:val="22"/>
          <w:szCs w:val="22"/>
        </w:rPr>
      </w:pPr>
      <w:r w:rsidRPr="003B6B9A">
        <w:rPr>
          <w:rFonts w:eastAsia="標楷體"/>
          <w:sz w:val="22"/>
          <w:szCs w:val="22"/>
        </w:rPr>
        <w:t>註：</w:t>
      </w:r>
      <w:r w:rsidRPr="003B6B9A">
        <w:rPr>
          <w:rFonts w:eastAsia="標楷體"/>
          <w:sz w:val="22"/>
          <w:szCs w:val="22"/>
        </w:rPr>
        <w:t>*</w:t>
      </w:r>
      <w:r w:rsidRPr="003B6B9A">
        <w:rPr>
          <w:rFonts w:eastAsia="標楷體"/>
          <w:sz w:val="22"/>
          <w:szCs w:val="22"/>
        </w:rPr>
        <w:t>數字表示增減百分點</w:t>
      </w:r>
    </w:p>
    <w:p w:rsidR="004B772B" w:rsidRPr="003B6B9A" w:rsidRDefault="004B772B" w:rsidP="004B772B">
      <w:pPr>
        <w:snapToGrid w:val="0"/>
        <w:spacing w:line="240" w:lineRule="atLeast"/>
        <w:ind w:right="-465"/>
        <w:rPr>
          <w:rFonts w:eastAsia="標楷體"/>
          <w:sz w:val="22"/>
          <w:szCs w:val="22"/>
        </w:rPr>
      </w:pPr>
      <w:r w:rsidRPr="003B6B9A">
        <w:rPr>
          <w:rFonts w:eastAsia="標楷體"/>
          <w:sz w:val="22"/>
          <w:szCs w:val="22"/>
        </w:rPr>
        <w:t>資料來源：行政院主計總處「人力資源統計月報」。</w:t>
      </w:r>
    </w:p>
    <w:p w:rsidR="00DD297D" w:rsidRPr="00B118E9" w:rsidRDefault="00DD297D" w:rsidP="00DD297D">
      <w:pPr>
        <w:tabs>
          <w:tab w:val="left" w:pos="540"/>
        </w:tabs>
        <w:snapToGrid w:val="0"/>
        <w:spacing w:beforeLines="50" w:before="180" w:line="300" w:lineRule="auto"/>
        <w:rPr>
          <w:rFonts w:eastAsia="標楷體"/>
          <w:b/>
          <w:bCs/>
          <w:sz w:val="28"/>
          <w:szCs w:val="28"/>
        </w:rPr>
      </w:pPr>
      <w:r w:rsidRPr="00B118E9">
        <w:rPr>
          <w:rFonts w:eastAsia="標楷體"/>
          <w:b/>
          <w:bCs/>
          <w:sz w:val="28"/>
          <w:szCs w:val="28"/>
        </w:rPr>
        <w:t>２、國際比較</w:t>
      </w:r>
    </w:p>
    <w:p w:rsidR="004B772B" w:rsidRPr="003B6B9A" w:rsidRDefault="004B772B" w:rsidP="004B772B">
      <w:pPr>
        <w:snapToGrid w:val="0"/>
        <w:spacing w:beforeLines="50" w:before="180" w:line="300" w:lineRule="auto"/>
        <w:ind w:leftChars="118" w:left="283" w:rightChars="-59" w:right="-142" w:firstLineChars="202" w:firstLine="566"/>
        <w:jc w:val="both"/>
        <w:rPr>
          <w:rFonts w:eastAsia="標楷體"/>
          <w:sz w:val="28"/>
          <w:szCs w:val="32"/>
        </w:rPr>
      </w:pPr>
      <w:r w:rsidRPr="003B6B9A">
        <w:rPr>
          <w:rFonts w:eastAsia="標楷體"/>
          <w:sz w:val="28"/>
          <w:szCs w:val="32"/>
        </w:rPr>
        <w:t>10</w:t>
      </w:r>
      <w:r w:rsidRPr="003B6B9A">
        <w:rPr>
          <w:rFonts w:eastAsia="標楷體" w:hint="eastAsia"/>
          <w:sz w:val="28"/>
          <w:szCs w:val="32"/>
        </w:rPr>
        <w:t>4</w:t>
      </w:r>
      <w:r w:rsidRPr="003B6B9A">
        <w:rPr>
          <w:rFonts w:eastAsia="標楷體"/>
          <w:sz w:val="28"/>
          <w:szCs w:val="32"/>
        </w:rPr>
        <w:t>年</w:t>
      </w:r>
      <w:r w:rsidRPr="003B6B9A">
        <w:rPr>
          <w:rFonts w:eastAsia="標楷體" w:hint="eastAsia"/>
          <w:sz w:val="28"/>
          <w:szCs w:val="32"/>
        </w:rPr>
        <w:t>4</w:t>
      </w:r>
      <w:r w:rsidRPr="003B6B9A">
        <w:rPr>
          <w:rFonts w:eastAsia="標楷體"/>
          <w:sz w:val="28"/>
          <w:szCs w:val="32"/>
        </w:rPr>
        <w:t>月國內經季節調整後之失業率為</w:t>
      </w:r>
      <w:r w:rsidRPr="003B6B9A">
        <w:rPr>
          <w:rFonts w:eastAsia="標楷體" w:hint="eastAsia"/>
          <w:sz w:val="28"/>
          <w:szCs w:val="32"/>
        </w:rPr>
        <w:t>3.75%</w:t>
      </w:r>
      <w:r w:rsidRPr="003B6B9A">
        <w:rPr>
          <w:rFonts w:eastAsia="標楷體"/>
          <w:sz w:val="28"/>
          <w:szCs w:val="32"/>
        </w:rPr>
        <w:t>，低於</w:t>
      </w:r>
      <w:r w:rsidRPr="003B6B9A">
        <w:rPr>
          <w:rFonts w:eastAsia="標楷體" w:hint="eastAsia"/>
          <w:sz w:val="28"/>
          <w:szCs w:val="32"/>
        </w:rPr>
        <w:t>美國</w:t>
      </w:r>
      <w:r w:rsidRPr="003B6B9A">
        <w:rPr>
          <w:rFonts w:ascii="標楷體" w:eastAsia="標楷體" w:hAnsi="標楷體" w:hint="eastAsia"/>
          <w:sz w:val="28"/>
          <w:szCs w:val="32"/>
        </w:rPr>
        <w:t>、</w:t>
      </w:r>
      <w:r w:rsidRPr="003B6B9A">
        <w:rPr>
          <w:rFonts w:eastAsia="標楷體"/>
          <w:sz w:val="28"/>
          <w:szCs w:val="32"/>
        </w:rPr>
        <w:t>加拿大</w:t>
      </w:r>
      <w:r w:rsidRPr="003B6B9A">
        <w:rPr>
          <w:rFonts w:eastAsia="標楷體" w:hint="eastAsia"/>
          <w:sz w:val="28"/>
          <w:szCs w:val="32"/>
        </w:rPr>
        <w:t>，惟較鄰近國家如日本、新加坡、香港為高。</w:t>
      </w:r>
    </w:p>
    <w:p w:rsidR="004B772B" w:rsidRPr="003B6B9A" w:rsidRDefault="004B772B" w:rsidP="004B772B">
      <w:pPr>
        <w:snapToGrid w:val="0"/>
        <w:spacing w:before="120"/>
        <w:jc w:val="center"/>
        <w:rPr>
          <w:rFonts w:eastAsia="標楷體"/>
          <w:b/>
          <w:bCs/>
          <w:sz w:val="28"/>
        </w:rPr>
      </w:pPr>
      <w:r w:rsidRPr="003B6B9A">
        <w:rPr>
          <w:rFonts w:eastAsia="標楷體"/>
          <w:b/>
          <w:bCs/>
          <w:sz w:val="28"/>
        </w:rPr>
        <w:t>表</w:t>
      </w:r>
      <w:r w:rsidRPr="003B6B9A">
        <w:rPr>
          <w:rFonts w:eastAsia="標楷體"/>
          <w:b/>
          <w:bCs/>
          <w:sz w:val="28"/>
        </w:rPr>
        <w:t xml:space="preserve">2-9-2  </w:t>
      </w:r>
      <w:r w:rsidRPr="003B6B9A">
        <w:rPr>
          <w:rFonts w:eastAsia="標楷體"/>
          <w:b/>
          <w:bCs/>
          <w:sz w:val="28"/>
        </w:rPr>
        <w:t>主要國家失業率比較</w:t>
      </w:r>
    </w:p>
    <w:p w:rsidR="004B772B" w:rsidRPr="003B6B9A" w:rsidRDefault="004B772B" w:rsidP="004B772B">
      <w:pPr>
        <w:widowControl/>
        <w:snapToGrid w:val="0"/>
        <w:spacing w:line="300" w:lineRule="atLeast"/>
        <w:ind w:right="-816"/>
        <w:jc w:val="right"/>
        <w:rPr>
          <w:rFonts w:eastAsia="標楷體"/>
          <w:kern w:val="0"/>
          <w:sz w:val="22"/>
          <w:szCs w:val="22"/>
        </w:rPr>
      </w:pPr>
      <w:r w:rsidRPr="003B6B9A">
        <w:rPr>
          <w:rFonts w:eastAsia="標楷體"/>
          <w:kern w:val="0"/>
          <w:sz w:val="22"/>
        </w:rPr>
        <w:t xml:space="preserve">                                    </w:t>
      </w:r>
      <w:r w:rsidRPr="003B6B9A">
        <w:rPr>
          <w:rFonts w:eastAsia="標楷體"/>
          <w:kern w:val="0"/>
          <w:sz w:val="22"/>
          <w:szCs w:val="22"/>
        </w:rPr>
        <w:t xml:space="preserve">  </w:t>
      </w:r>
      <w:r w:rsidRPr="003B6B9A">
        <w:rPr>
          <w:rFonts w:eastAsia="標楷體"/>
          <w:kern w:val="0"/>
          <w:sz w:val="22"/>
          <w:szCs w:val="22"/>
        </w:rPr>
        <w:t>單位：</w:t>
      </w:r>
      <w:r w:rsidRPr="003B6B9A">
        <w:rPr>
          <w:rFonts w:eastAsia="標楷體" w:hint="eastAsia"/>
          <w:kern w:val="0"/>
          <w:sz w:val="22"/>
          <w:szCs w:val="22"/>
        </w:rPr>
        <w:t>%</w:t>
      </w:r>
    </w:p>
    <w:tbl>
      <w:tblPr>
        <w:tblW w:w="11354" w:type="dxa"/>
        <w:jc w:val="center"/>
        <w:tblInd w:w="-2346" w:type="dxa"/>
        <w:tblBorders>
          <w:top w:val="single" w:sz="4" w:space="0" w:color="auto"/>
          <w:bottom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91"/>
        <w:gridCol w:w="569"/>
        <w:gridCol w:w="640"/>
        <w:gridCol w:w="640"/>
        <w:gridCol w:w="640"/>
        <w:gridCol w:w="640"/>
        <w:gridCol w:w="640"/>
        <w:gridCol w:w="640"/>
        <w:gridCol w:w="640"/>
        <w:gridCol w:w="640"/>
        <w:gridCol w:w="640"/>
        <w:gridCol w:w="640"/>
        <w:gridCol w:w="569"/>
        <w:gridCol w:w="570"/>
        <w:gridCol w:w="569"/>
        <w:gridCol w:w="539"/>
        <w:gridCol w:w="1147"/>
      </w:tblGrid>
      <w:tr w:rsidR="004B772B" w:rsidRPr="003B6B9A" w:rsidTr="001040FB">
        <w:trPr>
          <w:cantSplit/>
          <w:trHeight w:val="343"/>
          <w:jc w:val="center"/>
        </w:trPr>
        <w:tc>
          <w:tcPr>
            <w:tcW w:w="991" w:type="dxa"/>
            <w:vMerge w:val="restart"/>
            <w:tcBorders>
              <w:top w:val="single" w:sz="4" w:space="0" w:color="auto"/>
              <w:left w:val="nil"/>
              <w:tl2br w:val="single" w:sz="4" w:space="0" w:color="auto"/>
            </w:tcBorders>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9" w:type="dxa"/>
            <w:vMerge w:val="restart"/>
            <w:tcBorders>
              <w:top w:val="single" w:sz="4" w:space="0" w:color="auto"/>
              <w:left w:val="single" w:sz="4" w:space="0" w:color="auto"/>
              <w:right w:val="single" w:sz="4" w:space="0" w:color="auto"/>
            </w:tcBorders>
            <w:vAlign w:val="center"/>
          </w:tcPr>
          <w:p w:rsidR="004B772B" w:rsidRPr="003B6B9A" w:rsidRDefault="004B772B" w:rsidP="001040FB">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102</w:t>
            </w:r>
            <w:r w:rsidRPr="003B6B9A">
              <w:rPr>
                <w:rFonts w:eastAsia="標楷體" w:hint="eastAsia"/>
                <w:spacing w:val="-24"/>
                <w:sz w:val="20"/>
              </w:rPr>
              <w:t>年</w:t>
            </w:r>
          </w:p>
        </w:tc>
        <w:tc>
          <w:tcPr>
            <w:tcW w:w="6400" w:type="dxa"/>
            <w:gridSpan w:val="10"/>
            <w:tcBorders>
              <w:top w:val="single" w:sz="4" w:space="0" w:color="auto"/>
              <w:left w:val="single" w:sz="4" w:space="0" w:color="auto"/>
              <w:right w:val="single" w:sz="4" w:space="0" w:color="auto"/>
            </w:tcBorders>
            <w:vAlign w:val="center"/>
          </w:tcPr>
          <w:p w:rsidR="004B772B" w:rsidRPr="003B6B9A" w:rsidRDefault="004B772B" w:rsidP="001040FB">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103</w:t>
            </w:r>
            <w:r w:rsidRPr="003B6B9A">
              <w:rPr>
                <w:rFonts w:eastAsia="標楷體" w:hint="eastAsia"/>
                <w:spacing w:val="-24"/>
                <w:sz w:val="20"/>
              </w:rPr>
              <w:t>年</w:t>
            </w:r>
          </w:p>
        </w:tc>
        <w:tc>
          <w:tcPr>
            <w:tcW w:w="2247" w:type="dxa"/>
            <w:gridSpan w:val="4"/>
            <w:tcBorders>
              <w:top w:val="single" w:sz="4" w:space="0" w:color="auto"/>
              <w:left w:val="single" w:sz="4" w:space="0" w:color="auto"/>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104</w:t>
            </w:r>
            <w:r w:rsidRPr="003B6B9A">
              <w:rPr>
                <w:rFonts w:eastAsia="標楷體" w:hint="eastAsia"/>
                <w:spacing w:val="-24"/>
                <w:sz w:val="20"/>
              </w:rPr>
              <w:t>年</w:t>
            </w:r>
          </w:p>
        </w:tc>
        <w:tc>
          <w:tcPr>
            <w:tcW w:w="1147" w:type="dxa"/>
            <w:vMerge w:val="restart"/>
            <w:tcBorders>
              <w:top w:val="single" w:sz="4" w:space="0" w:color="auto"/>
              <w:left w:val="single" w:sz="4" w:space="0" w:color="auto"/>
              <w:right w:val="nil"/>
            </w:tcBorders>
            <w:vAlign w:val="center"/>
          </w:tcPr>
          <w:p w:rsidR="004B772B" w:rsidRPr="003B6B9A" w:rsidRDefault="004B772B" w:rsidP="001040FB">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上</w:t>
            </w:r>
            <w:r w:rsidRPr="003B6B9A">
              <w:rPr>
                <w:rFonts w:eastAsia="標楷體"/>
                <w:spacing w:val="-24"/>
                <w:sz w:val="20"/>
              </w:rPr>
              <w:t>年當</w:t>
            </w:r>
            <w:r w:rsidRPr="003B6B9A">
              <w:rPr>
                <w:rFonts w:eastAsia="標楷體" w:hint="eastAsia"/>
                <w:spacing w:val="-24"/>
                <w:sz w:val="20"/>
              </w:rPr>
              <w:t>月</w:t>
            </w:r>
          </w:p>
          <w:p w:rsidR="004B772B" w:rsidRPr="003B6B9A" w:rsidRDefault="004B772B" w:rsidP="001040FB">
            <w:pPr>
              <w:tabs>
                <w:tab w:val="left" w:pos="1061"/>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w:t>
            </w:r>
            <w:r w:rsidRPr="003B6B9A">
              <w:rPr>
                <w:rFonts w:eastAsia="標楷體"/>
                <w:spacing w:val="-24"/>
                <w:sz w:val="20"/>
              </w:rPr>
              <w:t>變動百分點</w:t>
            </w:r>
            <w:r w:rsidRPr="003B6B9A">
              <w:rPr>
                <w:rFonts w:eastAsia="標楷體"/>
                <w:spacing w:val="-24"/>
                <w:sz w:val="20"/>
              </w:rPr>
              <w:t>*</w:t>
            </w:r>
            <w:r w:rsidRPr="003B6B9A">
              <w:rPr>
                <w:rFonts w:eastAsia="標楷體" w:hint="eastAsia"/>
                <w:spacing w:val="-24"/>
                <w:sz w:val="20"/>
              </w:rPr>
              <w:t>）</w:t>
            </w:r>
          </w:p>
        </w:tc>
      </w:tr>
      <w:tr w:rsidR="004B772B" w:rsidRPr="003B6B9A" w:rsidTr="001040FB">
        <w:trPr>
          <w:cantSplit/>
          <w:trHeight w:val="324"/>
          <w:jc w:val="center"/>
        </w:trPr>
        <w:tc>
          <w:tcPr>
            <w:tcW w:w="991" w:type="dxa"/>
            <w:vMerge/>
            <w:tcBorders>
              <w:left w:val="nil"/>
              <w:bottom w:val="single" w:sz="4" w:space="0" w:color="auto"/>
              <w:tl2br w:val="single" w:sz="4" w:space="0" w:color="auto"/>
            </w:tcBorders>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9" w:type="dxa"/>
            <w:vMerge/>
            <w:tcBorders>
              <w:left w:val="single" w:sz="4" w:space="0" w:color="auto"/>
              <w:bottom w:val="single" w:sz="4" w:space="0" w:color="auto"/>
              <w:right w:val="single" w:sz="4" w:space="0" w:color="auto"/>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p>
        </w:tc>
        <w:tc>
          <w:tcPr>
            <w:tcW w:w="640" w:type="dxa"/>
            <w:tcBorders>
              <w:left w:val="single" w:sz="4" w:space="0" w:color="auto"/>
              <w:bottom w:val="single" w:sz="4" w:space="0" w:color="auto"/>
              <w:right w:val="single" w:sz="4" w:space="0" w:color="auto"/>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4</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spacing w:val="-24"/>
                <w:sz w:val="20"/>
              </w:rPr>
              <w:t>5</w:t>
            </w:r>
            <w:r w:rsidRPr="003B6B9A">
              <w:rPr>
                <w:rFonts w:eastAsia="標楷體"/>
                <w:spacing w:val="-24"/>
                <w:sz w:val="20"/>
              </w:rPr>
              <w:t>月</w:t>
            </w:r>
          </w:p>
        </w:tc>
        <w:tc>
          <w:tcPr>
            <w:tcW w:w="640" w:type="dxa"/>
            <w:tcBorders>
              <w:left w:val="single" w:sz="4" w:space="0" w:color="auto"/>
              <w:bottom w:val="single" w:sz="4" w:space="0" w:color="auto"/>
              <w:right w:val="single" w:sz="4" w:space="0" w:color="auto"/>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spacing w:val="-24"/>
                <w:sz w:val="20"/>
              </w:rPr>
              <w:t>6</w:t>
            </w:r>
            <w:r w:rsidRPr="003B6B9A">
              <w:rPr>
                <w:rFonts w:eastAsia="標楷體"/>
                <w:spacing w:val="-24"/>
                <w:sz w:val="20"/>
              </w:rPr>
              <w:t>月</w:t>
            </w:r>
          </w:p>
        </w:tc>
        <w:tc>
          <w:tcPr>
            <w:tcW w:w="640" w:type="dxa"/>
            <w:tcBorders>
              <w:left w:val="single" w:sz="4" w:space="0" w:color="auto"/>
              <w:bottom w:val="single" w:sz="4" w:space="0" w:color="auto"/>
              <w:right w:val="single" w:sz="4" w:space="0" w:color="auto"/>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7</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8</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9</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00" w:lineRule="atLeast"/>
              <w:jc w:val="center"/>
              <w:rPr>
                <w:rFonts w:eastAsia="標楷體"/>
                <w:spacing w:val="-24"/>
                <w:sz w:val="20"/>
              </w:rPr>
            </w:pPr>
            <w:r w:rsidRPr="003B6B9A">
              <w:rPr>
                <w:rFonts w:eastAsia="標楷體" w:hint="eastAsia"/>
                <w:spacing w:val="-24"/>
                <w:sz w:val="20"/>
              </w:rPr>
              <w:t>10</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11</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12</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全年</w:t>
            </w:r>
          </w:p>
        </w:tc>
        <w:tc>
          <w:tcPr>
            <w:tcW w:w="569" w:type="dxa"/>
            <w:tcBorders>
              <w:left w:val="single" w:sz="4" w:space="0" w:color="auto"/>
              <w:bottom w:val="single" w:sz="4" w:space="0" w:color="auto"/>
              <w:right w:val="single" w:sz="4" w:space="0" w:color="auto"/>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1</w:t>
            </w:r>
            <w:r w:rsidRPr="003B6B9A">
              <w:rPr>
                <w:rFonts w:eastAsia="標楷體" w:hint="eastAsia"/>
                <w:spacing w:val="-24"/>
                <w:sz w:val="20"/>
              </w:rPr>
              <w:t>月</w:t>
            </w:r>
          </w:p>
        </w:tc>
        <w:tc>
          <w:tcPr>
            <w:tcW w:w="570" w:type="dxa"/>
            <w:tcBorders>
              <w:left w:val="single" w:sz="4" w:space="0" w:color="auto"/>
              <w:bottom w:val="single" w:sz="4" w:space="0" w:color="auto"/>
              <w:right w:val="single" w:sz="4" w:space="0" w:color="auto"/>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2</w:t>
            </w:r>
            <w:r w:rsidRPr="003B6B9A">
              <w:rPr>
                <w:rFonts w:eastAsia="標楷體" w:hint="eastAsia"/>
                <w:spacing w:val="-24"/>
                <w:sz w:val="20"/>
              </w:rPr>
              <w:t>月</w:t>
            </w:r>
          </w:p>
        </w:tc>
        <w:tc>
          <w:tcPr>
            <w:tcW w:w="569" w:type="dxa"/>
            <w:tcBorders>
              <w:left w:val="single" w:sz="4" w:space="0" w:color="auto"/>
              <w:bottom w:val="single" w:sz="4" w:space="0" w:color="auto"/>
              <w:right w:val="single" w:sz="4" w:space="0" w:color="auto"/>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3</w:t>
            </w:r>
            <w:r w:rsidRPr="003B6B9A">
              <w:rPr>
                <w:rFonts w:eastAsia="標楷體" w:hint="eastAsia"/>
                <w:spacing w:val="-24"/>
                <w:sz w:val="20"/>
              </w:rPr>
              <w:t>月</w:t>
            </w:r>
          </w:p>
        </w:tc>
        <w:tc>
          <w:tcPr>
            <w:tcW w:w="539" w:type="dxa"/>
            <w:tcBorders>
              <w:left w:val="single" w:sz="4" w:space="0" w:color="auto"/>
              <w:bottom w:val="single" w:sz="4" w:space="0" w:color="auto"/>
              <w:right w:val="single" w:sz="4" w:space="0" w:color="auto"/>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4</w:t>
            </w:r>
            <w:r w:rsidRPr="003B6B9A">
              <w:rPr>
                <w:rFonts w:eastAsia="標楷體" w:hint="eastAsia"/>
                <w:spacing w:val="-24"/>
                <w:sz w:val="20"/>
              </w:rPr>
              <w:t>月</w:t>
            </w:r>
          </w:p>
        </w:tc>
        <w:tc>
          <w:tcPr>
            <w:tcW w:w="1147" w:type="dxa"/>
            <w:vMerge/>
            <w:tcBorders>
              <w:left w:val="single" w:sz="4" w:space="0" w:color="auto"/>
              <w:bottom w:val="single" w:sz="4" w:space="0" w:color="auto"/>
              <w:right w:val="nil"/>
            </w:tcBorders>
            <w:vAlign w:val="center"/>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rPr>
                <w:rFonts w:eastAsia="標楷體"/>
                <w:spacing w:val="-24"/>
                <w:sz w:val="20"/>
              </w:rPr>
            </w:pPr>
          </w:p>
        </w:tc>
      </w:tr>
      <w:tr w:rsidR="004B772B" w:rsidRPr="003B6B9A" w:rsidTr="001040FB">
        <w:trPr>
          <w:cantSplit/>
          <w:jc w:val="center"/>
        </w:trPr>
        <w:tc>
          <w:tcPr>
            <w:tcW w:w="991" w:type="dxa"/>
            <w:tcBorders>
              <w:left w:val="nil"/>
              <w:bottom w:val="nil"/>
            </w:tcBorders>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臺灣</w:t>
            </w:r>
          </w:p>
        </w:tc>
        <w:tc>
          <w:tcPr>
            <w:tcW w:w="569" w:type="dxa"/>
            <w:tcBorders>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4.18</w:t>
            </w:r>
          </w:p>
        </w:tc>
        <w:tc>
          <w:tcPr>
            <w:tcW w:w="640" w:type="dxa"/>
            <w:tcBorders>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4.03</w:t>
            </w:r>
          </w:p>
        </w:tc>
        <w:tc>
          <w:tcPr>
            <w:tcW w:w="640" w:type="dxa"/>
            <w:tcBorders>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3.98</w:t>
            </w:r>
          </w:p>
        </w:tc>
        <w:tc>
          <w:tcPr>
            <w:tcW w:w="640" w:type="dxa"/>
            <w:tcBorders>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3.97</w:t>
            </w:r>
          </w:p>
        </w:tc>
        <w:tc>
          <w:tcPr>
            <w:tcW w:w="640" w:type="dxa"/>
            <w:tcBorders>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3.95</w:t>
            </w:r>
          </w:p>
        </w:tc>
        <w:tc>
          <w:tcPr>
            <w:tcW w:w="640" w:type="dxa"/>
            <w:tcBorders>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3.93</w:t>
            </w:r>
          </w:p>
        </w:tc>
        <w:tc>
          <w:tcPr>
            <w:tcW w:w="640" w:type="dxa"/>
            <w:tcBorders>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3.92</w:t>
            </w:r>
          </w:p>
        </w:tc>
        <w:tc>
          <w:tcPr>
            <w:tcW w:w="640" w:type="dxa"/>
            <w:tcBorders>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3.88</w:t>
            </w:r>
          </w:p>
        </w:tc>
        <w:tc>
          <w:tcPr>
            <w:tcW w:w="640" w:type="dxa"/>
            <w:tcBorders>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3.86</w:t>
            </w:r>
          </w:p>
        </w:tc>
        <w:tc>
          <w:tcPr>
            <w:tcW w:w="640" w:type="dxa"/>
            <w:tcBorders>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3.82</w:t>
            </w:r>
          </w:p>
        </w:tc>
        <w:tc>
          <w:tcPr>
            <w:tcW w:w="640" w:type="dxa"/>
            <w:tcBorders>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3.96</w:t>
            </w:r>
          </w:p>
        </w:tc>
        <w:tc>
          <w:tcPr>
            <w:tcW w:w="569" w:type="dxa"/>
            <w:tcBorders>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3.78</w:t>
            </w:r>
          </w:p>
        </w:tc>
        <w:tc>
          <w:tcPr>
            <w:tcW w:w="570" w:type="dxa"/>
            <w:tcBorders>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3.74</w:t>
            </w:r>
          </w:p>
        </w:tc>
        <w:tc>
          <w:tcPr>
            <w:tcW w:w="569" w:type="dxa"/>
            <w:tcBorders>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3.75</w:t>
            </w:r>
          </w:p>
        </w:tc>
        <w:tc>
          <w:tcPr>
            <w:tcW w:w="539" w:type="dxa"/>
            <w:tcBorders>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Chars="-64" w:right="-154"/>
              <w:rPr>
                <w:sz w:val="20"/>
              </w:rPr>
            </w:pPr>
            <w:r w:rsidRPr="003B6B9A">
              <w:rPr>
                <w:rFonts w:hint="eastAsia"/>
                <w:sz w:val="20"/>
              </w:rPr>
              <w:t>3.75</w:t>
            </w:r>
          </w:p>
        </w:tc>
        <w:tc>
          <w:tcPr>
            <w:tcW w:w="1147" w:type="dxa"/>
            <w:tcBorders>
              <w:left w:val="single" w:sz="4" w:space="0" w:color="auto"/>
              <w:bottom w:val="nil"/>
              <w:right w:val="nil"/>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Chars="-64" w:right="-154"/>
              <w:rPr>
                <w:sz w:val="20"/>
              </w:rPr>
            </w:pPr>
            <w:r w:rsidRPr="003B6B9A">
              <w:rPr>
                <w:sz w:val="20"/>
              </w:rPr>
              <w:t>4.</w:t>
            </w:r>
            <w:r w:rsidRPr="003B6B9A">
              <w:rPr>
                <w:rFonts w:hint="eastAsia"/>
                <w:sz w:val="20"/>
              </w:rPr>
              <w:t>03(</w:t>
            </w:r>
            <w:r w:rsidRPr="003B6B9A">
              <w:rPr>
                <w:sz w:val="20"/>
              </w:rPr>
              <w:t>↓0.</w:t>
            </w:r>
            <w:r w:rsidRPr="003B6B9A">
              <w:rPr>
                <w:rFonts w:hint="eastAsia"/>
                <w:sz w:val="20"/>
              </w:rPr>
              <w:t>28</w:t>
            </w:r>
            <w:r w:rsidRPr="003B6B9A">
              <w:rPr>
                <w:sz w:val="20"/>
              </w:rPr>
              <w:t>)</w:t>
            </w:r>
          </w:p>
        </w:tc>
      </w:tr>
      <w:tr w:rsidR="004B772B" w:rsidRPr="003B6B9A" w:rsidTr="001040FB">
        <w:trPr>
          <w:cantSplit/>
          <w:jc w:val="center"/>
        </w:trPr>
        <w:tc>
          <w:tcPr>
            <w:tcW w:w="991" w:type="dxa"/>
            <w:tcBorders>
              <w:top w:val="nil"/>
              <w:left w:val="nil"/>
              <w:bottom w:val="nil"/>
            </w:tcBorders>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香港</w:t>
            </w:r>
          </w:p>
        </w:tc>
        <w:tc>
          <w:tcPr>
            <w:tcW w:w="569"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3.4</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3.1</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3.1</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3.2</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56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57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56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53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3.2</w:t>
            </w:r>
          </w:p>
        </w:tc>
        <w:tc>
          <w:tcPr>
            <w:tcW w:w="1147" w:type="dxa"/>
            <w:tcBorders>
              <w:top w:val="nil"/>
              <w:left w:val="single" w:sz="4" w:space="0" w:color="auto"/>
              <w:bottom w:val="nil"/>
              <w:right w:val="nil"/>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w:t>
            </w:r>
            <w:r w:rsidRPr="003B6B9A">
              <w:rPr>
                <w:rFonts w:hint="eastAsia"/>
                <w:sz w:val="20"/>
              </w:rPr>
              <w:t>1(</w:t>
            </w:r>
            <w:r w:rsidRPr="003B6B9A">
              <w:rPr>
                <w:sz w:val="20"/>
              </w:rPr>
              <w:t>↑</w:t>
            </w:r>
            <w:r w:rsidRPr="003B6B9A">
              <w:rPr>
                <w:rFonts w:hint="eastAsia"/>
                <w:sz w:val="20"/>
              </w:rPr>
              <w:t>0.1</w:t>
            </w:r>
            <w:r w:rsidRPr="003B6B9A">
              <w:rPr>
                <w:sz w:val="20"/>
              </w:rPr>
              <w:t>)</w:t>
            </w:r>
          </w:p>
        </w:tc>
      </w:tr>
      <w:tr w:rsidR="004B772B" w:rsidRPr="003B6B9A" w:rsidTr="001040FB">
        <w:trPr>
          <w:cantSplit/>
          <w:jc w:val="center"/>
        </w:trPr>
        <w:tc>
          <w:tcPr>
            <w:tcW w:w="991" w:type="dxa"/>
            <w:tcBorders>
              <w:top w:val="nil"/>
              <w:left w:val="nil"/>
              <w:bottom w:val="nil"/>
            </w:tcBorders>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日本</w:t>
            </w:r>
          </w:p>
        </w:tc>
        <w:tc>
          <w:tcPr>
            <w:tcW w:w="569"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4.0</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3.4</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p>
        </w:tc>
        <w:tc>
          <w:tcPr>
            <w:tcW w:w="56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p>
        </w:tc>
        <w:tc>
          <w:tcPr>
            <w:tcW w:w="57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56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3.4</w:t>
            </w:r>
          </w:p>
        </w:tc>
        <w:tc>
          <w:tcPr>
            <w:tcW w:w="53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w:t>
            </w:r>
          </w:p>
        </w:tc>
        <w:tc>
          <w:tcPr>
            <w:tcW w:w="1147" w:type="dxa"/>
            <w:tcBorders>
              <w:top w:val="nil"/>
              <w:left w:val="single" w:sz="4" w:space="0" w:color="auto"/>
              <w:bottom w:val="nil"/>
              <w:right w:val="nil"/>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r w:rsidRPr="003B6B9A">
              <w:rPr>
                <w:sz w:val="20"/>
              </w:rPr>
              <w:t>(↓0.</w:t>
            </w:r>
            <w:r w:rsidRPr="003B6B9A">
              <w:rPr>
                <w:rFonts w:hint="eastAsia"/>
                <w:sz w:val="20"/>
              </w:rPr>
              <w:t>2</w:t>
            </w:r>
            <w:r w:rsidRPr="003B6B9A">
              <w:rPr>
                <w:sz w:val="20"/>
              </w:rPr>
              <w:t>)</w:t>
            </w:r>
          </w:p>
        </w:tc>
      </w:tr>
      <w:tr w:rsidR="004B772B" w:rsidRPr="003B6B9A" w:rsidTr="001040FB">
        <w:trPr>
          <w:cantSplit/>
          <w:jc w:val="center"/>
        </w:trPr>
        <w:tc>
          <w:tcPr>
            <w:tcW w:w="991" w:type="dxa"/>
            <w:tcBorders>
              <w:top w:val="nil"/>
              <w:left w:val="nil"/>
              <w:bottom w:val="nil"/>
            </w:tcBorders>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南韓</w:t>
            </w:r>
          </w:p>
        </w:tc>
        <w:tc>
          <w:tcPr>
            <w:tcW w:w="569"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3.1</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3.7</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3.7</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3.6</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3.4</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3.4</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56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3.4</w:t>
            </w:r>
          </w:p>
        </w:tc>
        <w:tc>
          <w:tcPr>
            <w:tcW w:w="57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3.9</w:t>
            </w:r>
          </w:p>
        </w:tc>
        <w:tc>
          <w:tcPr>
            <w:tcW w:w="56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3.7</w:t>
            </w:r>
          </w:p>
        </w:tc>
        <w:tc>
          <w:tcPr>
            <w:tcW w:w="53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w:t>
            </w:r>
          </w:p>
        </w:tc>
        <w:tc>
          <w:tcPr>
            <w:tcW w:w="1147" w:type="dxa"/>
            <w:tcBorders>
              <w:top w:val="nil"/>
              <w:left w:val="single" w:sz="4" w:space="0" w:color="auto"/>
              <w:bottom w:val="nil"/>
              <w:right w:val="nil"/>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3.5(↑0.2)</w:t>
            </w:r>
          </w:p>
        </w:tc>
      </w:tr>
      <w:tr w:rsidR="004B772B" w:rsidRPr="003B6B9A" w:rsidTr="001040FB">
        <w:trPr>
          <w:cantSplit/>
          <w:jc w:val="center"/>
        </w:trPr>
        <w:tc>
          <w:tcPr>
            <w:tcW w:w="991" w:type="dxa"/>
            <w:tcBorders>
              <w:top w:val="nil"/>
              <w:left w:val="nil"/>
              <w:bottom w:val="nil"/>
            </w:tcBorders>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新加坡</w:t>
            </w:r>
          </w:p>
        </w:tc>
        <w:tc>
          <w:tcPr>
            <w:tcW w:w="569"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1.9</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2.0</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1.9</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1.9</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2.0</w:t>
            </w:r>
          </w:p>
        </w:tc>
        <w:tc>
          <w:tcPr>
            <w:tcW w:w="56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7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6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1.8</w:t>
            </w:r>
          </w:p>
        </w:tc>
        <w:tc>
          <w:tcPr>
            <w:tcW w:w="53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1147" w:type="dxa"/>
            <w:tcBorders>
              <w:top w:val="nil"/>
              <w:left w:val="single" w:sz="4" w:space="0" w:color="auto"/>
              <w:bottom w:val="nil"/>
              <w:right w:val="nil"/>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2.0</w:t>
            </w:r>
            <w:r w:rsidRPr="003B6B9A">
              <w:rPr>
                <w:sz w:val="20"/>
              </w:rPr>
              <w:t>(↓0.</w:t>
            </w:r>
            <w:r w:rsidRPr="003B6B9A">
              <w:rPr>
                <w:rFonts w:hint="eastAsia"/>
                <w:sz w:val="20"/>
              </w:rPr>
              <w:t>2</w:t>
            </w:r>
            <w:r w:rsidRPr="003B6B9A">
              <w:rPr>
                <w:sz w:val="20"/>
              </w:rPr>
              <w:t>)</w:t>
            </w:r>
          </w:p>
        </w:tc>
      </w:tr>
      <w:tr w:rsidR="004B772B" w:rsidRPr="003B6B9A" w:rsidTr="001040FB">
        <w:trPr>
          <w:cantSplit/>
          <w:jc w:val="center"/>
        </w:trPr>
        <w:tc>
          <w:tcPr>
            <w:tcW w:w="991" w:type="dxa"/>
            <w:tcBorders>
              <w:top w:val="nil"/>
              <w:left w:val="nil"/>
              <w:bottom w:val="nil"/>
            </w:tcBorders>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美國</w:t>
            </w:r>
          </w:p>
        </w:tc>
        <w:tc>
          <w:tcPr>
            <w:tcW w:w="569"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7.4</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6.2</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6.3</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6.1</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6.2</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6.1</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5.9</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5.7</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5.8</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5.6</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6.2</w:t>
            </w:r>
          </w:p>
        </w:tc>
        <w:tc>
          <w:tcPr>
            <w:tcW w:w="56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5.7</w:t>
            </w:r>
          </w:p>
        </w:tc>
        <w:tc>
          <w:tcPr>
            <w:tcW w:w="57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5.5</w:t>
            </w:r>
          </w:p>
        </w:tc>
        <w:tc>
          <w:tcPr>
            <w:tcW w:w="56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5.5</w:t>
            </w:r>
          </w:p>
        </w:tc>
        <w:tc>
          <w:tcPr>
            <w:tcW w:w="53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5.4</w:t>
            </w:r>
          </w:p>
        </w:tc>
        <w:tc>
          <w:tcPr>
            <w:tcW w:w="1147" w:type="dxa"/>
            <w:tcBorders>
              <w:top w:val="nil"/>
              <w:left w:val="single" w:sz="4" w:space="0" w:color="auto"/>
              <w:bottom w:val="nil"/>
              <w:right w:val="nil"/>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6.2(↓0.8)</w:t>
            </w:r>
          </w:p>
        </w:tc>
      </w:tr>
      <w:tr w:rsidR="004B772B" w:rsidRPr="003B6B9A" w:rsidTr="001040FB">
        <w:trPr>
          <w:cantSplit/>
          <w:jc w:val="center"/>
        </w:trPr>
        <w:tc>
          <w:tcPr>
            <w:tcW w:w="991" w:type="dxa"/>
            <w:tcBorders>
              <w:top w:val="nil"/>
              <w:left w:val="nil"/>
              <w:bottom w:val="nil"/>
            </w:tcBorders>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加拿大</w:t>
            </w:r>
          </w:p>
        </w:tc>
        <w:tc>
          <w:tcPr>
            <w:tcW w:w="569"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7.1</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p>
        </w:tc>
        <w:tc>
          <w:tcPr>
            <w:tcW w:w="640" w:type="dxa"/>
            <w:tcBorders>
              <w:top w:val="nil"/>
              <w:left w:val="single" w:sz="4" w:space="0" w:color="auto"/>
              <w:bottom w:val="nil"/>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6.9</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6.6</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6.7</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6.7</w:t>
            </w:r>
          </w:p>
        </w:tc>
        <w:tc>
          <w:tcPr>
            <w:tcW w:w="64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6.9</w:t>
            </w:r>
          </w:p>
        </w:tc>
        <w:tc>
          <w:tcPr>
            <w:tcW w:w="56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6.6</w:t>
            </w:r>
          </w:p>
        </w:tc>
        <w:tc>
          <w:tcPr>
            <w:tcW w:w="570"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6.8</w:t>
            </w:r>
          </w:p>
        </w:tc>
        <w:tc>
          <w:tcPr>
            <w:tcW w:w="56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6.8</w:t>
            </w:r>
          </w:p>
        </w:tc>
        <w:tc>
          <w:tcPr>
            <w:tcW w:w="539" w:type="dxa"/>
            <w:tcBorders>
              <w:top w:val="nil"/>
              <w:left w:val="single" w:sz="4" w:space="0" w:color="auto"/>
              <w:bottom w:val="nil"/>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6.8</w:t>
            </w:r>
          </w:p>
        </w:tc>
        <w:tc>
          <w:tcPr>
            <w:tcW w:w="1147" w:type="dxa"/>
            <w:tcBorders>
              <w:top w:val="nil"/>
              <w:left w:val="single" w:sz="4" w:space="0" w:color="auto"/>
              <w:bottom w:val="nil"/>
              <w:right w:val="nil"/>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r w:rsidRPr="003B6B9A">
              <w:rPr>
                <w:sz w:val="20"/>
              </w:rPr>
              <w:t>↓</w:t>
            </w:r>
            <w:r w:rsidRPr="003B6B9A">
              <w:rPr>
                <w:rFonts w:hint="eastAsia"/>
                <w:sz w:val="20"/>
              </w:rPr>
              <w:t>0.2</w:t>
            </w:r>
            <w:r w:rsidRPr="003B6B9A">
              <w:rPr>
                <w:sz w:val="20"/>
              </w:rPr>
              <w:t>)</w:t>
            </w:r>
          </w:p>
        </w:tc>
      </w:tr>
      <w:tr w:rsidR="004B772B" w:rsidRPr="003B6B9A" w:rsidTr="001040FB">
        <w:trPr>
          <w:cantSplit/>
          <w:jc w:val="center"/>
        </w:trPr>
        <w:tc>
          <w:tcPr>
            <w:tcW w:w="991" w:type="dxa"/>
            <w:tcBorders>
              <w:top w:val="nil"/>
              <w:left w:val="nil"/>
              <w:bottom w:val="single" w:sz="4" w:space="0" w:color="auto"/>
            </w:tcBorders>
          </w:tcPr>
          <w:p w:rsidR="004B772B" w:rsidRPr="003B6B9A" w:rsidRDefault="004B772B"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德國</w:t>
            </w:r>
          </w:p>
        </w:tc>
        <w:tc>
          <w:tcPr>
            <w:tcW w:w="569" w:type="dxa"/>
            <w:tcBorders>
              <w:top w:val="nil"/>
              <w:left w:val="single" w:sz="4" w:space="0" w:color="auto"/>
              <w:bottom w:val="single" w:sz="4" w:space="0" w:color="auto"/>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5.2</w:t>
            </w:r>
          </w:p>
        </w:tc>
        <w:tc>
          <w:tcPr>
            <w:tcW w:w="640" w:type="dxa"/>
            <w:tcBorders>
              <w:top w:val="nil"/>
              <w:left w:val="single" w:sz="4" w:space="0" w:color="auto"/>
              <w:bottom w:val="single" w:sz="4" w:space="0" w:color="auto"/>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vAlign w:val="center"/>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4.9</w:t>
            </w:r>
          </w:p>
        </w:tc>
        <w:tc>
          <w:tcPr>
            <w:tcW w:w="640" w:type="dxa"/>
            <w:tcBorders>
              <w:top w:val="nil"/>
              <w:left w:val="single" w:sz="4" w:space="0" w:color="auto"/>
              <w:bottom w:val="single" w:sz="4" w:space="0" w:color="auto"/>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4.8</w:t>
            </w:r>
          </w:p>
        </w:tc>
        <w:tc>
          <w:tcPr>
            <w:tcW w:w="640" w:type="dxa"/>
            <w:tcBorders>
              <w:top w:val="nil"/>
              <w:left w:val="single" w:sz="4" w:space="0" w:color="auto"/>
              <w:bottom w:val="single" w:sz="4" w:space="0" w:color="auto"/>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569" w:type="dxa"/>
            <w:tcBorders>
              <w:top w:val="nil"/>
              <w:left w:val="single" w:sz="4" w:space="0" w:color="auto"/>
              <w:bottom w:val="single" w:sz="4" w:space="0" w:color="auto"/>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4.8</w:t>
            </w:r>
          </w:p>
        </w:tc>
        <w:tc>
          <w:tcPr>
            <w:tcW w:w="570" w:type="dxa"/>
            <w:tcBorders>
              <w:top w:val="nil"/>
              <w:left w:val="single" w:sz="4" w:space="0" w:color="auto"/>
              <w:bottom w:val="single" w:sz="4" w:space="0" w:color="auto"/>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4.7</w:t>
            </w:r>
          </w:p>
        </w:tc>
        <w:tc>
          <w:tcPr>
            <w:tcW w:w="569" w:type="dxa"/>
            <w:tcBorders>
              <w:top w:val="nil"/>
              <w:left w:val="single" w:sz="4" w:space="0" w:color="auto"/>
              <w:bottom w:val="single" w:sz="4" w:space="0" w:color="auto"/>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4.7</w:t>
            </w:r>
          </w:p>
        </w:tc>
        <w:tc>
          <w:tcPr>
            <w:tcW w:w="539" w:type="dxa"/>
            <w:tcBorders>
              <w:top w:val="nil"/>
              <w:left w:val="single" w:sz="4" w:space="0" w:color="auto"/>
              <w:bottom w:val="single" w:sz="4" w:space="0" w:color="auto"/>
              <w:right w:val="single" w:sz="4" w:space="0" w:color="auto"/>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w:t>
            </w:r>
          </w:p>
        </w:tc>
        <w:tc>
          <w:tcPr>
            <w:tcW w:w="1147" w:type="dxa"/>
            <w:tcBorders>
              <w:top w:val="nil"/>
              <w:left w:val="single" w:sz="4" w:space="0" w:color="auto"/>
              <w:bottom w:val="single" w:sz="4" w:space="0" w:color="auto"/>
              <w:right w:val="nil"/>
            </w:tcBorders>
          </w:tcPr>
          <w:p w:rsidR="004B772B" w:rsidRPr="003B6B9A" w:rsidRDefault="004B772B"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r w:rsidRPr="003B6B9A">
              <w:rPr>
                <w:sz w:val="20"/>
              </w:rPr>
              <w:t>(↓0.</w:t>
            </w:r>
            <w:r w:rsidRPr="003B6B9A">
              <w:rPr>
                <w:rFonts w:hint="eastAsia"/>
                <w:sz w:val="20"/>
              </w:rPr>
              <w:t>3</w:t>
            </w:r>
            <w:r w:rsidRPr="003B6B9A">
              <w:rPr>
                <w:sz w:val="20"/>
              </w:rPr>
              <w:t>)</w:t>
            </w:r>
          </w:p>
        </w:tc>
      </w:tr>
    </w:tbl>
    <w:p w:rsidR="004B772B" w:rsidRPr="003B6B9A" w:rsidRDefault="004B772B" w:rsidP="004B772B">
      <w:pPr>
        <w:widowControl/>
        <w:snapToGrid w:val="0"/>
        <w:spacing w:line="320" w:lineRule="atLeast"/>
        <w:ind w:right="250"/>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1.</w:t>
      </w:r>
      <w:r w:rsidRPr="003B6B9A">
        <w:rPr>
          <w:rFonts w:eastAsia="標楷體"/>
          <w:kern w:val="0"/>
          <w:sz w:val="22"/>
          <w:szCs w:val="22"/>
        </w:rPr>
        <w:t>各國失業率為季節調整後資料。</w:t>
      </w:r>
      <w:r w:rsidRPr="003B6B9A">
        <w:rPr>
          <w:rFonts w:eastAsia="標楷體"/>
          <w:sz w:val="22"/>
          <w:szCs w:val="22"/>
        </w:rPr>
        <w:t xml:space="preserve"> </w:t>
      </w:r>
    </w:p>
    <w:p w:rsidR="004B772B" w:rsidRPr="003B6B9A" w:rsidRDefault="004B772B" w:rsidP="004B772B">
      <w:pPr>
        <w:widowControl/>
        <w:snapToGrid w:val="0"/>
        <w:spacing w:line="320" w:lineRule="atLeast"/>
        <w:ind w:right="250"/>
        <w:jc w:val="both"/>
        <w:rPr>
          <w:rFonts w:eastAsia="標楷體"/>
          <w:kern w:val="0"/>
          <w:sz w:val="22"/>
          <w:szCs w:val="22"/>
        </w:rPr>
      </w:pPr>
      <w:r w:rsidRPr="003B6B9A">
        <w:rPr>
          <w:rFonts w:eastAsia="標楷體"/>
          <w:kern w:val="0"/>
          <w:sz w:val="22"/>
          <w:szCs w:val="22"/>
        </w:rPr>
        <w:t xml:space="preserve">    2.</w:t>
      </w:r>
      <w:r w:rsidRPr="003B6B9A">
        <w:rPr>
          <w:rFonts w:eastAsia="標楷體"/>
          <w:kern w:val="0"/>
          <w:sz w:val="22"/>
          <w:szCs w:val="22"/>
        </w:rPr>
        <w:t>香港失業率係</w:t>
      </w:r>
      <w:r w:rsidRPr="003B6B9A">
        <w:rPr>
          <w:rFonts w:eastAsia="標楷體"/>
          <w:kern w:val="0"/>
          <w:sz w:val="22"/>
          <w:szCs w:val="22"/>
        </w:rPr>
        <w:t>3</w:t>
      </w:r>
      <w:r w:rsidRPr="003B6B9A">
        <w:rPr>
          <w:rFonts w:eastAsia="標楷體"/>
          <w:kern w:val="0"/>
          <w:sz w:val="22"/>
          <w:szCs w:val="22"/>
        </w:rPr>
        <w:t>個月（當月及前</w:t>
      </w:r>
      <w:r w:rsidRPr="003B6B9A">
        <w:rPr>
          <w:rFonts w:eastAsia="標楷體"/>
          <w:kern w:val="0"/>
          <w:sz w:val="22"/>
          <w:szCs w:val="22"/>
        </w:rPr>
        <w:t>2</w:t>
      </w:r>
      <w:r w:rsidRPr="003B6B9A">
        <w:rPr>
          <w:rFonts w:eastAsia="標楷體"/>
          <w:kern w:val="0"/>
          <w:sz w:val="22"/>
          <w:szCs w:val="22"/>
        </w:rPr>
        <w:t>個月）的平均值。</w:t>
      </w:r>
      <w:r w:rsidRPr="003B6B9A">
        <w:rPr>
          <w:rFonts w:eastAsia="標楷體"/>
          <w:kern w:val="0"/>
          <w:sz w:val="22"/>
          <w:szCs w:val="22"/>
        </w:rPr>
        <w:t xml:space="preserve"> </w:t>
      </w:r>
    </w:p>
    <w:p w:rsidR="004B772B" w:rsidRPr="003B6B9A" w:rsidRDefault="004B772B" w:rsidP="004B772B">
      <w:pPr>
        <w:widowControl/>
        <w:snapToGrid w:val="0"/>
        <w:spacing w:line="320" w:lineRule="atLeast"/>
        <w:ind w:right="250"/>
        <w:jc w:val="both"/>
        <w:rPr>
          <w:rFonts w:eastAsia="標楷體"/>
          <w:kern w:val="0"/>
          <w:sz w:val="22"/>
          <w:szCs w:val="22"/>
        </w:rPr>
      </w:pPr>
      <w:r w:rsidRPr="003B6B9A">
        <w:rPr>
          <w:rFonts w:eastAsia="標楷體"/>
          <w:kern w:val="0"/>
          <w:sz w:val="22"/>
          <w:szCs w:val="22"/>
        </w:rPr>
        <w:t xml:space="preserve">    3.</w:t>
      </w:r>
      <w:r w:rsidRPr="003B6B9A">
        <w:rPr>
          <w:rFonts w:eastAsia="標楷體"/>
          <w:kern w:val="0"/>
          <w:sz w:val="22"/>
          <w:szCs w:val="22"/>
        </w:rPr>
        <w:t>＊為最新月份失業率與上年同月相較。</w:t>
      </w:r>
    </w:p>
    <w:p w:rsidR="004B772B" w:rsidRPr="003B6B9A" w:rsidRDefault="004B772B" w:rsidP="004B772B">
      <w:pPr>
        <w:widowControl/>
        <w:snapToGrid w:val="0"/>
        <w:spacing w:line="320" w:lineRule="atLeast"/>
        <w:ind w:right="-334"/>
        <w:jc w:val="both"/>
        <w:rPr>
          <w:rFonts w:eastAsia="標楷體"/>
          <w:kern w:val="0"/>
          <w:sz w:val="22"/>
          <w:szCs w:val="22"/>
        </w:rPr>
      </w:pPr>
      <w:r w:rsidRPr="003B6B9A">
        <w:rPr>
          <w:rFonts w:eastAsia="標楷體"/>
          <w:kern w:val="0"/>
          <w:sz w:val="22"/>
          <w:szCs w:val="22"/>
        </w:rPr>
        <w:t>資料來源：行政院主計總處「人力資源統計月報」。</w:t>
      </w:r>
    </w:p>
    <w:p w:rsidR="004B772B" w:rsidRPr="003B6B9A" w:rsidRDefault="004B772B" w:rsidP="004B772B">
      <w:pPr>
        <w:widowControl/>
        <w:snapToGrid w:val="0"/>
        <w:spacing w:line="320" w:lineRule="atLeast"/>
        <w:ind w:right="-334"/>
        <w:jc w:val="both"/>
        <w:rPr>
          <w:rFonts w:eastAsia="標楷體"/>
          <w:kern w:val="0"/>
          <w:sz w:val="22"/>
        </w:rPr>
      </w:pPr>
      <w:r w:rsidRPr="003B6B9A">
        <w:rPr>
          <w:rFonts w:eastAsia="標楷體"/>
          <w:kern w:val="0"/>
        </w:rPr>
        <w:t xml:space="preserve">　　　　　</w:t>
      </w:r>
    </w:p>
    <w:p w:rsidR="004B772B" w:rsidRPr="003B6B9A" w:rsidRDefault="004B772B" w:rsidP="004B772B">
      <w:pPr>
        <w:widowControl/>
        <w:tabs>
          <w:tab w:val="left" w:pos="540"/>
          <w:tab w:val="right" w:pos="8669"/>
        </w:tabs>
        <w:snapToGrid w:val="0"/>
        <w:spacing w:beforeLines="50" w:before="180" w:line="300" w:lineRule="auto"/>
        <w:jc w:val="both"/>
        <w:rPr>
          <w:rFonts w:eastAsia="標楷體"/>
          <w:b/>
          <w:bCs/>
          <w:kern w:val="0"/>
          <w:sz w:val="28"/>
          <w:szCs w:val="20"/>
        </w:rPr>
      </w:pPr>
      <w:r w:rsidRPr="003B6B9A">
        <w:rPr>
          <w:rFonts w:eastAsia="標楷體"/>
          <w:b/>
          <w:bCs/>
          <w:kern w:val="0"/>
          <w:sz w:val="28"/>
          <w:szCs w:val="20"/>
        </w:rPr>
        <w:t>３、</w:t>
      </w:r>
      <w:r w:rsidRPr="003B6B9A">
        <w:rPr>
          <w:rFonts w:eastAsia="標楷體"/>
          <w:b/>
          <w:bCs/>
          <w:kern w:val="0"/>
          <w:sz w:val="28"/>
          <w:szCs w:val="20"/>
        </w:rPr>
        <w:t>104</w:t>
      </w:r>
      <w:r w:rsidRPr="003B6B9A">
        <w:rPr>
          <w:rFonts w:eastAsia="標楷體"/>
          <w:b/>
          <w:bCs/>
          <w:kern w:val="0"/>
          <w:sz w:val="28"/>
          <w:szCs w:val="20"/>
        </w:rPr>
        <w:t>年</w:t>
      </w:r>
      <w:r w:rsidRPr="003B6B9A">
        <w:rPr>
          <w:rFonts w:eastAsia="標楷體"/>
          <w:b/>
          <w:bCs/>
          <w:kern w:val="0"/>
          <w:sz w:val="28"/>
          <w:szCs w:val="20"/>
        </w:rPr>
        <w:t>3</w:t>
      </w:r>
      <w:r w:rsidRPr="003B6B9A">
        <w:rPr>
          <w:rFonts w:eastAsia="標楷體"/>
          <w:b/>
          <w:bCs/>
          <w:kern w:val="0"/>
          <w:sz w:val="28"/>
          <w:szCs w:val="20"/>
        </w:rPr>
        <w:t>月工業及服務業平均薪資較上年同月增加</w:t>
      </w:r>
      <w:r w:rsidRPr="003B6B9A">
        <w:rPr>
          <w:rFonts w:eastAsia="標楷體"/>
          <w:b/>
          <w:bCs/>
          <w:kern w:val="0"/>
          <w:sz w:val="28"/>
          <w:szCs w:val="20"/>
        </w:rPr>
        <w:t>0.72%</w:t>
      </w:r>
    </w:p>
    <w:p w:rsidR="004B772B" w:rsidRPr="003B6B9A" w:rsidRDefault="004B772B" w:rsidP="004B772B">
      <w:pPr>
        <w:snapToGrid w:val="0"/>
        <w:spacing w:before="50" w:line="300" w:lineRule="auto"/>
        <w:ind w:leftChars="119" w:left="569" w:rightChars="18" w:right="43" w:hangingChars="101" w:hanging="283"/>
        <w:jc w:val="both"/>
        <w:rPr>
          <w:rFonts w:eastAsia="標楷體"/>
          <w:sz w:val="28"/>
          <w:szCs w:val="32"/>
        </w:rPr>
      </w:pPr>
      <w:r w:rsidRPr="003B6B9A">
        <w:rPr>
          <w:rFonts w:eastAsia="標楷體"/>
          <w:sz w:val="28"/>
          <w:szCs w:val="32"/>
        </w:rPr>
        <w:t>－</w:t>
      </w:r>
      <w:r w:rsidRPr="003B6B9A">
        <w:rPr>
          <w:rFonts w:eastAsia="標楷體"/>
          <w:sz w:val="28"/>
          <w:szCs w:val="32"/>
        </w:rPr>
        <w:t>104</w:t>
      </w:r>
      <w:r w:rsidRPr="003B6B9A">
        <w:rPr>
          <w:rFonts w:eastAsia="標楷體"/>
          <w:sz w:val="28"/>
          <w:szCs w:val="32"/>
        </w:rPr>
        <w:t>年</w:t>
      </w:r>
      <w:r w:rsidRPr="003B6B9A">
        <w:rPr>
          <w:rFonts w:eastAsia="標楷體"/>
          <w:sz w:val="28"/>
          <w:szCs w:val="32"/>
        </w:rPr>
        <w:t>3</w:t>
      </w:r>
      <w:r w:rsidRPr="003B6B9A">
        <w:rPr>
          <w:rFonts w:eastAsia="標楷體"/>
          <w:sz w:val="28"/>
          <w:szCs w:val="32"/>
        </w:rPr>
        <w:t>月工業及服務業每人每月平均薪資為</w:t>
      </w:r>
      <w:r w:rsidRPr="003B6B9A">
        <w:rPr>
          <w:rFonts w:eastAsia="標楷體"/>
          <w:sz w:val="28"/>
          <w:szCs w:val="32"/>
        </w:rPr>
        <w:t>43,016</w:t>
      </w:r>
      <w:r w:rsidRPr="003B6B9A">
        <w:rPr>
          <w:rFonts w:eastAsia="標楷體"/>
          <w:sz w:val="28"/>
          <w:szCs w:val="32"/>
        </w:rPr>
        <w:t>元，較上月減少</w:t>
      </w:r>
      <w:r w:rsidRPr="003B6B9A">
        <w:rPr>
          <w:rFonts w:eastAsia="標楷體"/>
          <w:sz w:val="28"/>
          <w:szCs w:val="32"/>
        </w:rPr>
        <w:t>50.37%</w:t>
      </w:r>
      <w:r w:rsidRPr="003B6B9A">
        <w:rPr>
          <w:rFonts w:eastAsia="標楷體"/>
          <w:sz w:val="28"/>
          <w:szCs w:val="32"/>
        </w:rPr>
        <w:t>，主要受上月春節廠商發放年終及績效獎金影響，較上年同月增加</w:t>
      </w:r>
      <w:r w:rsidRPr="003B6B9A">
        <w:rPr>
          <w:rFonts w:eastAsia="標楷體"/>
          <w:sz w:val="28"/>
          <w:szCs w:val="32"/>
        </w:rPr>
        <w:t>0.72%</w:t>
      </w:r>
      <w:r w:rsidRPr="003B6B9A">
        <w:rPr>
          <w:rFonts w:eastAsia="標楷體"/>
          <w:sz w:val="28"/>
          <w:szCs w:val="32"/>
        </w:rPr>
        <w:t>；其中，經常性薪資為</w:t>
      </w:r>
      <w:r w:rsidRPr="003B6B9A">
        <w:rPr>
          <w:rFonts w:eastAsia="標楷體"/>
          <w:sz w:val="28"/>
          <w:szCs w:val="32"/>
        </w:rPr>
        <w:t>38,522</w:t>
      </w:r>
      <w:r w:rsidRPr="003B6B9A">
        <w:rPr>
          <w:rFonts w:eastAsia="標楷體"/>
          <w:sz w:val="28"/>
          <w:szCs w:val="32"/>
        </w:rPr>
        <w:t>元，較上年同月增加</w:t>
      </w:r>
      <w:r w:rsidRPr="003B6B9A">
        <w:rPr>
          <w:rFonts w:eastAsia="標楷體"/>
          <w:sz w:val="28"/>
          <w:szCs w:val="32"/>
        </w:rPr>
        <w:t>1.51%</w:t>
      </w:r>
      <w:r w:rsidRPr="003B6B9A">
        <w:rPr>
          <w:rFonts w:eastAsia="標楷體"/>
          <w:sz w:val="28"/>
          <w:szCs w:val="32"/>
        </w:rPr>
        <w:t>。</w:t>
      </w:r>
    </w:p>
    <w:p w:rsidR="004B772B" w:rsidRPr="003B6B9A" w:rsidRDefault="004B772B" w:rsidP="004B772B">
      <w:pPr>
        <w:snapToGrid w:val="0"/>
        <w:spacing w:before="50" w:line="300" w:lineRule="auto"/>
        <w:ind w:leftChars="119" w:left="569" w:rightChars="18" w:right="43" w:hangingChars="101" w:hanging="283"/>
        <w:jc w:val="both"/>
        <w:rPr>
          <w:rFonts w:eastAsia="標楷體"/>
          <w:sz w:val="28"/>
          <w:szCs w:val="32"/>
        </w:rPr>
      </w:pPr>
      <w:r w:rsidRPr="003B6B9A">
        <w:rPr>
          <w:rFonts w:eastAsia="標楷體"/>
          <w:sz w:val="28"/>
          <w:szCs w:val="32"/>
        </w:rPr>
        <w:t>－</w:t>
      </w:r>
      <w:r w:rsidRPr="003B6B9A">
        <w:rPr>
          <w:rFonts w:eastAsia="標楷體"/>
          <w:sz w:val="28"/>
          <w:szCs w:val="32"/>
        </w:rPr>
        <w:t>104</w:t>
      </w:r>
      <w:r w:rsidRPr="003B6B9A">
        <w:rPr>
          <w:rFonts w:eastAsia="標楷體"/>
          <w:sz w:val="28"/>
          <w:szCs w:val="32"/>
        </w:rPr>
        <w:t>年</w:t>
      </w:r>
      <w:r w:rsidRPr="003B6B9A">
        <w:rPr>
          <w:rFonts w:eastAsia="標楷體"/>
          <w:sz w:val="28"/>
          <w:szCs w:val="32"/>
        </w:rPr>
        <w:t>3</w:t>
      </w:r>
      <w:r w:rsidRPr="003B6B9A">
        <w:rPr>
          <w:rFonts w:eastAsia="標楷體"/>
          <w:sz w:val="28"/>
          <w:szCs w:val="32"/>
        </w:rPr>
        <w:t>月製造業薪資為</w:t>
      </w:r>
      <w:r w:rsidRPr="003B6B9A">
        <w:rPr>
          <w:rFonts w:eastAsia="標楷體"/>
          <w:sz w:val="28"/>
          <w:szCs w:val="32"/>
        </w:rPr>
        <w:t>40,444</w:t>
      </w:r>
      <w:r w:rsidRPr="003B6B9A">
        <w:rPr>
          <w:rFonts w:eastAsia="標楷體"/>
          <w:sz w:val="28"/>
          <w:szCs w:val="32"/>
        </w:rPr>
        <w:t>元，較上年同月增加</w:t>
      </w:r>
      <w:r w:rsidRPr="003B6B9A">
        <w:rPr>
          <w:rFonts w:eastAsia="標楷體"/>
          <w:sz w:val="28"/>
          <w:szCs w:val="32"/>
        </w:rPr>
        <w:t>2.99%</w:t>
      </w:r>
      <w:r w:rsidRPr="003B6B9A">
        <w:rPr>
          <w:rFonts w:eastAsia="標楷體"/>
          <w:sz w:val="28"/>
          <w:szCs w:val="32"/>
        </w:rPr>
        <w:t>；電力及燃氣供應業與金融及保險業則各為</w:t>
      </w:r>
      <w:r w:rsidRPr="003B6B9A">
        <w:rPr>
          <w:rFonts w:eastAsia="標楷體"/>
          <w:sz w:val="28"/>
          <w:szCs w:val="32"/>
        </w:rPr>
        <w:t>73,034</w:t>
      </w:r>
      <w:r w:rsidRPr="003B6B9A">
        <w:rPr>
          <w:rFonts w:eastAsia="標楷體"/>
          <w:sz w:val="28"/>
          <w:szCs w:val="32"/>
        </w:rPr>
        <w:t>元及</w:t>
      </w:r>
      <w:r w:rsidRPr="003B6B9A">
        <w:rPr>
          <w:rFonts w:eastAsia="標楷體"/>
          <w:sz w:val="28"/>
          <w:szCs w:val="32"/>
        </w:rPr>
        <w:t>68,598</w:t>
      </w:r>
      <w:r w:rsidRPr="003B6B9A">
        <w:rPr>
          <w:rFonts w:eastAsia="標楷體"/>
          <w:sz w:val="28"/>
          <w:szCs w:val="32"/>
        </w:rPr>
        <w:t>元，分別減少</w:t>
      </w:r>
      <w:r w:rsidRPr="003B6B9A">
        <w:rPr>
          <w:rFonts w:eastAsia="標楷體"/>
          <w:sz w:val="28"/>
          <w:szCs w:val="32"/>
        </w:rPr>
        <w:t>2.09%</w:t>
      </w:r>
      <w:r w:rsidRPr="003B6B9A">
        <w:rPr>
          <w:rFonts w:eastAsia="標楷體"/>
          <w:sz w:val="28"/>
          <w:szCs w:val="32"/>
        </w:rPr>
        <w:t>及</w:t>
      </w:r>
      <w:r w:rsidRPr="003B6B9A">
        <w:rPr>
          <w:rFonts w:eastAsia="標楷體"/>
          <w:sz w:val="28"/>
          <w:szCs w:val="32"/>
        </w:rPr>
        <w:t>7.56%</w:t>
      </w:r>
      <w:r w:rsidRPr="003B6B9A">
        <w:rPr>
          <w:rFonts w:eastAsia="標楷體"/>
          <w:sz w:val="28"/>
          <w:szCs w:val="32"/>
        </w:rPr>
        <w:t>。</w:t>
      </w:r>
    </w:p>
    <w:p w:rsidR="004B772B" w:rsidRPr="003B6B9A" w:rsidRDefault="004B772B" w:rsidP="004B772B">
      <w:pPr>
        <w:snapToGrid w:val="0"/>
        <w:spacing w:before="50" w:line="300" w:lineRule="auto"/>
        <w:ind w:leftChars="119" w:left="569" w:rightChars="18" w:right="43" w:hangingChars="101" w:hanging="283"/>
        <w:jc w:val="both"/>
        <w:rPr>
          <w:rFonts w:eastAsia="標楷體"/>
          <w:sz w:val="28"/>
          <w:szCs w:val="32"/>
        </w:rPr>
      </w:pPr>
      <w:r w:rsidRPr="003B6B9A">
        <w:rPr>
          <w:rFonts w:eastAsia="標楷體"/>
          <w:sz w:val="28"/>
          <w:szCs w:val="32"/>
        </w:rPr>
        <w:t>－</w:t>
      </w:r>
      <w:r w:rsidRPr="003B6B9A">
        <w:rPr>
          <w:rFonts w:eastAsia="標楷體"/>
          <w:sz w:val="28"/>
          <w:szCs w:val="32"/>
        </w:rPr>
        <w:t>104</w:t>
      </w:r>
      <w:r w:rsidRPr="003B6B9A">
        <w:rPr>
          <w:rFonts w:eastAsia="標楷體"/>
          <w:sz w:val="28"/>
          <w:szCs w:val="32"/>
        </w:rPr>
        <w:t>年</w:t>
      </w:r>
      <w:r w:rsidRPr="003B6B9A">
        <w:rPr>
          <w:rFonts w:eastAsia="標楷體"/>
          <w:sz w:val="28"/>
          <w:szCs w:val="32"/>
        </w:rPr>
        <w:t>1</w:t>
      </w:r>
      <w:r w:rsidRPr="003B6B9A">
        <w:rPr>
          <w:rFonts w:eastAsia="標楷體"/>
          <w:sz w:val="28"/>
          <w:szCs w:val="32"/>
        </w:rPr>
        <w:t>至</w:t>
      </w:r>
      <w:r w:rsidRPr="003B6B9A">
        <w:rPr>
          <w:rFonts w:eastAsia="標楷體"/>
          <w:sz w:val="28"/>
          <w:szCs w:val="32"/>
        </w:rPr>
        <w:t>3</w:t>
      </w:r>
      <w:r w:rsidRPr="003B6B9A">
        <w:rPr>
          <w:rFonts w:eastAsia="標楷體"/>
          <w:sz w:val="28"/>
          <w:szCs w:val="32"/>
        </w:rPr>
        <w:t>月薪資平均為</w:t>
      </w:r>
      <w:r w:rsidRPr="003B6B9A">
        <w:rPr>
          <w:rFonts w:eastAsia="標楷體"/>
          <w:sz w:val="28"/>
          <w:szCs w:val="32"/>
        </w:rPr>
        <w:t>60,525</w:t>
      </w:r>
      <w:r w:rsidRPr="003B6B9A">
        <w:rPr>
          <w:rFonts w:eastAsia="標楷體"/>
          <w:sz w:val="28"/>
          <w:szCs w:val="32"/>
        </w:rPr>
        <w:t>元，為歷年同期最高，較上年同期增加</w:t>
      </w:r>
      <w:r w:rsidRPr="003B6B9A">
        <w:rPr>
          <w:rFonts w:eastAsia="標楷體"/>
          <w:sz w:val="28"/>
          <w:szCs w:val="32"/>
        </w:rPr>
        <w:t>5.11%(</w:t>
      </w:r>
      <w:r w:rsidRPr="003B6B9A">
        <w:rPr>
          <w:rFonts w:eastAsia="標楷體"/>
          <w:sz w:val="28"/>
          <w:szCs w:val="32"/>
        </w:rPr>
        <w:t>經常性薪資</w:t>
      </w:r>
      <w:r w:rsidRPr="003B6B9A">
        <w:rPr>
          <w:rFonts w:eastAsia="標楷體"/>
          <w:sz w:val="28"/>
          <w:szCs w:val="32"/>
        </w:rPr>
        <w:t>38,</w:t>
      </w:r>
      <w:r w:rsidRPr="003B6B9A">
        <w:rPr>
          <w:rFonts w:eastAsia="標楷體" w:hint="eastAsia"/>
          <w:sz w:val="28"/>
          <w:szCs w:val="32"/>
        </w:rPr>
        <w:t>406</w:t>
      </w:r>
      <w:r w:rsidRPr="003B6B9A">
        <w:rPr>
          <w:rFonts w:eastAsia="標楷體"/>
          <w:sz w:val="28"/>
          <w:szCs w:val="32"/>
        </w:rPr>
        <w:t>元，增加</w:t>
      </w:r>
      <w:r w:rsidRPr="003B6B9A">
        <w:rPr>
          <w:rFonts w:eastAsia="標楷體"/>
          <w:sz w:val="28"/>
          <w:szCs w:val="32"/>
        </w:rPr>
        <w:t>1.5</w:t>
      </w:r>
      <w:r w:rsidRPr="003B6B9A">
        <w:rPr>
          <w:rFonts w:eastAsia="標楷體" w:hint="eastAsia"/>
          <w:sz w:val="28"/>
          <w:szCs w:val="32"/>
        </w:rPr>
        <w:t>8</w:t>
      </w:r>
      <w:r w:rsidRPr="003B6B9A">
        <w:rPr>
          <w:rFonts w:eastAsia="標楷體"/>
          <w:sz w:val="28"/>
          <w:szCs w:val="32"/>
        </w:rPr>
        <w:t>%</w:t>
      </w:r>
      <w:r w:rsidRPr="003B6B9A">
        <w:rPr>
          <w:rFonts w:eastAsia="標楷體"/>
          <w:sz w:val="28"/>
          <w:szCs w:val="32"/>
        </w:rPr>
        <w:t>；非經常性薪資</w:t>
      </w:r>
      <w:r w:rsidRPr="003B6B9A">
        <w:rPr>
          <w:rFonts w:eastAsia="標楷體"/>
          <w:sz w:val="28"/>
          <w:szCs w:val="32"/>
        </w:rPr>
        <w:t>22,119</w:t>
      </w:r>
      <w:r w:rsidRPr="003B6B9A">
        <w:rPr>
          <w:rFonts w:eastAsia="標楷體"/>
          <w:sz w:val="28"/>
          <w:szCs w:val="32"/>
        </w:rPr>
        <w:t>元，增加</w:t>
      </w:r>
      <w:r w:rsidRPr="003B6B9A">
        <w:rPr>
          <w:rFonts w:eastAsia="標楷體"/>
          <w:sz w:val="28"/>
          <w:szCs w:val="32"/>
        </w:rPr>
        <w:t>11.86%)</w:t>
      </w:r>
      <w:r w:rsidRPr="003B6B9A">
        <w:rPr>
          <w:rFonts w:eastAsia="標楷體"/>
          <w:sz w:val="28"/>
          <w:szCs w:val="32"/>
        </w:rPr>
        <w:t>；若扣除同期間消費者物價指數下跌</w:t>
      </w:r>
      <w:r w:rsidRPr="003B6B9A">
        <w:rPr>
          <w:rFonts w:eastAsia="標楷體"/>
          <w:sz w:val="28"/>
          <w:szCs w:val="32"/>
        </w:rPr>
        <w:t>0.59%</w:t>
      </w:r>
      <w:r w:rsidRPr="003B6B9A">
        <w:rPr>
          <w:rFonts w:eastAsia="標楷體"/>
          <w:sz w:val="28"/>
          <w:szCs w:val="32"/>
        </w:rPr>
        <w:t>後，實質薪資為</w:t>
      </w:r>
      <w:r w:rsidRPr="003B6B9A">
        <w:rPr>
          <w:rFonts w:eastAsia="標楷體"/>
          <w:sz w:val="28"/>
          <w:szCs w:val="32"/>
        </w:rPr>
        <w:t>59,078</w:t>
      </w:r>
      <w:r w:rsidRPr="003B6B9A">
        <w:rPr>
          <w:rFonts w:eastAsia="標楷體"/>
          <w:sz w:val="28"/>
          <w:szCs w:val="32"/>
        </w:rPr>
        <w:t>元，亦為歷年同期最高，</w:t>
      </w:r>
      <w:r w:rsidRPr="003B6B9A">
        <w:rPr>
          <w:rFonts w:eastAsia="標楷體" w:hint="eastAsia"/>
          <w:sz w:val="28"/>
          <w:szCs w:val="32"/>
        </w:rPr>
        <w:t>其中</w:t>
      </w:r>
      <w:r w:rsidRPr="003B6B9A">
        <w:rPr>
          <w:rFonts w:eastAsia="標楷體"/>
          <w:sz w:val="28"/>
          <w:szCs w:val="32"/>
        </w:rPr>
        <w:t>實質經常性薪資為</w:t>
      </w:r>
      <w:r w:rsidRPr="003B6B9A">
        <w:rPr>
          <w:rFonts w:eastAsia="標楷體"/>
          <w:sz w:val="28"/>
          <w:szCs w:val="32"/>
        </w:rPr>
        <w:t>37,488</w:t>
      </w:r>
      <w:r w:rsidRPr="003B6B9A">
        <w:rPr>
          <w:rFonts w:eastAsia="標楷體"/>
          <w:sz w:val="28"/>
          <w:szCs w:val="32"/>
        </w:rPr>
        <w:t>元，分別較上年同期增加</w:t>
      </w:r>
      <w:r w:rsidRPr="003B6B9A">
        <w:rPr>
          <w:rFonts w:eastAsia="標楷體"/>
          <w:sz w:val="28"/>
          <w:szCs w:val="32"/>
        </w:rPr>
        <w:t>5.74%</w:t>
      </w:r>
      <w:r w:rsidRPr="003B6B9A">
        <w:rPr>
          <w:rFonts w:eastAsia="標楷體"/>
          <w:sz w:val="28"/>
          <w:szCs w:val="32"/>
        </w:rPr>
        <w:t>及</w:t>
      </w:r>
      <w:r w:rsidRPr="003B6B9A">
        <w:rPr>
          <w:rFonts w:eastAsia="標楷體"/>
          <w:sz w:val="28"/>
          <w:szCs w:val="32"/>
        </w:rPr>
        <w:t>2.19%</w:t>
      </w:r>
      <w:r w:rsidRPr="003B6B9A">
        <w:rPr>
          <w:rFonts w:eastAsia="標楷體" w:hint="eastAsia"/>
          <w:sz w:val="28"/>
          <w:szCs w:val="32"/>
        </w:rPr>
        <w:t>，分別為近</w:t>
      </w:r>
      <w:r w:rsidRPr="003B6B9A">
        <w:rPr>
          <w:rFonts w:eastAsia="標楷體" w:hint="eastAsia"/>
          <w:sz w:val="28"/>
          <w:szCs w:val="32"/>
        </w:rPr>
        <w:t>5</w:t>
      </w:r>
      <w:r w:rsidRPr="003B6B9A">
        <w:rPr>
          <w:rFonts w:eastAsia="標楷體" w:hint="eastAsia"/>
          <w:sz w:val="28"/>
          <w:szCs w:val="32"/>
        </w:rPr>
        <w:t>年及近</w:t>
      </w:r>
      <w:r w:rsidRPr="003B6B9A">
        <w:rPr>
          <w:rFonts w:eastAsia="標楷體" w:hint="eastAsia"/>
          <w:sz w:val="28"/>
          <w:szCs w:val="32"/>
        </w:rPr>
        <w:t>15</w:t>
      </w:r>
      <w:r w:rsidRPr="003B6B9A">
        <w:rPr>
          <w:rFonts w:eastAsia="標楷體" w:hint="eastAsia"/>
          <w:sz w:val="28"/>
          <w:szCs w:val="32"/>
        </w:rPr>
        <w:t>年來同期最高增幅</w:t>
      </w:r>
      <w:r w:rsidRPr="003B6B9A">
        <w:rPr>
          <w:rFonts w:eastAsia="標楷體"/>
          <w:sz w:val="28"/>
          <w:szCs w:val="32"/>
        </w:rPr>
        <w:t>。</w:t>
      </w:r>
    </w:p>
    <w:p w:rsidR="004B772B" w:rsidRPr="003B6B9A" w:rsidRDefault="00DD297D" w:rsidP="004B772B">
      <w:pPr>
        <w:snapToGrid w:val="0"/>
        <w:spacing w:before="50" w:line="300" w:lineRule="auto"/>
        <w:ind w:rightChars="18" w:right="43"/>
        <w:jc w:val="center"/>
        <w:rPr>
          <w:rFonts w:eastAsia="標楷體"/>
          <w:sz w:val="28"/>
          <w:szCs w:val="32"/>
        </w:rPr>
      </w:pPr>
      <w:r w:rsidRPr="00B118E9">
        <w:rPr>
          <w:rFonts w:eastAsia="標楷體"/>
          <w:b/>
          <w:bCs/>
          <w:color w:val="FF0000"/>
          <w:sz w:val="28"/>
        </w:rPr>
        <w:br w:type="page"/>
      </w:r>
      <w:r w:rsidR="004B772B" w:rsidRPr="003B6B9A">
        <w:rPr>
          <w:rFonts w:eastAsia="標楷體"/>
          <w:b/>
          <w:bCs/>
          <w:sz w:val="28"/>
        </w:rPr>
        <w:t>表</w:t>
      </w:r>
      <w:r w:rsidR="004B772B" w:rsidRPr="003B6B9A">
        <w:rPr>
          <w:rFonts w:eastAsia="標楷體"/>
          <w:b/>
          <w:bCs/>
          <w:sz w:val="28"/>
        </w:rPr>
        <w:t xml:space="preserve"> 2-9-3  </w:t>
      </w:r>
      <w:r w:rsidR="004B772B" w:rsidRPr="003B6B9A">
        <w:rPr>
          <w:rFonts w:eastAsia="標楷體" w:hint="eastAsia"/>
          <w:b/>
          <w:bCs/>
          <w:sz w:val="28"/>
        </w:rPr>
        <w:t>工業及服務業</w:t>
      </w:r>
      <w:r w:rsidR="004B772B" w:rsidRPr="003B6B9A">
        <w:rPr>
          <w:rFonts w:eastAsia="標楷體"/>
          <w:b/>
          <w:bCs/>
          <w:sz w:val="28"/>
        </w:rPr>
        <w:t>受</w:t>
      </w:r>
      <w:r w:rsidR="004B772B" w:rsidRPr="003B6B9A">
        <w:rPr>
          <w:rFonts w:eastAsia="標楷體" w:hint="eastAsia"/>
          <w:b/>
          <w:bCs/>
          <w:sz w:val="28"/>
        </w:rPr>
        <w:t>僱</w:t>
      </w:r>
      <w:r w:rsidR="004B772B" w:rsidRPr="003B6B9A">
        <w:rPr>
          <w:rFonts w:eastAsia="標楷體"/>
          <w:b/>
          <w:bCs/>
          <w:sz w:val="28"/>
        </w:rPr>
        <w:t>員工每人</w:t>
      </w:r>
      <w:r w:rsidR="004B772B" w:rsidRPr="003B6B9A">
        <w:rPr>
          <w:rFonts w:eastAsia="標楷體" w:hint="eastAsia"/>
          <w:b/>
          <w:bCs/>
          <w:sz w:val="28"/>
        </w:rPr>
        <w:t>每月</w:t>
      </w:r>
      <w:r w:rsidR="004B772B" w:rsidRPr="003B6B9A">
        <w:rPr>
          <w:rFonts w:eastAsia="標楷體"/>
          <w:b/>
          <w:bCs/>
          <w:sz w:val="28"/>
        </w:rPr>
        <w:t>薪資</w:t>
      </w:r>
      <w:r w:rsidR="004B772B" w:rsidRPr="003B6B9A">
        <w:rPr>
          <w:rFonts w:eastAsia="標楷體" w:hint="eastAsia"/>
          <w:b/>
          <w:bCs/>
          <w:sz w:val="28"/>
        </w:rPr>
        <w:t>統計</w:t>
      </w:r>
    </w:p>
    <w:tbl>
      <w:tblPr>
        <w:tblW w:w="8967" w:type="dxa"/>
        <w:jc w:val="center"/>
        <w:tblInd w:w="-340"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553"/>
        <w:gridCol w:w="1213"/>
        <w:gridCol w:w="1149"/>
        <w:gridCol w:w="1701"/>
        <w:gridCol w:w="1686"/>
        <w:gridCol w:w="1665"/>
      </w:tblGrid>
      <w:tr w:rsidR="004B772B" w:rsidRPr="003B6B9A" w:rsidTr="001040FB">
        <w:trPr>
          <w:cantSplit/>
          <w:trHeight w:val="533"/>
          <w:jc w:val="center"/>
        </w:trPr>
        <w:tc>
          <w:tcPr>
            <w:tcW w:w="1553" w:type="dxa"/>
            <w:vMerge w:val="restart"/>
            <w:vAlign w:val="center"/>
          </w:tcPr>
          <w:p w:rsidR="004B772B" w:rsidRPr="003B6B9A" w:rsidRDefault="004B772B" w:rsidP="001040FB">
            <w:pPr>
              <w:widowControl/>
              <w:snapToGrid w:val="0"/>
              <w:jc w:val="center"/>
              <w:rPr>
                <w:rFonts w:eastAsia="標楷體"/>
                <w:spacing w:val="-20"/>
                <w:w w:val="98"/>
              </w:rPr>
            </w:pPr>
            <w:r w:rsidRPr="003B6B9A">
              <w:rPr>
                <w:rFonts w:eastAsia="標楷體"/>
                <w:kern w:val="0"/>
              </w:rPr>
              <w:t>年</w:t>
            </w:r>
            <w:r w:rsidRPr="003B6B9A">
              <w:rPr>
                <w:rFonts w:eastAsia="標楷體"/>
                <w:kern w:val="0"/>
              </w:rPr>
              <w:t>(</w:t>
            </w:r>
            <w:r w:rsidRPr="003B6B9A">
              <w:rPr>
                <w:rFonts w:eastAsia="標楷體"/>
                <w:kern w:val="0"/>
              </w:rPr>
              <w:t>月</w:t>
            </w:r>
            <w:r w:rsidRPr="003B6B9A">
              <w:rPr>
                <w:rFonts w:eastAsia="標楷體"/>
                <w:kern w:val="0"/>
              </w:rPr>
              <w:t>)</w:t>
            </w:r>
          </w:p>
        </w:tc>
        <w:tc>
          <w:tcPr>
            <w:tcW w:w="2362" w:type="dxa"/>
            <w:gridSpan w:val="2"/>
            <w:tcBorders>
              <w:bottom w:val="nil"/>
            </w:tcBorders>
            <w:vAlign w:val="center"/>
          </w:tcPr>
          <w:p w:rsidR="004B772B" w:rsidRPr="003B6B9A" w:rsidRDefault="004B772B" w:rsidP="001040FB">
            <w:pPr>
              <w:snapToGrid w:val="0"/>
              <w:jc w:val="center"/>
              <w:rPr>
                <w:rFonts w:eastAsia="標楷體"/>
                <w:spacing w:val="-20"/>
                <w:w w:val="98"/>
              </w:rPr>
            </w:pPr>
            <w:r w:rsidRPr="003B6B9A">
              <w:rPr>
                <w:rFonts w:eastAsia="標楷體"/>
                <w:spacing w:val="-20"/>
                <w:w w:val="98"/>
              </w:rPr>
              <w:t>工</w:t>
            </w:r>
            <w:r w:rsidRPr="003B6B9A">
              <w:rPr>
                <w:rFonts w:eastAsia="標楷體"/>
                <w:spacing w:val="-20"/>
                <w:w w:val="98"/>
              </w:rPr>
              <w:t xml:space="preserve"> </w:t>
            </w:r>
            <w:r w:rsidRPr="003B6B9A">
              <w:rPr>
                <w:rFonts w:eastAsia="標楷體"/>
                <w:spacing w:val="-20"/>
                <w:w w:val="98"/>
              </w:rPr>
              <w:t>業</w:t>
            </w:r>
            <w:r w:rsidRPr="003B6B9A">
              <w:rPr>
                <w:rFonts w:eastAsia="標楷體"/>
                <w:spacing w:val="-20"/>
                <w:w w:val="98"/>
              </w:rPr>
              <w:t xml:space="preserve"> </w:t>
            </w:r>
            <w:r w:rsidRPr="003B6B9A">
              <w:rPr>
                <w:rFonts w:eastAsia="標楷體"/>
                <w:spacing w:val="-20"/>
                <w:w w:val="98"/>
              </w:rPr>
              <w:t>及</w:t>
            </w:r>
            <w:r w:rsidRPr="003B6B9A">
              <w:rPr>
                <w:rFonts w:eastAsia="標楷體"/>
                <w:spacing w:val="-20"/>
                <w:w w:val="98"/>
              </w:rPr>
              <w:t xml:space="preserve"> </w:t>
            </w:r>
            <w:r w:rsidRPr="003B6B9A">
              <w:rPr>
                <w:rFonts w:eastAsia="標楷體"/>
                <w:spacing w:val="-20"/>
                <w:w w:val="98"/>
              </w:rPr>
              <w:t>服</w:t>
            </w:r>
            <w:r w:rsidRPr="003B6B9A">
              <w:rPr>
                <w:rFonts w:eastAsia="標楷體"/>
                <w:spacing w:val="-20"/>
                <w:w w:val="98"/>
              </w:rPr>
              <w:t xml:space="preserve"> </w:t>
            </w:r>
            <w:r w:rsidRPr="003B6B9A">
              <w:rPr>
                <w:rFonts w:eastAsia="標楷體"/>
                <w:spacing w:val="-20"/>
                <w:w w:val="98"/>
              </w:rPr>
              <w:t>務</w:t>
            </w:r>
            <w:r w:rsidRPr="003B6B9A">
              <w:rPr>
                <w:rFonts w:eastAsia="標楷體"/>
                <w:spacing w:val="-20"/>
                <w:w w:val="98"/>
              </w:rPr>
              <w:t xml:space="preserve"> </w:t>
            </w:r>
            <w:r w:rsidRPr="003B6B9A">
              <w:rPr>
                <w:rFonts w:eastAsia="標楷體"/>
                <w:spacing w:val="-20"/>
                <w:w w:val="98"/>
              </w:rPr>
              <w:t>業</w:t>
            </w:r>
            <w:r w:rsidRPr="003B6B9A">
              <w:rPr>
                <w:rFonts w:eastAsia="標楷體"/>
                <w:spacing w:val="-20"/>
                <w:w w:val="98"/>
              </w:rPr>
              <w:t>(</w:t>
            </w:r>
            <w:r w:rsidRPr="003B6B9A">
              <w:rPr>
                <w:rFonts w:eastAsia="標楷體"/>
                <w:spacing w:val="-20"/>
                <w:w w:val="98"/>
              </w:rPr>
              <w:t>元</w:t>
            </w:r>
            <w:r w:rsidRPr="003B6B9A">
              <w:rPr>
                <w:rFonts w:eastAsia="標楷體"/>
                <w:spacing w:val="-20"/>
                <w:w w:val="98"/>
              </w:rPr>
              <w:t>)</w:t>
            </w:r>
          </w:p>
        </w:tc>
        <w:tc>
          <w:tcPr>
            <w:tcW w:w="1701" w:type="dxa"/>
            <w:vMerge w:val="restart"/>
            <w:vAlign w:val="center"/>
          </w:tcPr>
          <w:p w:rsidR="004B772B" w:rsidRPr="003B6B9A" w:rsidRDefault="004B772B" w:rsidP="001040FB">
            <w:pPr>
              <w:snapToGrid w:val="0"/>
              <w:jc w:val="center"/>
              <w:rPr>
                <w:rFonts w:eastAsia="標楷體"/>
                <w:spacing w:val="-20"/>
                <w:w w:val="98"/>
              </w:rPr>
            </w:pPr>
            <w:r w:rsidRPr="003B6B9A">
              <w:rPr>
                <w:rFonts w:eastAsia="標楷體" w:hint="eastAsia"/>
                <w:spacing w:val="-20"/>
                <w:w w:val="98"/>
              </w:rPr>
              <w:t>製造業</w:t>
            </w:r>
            <w:r w:rsidRPr="003B6B9A">
              <w:rPr>
                <w:rFonts w:eastAsia="標楷體" w:hint="eastAsia"/>
                <w:spacing w:val="-20"/>
                <w:w w:val="98"/>
              </w:rPr>
              <w:t>(</w:t>
            </w:r>
            <w:r w:rsidRPr="003B6B9A">
              <w:rPr>
                <w:rFonts w:eastAsia="標楷體" w:hint="eastAsia"/>
                <w:spacing w:val="-20"/>
                <w:w w:val="98"/>
              </w:rPr>
              <w:t>元</w:t>
            </w:r>
            <w:r w:rsidRPr="003B6B9A">
              <w:rPr>
                <w:rFonts w:eastAsia="標楷體" w:hint="eastAsia"/>
                <w:spacing w:val="-20"/>
                <w:w w:val="98"/>
              </w:rPr>
              <w:t>)</w:t>
            </w:r>
          </w:p>
        </w:tc>
        <w:tc>
          <w:tcPr>
            <w:tcW w:w="1686" w:type="dxa"/>
            <w:vMerge w:val="restart"/>
            <w:vAlign w:val="center"/>
          </w:tcPr>
          <w:p w:rsidR="004B772B" w:rsidRPr="003B6B9A" w:rsidRDefault="004B772B" w:rsidP="001040FB">
            <w:pPr>
              <w:snapToGrid w:val="0"/>
              <w:jc w:val="center"/>
              <w:rPr>
                <w:rFonts w:eastAsia="標楷體"/>
                <w:spacing w:val="-20"/>
                <w:w w:val="98"/>
              </w:rPr>
            </w:pPr>
            <w:r w:rsidRPr="003B6B9A">
              <w:rPr>
                <w:rFonts w:eastAsia="標楷體"/>
                <w:spacing w:val="-20"/>
                <w:w w:val="98"/>
              </w:rPr>
              <w:t>電力及燃氣供應業</w:t>
            </w:r>
            <w:r w:rsidRPr="003B6B9A">
              <w:rPr>
                <w:rFonts w:eastAsia="標楷體" w:hint="eastAsia"/>
                <w:spacing w:val="-20"/>
                <w:w w:val="98"/>
              </w:rPr>
              <w:t>(</w:t>
            </w:r>
            <w:r w:rsidRPr="003B6B9A">
              <w:rPr>
                <w:rFonts w:eastAsia="標楷體" w:hint="eastAsia"/>
                <w:spacing w:val="-20"/>
                <w:w w:val="98"/>
              </w:rPr>
              <w:t>元</w:t>
            </w:r>
            <w:r w:rsidRPr="003B6B9A">
              <w:rPr>
                <w:rFonts w:eastAsia="標楷體" w:hint="eastAsia"/>
                <w:spacing w:val="-20"/>
                <w:w w:val="98"/>
              </w:rPr>
              <w:t>)</w:t>
            </w:r>
          </w:p>
        </w:tc>
        <w:tc>
          <w:tcPr>
            <w:tcW w:w="1665" w:type="dxa"/>
            <w:vMerge w:val="restart"/>
            <w:vAlign w:val="center"/>
          </w:tcPr>
          <w:p w:rsidR="004B772B" w:rsidRPr="003B6B9A" w:rsidRDefault="004B772B" w:rsidP="001040FB">
            <w:pPr>
              <w:widowControl/>
              <w:snapToGrid w:val="0"/>
              <w:jc w:val="center"/>
              <w:rPr>
                <w:rFonts w:eastAsia="標楷體"/>
                <w:spacing w:val="-20"/>
                <w:w w:val="98"/>
              </w:rPr>
            </w:pPr>
            <w:r w:rsidRPr="003B6B9A">
              <w:rPr>
                <w:rFonts w:eastAsia="標楷體"/>
                <w:spacing w:val="-20"/>
                <w:w w:val="98"/>
              </w:rPr>
              <w:t>金融及保險業</w:t>
            </w:r>
            <w:r w:rsidRPr="003B6B9A">
              <w:rPr>
                <w:rFonts w:eastAsia="標楷體"/>
                <w:spacing w:val="-20"/>
                <w:w w:val="98"/>
              </w:rPr>
              <w:t>(</w:t>
            </w:r>
            <w:r w:rsidRPr="003B6B9A">
              <w:rPr>
                <w:rFonts w:eastAsia="標楷體"/>
                <w:spacing w:val="-20"/>
                <w:w w:val="98"/>
              </w:rPr>
              <w:t>元</w:t>
            </w:r>
            <w:r w:rsidRPr="003B6B9A">
              <w:rPr>
                <w:rFonts w:eastAsia="標楷體"/>
                <w:spacing w:val="-20"/>
                <w:w w:val="98"/>
              </w:rPr>
              <w:t>)</w:t>
            </w:r>
          </w:p>
        </w:tc>
      </w:tr>
      <w:tr w:rsidR="004B772B" w:rsidRPr="003B6B9A" w:rsidTr="001040FB">
        <w:trPr>
          <w:cantSplit/>
          <w:trHeight w:val="553"/>
          <w:jc w:val="center"/>
        </w:trPr>
        <w:tc>
          <w:tcPr>
            <w:tcW w:w="1553" w:type="dxa"/>
            <w:vMerge/>
          </w:tcPr>
          <w:p w:rsidR="004B772B" w:rsidRPr="003B6B9A" w:rsidRDefault="004B772B" w:rsidP="001040FB">
            <w:pPr>
              <w:snapToGrid w:val="0"/>
              <w:jc w:val="both"/>
              <w:rPr>
                <w:rFonts w:eastAsia="標楷體"/>
                <w:spacing w:val="-20"/>
                <w:w w:val="98"/>
              </w:rPr>
            </w:pPr>
          </w:p>
        </w:tc>
        <w:tc>
          <w:tcPr>
            <w:tcW w:w="1213" w:type="dxa"/>
            <w:tcBorders>
              <w:top w:val="nil"/>
            </w:tcBorders>
            <w:vAlign w:val="center"/>
          </w:tcPr>
          <w:p w:rsidR="004B772B" w:rsidRPr="003B6B9A" w:rsidRDefault="004B772B" w:rsidP="001040FB">
            <w:pPr>
              <w:snapToGrid w:val="0"/>
              <w:jc w:val="center"/>
              <w:rPr>
                <w:rFonts w:eastAsia="標楷體"/>
                <w:spacing w:val="-20"/>
                <w:w w:val="98"/>
              </w:rPr>
            </w:pPr>
          </w:p>
        </w:tc>
        <w:tc>
          <w:tcPr>
            <w:tcW w:w="1149" w:type="dxa"/>
            <w:tcBorders>
              <w:top w:val="single" w:sz="4" w:space="0" w:color="auto"/>
            </w:tcBorders>
            <w:vAlign w:val="center"/>
          </w:tcPr>
          <w:p w:rsidR="004B772B" w:rsidRPr="003B6B9A" w:rsidRDefault="004B772B" w:rsidP="001040FB">
            <w:pPr>
              <w:snapToGrid w:val="0"/>
              <w:jc w:val="center"/>
              <w:rPr>
                <w:rFonts w:eastAsia="標楷體"/>
                <w:spacing w:val="-20"/>
                <w:w w:val="98"/>
              </w:rPr>
            </w:pPr>
            <w:r w:rsidRPr="003B6B9A">
              <w:rPr>
                <w:rFonts w:eastAsia="標楷體" w:hint="eastAsia"/>
                <w:spacing w:val="-20"/>
                <w:w w:val="98"/>
              </w:rPr>
              <w:t>經常性薪資</w:t>
            </w:r>
          </w:p>
        </w:tc>
        <w:tc>
          <w:tcPr>
            <w:tcW w:w="1701" w:type="dxa"/>
            <w:vMerge/>
            <w:vAlign w:val="center"/>
          </w:tcPr>
          <w:p w:rsidR="004B772B" w:rsidRPr="003B6B9A" w:rsidRDefault="004B772B" w:rsidP="001040FB">
            <w:pPr>
              <w:snapToGrid w:val="0"/>
              <w:jc w:val="center"/>
              <w:rPr>
                <w:rFonts w:eastAsia="標楷體"/>
                <w:spacing w:val="-20"/>
                <w:w w:val="98"/>
              </w:rPr>
            </w:pPr>
          </w:p>
        </w:tc>
        <w:tc>
          <w:tcPr>
            <w:tcW w:w="1686" w:type="dxa"/>
            <w:vMerge/>
            <w:vAlign w:val="center"/>
          </w:tcPr>
          <w:p w:rsidR="004B772B" w:rsidRPr="003B6B9A" w:rsidRDefault="004B772B" w:rsidP="001040FB">
            <w:pPr>
              <w:snapToGrid w:val="0"/>
              <w:jc w:val="center"/>
              <w:rPr>
                <w:rFonts w:eastAsia="標楷體"/>
                <w:spacing w:val="-20"/>
                <w:w w:val="98"/>
              </w:rPr>
            </w:pPr>
          </w:p>
        </w:tc>
        <w:tc>
          <w:tcPr>
            <w:tcW w:w="1665" w:type="dxa"/>
            <w:vMerge/>
            <w:vAlign w:val="center"/>
          </w:tcPr>
          <w:p w:rsidR="004B772B" w:rsidRPr="003B6B9A" w:rsidRDefault="004B772B" w:rsidP="001040FB">
            <w:pPr>
              <w:snapToGrid w:val="0"/>
              <w:jc w:val="center"/>
              <w:rPr>
                <w:rFonts w:eastAsia="標楷體"/>
                <w:spacing w:val="-20"/>
                <w:w w:val="98"/>
              </w:rPr>
            </w:pPr>
          </w:p>
        </w:tc>
      </w:tr>
      <w:tr w:rsidR="004B772B" w:rsidRPr="003B6B9A" w:rsidTr="001040FB">
        <w:trPr>
          <w:trHeight w:val="360"/>
          <w:jc w:val="center"/>
        </w:trPr>
        <w:tc>
          <w:tcPr>
            <w:tcW w:w="1553" w:type="dxa"/>
            <w:tcBorders>
              <w:top w:val="nil"/>
              <w:bottom w:val="nil"/>
            </w:tcBorders>
            <w:vAlign w:val="center"/>
          </w:tcPr>
          <w:p w:rsidR="004B772B" w:rsidRPr="003B6B9A" w:rsidRDefault="004B772B" w:rsidP="001040FB">
            <w:pPr>
              <w:snapToGrid w:val="0"/>
              <w:spacing w:line="400" w:lineRule="exact"/>
              <w:rPr>
                <w:rFonts w:eastAsia="標楷體"/>
                <w:b/>
                <w:bCs/>
                <w14:cntxtAlts/>
              </w:rPr>
            </w:pPr>
            <w:r w:rsidRPr="003B6B9A">
              <w:rPr>
                <w:rFonts w:eastAsia="標楷體"/>
                <w:b/>
                <w:bCs/>
                <w14:cntxtAlts/>
              </w:rPr>
              <w:t xml:space="preserve">  98</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bCs/>
                <w14:cntxtAlts/>
              </w:rPr>
            </w:pPr>
            <w:r w:rsidRPr="003B6B9A">
              <w:rPr>
                <w:rFonts w:eastAsia="標楷體"/>
                <w:b/>
                <w:bCs/>
                <w14:cntxtAlts/>
              </w:rPr>
              <w:t>42,</w:t>
            </w:r>
            <w:r w:rsidRPr="003B6B9A">
              <w:rPr>
                <w:rFonts w:eastAsia="標楷體" w:hint="eastAsia"/>
                <w:b/>
                <w:bCs/>
                <w14:cntxtAlts/>
              </w:rPr>
              <w:t>182</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bCs/>
                <w14:cntxtAlts/>
              </w:rPr>
            </w:pPr>
            <w:r w:rsidRPr="003B6B9A">
              <w:rPr>
                <w:rFonts w:eastAsia="標楷體" w:hint="eastAsia"/>
                <w:b/>
                <w:bCs/>
                <w14:cntxtAlts/>
              </w:rPr>
              <w:t>35,629</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bCs/>
                <w14:cntxtAlts/>
              </w:rPr>
            </w:pPr>
            <w:r w:rsidRPr="003B6B9A">
              <w:rPr>
                <w:rFonts w:eastAsia="標楷體" w:hint="eastAsia"/>
                <w:b/>
                <w:bCs/>
                <w14:cntxtAlts/>
              </w:rPr>
              <w:t>39</w:t>
            </w:r>
            <w:r w:rsidRPr="003B6B9A">
              <w:rPr>
                <w:rFonts w:eastAsia="標楷體"/>
                <w:b/>
                <w:bCs/>
                <w14:cntxtAlts/>
              </w:rPr>
              <w:t>,12</w:t>
            </w:r>
            <w:r w:rsidRPr="003B6B9A">
              <w:rPr>
                <w:rFonts w:eastAsia="標楷體" w:hint="eastAsia"/>
                <w:b/>
                <w:bCs/>
                <w14:cntxtAlts/>
              </w:rPr>
              <w:t>5</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b/>
                <w:bCs/>
                <w14:cntxtAlts/>
              </w:rPr>
              <w:t>9</w:t>
            </w:r>
            <w:r w:rsidRPr="003B6B9A">
              <w:rPr>
                <w:rFonts w:eastAsia="標楷體" w:hint="eastAsia"/>
                <w:b/>
                <w:bCs/>
                <w14:cntxtAlts/>
              </w:rPr>
              <w:t>6</w:t>
            </w:r>
            <w:r w:rsidRPr="003B6B9A">
              <w:rPr>
                <w:rFonts w:eastAsia="標楷體"/>
                <w:b/>
                <w:bCs/>
                <w14:cntxtAlts/>
              </w:rPr>
              <w:t>,</w:t>
            </w:r>
            <w:r w:rsidRPr="003B6B9A">
              <w:rPr>
                <w:rFonts w:eastAsia="標楷體" w:hint="eastAsia"/>
                <w:b/>
                <w:bCs/>
                <w14:cntxtAlts/>
              </w:rPr>
              <w:t>285</w:t>
            </w:r>
          </w:p>
        </w:tc>
        <w:tc>
          <w:tcPr>
            <w:tcW w:w="1665" w:type="dxa"/>
            <w:tcBorders>
              <w:top w:val="nil"/>
              <w:left w:val="nil"/>
              <w:bottom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b/>
                <w:bCs/>
                <w14:cntxtAlts/>
              </w:rPr>
            </w:pPr>
            <w:r w:rsidRPr="003B6B9A">
              <w:rPr>
                <w:rFonts w:eastAsia="標楷體"/>
                <w:b/>
                <w:bCs/>
                <w14:cntxtAlts/>
              </w:rPr>
              <w:t>67,</w:t>
            </w:r>
            <w:r w:rsidRPr="003B6B9A">
              <w:rPr>
                <w:rFonts w:eastAsia="標楷體" w:hint="eastAsia"/>
                <w:b/>
                <w:bCs/>
                <w14:cntxtAlts/>
              </w:rPr>
              <w:t>724</w:t>
            </w:r>
          </w:p>
        </w:tc>
      </w:tr>
      <w:tr w:rsidR="004B772B" w:rsidRPr="003B6B9A" w:rsidTr="001040FB">
        <w:trPr>
          <w:trHeight w:val="360"/>
          <w:jc w:val="center"/>
        </w:trPr>
        <w:tc>
          <w:tcPr>
            <w:tcW w:w="1553" w:type="dxa"/>
            <w:tcBorders>
              <w:top w:val="nil"/>
              <w:bottom w:val="nil"/>
            </w:tcBorders>
            <w:vAlign w:val="center"/>
          </w:tcPr>
          <w:p w:rsidR="004B772B" w:rsidRPr="003B6B9A" w:rsidRDefault="004B772B" w:rsidP="001040FB">
            <w:pPr>
              <w:snapToGrid w:val="0"/>
              <w:spacing w:line="400" w:lineRule="exact"/>
              <w:rPr>
                <w:rFonts w:eastAsia="標楷體"/>
                <w:b/>
                <w:bCs/>
                <w14:cntxtAlts/>
              </w:rPr>
            </w:pPr>
            <w:r w:rsidRPr="003B6B9A">
              <w:rPr>
                <w:rFonts w:eastAsia="標楷體"/>
                <w:b/>
                <w:bCs/>
                <w14:cntxtAlts/>
              </w:rPr>
              <w:t xml:space="preserve">  99</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bCs/>
                <w14:cntxtAlts/>
              </w:rPr>
            </w:pPr>
            <w:r w:rsidRPr="003B6B9A">
              <w:rPr>
                <w:rFonts w:eastAsia="標楷體"/>
                <w:b/>
                <w:bCs/>
                <w14:cntxtAlts/>
              </w:rPr>
              <w:t>44,</w:t>
            </w:r>
            <w:r w:rsidRPr="003B6B9A">
              <w:rPr>
                <w:rFonts w:eastAsia="標楷體" w:hint="eastAsia"/>
                <w:b/>
                <w:bCs/>
                <w14:cntxtAlts/>
              </w:rPr>
              <w:t>359</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bCs/>
                <w14:cntxtAlts/>
              </w:rPr>
            </w:pPr>
            <w:r w:rsidRPr="003B6B9A">
              <w:rPr>
                <w:rFonts w:eastAsia="標楷體" w:hint="eastAsia"/>
                <w:b/>
                <w:bCs/>
                <w14:cntxtAlts/>
              </w:rPr>
              <w:t>36,214</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bCs/>
                <w14:cntxtAlts/>
              </w:rPr>
            </w:pPr>
            <w:r w:rsidRPr="003B6B9A">
              <w:rPr>
                <w:rFonts w:eastAsia="標楷體"/>
                <w:b/>
                <w:bCs/>
                <w14:cntxtAlts/>
              </w:rPr>
              <w:t>4</w:t>
            </w:r>
            <w:r w:rsidRPr="003B6B9A">
              <w:rPr>
                <w:rFonts w:eastAsia="標楷體" w:hint="eastAsia"/>
                <w:b/>
                <w:bCs/>
                <w14:cntxtAlts/>
              </w:rPr>
              <w:t>2</w:t>
            </w:r>
            <w:r w:rsidRPr="003B6B9A">
              <w:rPr>
                <w:rFonts w:eastAsia="標楷體"/>
                <w:b/>
                <w:bCs/>
                <w14:cntxtAlts/>
              </w:rPr>
              <w:t>,</w:t>
            </w:r>
            <w:r w:rsidRPr="003B6B9A">
              <w:rPr>
                <w:rFonts w:eastAsia="標楷體" w:hint="eastAsia"/>
                <w:b/>
                <w:bCs/>
                <w14:cntxtAlts/>
              </w:rPr>
              <w:t>300</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b/>
                <w:bCs/>
                <w14:cntxtAlts/>
              </w:rPr>
              <w:t>96,</w:t>
            </w:r>
            <w:r w:rsidRPr="003B6B9A">
              <w:rPr>
                <w:rFonts w:eastAsia="標楷體" w:hint="eastAsia"/>
                <w:b/>
                <w:bCs/>
                <w14:cntxtAlts/>
              </w:rPr>
              <w:t>523</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bCs/>
                <w14:cntxtAlts/>
              </w:rPr>
            </w:pPr>
            <w:r w:rsidRPr="003B6B9A">
              <w:rPr>
                <w:rFonts w:eastAsia="標楷體"/>
                <w:b/>
                <w:bCs/>
                <w14:cntxtAlts/>
              </w:rPr>
              <w:t>7</w:t>
            </w:r>
            <w:r w:rsidRPr="003B6B9A">
              <w:rPr>
                <w:rFonts w:eastAsia="標楷體" w:hint="eastAsia"/>
                <w:b/>
                <w:bCs/>
                <w14:cntxtAlts/>
              </w:rPr>
              <w:t>4</w:t>
            </w:r>
            <w:r w:rsidRPr="003B6B9A">
              <w:rPr>
                <w:rFonts w:eastAsia="標楷體"/>
                <w:b/>
                <w:bCs/>
                <w14:cntxtAlts/>
              </w:rPr>
              <w:t>,</w:t>
            </w:r>
            <w:r w:rsidRPr="003B6B9A">
              <w:rPr>
                <w:rFonts w:eastAsia="標楷體" w:hint="eastAsia"/>
                <w:b/>
                <w:bCs/>
                <w14:cntxtAlts/>
              </w:rPr>
              <w:t>242</w:t>
            </w:r>
          </w:p>
        </w:tc>
      </w:tr>
      <w:tr w:rsidR="004B772B" w:rsidRPr="003B6B9A" w:rsidTr="001040FB">
        <w:trPr>
          <w:trHeight w:val="360"/>
          <w:jc w:val="center"/>
        </w:trPr>
        <w:tc>
          <w:tcPr>
            <w:tcW w:w="1553" w:type="dxa"/>
            <w:tcBorders>
              <w:top w:val="nil"/>
              <w:bottom w:val="nil"/>
            </w:tcBorders>
            <w:vAlign w:val="center"/>
          </w:tcPr>
          <w:p w:rsidR="004B772B" w:rsidRPr="003B6B9A" w:rsidRDefault="004B772B" w:rsidP="001040FB">
            <w:pPr>
              <w:snapToGrid w:val="0"/>
              <w:spacing w:line="400" w:lineRule="exact"/>
              <w:rPr>
                <w:rFonts w:eastAsia="標楷體"/>
                <w:b/>
                <w:bCs/>
                <w14:cntxtAlts/>
              </w:rPr>
            </w:pPr>
            <w:r w:rsidRPr="003B6B9A">
              <w:rPr>
                <w:rFonts w:eastAsia="標楷體"/>
                <w:b/>
                <w:bCs/>
                <w14:cntxtAlts/>
              </w:rPr>
              <w:t xml:space="preserve"> 100</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bCs/>
                <w14:cntxtAlts/>
              </w:rPr>
            </w:pPr>
            <w:r w:rsidRPr="003B6B9A">
              <w:rPr>
                <w:rFonts w:eastAsia="標楷體"/>
                <w:b/>
                <w:bCs/>
                <w14:cntxtAlts/>
              </w:rPr>
              <w:t>45,</w:t>
            </w:r>
            <w:r w:rsidRPr="003B6B9A">
              <w:rPr>
                <w:rFonts w:eastAsia="標楷體" w:hint="eastAsia"/>
                <w:b/>
                <w:bCs/>
                <w14:cntxtAlts/>
              </w:rPr>
              <w:t>508</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bCs/>
                <w14:cntxtAlts/>
              </w:rPr>
            </w:pPr>
            <w:r w:rsidRPr="003B6B9A">
              <w:rPr>
                <w:rFonts w:eastAsia="標楷體" w:hint="eastAsia"/>
                <w:b/>
                <w:bCs/>
                <w14:cntxtAlts/>
              </w:rPr>
              <w:t>36,689</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bCs/>
                <w14:cntxtAlts/>
              </w:rPr>
            </w:pPr>
            <w:r w:rsidRPr="003B6B9A">
              <w:rPr>
                <w:rFonts w:eastAsia="標楷體"/>
                <w:b/>
                <w:bCs/>
                <w14:cntxtAlts/>
              </w:rPr>
              <w:t>43,</w:t>
            </w:r>
            <w:r w:rsidRPr="003B6B9A">
              <w:rPr>
                <w:rFonts w:eastAsia="標楷體" w:hint="eastAsia"/>
                <w:b/>
                <w:bCs/>
                <w14:cntxtAlts/>
              </w:rPr>
              <w:t>316</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b/>
                <w:bCs/>
                <w14:cntxtAlts/>
              </w:rPr>
              <w:t>9</w:t>
            </w:r>
            <w:r w:rsidRPr="003B6B9A">
              <w:rPr>
                <w:rFonts w:eastAsia="標楷體" w:hint="eastAsia"/>
                <w:b/>
                <w:bCs/>
                <w14:cntxtAlts/>
              </w:rPr>
              <w:t>5</w:t>
            </w:r>
            <w:r w:rsidRPr="003B6B9A">
              <w:rPr>
                <w:rFonts w:eastAsia="標楷體"/>
                <w:b/>
                <w:bCs/>
                <w14:cntxtAlts/>
              </w:rPr>
              <w:t>,</w:t>
            </w:r>
            <w:r w:rsidRPr="003B6B9A">
              <w:rPr>
                <w:rFonts w:eastAsia="標楷體" w:hint="eastAsia"/>
                <w:b/>
                <w:bCs/>
                <w14:cntxtAlts/>
              </w:rPr>
              <w:t>382</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bCs/>
                <w14:cntxtAlts/>
              </w:rPr>
            </w:pPr>
            <w:r w:rsidRPr="003B6B9A">
              <w:rPr>
                <w:rFonts w:eastAsia="標楷體"/>
                <w:b/>
                <w:bCs/>
                <w14:cntxtAlts/>
              </w:rPr>
              <w:t>7</w:t>
            </w:r>
            <w:r w:rsidRPr="003B6B9A">
              <w:rPr>
                <w:rFonts w:eastAsia="標楷體" w:hint="eastAsia"/>
                <w:b/>
                <w:bCs/>
                <w14:cntxtAlts/>
              </w:rPr>
              <w:t>6</w:t>
            </w:r>
            <w:r w:rsidRPr="003B6B9A">
              <w:rPr>
                <w:rFonts w:eastAsia="標楷體"/>
                <w:b/>
                <w:bCs/>
                <w14:cntxtAlts/>
              </w:rPr>
              <w:t>,</w:t>
            </w:r>
            <w:r w:rsidRPr="003B6B9A">
              <w:rPr>
                <w:rFonts w:eastAsia="標楷體" w:hint="eastAsia"/>
                <w:b/>
                <w:bCs/>
                <w14:cntxtAlts/>
              </w:rPr>
              <w:t>951</w:t>
            </w:r>
          </w:p>
        </w:tc>
      </w:tr>
      <w:tr w:rsidR="004B772B" w:rsidRPr="003B6B9A" w:rsidTr="001040FB">
        <w:trPr>
          <w:trHeight w:val="360"/>
          <w:jc w:val="center"/>
        </w:trPr>
        <w:tc>
          <w:tcPr>
            <w:tcW w:w="1553" w:type="dxa"/>
            <w:tcBorders>
              <w:top w:val="nil"/>
              <w:bottom w:val="nil"/>
            </w:tcBorders>
            <w:vAlign w:val="center"/>
          </w:tcPr>
          <w:p w:rsidR="004B772B" w:rsidRPr="003B6B9A" w:rsidRDefault="004B772B" w:rsidP="001040FB">
            <w:pPr>
              <w:snapToGrid w:val="0"/>
              <w:spacing w:line="400" w:lineRule="exact"/>
              <w:rPr>
                <w:rFonts w:eastAsia="標楷體"/>
                <w:b/>
                <w14:cntxtAlts/>
              </w:rPr>
            </w:pPr>
            <w:r w:rsidRPr="003B6B9A">
              <w:rPr>
                <w:rFonts w:eastAsia="標楷體"/>
                <w:b/>
                <w:bCs/>
                <w14:cntxtAlts/>
              </w:rPr>
              <w:t xml:space="preserve"> 101</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bCs/>
                <w14:cntxtAlts/>
              </w:rPr>
            </w:pPr>
            <w:r w:rsidRPr="003B6B9A">
              <w:rPr>
                <w:rFonts w:eastAsia="標楷體"/>
                <w:b/>
                <w:bCs/>
                <w14:cntxtAlts/>
              </w:rPr>
              <w:t>45,</w:t>
            </w:r>
            <w:r w:rsidRPr="003B6B9A">
              <w:rPr>
                <w:rFonts w:eastAsia="標楷體" w:hint="eastAsia"/>
                <w:b/>
                <w:bCs/>
                <w14:cntxtAlts/>
              </w:rPr>
              <w:t>589</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bCs/>
                <w14:cntxtAlts/>
              </w:rPr>
            </w:pPr>
            <w:r w:rsidRPr="003B6B9A">
              <w:rPr>
                <w:rFonts w:eastAsia="標楷體" w:hint="eastAsia"/>
                <w:b/>
                <w:bCs/>
                <w14:cntxtAlts/>
              </w:rPr>
              <w:t>37,151</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bCs/>
                <w14:cntxtAlts/>
              </w:rPr>
            </w:pPr>
            <w:r w:rsidRPr="003B6B9A">
              <w:rPr>
                <w:rFonts w:eastAsia="標楷體"/>
                <w:b/>
                <w:bCs/>
                <w14:cntxtAlts/>
              </w:rPr>
              <w:t>43,</w:t>
            </w:r>
            <w:r w:rsidRPr="003B6B9A">
              <w:rPr>
                <w:rFonts w:eastAsia="標楷體" w:hint="eastAsia"/>
                <w:b/>
                <w:bCs/>
                <w14:cntxtAlts/>
              </w:rPr>
              <w:t>689</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b/>
                <w:bCs/>
                <w14:cntxtAlts/>
              </w:rPr>
              <w:t>92,</w:t>
            </w:r>
            <w:r w:rsidRPr="003B6B9A">
              <w:rPr>
                <w:rFonts w:eastAsia="標楷體" w:hint="eastAsia"/>
                <w:b/>
                <w:bCs/>
                <w14:cntxtAlts/>
              </w:rPr>
              <w:t>869</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bCs/>
                <w14:cntxtAlts/>
              </w:rPr>
            </w:pPr>
            <w:r w:rsidRPr="003B6B9A">
              <w:rPr>
                <w:rFonts w:eastAsia="標楷體"/>
                <w:b/>
                <w:bCs/>
                <w14:cntxtAlts/>
              </w:rPr>
              <w:t>7</w:t>
            </w:r>
            <w:r w:rsidRPr="003B6B9A">
              <w:rPr>
                <w:rFonts w:eastAsia="標楷體" w:hint="eastAsia"/>
                <w:b/>
                <w:bCs/>
                <w14:cntxtAlts/>
              </w:rPr>
              <w:t>7</w:t>
            </w:r>
            <w:r w:rsidRPr="003B6B9A">
              <w:rPr>
                <w:rFonts w:eastAsia="標楷體"/>
                <w:b/>
                <w:bCs/>
                <w14:cntxtAlts/>
              </w:rPr>
              <w:t>,</w:t>
            </w:r>
            <w:r w:rsidRPr="003B6B9A">
              <w:rPr>
                <w:rFonts w:eastAsia="標楷體" w:hint="eastAsia"/>
                <w:b/>
                <w:bCs/>
                <w14:cntxtAlts/>
              </w:rPr>
              <w:t>989</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firstLineChars="50" w:firstLine="120"/>
              <w:rPr>
                <w:rFonts w:eastAsia="標楷體"/>
                <w:b/>
                <w:bCs/>
                <w14:cntxtAlts/>
              </w:rPr>
            </w:pPr>
            <w:r w:rsidRPr="003B6B9A">
              <w:rPr>
                <w:rFonts w:eastAsia="標楷體"/>
                <w:b/>
                <w:bCs/>
                <w14:cntxtAlts/>
              </w:rPr>
              <w:t>102</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14:cntxtAlts/>
              </w:rPr>
            </w:pPr>
            <w:r w:rsidRPr="003B6B9A">
              <w:rPr>
                <w:rFonts w:eastAsia="標楷體" w:hint="eastAsia"/>
                <w:b/>
                <w14:cntxtAlts/>
              </w:rPr>
              <w:t>45,664</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14:cntxtAlts/>
              </w:rPr>
            </w:pPr>
            <w:r w:rsidRPr="003B6B9A">
              <w:rPr>
                <w:rFonts w:eastAsia="標楷體" w:hint="eastAsia"/>
                <w:b/>
                <w14:cntxtAlts/>
              </w:rPr>
              <w:t>37,527</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14:cntxtAlts/>
              </w:rPr>
            </w:pPr>
            <w:r w:rsidRPr="003B6B9A">
              <w:rPr>
                <w:rFonts w:eastAsia="標楷體" w:hint="eastAsia"/>
                <w:b/>
                <w14:cntxtAlts/>
              </w:rPr>
              <w:t>43,829</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hint="eastAsia"/>
                <w:b/>
                <w14:cntxtAlts/>
              </w:rPr>
              <w:t>88,873</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14:cntxtAlts/>
              </w:rPr>
            </w:pPr>
            <w:r w:rsidRPr="003B6B9A">
              <w:rPr>
                <w:rFonts w:eastAsia="標楷體" w:hint="eastAsia"/>
                <w:b/>
                <w14:cntxtAlts/>
              </w:rPr>
              <w:t>77,871</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firstLineChars="50" w:firstLine="120"/>
              <w:rPr>
                <w:rFonts w:eastAsia="標楷體"/>
                <w:b/>
                <w:bCs/>
                <w14:cntxtAlts/>
              </w:rPr>
            </w:pPr>
            <w:r w:rsidRPr="003B6B9A">
              <w:rPr>
                <w:rFonts w:eastAsia="標楷體"/>
                <w:b/>
                <w:bCs/>
                <w14:cntxtAlts/>
              </w:rPr>
              <w:t>10</w:t>
            </w:r>
            <w:r w:rsidRPr="003B6B9A">
              <w:rPr>
                <w:rFonts w:eastAsia="標楷體" w:hint="eastAsia"/>
                <w:b/>
                <w:bCs/>
                <w14:cntxtAlts/>
              </w:rPr>
              <w:t>3</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14:cntxtAlts/>
              </w:rPr>
            </w:pPr>
            <w:r w:rsidRPr="003B6B9A">
              <w:rPr>
                <w:rFonts w:eastAsia="標楷體" w:hint="eastAsia"/>
                <w:b/>
                <w14:cntxtAlts/>
              </w:rPr>
              <w:t>47,300</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14:cntxtAlts/>
              </w:rPr>
            </w:pPr>
            <w:r w:rsidRPr="003B6B9A">
              <w:rPr>
                <w:rFonts w:eastAsia="標楷體" w:hint="eastAsia"/>
                <w:b/>
                <w14:cntxtAlts/>
              </w:rPr>
              <w:t>38,208</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14:cntxtAlts/>
              </w:rPr>
            </w:pPr>
            <w:r w:rsidRPr="003B6B9A">
              <w:rPr>
                <w:rFonts w:eastAsia="標楷體" w:hint="eastAsia"/>
                <w:b/>
                <w14:cntxtAlts/>
              </w:rPr>
              <w:t>45,207</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hint="eastAsia"/>
                <w:b/>
                <w14:cntxtAlts/>
              </w:rPr>
              <w:t>94,022</w:t>
            </w:r>
          </w:p>
        </w:tc>
        <w:tc>
          <w:tcPr>
            <w:tcW w:w="1665" w:type="dxa"/>
            <w:tcBorders>
              <w:top w:val="nil"/>
              <w:left w:val="nil"/>
              <w:bottom w:val="nil"/>
              <w:right w:val="nil"/>
            </w:tcBorders>
            <w:vAlign w:val="bottom"/>
          </w:tcPr>
          <w:p w:rsidR="004B772B" w:rsidRPr="003B6B9A" w:rsidRDefault="004B772B" w:rsidP="001040FB">
            <w:pPr>
              <w:snapToGrid w:val="0"/>
              <w:spacing w:line="400" w:lineRule="exact"/>
              <w:ind w:rightChars="213" w:right="511"/>
              <w:jc w:val="right"/>
              <w:rPr>
                <w:rFonts w:eastAsia="標楷體"/>
                <w:b/>
                <w14:cntxtAlts/>
              </w:rPr>
            </w:pPr>
            <w:r w:rsidRPr="003B6B9A">
              <w:rPr>
                <w:rFonts w:eastAsia="標楷體" w:hint="eastAsia"/>
                <w:b/>
                <w14:cntxtAlts/>
              </w:rPr>
              <w:t>83,092</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3</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42,710</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37,950</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39,271</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14:cntxtAlts/>
              </w:rPr>
            </w:pPr>
            <w:r w:rsidRPr="003B6B9A">
              <w:rPr>
                <w:rFonts w:eastAsia="標楷體" w:hint="eastAsia"/>
                <w14:cntxtAlts/>
              </w:rPr>
              <w:t>74,595</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74,205</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4</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42,361</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38,061</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39,669</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14:cntxtAlts/>
              </w:rPr>
            </w:pPr>
            <w:r w:rsidRPr="003B6B9A">
              <w:rPr>
                <w:rFonts w:eastAsia="標楷體" w:hint="eastAsia"/>
                <w14:cntxtAlts/>
              </w:rPr>
              <w:t>72,973</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73,998</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5</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44,482</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38,106</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42,742</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14:cntxtAlts/>
              </w:rPr>
            </w:pPr>
            <w:r w:rsidRPr="003B6B9A">
              <w:rPr>
                <w:rFonts w:eastAsia="標楷體" w:hint="eastAsia"/>
                <w14:cntxtAlts/>
              </w:rPr>
              <w:t>75,078</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81,352</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6</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42,560</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38,197</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40,384</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14:cntxtAlts/>
              </w:rPr>
            </w:pPr>
            <w:r w:rsidRPr="003B6B9A">
              <w:rPr>
                <w:rFonts w:eastAsia="標楷體" w:hint="eastAsia"/>
                <w14:cntxtAlts/>
              </w:rPr>
              <w:t>72,585</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70,926</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7</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45,884</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38,528</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46,031</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14:cntxtAlts/>
              </w:rPr>
            </w:pPr>
            <w:r w:rsidRPr="003B6B9A">
              <w:rPr>
                <w:rFonts w:eastAsia="標楷體" w:hint="eastAsia"/>
                <w14:cntxtAlts/>
              </w:rPr>
              <w:t>75,520</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73,247</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8</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44,502</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38,288</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44,542</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155,359</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67,809</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9</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44,382</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38,384</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42,057</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120,206</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74,316</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10</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42,198</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38,480</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40,854</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71,231</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67,970</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11</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42,370</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38,279</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41,579</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71,501</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65,771</w:t>
            </w:r>
          </w:p>
        </w:tc>
      </w:tr>
      <w:tr w:rsidR="004B772B" w:rsidRPr="003B6B9A" w:rsidTr="001040FB">
        <w:trPr>
          <w:trHeight w:val="339"/>
          <w:jc w:val="center"/>
        </w:trPr>
        <w:tc>
          <w:tcPr>
            <w:tcW w:w="1553" w:type="dxa"/>
            <w:tcBorders>
              <w:top w:val="nil"/>
              <w:left w:val="nil"/>
              <w:bottom w:val="nil"/>
              <w:right w:val="single" w:sz="4" w:space="0" w:color="auto"/>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12</w:t>
            </w:r>
            <w:r w:rsidRPr="003B6B9A">
              <w:rPr>
                <w:rFonts w:eastAsia="標楷體" w:hint="eastAsia"/>
                <w14:cntxtAlts/>
              </w:rPr>
              <w:t>月</w:t>
            </w:r>
          </w:p>
        </w:tc>
        <w:tc>
          <w:tcPr>
            <w:tcW w:w="1213" w:type="dxa"/>
            <w:tcBorders>
              <w:top w:val="nil"/>
              <w:left w:val="single" w:sz="4" w:space="0" w:color="auto"/>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46,461</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38,725</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43,422</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116,306</w:t>
            </w:r>
          </w:p>
        </w:tc>
        <w:tc>
          <w:tcPr>
            <w:tcW w:w="1665" w:type="dxa"/>
            <w:tcBorders>
              <w:top w:val="nil"/>
              <w:left w:val="nil"/>
              <w:bottom w:val="nil"/>
              <w:right w:val="nil"/>
            </w:tcBorders>
            <w:vAlign w:val="bottom"/>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74,196</w:t>
            </w:r>
          </w:p>
        </w:tc>
      </w:tr>
      <w:tr w:rsidR="004B772B" w:rsidRPr="003B6B9A" w:rsidTr="001040FB">
        <w:trPr>
          <w:trHeight w:val="339"/>
          <w:jc w:val="center"/>
        </w:trPr>
        <w:tc>
          <w:tcPr>
            <w:tcW w:w="1553" w:type="dxa"/>
            <w:tcBorders>
              <w:top w:val="nil"/>
              <w:left w:val="nil"/>
              <w:bottom w:val="nil"/>
              <w:right w:val="single" w:sz="4" w:space="0" w:color="auto"/>
            </w:tcBorders>
            <w:vAlign w:val="center"/>
          </w:tcPr>
          <w:p w:rsidR="004B772B" w:rsidRPr="003B6B9A" w:rsidRDefault="004B772B" w:rsidP="001040FB">
            <w:pPr>
              <w:snapToGrid w:val="0"/>
              <w:spacing w:line="400" w:lineRule="exact"/>
              <w:rPr>
                <w:rFonts w:eastAsia="標楷體"/>
                <w14:cntxtAlts/>
              </w:rPr>
            </w:pPr>
            <w:r w:rsidRPr="003B6B9A">
              <w:rPr>
                <w:rFonts w:eastAsia="標楷體" w:hint="eastAsia"/>
                <w:b/>
                <w14:cntxtAlts/>
              </w:rPr>
              <w:t>104</w:t>
            </w:r>
            <w:r w:rsidRPr="003B6B9A">
              <w:rPr>
                <w:rFonts w:eastAsia="標楷體" w:hint="eastAsia"/>
                <w:b/>
                <w14:cntxtAlts/>
              </w:rPr>
              <w:t>年</w:t>
            </w:r>
            <w:r w:rsidRPr="003B6B9A">
              <w:rPr>
                <w:rFonts w:eastAsia="標楷體" w:hint="eastAsia"/>
                <w:b/>
                <w14:cntxtAlts/>
              </w:rPr>
              <w:t>1~3</w:t>
            </w:r>
            <w:r w:rsidRPr="003B6B9A">
              <w:rPr>
                <w:rFonts w:eastAsia="標楷體" w:hint="eastAsia"/>
                <w:b/>
                <w14:cntxtAlts/>
              </w:rPr>
              <w:t>月</w:t>
            </w:r>
          </w:p>
        </w:tc>
        <w:tc>
          <w:tcPr>
            <w:tcW w:w="1213" w:type="dxa"/>
            <w:tcBorders>
              <w:top w:val="nil"/>
              <w:left w:val="single" w:sz="4" w:space="0" w:color="auto"/>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60,525</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38,406</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58,037</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96,567</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119,387</w:t>
            </w:r>
          </w:p>
        </w:tc>
      </w:tr>
      <w:tr w:rsidR="004B772B" w:rsidRPr="003B6B9A" w:rsidTr="001040FB">
        <w:trPr>
          <w:trHeight w:val="339"/>
          <w:jc w:val="center"/>
        </w:trPr>
        <w:tc>
          <w:tcPr>
            <w:tcW w:w="1553" w:type="dxa"/>
            <w:tcBorders>
              <w:top w:val="nil"/>
              <w:left w:val="nil"/>
              <w:bottom w:val="nil"/>
              <w:right w:val="single" w:sz="4" w:space="0" w:color="auto"/>
            </w:tcBorders>
            <w:vAlign w:val="center"/>
          </w:tcPr>
          <w:p w:rsidR="004B772B" w:rsidRPr="003B6B9A" w:rsidRDefault="004B772B" w:rsidP="001040FB">
            <w:pPr>
              <w:snapToGrid w:val="0"/>
              <w:spacing w:line="400" w:lineRule="exact"/>
              <w:ind w:rightChars="165" w:right="396"/>
              <w:jc w:val="right"/>
              <w:rPr>
                <w:rFonts w:eastAsia="標楷體"/>
                <w:b/>
                <w14:cntxtAlts/>
              </w:rPr>
            </w:pPr>
            <w:r w:rsidRPr="003B6B9A">
              <w:rPr>
                <w:rFonts w:eastAsia="標楷體" w:hint="eastAsia"/>
                <w14:cntxtAlts/>
              </w:rPr>
              <w:t>1</w:t>
            </w:r>
            <w:r w:rsidRPr="003B6B9A">
              <w:rPr>
                <w:rFonts w:eastAsia="標楷體" w:hint="eastAsia"/>
                <w14:cntxtAlts/>
              </w:rPr>
              <w:t>月</w:t>
            </w:r>
          </w:p>
        </w:tc>
        <w:tc>
          <w:tcPr>
            <w:tcW w:w="1213" w:type="dxa"/>
            <w:tcBorders>
              <w:top w:val="nil"/>
              <w:left w:val="single" w:sz="4" w:space="0" w:color="auto"/>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51,968</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38,546</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49,705</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124,939</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97,819</w:t>
            </w:r>
          </w:p>
        </w:tc>
      </w:tr>
      <w:tr w:rsidR="004B772B" w:rsidRPr="003B6B9A" w:rsidTr="001040FB">
        <w:trPr>
          <w:trHeight w:val="339"/>
          <w:jc w:val="center"/>
        </w:trPr>
        <w:tc>
          <w:tcPr>
            <w:tcW w:w="1553" w:type="dxa"/>
            <w:tcBorders>
              <w:top w:val="nil"/>
              <w:left w:val="nil"/>
              <w:bottom w:val="nil"/>
              <w:right w:val="single" w:sz="4" w:space="0" w:color="auto"/>
            </w:tcBorders>
            <w:vAlign w:val="center"/>
          </w:tcPr>
          <w:p w:rsidR="004B772B" w:rsidRPr="003B6B9A" w:rsidRDefault="004B772B" w:rsidP="001040FB">
            <w:pPr>
              <w:snapToGrid w:val="0"/>
              <w:spacing w:line="400" w:lineRule="exact"/>
              <w:ind w:rightChars="165" w:right="396"/>
              <w:jc w:val="right"/>
              <w:rPr>
                <w:rFonts w:eastAsia="標楷體"/>
                <w:b/>
                <w14:cntxtAlts/>
              </w:rPr>
            </w:pPr>
            <w:r w:rsidRPr="003B6B9A">
              <w:rPr>
                <w:rFonts w:eastAsia="標楷體" w:hint="eastAsia"/>
                <w14:cntxtAlts/>
              </w:rPr>
              <w:t>2</w:t>
            </w:r>
            <w:r w:rsidRPr="003B6B9A">
              <w:rPr>
                <w:rFonts w:eastAsia="標楷體" w:hint="eastAsia"/>
                <w14:cntxtAlts/>
              </w:rPr>
              <w:t>月</w:t>
            </w:r>
          </w:p>
        </w:tc>
        <w:tc>
          <w:tcPr>
            <w:tcW w:w="1213" w:type="dxa"/>
            <w:tcBorders>
              <w:top w:val="nil"/>
              <w:left w:val="single" w:sz="4" w:space="0" w:color="auto"/>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86,666</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38,148</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84,071</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91,584</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191,677</w:t>
            </w:r>
          </w:p>
        </w:tc>
      </w:tr>
      <w:tr w:rsidR="004B772B" w:rsidRPr="003B6B9A" w:rsidTr="001040FB">
        <w:trPr>
          <w:trHeight w:val="339"/>
          <w:jc w:val="center"/>
        </w:trPr>
        <w:tc>
          <w:tcPr>
            <w:tcW w:w="1553" w:type="dxa"/>
            <w:tcBorders>
              <w:top w:val="nil"/>
              <w:left w:val="nil"/>
              <w:bottom w:val="single" w:sz="4" w:space="0" w:color="auto"/>
              <w:right w:val="single" w:sz="4" w:space="0" w:color="auto"/>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3</w:t>
            </w:r>
            <w:r w:rsidRPr="003B6B9A">
              <w:rPr>
                <w:rFonts w:eastAsia="標楷體" w:hint="eastAsia"/>
                <w14:cntxtAlts/>
              </w:rPr>
              <w:t>月</w:t>
            </w:r>
          </w:p>
        </w:tc>
        <w:tc>
          <w:tcPr>
            <w:tcW w:w="1213" w:type="dxa"/>
            <w:tcBorders>
              <w:top w:val="nil"/>
              <w:left w:val="single" w:sz="4" w:space="0" w:color="auto"/>
              <w:bottom w:val="single" w:sz="4" w:space="0" w:color="auto"/>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43,016</w:t>
            </w:r>
          </w:p>
        </w:tc>
        <w:tc>
          <w:tcPr>
            <w:tcW w:w="1149" w:type="dxa"/>
            <w:tcBorders>
              <w:top w:val="nil"/>
              <w:left w:val="nil"/>
              <w:bottom w:val="single" w:sz="4" w:space="0" w:color="auto"/>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38,522</w:t>
            </w:r>
          </w:p>
        </w:tc>
        <w:tc>
          <w:tcPr>
            <w:tcW w:w="1701" w:type="dxa"/>
            <w:tcBorders>
              <w:top w:val="nil"/>
              <w:left w:val="nil"/>
              <w:bottom w:val="single" w:sz="4" w:space="0" w:color="auto"/>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40,444</w:t>
            </w:r>
          </w:p>
        </w:tc>
        <w:tc>
          <w:tcPr>
            <w:tcW w:w="1686" w:type="dxa"/>
            <w:tcBorders>
              <w:top w:val="nil"/>
              <w:left w:val="nil"/>
              <w:bottom w:val="single" w:sz="4" w:space="0" w:color="auto"/>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73,034</w:t>
            </w:r>
          </w:p>
        </w:tc>
        <w:tc>
          <w:tcPr>
            <w:tcW w:w="1665" w:type="dxa"/>
            <w:tcBorders>
              <w:top w:val="nil"/>
              <w:left w:val="nil"/>
              <w:bottom w:val="single" w:sz="4" w:space="0" w:color="auto"/>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68,598</w:t>
            </w:r>
          </w:p>
        </w:tc>
      </w:tr>
      <w:tr w:rsidR="004B772B" w:rsidRPr="003B6B9A" w:rsidTr="001040FB">
        <w:trPr>
          <w:trHeight w:val="702"/>
          <w:jc w:val="center"/>
        </w:trPr>
        <w:tc>
          <w:tcPr>
            <w:tcW w:w="1553" w:type="dxa"/>
            <w:tcBorders>
              <w:top w:val="single" w:sz="4" w:space="0" w:color="auto"/>
            </w:tcBorders>
            <w:vAlign w:val="center"/>
          </w:tcPr>
          <w:p w:rsidR="004B772B" w:rsidRPr="003B6B9A" w:rsidRDefault="004B772B" w:rsidP="001040FB">
            <w:pPr>
              <w:snapToGrid w:val="0"/>
              <w:spacing w:line="320" w:lineRule="exact"/>
              <w:jc w:val="center"/>
              <w:rPr>
                <w:rFonts w:eastAsia="標楷體"/>
                <w:w w:val="98"/>
                <w14:cntxtAlts/>
              </w:rPr>
            </w:pPr>
            <w:r w:rsidRPr="003B6B9A">
              <w:rPr>
                <w:rFonts w:eastAsia="標楷體"/>
                <w:w w:val="98"/>
                <w14:cntxtAlts/>
              </w:rPr>
              <w:t>較</w:t>
            </w:r>
            <w:r w:rsidRPr="003B6B9A">
              <w:rPr>
                <w:rFonts w:eastAsia="標楷體"/>
                <w:w w:val="98"/>
                <w14:cntxtAlts/>
              </w:rPr>
              <w:t>103</w:t>
            </w:r>
            <w:r w:rsidRPr="003B6B9A">
              <w:rPr>
                <w:rFonts w:eastAsia="標楷體"/>
                <w:w w:val="98"/>
                <w14:cntxtAlts/>
              </w:rPr>
              <w:t>年同月變動</w:t>
            </w:r>
            <w:r w:rsidRPr="003B6B9A">
              <w:rPr>
                <w:rFonts w:eastAsia="標楷體"/>
                <w:w w:val="98"/>
                <w14:cntxtAlts/>
              </w:rPr>
              <w:t>(%)</w:t>
            </w:r>
          </w:p>
        </w:tc>
        <w:tc>
          <w:tcPr>
            <w:tcW w:w="1213" w:type="dxa"/>
            <w:tcBorders>
              <w:top w:val="single" w:sz="4" w:space="0" w:color="auto"/>
              <w:right w:val="nil"/>
            </w:tcBorders>
            <w:vAlign w:val="center"/>
          </w:tcPr>
          <w:p w:rsidR="004B772B" w:rsidRPr="003B6B9A" w:rsidRDefault="004B772B" w:rsidP="001040FB">
            <w:pPr>
              <w:snapToGrid w:val="0"/>
              <w:spacing w:line="400" w:lineRule="exact"/>
              <w:ind w:leftChars="99" w:left="238" w:rightChars="100" w:right="240"/>
              <w:jc w:val="center"/>
              <w:rPr>
                <w:rFonts w:eastAsia="標楷體"/>
                <w14:cntxtAlts/>
              </w:rPr>
            </w:pPr>
            <w:r w:rsidRPr="003B6B9A">
              <w:rPr>
                <w:rFonts w:eastAsia="標楷體"/>
                <w14:cntxtAlts/>
              </w:rPr>
              <w:t>0.72</w:t>
            </w:r>
          </w:p>
        </w:tc>
        <w:tc>
          <w:tcPr>
            <w:tcW w:w="1149" w:type="dxa"/>
            <w:tcBorders>
              <w:top w:val="single" w:sz="4" w:space="0" w:color="auto"/>
              <w:left w:val="nil"/>
              <w:right w:val="nil"/>
            </w:tcBorders>
            <w:vAlign w:val="center"/>
          </w:tcPr>
          <w:p w:rsidR="004B772B" w:rsidRPr="003B6B9A" w:rsidRDefault="004B772B" w:rsidP="001040FB">
            <w:pPr>
              <w:snapToGrid w:val="0"/>
              <w:spacing w:line="400" w:lineRule="exact"/>
              <w:ind w:leftChars="66" w:left="158" w:rightChars="-60" w:right="-144"/>
              <w:jc w:val="center"/>
              <w:rPr>
                <w:rFonts w:eastAsia="標楷體"/>
                <w14:cntxtAlts/>
              </w:rPr>
            </w:pPr>
            <w:r w:rsidRPr="003B6B9A">
              <w:rPr>
                <w:rFonts w:eastAsia="標楷體"/>
                <w14:cntxtAlts/>
              </w:rPr>
              <w:t>1.51</w:t>
            </w:r>
          </w:p>
        </w:tc>
        <w:tc>
          <w:tcPr>
            <w:tcW w:w="1701" w:type="dxa"/>
            <w:tcBorders>
              <w:top w:val="single" w:sz="4" w:space="0" w:color="auto"/>
              <w:left w:val="nil"/>
              <w:right w:val="nil"/>
            </w:tcBorders>
            <w:vAlign w:val="center"/>
          </w:tcPr>
          <w:p w:rsidR="004B772B" w:rsidRPr="003B6B9A" w:rsidRDefault="004B772B" w:rsidP="001040FB">
            <w:pPr>
              <w:tabs>
                <w:tab w:val="left" w:pos="1562"/>
              </w:tabs>
              <w:snapToGrid w:val="0"/>
              <w:spacing w:line="400" w:lineRule="exact"/>
              <w:ind w:leftChars="178" w:left="427" w:rightChars="117" w:right="281"/>
              <w:jc w:val="center"/>
              <w:rPr>
                <w:rFonts w:eastAsia="標楷體"/>
                <w14:cntxtAlts/>
              </w:rPr>
            </w:pPr>
            <w:r w:rsidRPr="003B6B9A">
              <w:rPr>
                <w:rFonts w:eastAsia="標楷體"/>
                <w14:cntxtAlts/>
              </w:rPr>
              <w:t>2.99</w:t>
            </w:r>
          </w:p>
        </w:tc>
        <w:tc>
          <w:tcPr>
            <w:tcW w:w="1686" w:type="dxa"/>
            <w:tcBorders>
              <w:top w:val="single" w:sz="4" w:space="0" w:color="auto"/>
              <w:left w:val="nil"/>
              <w:right w:val="nil"/>
            </w:tcBorders>
            <w:vAlign w:val="center"/>
          </w:tcPr>
          <w:p w:rsidR="004B772B" w:rsidRPr="003B6B9A" w:rsidRDefault="004B772B" w:rsidP="001040FB">
            <w:pPr>
              <w:widowControl/>
              <w:tabs>
                <w:tab w:val="left" w:pos="5220"/>
              </w:tabs>
              <w:snapToGrid w:val="0"/>
              <w:spacing w:line="400" w:lineRule="exact"/>
              <w:ind w:leftChars="119" w:left="286" w:rightChars="100" w:right="240"/>
              <w:jc w:val="center"/>
              <w:rPr>
                <w:rFonts w:eastAsia="標楷體"/>
                <w14:cntxtAlts/>
              </w:rPr>
            </w:pPr>
            <w:r w:rsidRPr="003B6B9A">
              <w:rPr>
                <w:rFonts w:eastAsia="標楷體"/>
                <w14:cntxtAlts/>
              </w:rPr>
              <w:t>-2.09</w:t>
            </w:r>
          </w:p>
        </w:tc>
        <w:tc>
          <w:tcPr>
            <w:tcW w:w="1665" w:type="dxa"/>
            <w:tcBorders>
              <w:top w:val="single" w:sz="4" w:space="0" w:color="auto"/>
              <w:left w:val="nil"/>
            </w:tcBorders>
            <w:vAlign w:val="center"/>
          </w:tcPr>
          <w:p w:rsidR="004B772B" w:rsidRPr="003B6B9A" w:rsidRDefault="004B772B" w:rsidP="001040FB">
            <w:pPr>
              <w:widowControl/>
              <w:tabs>
                <w:tab w:val="left" w:pos="5220"/>
              </w:tabs>
              <w:snapToGrid w:val="0"/>
              <w:spacing w:line="400" w:lineRule="exact"/>
              <w:ind w:rightChars="11" w:right="26"/>
              <w:jc w:val="center"/>
              <w:rPr>
                <w:rFonts w:eastAsia="標楷體"/>
                <w14:cntxtAlts/>
              </w:rPr>
            </w:pPr>
            <w:r w:rsidRPr="003B6B9A">
              <w:rPr>
                <w:rFonts w:eastAsia="標楷體"/>
                <w14:cntxtAlts/>
              </w:rPr>
              <w:t>-7.56</w:t>
            </w:r>
          </w:p>
        </w:tc>
      </w:tr>
      <w:tr w:rsidR="004B772B" w:rsidRPr="003B6B9A" w:rsidTr="001040FB">
        <w:trPr>
          <w:trHeight w:val="702"/>
          <w:jc w:val="center"/>
        </w:trPr>
        <w:tc>
          <w:tcPr>
            <w:tcW w:w="1553" w:type="dxa"/>
            <w:vAlign w:val="center"/>
          </w:tcPr>
          <w:p w:rsidR="004B772B" w:rsidRPr="003B6B9A" w:rsidRDefault="004B772B" w:rsidP="001040FB">
            <w:pPr>
              <w:snapToGrid w:val="0"/>
              <w:spacing w:line="320" w:lineRule="exact"/>
              <w:jc w:val="center"/>
              <w:rPr>
                <w:rFonts w:eastAsia="標楷體"/>
                <w:w w:val="98"/>
                <w14:cntxtAlts/>
              </w:rPr>
            </w:pPr>
            <w:r w:rsidRPr="003B6B9A">
              <w:rPr>
                <w:rFonts w:eastAsia="標楷體"/>
                <w:w w:val="98"/>
                <w14:cntxtAlts/>
              </w:rPr>
              <w:t>累計較</w:t>
            </w:r>
            <w:r w:rsidRPr="003B6B9A">
              <w:rPr>
                <w:rFonts w:eastAsia="標楷體"/>
                <w:w w:val="98"/>
                <w14:cntxtAlts/>
              </w:rPr>
              <w:t>103</w:t>
            </w:r>
            <w:r w:rsidRPr="003B6B9A">
              <w:rPr>
                <w:rFonts w:eastAsia="標楷體"/>
                <w:w w:val="98"/>
                <w14:cntxtAlts/>
              </w:rPr>
              <w:t>年同期變動</w:t>
            </w:r>
            <w:r w:rsidRPr="003B6B9A">
              <w:rPr>
                <w:rFonts w:eastAsia="標楷體"/>
                <w:w w:val="98"/>
                <w14:cntxtAlts/>
              </w:rPr>
              <w:t>(%)</w:t>
            </w:r>
          </w:p>
        </w:tc>
        <w:tc>
          <w:tcPr>
            <w:tcW w:w="1213" w:type="dxa"/>
            <w:tcBorders>
              <w:right w:val="nil"/>
            </w:tcBorders>
            <w:vAlign w:val="center"/>
          </w:tcPr>
          <w:p w:rsidR="004B772B" w:rsidRPr="003B6B9A" w:rsidRDefault="004B772B" w:rsidP="001040FB">
            <w:pPr>
              <w:snapToGrid w:val="0"/>
              <w:spacing w:line="400" w:lineRule="exact"/>
              <w:ind w:leftChars="99" w:left="238" w:rightChars="100" w:right="240"/>
              <w:jc w:val="center"/>
              <w:rPr>
                <w:rFonts w:eastAsia="標楷體"/>
                <w14:cntxtAlts/>
              </w:rPr>
            </w:pPr>
            <w:r w:rsidRPr="003B6B9A">
              <w:rPr>
                <w:rFonts w:eastAsia="標楷體"/>
                <w14:cntxtAlts/>
              </w:rPr>
              <w:t>5.11</w:t>
            </w:r>
          </w:p>
        </w:tc>
        <w:tc>
          <w:tcPr>
            <w:tcW w:w="1149" w:type="dxa"/>
            <w:tcBorders>
              <w:left w:val="nil"/>
              <w:right w:val="nil"/>
            </w:tcBorders>
            <w:vAlign w:val="center"/>
          </w:tcPr>
          <w:p w:rsidR="004B772B" w:rsidRPr="003B6B9A" w:rsidRDefault="004B772B" w:rsidP="001040FB">
            <w:pPr>
              <w:snapToGrid w:val="0"/>
              <w:spacing w:line="400" w:lineRule="exact"/>
              <w:ind w:leftChars="66" w:left="158" w:rightChars="-60" w:right="-144"/>
              <w:jc w:val="center"/>
              <w:rPr>
                <w:rFonts w:eastAsia="標楷體"/>
                <w14:cntxtAlts/>
              </w:rPr>
            </w:pPr>
            <w:r w:rsidRPr="003B6B9A">
              <w:rPr>
                <w:rFonts w:eastAsia="標楷體"/>
                <w14:cntxtAlts/>
              </w:rPr>
              <w:t>1.58</w:t>
            </w:r>
          </w:p>
        </w:tc>
        <w:tc>
          <w:tcPr>
            <w:tcW w:w="1701" w:type="dxa"/>
            <w:tcBorders>
              <w:left w:val="nil"/>
              <w:right w:val="nil"/>
            </w:tcBorders>
            <w:vAlign w:val="center"/>
          </w:tcPr>
          <w:p w:rsidR="004B772B" w:rsidRPr="003B6B9A" w:rsidRDefault="004B772B" w:rsidP="001040FB">
            <w:pPr>
              <w:tabs>
                <w:tab w:val="left" w:pos="1562"/>
              </w:tabs>
              <w:snapToGrid w:val="0"/>
              <w:spacing w:line="400" w:lineRule="exact"/>
              <w:ind w:leftChars="178" w:left="427" w:rightChars="117" w:right="281"/>
              <w:jc w:val="center"/>
              <w:rPr>
                <w:rFonts w:eastAsia="標楷體"/>
                <w14:cntxtAlts/>
              </w:rPr>
            </w:pPr>
            <w:r w:rsidRPr="003B6B9A">
              <w:rPr>
                <w:rFonts w:eastAsia="標楷體"/>
                <w14:cntxtAlts/>
              </w:rPr>
              <w:t>7.79</w:t>
            </w:r>
          </w:p>
        </w:tc>
        <w:tc>
          <w:tcPr>
            <w:tcW w:w="1686" w:type="dxa"/>
            <w:tcBorders>
              <w:left w:val="nil"/>
              <w:right w:val="nil"/>
            </w:tcBorders>
            <w:vAlign w:val="center"/>
          </w:tcPr>
          <w:p w:rsidR="004B772B" w:rsidRPr="003B6B9A" w:rsidRDefault="004B772B" w:rsidP="001040FB">
            <w:pPr>
              <w:widowControl/>
              <w:tabs>
                <w:tab w:val="left" w:pos="5220"/>
              </w:tabs>
              <w:snapToGrid w:val="0"/>
              <w:spacing w:line="400" w:lineRule="exact"/>
              <w:ind w:leftChars="119" w:left="286" w:rightChars="100" w:right="240"/>
              <w:jc w:val="center"/>
              <w:rPr>
                <w:rFonts w:eastAsia="標楷體"/>
                <w14:cntxtAlts/>
              </w:rPr>
            </w:pPr>
            <w:r w:rsidRPr="003B6B9A">
              <w:rPr>
                <w:rFonts w:eastAsia="標楷體"/>
                <w14:cntxtAlts/>
              </w:rPr>
              <w:t>-2.61</w:t>
            </w:r>
          </w:p>
        </w:tc>
        <w:tc>
          <w:tcPr>
            <w:tcW w:w="1665" w:type="dxa"/>
            <w:tcBorders>
              <w:left w:val="nil"/>
            </w:tcBorders>
            <w:vAlign w:val="center"/>
          </w:tcPr>
          <w:p w:rsidR="004B772B" w:rsidRPr="003B6B9A" w:rsidRDefault="004B772B" w:rsidP="001040FB">
            <w:pPr>
              <w:widowControl/>
              <w:tabs>
                <w:tab w:val="left" w:pos="5220"/>
              </w:tabs>
              <w:snapToGrid w:val="0"/>
              <w:spacing w:line="400" w:lineRule="exact"/>
              <w:ind w:rightChars="11" w:right="26"/>
              <w:jc w:val="center"/>
              <w:rPr>
                <w:rFonts w:eastAsia="標楷體"/>
                <w14:cntxtAlts/>
              </w:rPr>
            </w:pPr>
            <w:r w:rsidRPr="003B6B9A">
              <w:rPr>
                <w:rFonts w:eastAsia="標楷體"/>
                <w14:cntxtAlts/>
              </w:rPr>
              <w:t>2.97</w:t>
            </w:r>
          </w:p>
        </w:tc>
      </w:tr>
    </w:tbl>
    <w:p w:rsidR="004B772B" w:rsidRPr="003B6B9A" w:rsidRDefault="004B772B" w:rsidP="004B772B">
      <w:pPr>
        <w:spacing w:line="360" w:lineRule="exact"/>
        <w:ind w:left="425" w:hangingChars="193" w:hanging="425"/>
        <w:rPr>
          <w:rFonts w:eastAsia="標楷體"/>
          <w:sz w:val="22"/>
          <w:szCs w:val="22"/>
        </w:rPr>
      </w:pPr>
      <w:r w:rsidRPr="003B6B9A">
        <w:rPr>
          <w:rFonts w:eastAsia="標楷體"/>
          <w:sz w:val="22"/>
          <w:szCs w:val="22"/>
        </w:rPr>
        <w:t>註：</w:t>
      </w:r>
      <w:r w:rsidRPr="003B6B9A">
        <w:rPr>
          <w:rFonts w:eastAsia="標楷體" w:hint="eastAsia"/>
          <w:sz w:val="22"/>
          <w:szCs w:val="22"/>
        </w:rPr>
        <w:t>表內薪資為名目數據。</w:t>
      </w:r>
    </w:p>
    <w:p w:rsidR="004B772B" w:rsidRPr="003B6B9A" w:rsidRDefault="004B772B" w:rsidP="004B772B">
      <w:pPr>
        <w:snapToGrid w:val="0"/>
        <w:spacing w:before="50" w:line="300" w:lineRule="auto"/>
        <w:ind w:rightChars="18" w:right="43"/>
        <w:rPr>
          <w:rFonts w:eastAsia="標楷體"/>
          <w:sz w:val="22"/>
          <w:szCs w:val="22"/>
        </w:rPr>
      </w:pPr>
      <w:r w:rsidRPr="003B6B9A">
        <w:rPr>
          <w:rFonts w:eastAsia="標楷體"/>
          <w:sz w:val="22"/>
          <w:szCs w:val="22"/>
        </w:rPr>
        <w:t>資料來源：行政院主計總處。</w:t>
      </w:r>
    </w:p>
    <w:p w:rsidR="00EF5A0E" w:rsidRPr="00B118E9" w:rsidRDefault="00576223" w:rsidP="004B772B">
      <w:pPr>
        <w:snapToGrid w:val="0"/>
        <w:spacing w:before="50" w:line="300" w:lineRule="auto"/>
        <w:ind w:rightChars="18" w:right="43"/>
        <w:jc w:val="center"/>
        <w:rPr>
          <w:rFonts w:eastAsia="標楷體"/>
          <w:b/>
          <w:bCs/>
          <w:color w:val="FF0000"/>
          <w:sz w:val="40"/>
          <w:szCs w:val="36"/>
        </w:rPr>
      </w:pPr>
      <w:r w:rsidRPr="00B118E9">
        <w:rPr>
          <w:rFonts w:eastAsia="標楷體"/>
          <w:b/>
          <w:bCs/>
          <w:color w:val="FF0000"/>
          <w:sz w:val="28"/>
        </w:rPr>
        <w:br w:type="page"/>
      </w:r>
    </w:p>
    <w:p w:rsidR="008A5536" w:rsidRPr="00B118E9" w:rsidRDefault="008A5536" w:rsidP="008A5536">
      <w:pPr>
        <w:keepNext/>
        <w:adjustRightInd w:val="0"/>
        <w:snapToGrid w:val="0"/>
        <w:spacing w:line="300" w:lineRule="auto"/>
        <w:outlineLvl w:val="1"/>
        <w:rPr>
          <w:rFonts w:eastAsia="標楷體"/>
        </w:rPr>
      </w:pPr>
      <w:bookmarkStart w:id="145" w:name="_Toc368324032"/>
      <w:bookmarkStart w:id="146" w:name="_Toc402171720"/>
      <w:bookmarkStart w:id="147" w:name="_Toc420680045"/>
      <w:bookmarkStart w:id="148" w:name="_Toc337122138"/>
      <w:bookmarkStart w:id="149" w:name="_Toc349916590"/>
      <w:bookmarkStart w:id="150" w:name="_Toc401923803"/>
      <w:r w:rsidRPr="00B118E9">
        <w:rPr>
          <w:rFonts w:eastAsia="標楷體"/>
          <w:b/>
          <w:bCs/>
          <w:sz w:val="40"/>
          <w:szCs w:val="36"/>
        </w:rPr>
        <w:t>三、中國大陸經濟</w:t>
      </w:r>
      <w:bookmarkEnd w:id="145"/>
      <w:bookmarkEnd w:id="146"/>
      <w:bookmarkEnd w:id="147"/>
    </w:p>
    <w:p w:rsidR="008A5536" w:rsidRPr="00B118E9" w:rsidRDefault="008A5536" w:rsidP="008A5536">
      <w:pPr>
        <w:pStyle w:val="t-3"/>
        <w:snapToGrid w:val="0"/>
        <w:spacing w:beforeLines="50" w:before="180" w:line="300" w:lineRule="auto"/>
        <w:ind w:right="-60"/>
      </w:pPr>
      <w:bookmarkStart w:id="151" w:name="_Toc368324033"/>
      <w:bookmarkStart w:id="152" w:name="_Toc402171721"/>
      <w:bookmarkStart w:id="153" w:name="_Toc420680046"/>
      <w:bookmarkStart w:id="154" w:name="_Toc349916591"/>
      <w:r w:rsidRPr="00B118E9">
        <w:t>（一）固定資產投資</w:t>
      </w:r>
      <w:bookmarkEnd w:id="151"/>
      <w:bookmarkEnd w:id="152"/>
      <w:bookmarkEnd w:id="153"/>
    </w:p>
    <w:p w:rsidR="004B772B" w:rsidRPr="003B6B9A" w:rsidRDefault="004B772B" w:rsidP="004B772B">
      <w:pPr>
        <w:pStyle w:val="a9"/>
        <w:widowControl/>
        <w:snapToGrid w:val="0"/>
        <w:spacing w:line="300" w:lineRule="auto"/>
        <w:ind w:leftChars="140" w:left="616" w:right="-142" w:hangingChars="100" w:hanging="280"/>
        <w:jc w:val="both"/>
        <w:rPr>
          <w:rFonts w:ascii="Times New Roman" w:eastAsia="標楷體"/>
          <w:sz w:val="28"/>
        </w:rPr>
      </w:pPr>
      <w:r w:rsidRPr="003B6B9A">
        <w:rPr>
          <w:rFonts w:ascii="Times New Roman" w:eastAsia="標楷體" w:hint="eastAsia"/>
          <w:sz w:val="28"/>
        </w:rPr>
        <w:t>－</w:t>
      </w:r>
      <w:r w:rsidRPr="003B6B9A">
        <w:rPr>
          <w:rFonts w:ascii="Times New Roman" w:eastAsia="標楷體" w:hint="eastAsia"/>
          <w:sz w:val="28"/>
        </w:rPr>
        <w:t>2015</w:t>
      </w:r>
      <w:r w:rsidRPr="003B6B9A">
        <w:rPr>
          <w:rFonts w:ascii="Times New Roman" w:eastAsia="標楷體" w:hint="eastAsia"/>
          <w:sz w:val="28"/>
        </w:rPr>
        <w:t>年</w:t>
      </w:r>
      <w:r w:rsidRPr="003B6B9A">
        <w:rPr>
          <w:rFonts w:ascii="Times New Roman" w:eastAsia="標楷體" w:hint="eastAsia"/>
          <w:sz w:val="28"/>
        </w:rPr>
        <w:t>1</w:t>
      </w:r>
      <w:r w:rsidRPr="003B6B9A">
        <w:rPr>
          <w:rFonts w:ascii="Times New Roman" w:eastAsia="標楷體" w:hint="eastAsia"/>
          <w:sz w:val="28"/>
        </w:rPr>
        <w:t>至</w:t>
      </w:r>
      <w:r w:rsidRPr="003B6B9A">
        <w:rPr>
          <w:rFonts w:ascii="Times New Roman" w:eastAsia="標楷體" w:hint="eastAsia"/>
          <w:sz w:val="28"/>
        </w:rPr>
        <w:t>4</w:t>
      </w:r>
      <w:r w:rsidRPr="003B6B9A">
        <w:rPr>
          <w:rFonts w:ascii="Times New Roman" w:eastAsia="標楷體" w:hint="eastAsia"/>
          <w:sz w:val="28"/>
        </w:rPr>
        <w:t>月固定資產投資</w:t>
      </w:r>
      <w:r w:rsidRPr="003B6B9A">
        <w:rPr>
          <w:rFonts w:ascii="Times New Roman" w:eastAsia="標楷體" w:hint="eastAsia"/>
          <w:sz w:val="28"/>
        </w:rPr>
        <w:t>(</w:t>
      </w:r>
      <w:r w:rsidRPr="003B6B9A">
        <w:rPr>
          <w:rFonts w:ascii="Times New Roman" w:eastAsia="標楷體" w:hint="eastAsia"/>
          <w:sz w:val="28"/>
        </w:rPr>
        <w:t>不含農戶</w:t>
      </w:r>
      <w:r w:rsidRPr="003B6B9A">
        <w:rPr>
          <w:rFonts w:ascii="Times New Roman" w:eastAsia="標楷體" w:hint="eastAsia"/>
          <w:sz w:val="28"/>
        </w:rPr>
        <w:t>)</w:t>
      </w:r>
      <w:r w:rsidRPr="003B6B9A">
        <w:rPr>
          <w:rFonts w:ascii="Times New Roman" w:eastAsia="標楷體" w:hint="eastAsia"/>
          <w:sz w:val="28"/>
        </w:rPr>
        <w:t>金額為</w:t>
      </w:r>
      <w:r w:rsidRPr="003B6B9A">
        <w:rPr>
          <w:rFonts w:ascii="Times New Roman" w:eastAsia="標楷體" w:hint="eastAsia"/>
          <w:sz w:val="28"/>
        </w:rPr>
        <w:t>119</w:t>
      </w:r>
      <w:r w:rsidRPr="003B6B9A">
        <w:rPr>
          <w:rFonts w:ascii="Times New Roman" w:eastAsia="標楷體"/>
          <w:sz w:val="28"/>
        </w:rPr>
        <w:t>,</w:t>
      </w:r>
      <w:r w:rsidRPr="003B6B9A">
        <w:rPr>
          <w:rFonts w:ascii="Times New Roman" w:eastAsia="標楷體" w:hint="eastAsia"/>
          <w:sz w:val="28"/>
        </w:rPr>
        <w:t>979</w:t>
      </w:r>
      <w:r w:rsidRPr="003B6B9A">
        <w:rPr>
          <w:rFonts w:ascii="Times New Roman" w:eastAsia="標楷體" w:hint="eastAsia"/>
          <w:sz w:val="28"/>
        </w:rPr>
        <w:t>億人民幣，較上年同期增加</w:t>
      </w:r>
      <w:r w:rsidRPr="003B6B9A">
        <w:rPr>
          <w:rFonts w:ascii="Times New Roman" w:eastAsia="標楷體" w:hint="eastAsia"/>
          <w:sz w:val="28"/>
        </w:rPr>
        <w:t>12%</w:t>
      </w:r>
      <w:r w:rsidRPr="003B6B9A">
        <w:rPr>
          <w:rFonts w:ascii="Times New Roman" w:eastAsia="標楷體" w:hint="eastAsia"/>
          <w:sz w:val="28"/>
        </w:rPr>
        <w:t>，其中中央投資金額增加</w:t>
      </w:r>
      <w:r w:rsidRPr="003B6B9A">
        <w:rPr>
          <w:rFonts w:ascii="Times New Roman" w:eastAsia="標楷體" w:hint="eastAsia"/>
          <w:sz w:val="28"/>
        </w:rPr>
        <w:t>8.1%</w:t>
      </w:r>
      <w:r w:rsidRPr="003B6B9A">
        <w:rPr>
          <w:rFonts w:ascii="Times New Roman" w:eastAsia="標楷體" w:hint="eastAsia"/>
          <w:sz w:val="28"/>
        </w:rPr>
        <w:t>，比重為</w:t>
      </w:r>
      <w:r w:rsidRPr="003B6B9A">
        <w:rPr>
          <w:rFonts w:ascii="Times New Roman" w:eastAsia="標楷體" w:hint="eastAsia"/>
          <w:sz w:val="28"/>
        </w:rPr>
        <w:t>4.2%</w:t>
      </w:r>
      <w:r w:rsidRPr="003B6B9A">
        <w:rPr>
          <w:rFonts w:ascii="標楷體" w:eastAsia="標楷體" w:hAnsi="標楷體" w:hint="eastAsia"/>
          <w:sz w:val="28"/>
        </w:rPr>
        <w:t>；</w:t>
      </w:r>
      <w:r w:rsidRPr="003B6B9A">
        <w:rPr>
          <w:rFonts w:ascii="Times New Roman" w:eastAsia="標楷體" w:hint="eastAsia"/>
          <w:sz w:val="28"/>
        </w:rPr>
        <w:t>地方投資金額增加</w:t>
      </w:r>
      <w:r w:rsidRPr="003B6B9A">
        <w:rPr>
          <w:rFonts w:ascii="Times New Roman" w:eastAsia="標楷體" w:hint="eastAsia"/>
          <w:sz w:val="28"/>
        </w:rPr>
        <w:t>12.2%</w:t>
      </w:r>
      <w:r w:rsidRPr="003B6B9A">
        <w:rPr>
          <w:rFonts w:ascii="Times New Roman" w:eastAsia="標楷體" w:hint="eastAsia"/>
          <w:sz w:val="28"/>
        </w:rPr>
        <w:t>，比重為</w:t>
      </w:r>
      <w:r w:rsidRPr="003B6B9A">
        <w:rPr>
          <w:rFonts w:ascii="Times New Roman" w:eastAsia="標楷體" w:hint="eastAsia"/>
          <w:sz w:val="28"/>
        </w:rPr>
        <w:t>95.8%</w:t>
      </w:r>
      <w:r w:rsidRPr="003B6B9A">
        <w:rPr>
          <w:rFonts w:ascii="Times New Roman" w:eastAsia="標楷體" w:hint="eastAsia"/>
          <w:sz w:val="28"/>
        </w:rPr>
        <w:t>。</w:t>
      </w:r>
    </w:p>
    <w:p w:rsidR="004B772B" w:rsidRPr="003B6B9A" w:rsidRDefault="004B772B" w:rsidP="004B772B">
      <w:pPr>
        <w:pStyle w:val="a9"/>
        <w:widowControl/>
        <w:snapToGrid w:val="0"/>
        <w:spacing w:line="288" w:lineRule="auto"/>
        <w:ind w:leftChars="140" w:left="616" w:right="-142" w:hangingChars="100" w:hanging="280"/>
        <w:jc w:val="both"/>
        <w:rPr>
          <w:rFonts w:ascii="Times New Roman" w:eastAsia="標楷體"/>
          <w:sz w:val="28"/>
        </w:rPr>
      </w:pPr>
    </w:p>
    <w:p w:rsidR="004B772B" w:rsidRPr="003B6B9A" w:rsidRDefault="004B772B" w:rsidP="004B772B">
      <w:pPr>
        <w:autoSpaceDE w:val="0"/>
        <w:autoSpaceDN w:val="0"/>
        <w:adjustRightInd w:val="0"/>
        <w:snapToGrid w:val="0"/>
        <w:spacing w:line="0" w:lineRule="atLeast"/>
        <w:jc w:val="center"/>
      </w:pPr>
      <w:r w:rsidRPr="003B6B9A">
        <w:rPr>
          <w:rFonts w:eastAsia="標楷體" w:hint="eastAsia"/>
          <w:b/>
          <w:bCs/>
          <w:sz w:val="28"/>
        </w:rPr>
        <w:t>圖</w:t>
      </w:r>
      <w:r w:rsidRPr="003B6B9A">
        <w:rPr>
          <w:rFonts w:eastAsia="標楷體" w:hint="eastAsia"/>
          <w:b/>
          <w:bCs/>
          <w:sz w:val="28"/>
        </w:rPr>
        <w:t xml:space="preserve">3-1 </w:t>
      </w:r>
      <w:r w:rsidRPr="003B6B9A">
        <w:rPr>
          <w:rFonts w:eastAsia="標楷體" w:hint="eastAsia"/>
          <w:b/>
          <w:bCs/>
          <w:sz w:val="28"/>
        </w:rPr>
        <w:t>中國大陸固定資產投資</w:t>
      </w:r>
    </w:p>
    <w:p w:rsidR="004B772B" w:rsidRPr="003B6B9A" w:rsidRDefault="004B772B" w:rsidP="004B772B">
      <w:pPr>
        <w:autoSpaceDE w:val="0"/>
        <w:autoSpaceDN w:val="0"/>
        <w:adjustRightInd w:val="0"/>
        <w:snapToGrid w:val="0"/>
        <w:spacing w:line="300" w:lineRule="auto"/>
        <w:rPr>
          <w:rFonts w:eastAsia="標楷體"/>
          <w:b/>
          <w:bCs/>
          <w:sz w:val="28"/>
        </w:rPr>
      </w:pPr>
      <w:r w:rsidRPr="003B6B9A">
        <w:rPr>
          <w:noProof/>
        </w:rPr>
        <w:drawing>
          <wp:anchor distT="0" distB="0" distL="114300" distR="114300" simplePos="0" relativeHeight="252140032" behindDoc="1" locked="0" layoutInCell="1" allowOverlap="1" wp14:anchorId="6E5D8071" wp14:editId="1415649E">
            <wp:simplePos x="0" y="0"/>
            <wp:positionH relativeFrom="column">
              <wp:posOffset>-381000</wp:posOffset>
            </wp:positionH>
            <wp:positionV relativeFrom="paragraph">
              <wp:posOffset>233045</wp:posOffset>
            </wp:positionV>
            <wp:extent cx="6777355" cy="2496185"/>
            <wp:effectExtent l="0" t="0" r="23495" b="18415"/>
            <wp:wrapTight wrapText="right">
              <wp:wrapPolygon edited="0">
                <wp:start x="0" y="0"/>
                <wp:lineTo x="0" y="21595"/>
                <wp:lineTo x="21614" y="21595"/>
                <wp:lineTo x="21614" y="0"/>
                <wp:lineTo x="0" y="0"/>
              </wp:wrapPolygon>
            </wp:wrapTight>
            <wp:docPr id="497" name="物件 8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page">
              <wp14:pctWidth>0</wp14:pctWidth>
            </wp14:sizeRelH>
            <wp14:sizeRelV relativeFrom="page">
              <wp14:pctHeight>0</wp14:pctHeight>
            </wp14:sizeRelV>
          </wp:anchor>
        </w:drawing>
      </w:r>
    </w:p>
    <w:p w:rsidR="004B772B" w:rsidRPr="003B6B9A" w:rsidRDefault="004B772B" w:rsidP="004B772B">
      <w:pPr>
        <w:autoSpaceDE w:val="0"/>
        <w:autoSpaceDN w:val="0"/>
        <w:adjustRightInd w:val="0"/>
        <w:snapToGrid w:val="0"/>
        <w:spacing w:beforeLines="50" w:before="180" w:line="300" w:lineRule="auto"/>
        <w:jc w:val="center"/>
        <w:rPr>
          <w:rFonts w:eastAsia="標楷體"/>
        </w:rPr>
      </w:pPr>
      <w:r w:rsidRPr="003B6B9A">
        <w:rPr>
          <w:rFonts w:eastAsia="標楷體"/>
          <w:b/>
          <w:bCs/>
          <w:sz w:val="28"/>
        </w:rPr>
        <w:t>表</w:t>
      </w:r>
      <w:r w:rsidRPr="003B6B9A">
        <w:rPr>
          <w:rFonts w:eastAsia="標楷體"/>
          <w:b/>
          <w:bCs/>
          <w:sz w:val="28"/>
        </w:rPr>
        <w:t xml:space="preserve">3-1  </w:t>
      </w:r>
      <w:r w:rsidRPr="003B6B9A">
        <w:rPr>
          <w:rFonts w:eastAsia="標楷體"/>
          <w:b/>
          <w:bCs/>
          <w:sz w:val="28"/>
        </w:rPr>
        <w:t>中國大陸固定資產投資概況</w:t>
      </w:r>
    </w:p>
    <w:p w:rsidR="004B772B" w:rsidRPr="003B6B9A" w:rsidRDefault="004B772B" w:rsidP="004B772B">
      <w:pPr>
        <w:autoSpaceDE w:val="0"/>
        <w:autoSpaceDN w:val="0"/>
        <w:adjustRightInd w:val="0"/>
        <w:snapToGrid w:val="0"/>
        <w:ind w:right="250"/>
        <w:jc w:val="right"/>
        <w:rPr>
          <w:rFonts w:eastAsia="標楷體"/>
          <w:b/>
          <w:bCs/>
          <w:sz w:val="28"/>
        </w:rPr>
      </w:pPr>
      <w:r w:rsidRPr="003B6B9A">
        <w:rPr>
          <w:rFonts w:eastAsia="標楷體"/>
        </w:rPr>
        <w:t>單位：億人民幣；</w:t>
      </w:r>
      <w:r w:rsidRPr="003B6B9A">
        <w:rPr>
          <w:rFonts w:eastAsia="標楷體"/>
        </w:rPr>
        <w:t>%</w:t>
      </w:r>
    </w:p>
    <w:tbl>
      <w:tblPr>
        <w:tblW w:w="7958" w:type="dxa"/>
        <w:jc w:val="center"/>
        <w:tblInd w:w="2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12"/>
        <w:gridCol w:w="1391"/>
        <w:gridCol w:w="1103"/>
        <w:gridCol w:w="1053"/>
        <w:gridCol w:w="922"/>
        <w:gridCol w:w="1037"/>
        <w:gridCol w:w="840"/>
      </w:tblGrid>
      <w:tr w:rsidR="004B772B" w:rsidRPr="003B6B9A" w:rsidTr="001040FB">
        <w:trPr>
          <w:cantSplit/>
          <w:jc w:val="center"/>
        </w:trPr>
        <w:tc>
          <w:tcPr>
            <w:tcW w:w="1612" w:type="dxa"/>
            <w:vMerge w:val="restart"/>
            <w:tcBorders>
              <w:left w:val="nil"/>
              <w:right w:val="single" w:sz="4" w:space="0" w:color="auto"/>
            </w:tcBorders>
            <w:vAlign w:val="center"/>
          </w:tcPr>
          <w:p w:rsidR="004B772B" w:rsidRPr="003B6B9A" w:rsidRDefault="004B772B" w:rsidP="001040FB">
            <w:pPr>
              <w:pStyle w:val="a9"/>
              <w:widowControl/>
              <w:snapToGrid w:val="0"/>
              <w:spacing w:line="440" w:lineRule="exact"/>
              <w:ind w:right="-142"/>
              <w:jc w:val="center"/>
              <w:rPr>
                <w:rFonts w:ascii="Times New Roman" w:eastAsia="標楷體"/>
                <w:szCs w:val="24"/>
              </w:rPr>
            </w:pPr>
            <w:r w:rsidRPr="003B6B9A">
              <w:rPr>
                <w:rFonts w:ascii="Times New Roman" w:eastAsia="標楷體"/>
                <w:szCs w:val="24"/>
              </w:rPr>
              <w:t>年</w:t>
            </w:r>
            <w:r w:rsidRPr="003B6B9A">
              <w:rPr>
                <w:rFonts w:ascii="Times New Roman" w:eastAsia="標楷體"/>
                <w:szCs w:val="24"/>
              </w:rPr>
              <w:t>(</w:t>
            </w:r>
            <w:r w:rsidRPr="003B6B9A">
              <w:rPr>
                <w:rFonts w:ascii="Times New Roman" w:eastAsia="標楷體"/>
                <w:szCs w:val="24"/>
              </w:rPr>
              <w:t>月</w:t>
            </w:r>
            <w:r w:rsidRPr="003B6B9A">
              <w:rPr>
                <w:rFonts w:ascii="Times New Roman" w:eastAsia="標楷體"/>
                <w:szCs w:val="24"/>
              </w:rPr>
              <w:t>)</w:t>
            </w:r>
            <w:r w:rsidRPr="003B6B9A">
              <w:rPr>
                <w:rFonts w:ascii="Times New Roman" w:eastAsia="標楷體"/>
                <w:szCs w:val="24"/>
              </w:rPr>
              <w:t>別</w:t>
            </w:r>
          </w:p>
        </w:tc>
        <w:tc>
          <w:tcPr>
            <w:tcW w:w="6346" w:type="dxa"/>
            <w:gridSpan w:val="6"/>
            <w:tcBorders>
              <w:left w:val="single" w:sz="4" w:space="0" w:color="auto"/>
              <w:right w:val="nil"/>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r w:rsidRPr="003B6B9A">
              <w:rPr>
                <w:rFonts w:ascii="Times New Roman" w:eastAsia="標楷體"/>
                <w:sz w:val="24"/>
                <w:szCs w:val="24"/>
              </w:rPr>
              <w:t>固定資產投資</w:t>
            </w:r>
          </w:p>
        </w:tc>
      </w:tr>
      <w:tr w:rsidR="004B772B" w:rsidRPr="003B6B9A" w:rsidTr="001040FB">
        <w:trPr>
          <w:cantSplit/>
          <w:trHeight w:val="240"/>
          <w:jc w:val="center"/>
        </w:trPr>
        <w:tc>
          <w:tcPr>
            <w:tcW w:w="1612" w:type="dxa"/>
            <w:vMerge/>
            <w:tcBorders>
              <w:left w:val="nil"/>
              <w:right w:val="single" w:sz="4" w:space="0" w:color="auto"/>
            </w:tcBorders>
            <w:vAlign w:val="center"/>
          </w:tcPr>
          <w:p w:rsidR="004B772B" w:rsidRPr="003B6B9A" w:rsidRDefault="004B772B" w:rsidP="001040FB">
            <w:pPr>
              <w:pStyle w:val="a9"/>
              <w:widowControl/>
              <w:snapToGrid w:val="0"/>
              <w:spacing w:line="440" w:lineRule="exact"/>
              <w:ind w:right="-142"/>
              <w:jc w:val="center"/>
              <w:rPr>
                <w:rFonts w:ascii="Times New Roman" w:eastAsia="標楷體"/>
                <w:szCs w:val="24"/>
              </w:rPr>
            </w:pPr>
          </w:p>
        </w:tc>
        <w:tc>
          <w:tcPr>
            <w:tcW w:w="1391" w:type="dxa"/>
            <w:vMerge w:val="restart"/>
            <w:tcBorders>
              <w:left w:val="single" w:sz="4" w:space="0" w:color="auto"/>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r w:rsidRPr="003B6B9A">
              <w:rPr>
                <w:rFonts w:ascii="Times New Roman" w:eastAsia="標楷體"/>
                <w:sz w:val="24"/>
                <w:szCs w:val="24"/>
              </w:rPr>
              <w:t>金額</w:t>
            </w:r>
          </w:p>
        </w:tc>
        <w:tc>
          <w:tcPr>
            <w:tcW w:w="1103" w:type="dxa"/>
            <w:vMerge w:val="restart"/>
            <w:tcBorders>
              <w:left w:val="single" w:sz="4" w:space="0" w:color="auto"/>
              <w:right w:val="double" w:sz="4" w:space="0" w:color="auto"/>
            </w:tcBorders>
            <w:vAlign w:val="center"/>
          </w:tcPr>
          <w:p w:rsidR="004B772B" w:rsidRPr="003B6B9A" w:rsidRDefault="004B772B" w:rsidP="001040FB">
            <w:pPr>
              <w:pStyle w:val="af2"/>
              <w:snapToGrid w:val="0"/>
              <w:spacing w:line="240" w:lineRule="auto"/>
              <w:ind w:left="0" w:firstLine="0"/>
              <w:jc w:val="center"/>
              <w:rPr>
                <w:rFonts w:ascii="Times New Roman" w:eastAsia="標楷體"/>
                <w:sz w:val="24"/>
                <w:szCs w:val="24"/>
              </w:rPr>
            </w:pPr>
            <w:r w:rsidRPr="003B6B9A">
              <w:rPr>
                <w:rFonts w:ascii="Times New Roman" w:eastAsia="標楷體"/>
                <w:sz w:val="24"/>
                <w:szCs w:val="24"/>
              </w:rPr>
              <w:t>年增率</w:t>
            </w:r>
          </w:p>
        </w:tc>
        <w:tc>
          <w:tcPr>
            <w:tcW w:w="1975" w:type="dxa"/>
            <w:gridSpan w:val="2"/>
            <w:tcBorders>
              <w:bottom w:val="single" w:sz="4" w:space="0" w:color="auto"/>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r w:rsidRPr="003B6B9A">
              <w:rPr>
                <w:rFonts w:ascii="Times New Roman" w:eastAsia="標楷體"/>
                <w:sz w:val="24"/>
                <w:szCs w:val="24"/>
              </w:rPr>
              <w:t>中央</w:t>
            </w:r>
          </w:p>
        </w:tc>
        <w:tc>
          <w:tcPr>
            <w:tcW w:w="1877" w:type="dxa"/>
            <w:gridSpan w:val="2"/>
            <w:tcBorders>
              <w:top w:val="single" w:sz="4" w:space="0" w:color="auto"/>
              <w:left w:val="single" w:sz="4" w:space="0" w:color="auto"/>
              <w:right w:val="nil"/>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r w:rsidRPr="003B6B9A">
              <w:rPr>
                <w:rFonts w:ascii="Times New Roman" w:eastAsia="標楷體"/>
                <w:sz w:val="24"/>
                <w:szCs w:val="24"/>
              </w:rPr>
              <w:t>地方</w:t>
            </w:r>
          </w:p>
        </w:tc>
      </w:tr>
      <w:tr w:rsidR="004B772B" w:rsidRPr="003B6B9A" w:rsidTr="001040FB">
        <w:trPr>
          <w:cantSplit/>
          <w:trHeight w:val="240"/>
          <w:jc w:val="center"/>
        </w:trPr>
        <w:tc>
          <w:tcPr>
            <w:tcW w:w="1612" w:type="dxa"/>
            <w:vMerge/>
            <w:tcBorders>
              <w:left w:val="nil"/>
              <w:bottom w:val="single" w:sz="4" w:space="0" w:color="auto"/>
              <w:right w:val="single" w:sz="4" w:space="0" w:color="auto"/>
            </w:tcBorders>
            <w:vAlign w:val="center"/>
          </w:tcPr>
          <w:p w:rsidR="004B772B" w:rsidRPr="003B6B9A" w:rsidRDefault="004B772B" w:rsidP="001040FB">
            <w:pPr>
              <w:pStyle w:val="a9"/>
              <w:widowControl/>
              <w:snapToGrid w:val="0"/>
              <w:spacing w:line="440" w:lineRule="exact"/>
              <w:ind w:right="-142"/>
              <w:jc w:val="center"/>
              <w:rPr>
                <w:rFonts w:ascii="Times New Roman" w:eastAsia="標楷體"/>
                <w:szCs w:val="24"/>
              </w:rPr>
            </w:pPr>
          </w:p>
        </w:tc>
        <w:tc>
          <w:tcPr>
            <w:tcW w:w="1391" w:type="dxa"/>
            <w:vMerge/>
            <w:tcBorders>
              <w:left w:val="single" w:sz="4" w:space="0" w:color="auto"/>
              <w:bottom w:val="single" w:sz="4" w:space="0" w:color="auto"/>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p>
        </w:tc>
        <w:tc>
          <w:tcPr>
            <w:tcW w:w="1103" w:type="dxa"/>
            <w:vMerge/>
            <w:tcBorders>
              <w:left w:val="single" w:sz="4" w:space="0" w:color="auto"/>
              <w:bottom w:val="single" w:sz="4" w:space="0" w:color="auto"/>
              <w:right w:val="doub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p>
        </w:tc>
        <w:tc>
          <w:tcPr>
            <w:tcW w:w="1053" w:type="dxa"/>
            <w:tcBorders>
              <w:bottom w:val="single" w:sz="4" w:space="0" w:color="auto"/>
              <w:right w:val="single" w:sz="4" w:space="0" w:color="auto"/>
            </w:tcBorders>
            <w:vAlign w:val="center"/>
          </w:tcPr>
          <w:p w:rsidR="004B772B" w:rsidRPr="003B6B9A" w:rsidRDefault="004B772B" w:rsidP="001040FB">
            <w:pPr>
              <w:pStyle w:val="af2"/>
              <w:snapToGrid w:val="0"/>
              <w:spacing w:line="240" w:lineRule="auto"/>
              <w:ind w:left="0" w:firstLine="0"/>
              <w:jc w:val="center"/>
              <w:rPr>
                <w:rFonts w:ascii="Times New Roman" w:eastAsia="標楷體"/>
                <w:sz w:val="24"/>
                <w:szCs w:val="24"/>
              </w:rPr>
            </w:pPr>
            <w:r w:rsidRPr="003B6B9A">
              <w:rPr>
                <w:rFonts w:ascii="Times New Roman" w:eastAsia="標楷體"/>
                <w:sz w:val="24"/>
                <w:szCs w:val="24"/>
              </w:rPr>
              <w:t>金額</w:t>
            </w:r>
          </w:p>
        </w:tc>
        <w:tc>
          <w:tcPr>
            <w:tcW w:w="922" w:type="dxa"/>
            <w:tcBorders>
              <w:bottom w:val="single" w:sz="4" w:space="0" w:color="auto"/>
              <w:right w:val="single" w:sz="4" w:space="0" w:color="auto"/>
            </w:tcBorders>
            <w:vAlign w:val="center"/>
          </w:tcPr>
          <w:p w:rsidR="004B772B" w:rsidRPr="003B6B9A" w:rsidRDefault="004B772B" w:rsidP="001040FB">
            <w:pPr>
              <w:pStyle w:val="af2"/>
              <w:snapToGrid w:val="0"/>
              <w:spacing w:line="240" w:lineRule="auto"/>
              <w:ind w:left="0" w:firstLine="0"/>
              <w:jc w:val="center"/>
              <w:rPr>
                <w:rFonts w:ascii="Times New Roman" w:eastAsia="標楷體"/>
                <w:sz w:val="24"/>
                <w:szCs w:val="24"/>
              </w:rPr>
            </w:pPr>
            <w:r w:rsidRPr="003B6B9A">
              <w:rPr>
                <w:rFonts w:ascii="Times New Roman" w:eastAsia="標楷體"/>
                <w:sz w:val="24"/>
                <w:szCs w:val="24"/>
              </w:rPr>
              <w:t>年增率</w:t>
            </w:r>
          </w:p>
        </w:tc>
        <w:tc>
          <w:tcPr>
            <w:tcW w:w="1037" w:type="dxa"/>
            <w:tcBorders>
              <w:left w:val="single" w:sz="4" w:space="0" w:color="auto"/>
              <w:bottom w:val="single" w:sz="4" w:space="0" w:color="auto"/>
              <w:right w:val="single" w:sz="4" w:space="0" w:color="auto"/>
            </w:tcBorders>
            <w:vAlign w:val="center"/>
          </w:tcPr>
          <w:p w:rsidR="004B772B" w:rsidRPr="003B6B9A" w:rsidRDefault="004B772B" w:rsidP="001040FB">
            <w:pPr>
              <w:pStyle w:val="af2"/>
              <w:snapToGrid w:val="0"/>
              <w:spacing w:line="240" w:lineRule="auto"/>
              <w:ind w:left="0" w:firstLine="0"/>
              <w:jc w:val="center"/>
              <w:rPr>
                <w:rFonts w:ascii="Times New Roman" w:eastAsia="標楷體"/>
                <w:sz w:val="24"/>
                <w:szCs w:val="24"/>
              </w:rPr>
            </w:pPr>
            <w:r w:rsidRPr="003B6B9A">
              <w:rPr>
                <w:rFonts w:ascii="Times New Roman" w:eastAsia="標楷體"/>
                <w:sz w:val="24"/>
                <w:szCs w:val="24"/>
              </w:rPr>
              <w:t>金額</w:t>
            </w:r>
          </w:p>
        </w:tc>
        <w:tc>
          <w:tcPr>
            <w:tcW w:w="840" w:type="dxa"/>
            <w:tcBorders>
              <w:left w:val="single" w:sz="4" w:space="0" w:color="auto"/>
              <w:bottom w:val="single" w:sz="4" w:space="0" w:color="auto"/>
              <w:right w:val="nil"/>
            </w:tcBorders>
            <w:vAlign w:val="center"/>
          </w:tcPr>
          <w:p w:rsidR="004B772B" w:rsidRPr="003B6B9A" w:rsidRDefault="004B772B" w:rsidP="001040FB">
            <w:pPr>
              <w:pStyle w:val="af2"/>
              <w:snapToGrid w:val="0"/>
              <w:spacing w:line="240" w:lineRule="auto"/>
              <w:ind w:left="0" w:firstLine="0"/>
              <w:jc w:val="center"/>
              <w:rPr>
                <w:rFonts w:ascii="Times New Roman" w:eastAsia="標楷體"/>
                <w:b/>
                <w:w w:val="90"/>
                <w:kern w:val="0"/>
                <w:sz w:val="24"/>
                <w:szCs w:val="24"/>
              </w:rPr>
            </w:pPr>
            <w:r w:rsidRPr="003B6B9A">
              <w:rPr>
                <w:rFonts w:ascii="Times New Roman" w:eastAsia="標楷體"/>
                <w:sz w:val="24"/>
                <w:szCs w:val="24"/>
              </w:rPr>
              <w:t>年增率</w:t>
            </w:r>
          </w:p>
        </w:tc>
      </w:tr>
      <w:tr w:rsidR="004B772B" w:rsidRPr="003B6B9A" w:rsidTr="001040FB">
        <w:trPr>
          <w:cantSplit/>
          <w:trHeight w:val="360"/>
          <w:jc w:val="center"/>
        </w:trPr>
        <w:tc>
          <w:tcPr>
            <w:tcW w:w="1612" w:type="dxa"/>
            <w:tcBorders>
              <w:top w:val="nil"/>
              <w:left w:val="nil"/>
              <w:bottom w:val="nil"/>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kern w:val="0"/>
                <w:sz w:val="24"/>
                <w:szCs w:val="24"/>
              </w:rPr>
            </w:pPr>
            <w:r w:rsidRPr="003B6B9A">
              <w:rPr>
                <w:rFonts w:ascii="Times New Roman" w:eastAsia="標楷體"/>
                <w:kern w:val="0"/>
                <w:sz w:val="24"/>
                <w:szCs w:val="24"/>
              </w:rPr>
              <w:t>2007</w:t>
            </w:r>
            <w:r w:rsidRPr="003B6B9A">
              <w:rPr>
                <w:rFonts w:ascii="Times New Roman" w:eastAsia="標楷體"/>
                <w:kern w:val="0"/>
                <w:sz w:val="24"/>
                <w:szCs w:val="24"/>
              </w:rPr>
              <w:t>年</w:t>
            </w:r>
          </w:p>
        </w:tc>
        <w:tc>
          <w:tcPr>
            <w:tcW w:w="1391" w:type="dxa"/>
            <w:tcBorders>
              <w:top w:val="nil"/>
              <w:left w:val="single" w:sz="4" w:space="0" w:color="auto"/>
              <w:bottom w:val="nil"/>
              <w:right w:val="single" w:sz="4" w:space="0" w:color="auto"/>
            </w:tcBorders>
            <w:vAlign w:val="center"/>
          </w:tcPr>
          <w:p w:rsidR="004B772B" w:rsidRPr="003B6B9A" w:rsidRDefault="004B772B" w:rsidP="001040FB">
            <w:pPr>
              <w:ind w:right="-142"/>
              <w:jc w:val="center"/>
              <w:rPr>
                <w:rFonts w:eastAsia="華康楷書體W5"/>
              </w:rPr>
            </w:pPr>
            <w:r w:rsidRPr="003B6B9A">
              <w:rPr>
                <w:rFonts w:eastAsia="華康楷書體W5"/>
              </w:rPr>
              <w:t>137,239</w:t>
            </w:r>
          </w:p>
        </w:tc>
        <w:tc>
          <w:tcPr>
            <w:tcW w:w="1103" w:type="dxa"/>
            <w:tcBorders>
              <w:top w:val="nil"/>
              <w:left w:val="single" w:sz="4" w:space="0" w:color="auto"/>
              <w:bottom w:val="nil"/>
              <w:right w:val="double" w:sz="4" w:space="0" w:color="auto"/>
            </w:tcBorders>
            <w:vAlign w:val="center"/>
          </w:tcPr>
          <w:p w:rsidR="004B772B" w:rsidRPr="003B6B9A" w:rsidRDefault="004B772B" w:rsidP="001040FB">
            <w:pPr>
              <w:ind w:right="-142"/>
              <w:jc w:val="center"/>
              <w:rPr>
                <w:rFonts w:eastAsia="華康楷書體W5"/>
              </w:rPr>
            </w:pPr>
            <w:r w:rsidRPr="003B6B9A">
              <w:rPr>
                <w:rFonts w:eastAsia="華康楷書體W5"/>
              </w:rPr>
              <w:t>24.8</w:t>
            </w:r>
          </w:p>
        </w:tc>
        <w:tc>
          <w:tcPr>
            <w:tcW w:w="1053" w:type="dxa"/>
            <w:tcBorders>
              <w:top w:val="nil"/>
              <w:bottom w:val="nil"/>
              <w:right w:val="single" w:sz="4" w:space="0" w:color="auto"/>
            </w:tcBorders>
            <w:vAlign w:val="center"/>
          </w:tcPr>
          <w:p w:rsidR="004B772B" w:rsidRPr="003B6B9A" w:rsidRDefault="004B772B" w:rsidP="001040FB">
            <w:pPr>
              <w:ind w:leftChars="38" w:left="91" w:rightChars="25" w:right="60"/>
              <w:jc w:val="right"/>
              <w:rPr>
                <w:rFonts w:eastAsia="華康楷書體W5"/>
              </w:rPr>
            </w:pPr>
            <w:r w:rsidRPr="003B6B9A">
              <w:rPr>
                <w:rFonts w:eastAsia="華康楷書體W5"/>
              </w:rPr>
              <w:t>12,708</w:t>
            </w:r>
          </w:p>
        </w:tc>
        <w:tc>
          <w:tcPr>
            <w:tcW w:w="922" w:type="dxa"/>
            <w:tcBorders>
              <w:top w:val="nil"/>
              <w:bottom w:val="nil"/>
              <w:right w:val="single" w:sz="4" w:space="0" w:color="auto"/>
            </w:tcBorders>
            <w:vAlign w:val="center"/>
          </w:tcPr>
          <w:p w:rsidR="004B772B" w:rsidRPr="003B6B9A" w:rsidRDefault="004B772B" w:rsidP="001040FB">
            <w:pPr>
              <w:ind w:right="-142"/>
              <w:jc w:val="center"/>
              <w:rPr>
                <w:rFonts w:eastAsia="標楷體"/>
              </w:rPr>
            </w:pPr>
            <w:r w:rsidRPr="003B6B9A">
              <w:rPr>
                <w:rFonts w:eastAsia="標楷體"/>
              </w:rPr>
              <w:t>19.5</w:t>
            </w:r>
          </w:p>
        </w:tc>
        <w:tc>
          <w:tcPr>
            <w:tcW w:w="1037" w:type="dxa"/>
            <w:tcBorders>
              <w:top w:val="nil"/>
              <w:left w:val="single" w:sz="4" w:space="0" w:color="auto"/>
              <w:bottom w:val="nil"/>
              <w:right w:val="sing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Chars="25" w:right="60"/>
              <w:jc w:val="right"/>
              <w:textAlignment w:val="auto"/>
              <w:rPr>
                <w:rFonts w:eastAsia="標楷體"/>
                <w:spacing w:val="0"/>
                <w:szCs w:val="24"/>
              </w:rPr>
            </w:pPr>
            <w:r w:rsidRPr="003B6B9A">
              <w:rPr>
                <w:rFonts w:eastAsia="標楷體"/>
                <w:spacing w:val="0"/>
                <w:szCs w:val="24"/>
              </w:rPr>
              <w:t>104,706</w:t>
            </w:r>
          </w:p>
        </w:tc>
        <w:tc>
          <w:tcPr>
            <w:tcW w:w="840" w:type="dxa"/>
            <w:tcBorders>
              <w:top w:val="nil"/>
              <w:left w:val="single" w:sz="4" w:space="0" w:color="auto"/>
              <w:bottom w:val="nil"/>
              <w:right w:val="nil"/>
            </w:tcBorders>
            <w:vAlign w:val="center"/>
          </w:tcPr>
          <w:p w:rsidR="004B772B" w:rsidRPr="003B6B9A" w:rsidRDefault="004B772B" w:rsidP="001040FB">
            <w:pPr>
              <w:ind w:right="-142"/>
              <w:jc w:val="center"/>
              <w:rPr>
                <w:rFonts w:eastAsia="標楷體"/>
              </w:rPr>
            </w:pPr>
            <w:r w:rsidRPr="003B6B9A">
              <w:rPr>
                <w:rFonts w:eastAsia="標楷體"/>
              </w:rPr>
              <w:t>26.6</w:t>
            </w:r>
          </w:p>
        </w:tc>
      </w:tr>
      <w:tr w:rsidR="004B772B" w:rsidRPr="003B6B9A" w:rsidTr="001040FB">
        <w:trPr>
          <w:cantSplit/>
          <w:trHeight w:val="360"/>
          <w:jc w:val="center"/>
        </w:trPr>
        <w:tc>
          <w:tcPr>
            <w:tcW w:w="1612" w:type="dxa"/>
            <w:tcBorders>
              <w:top w:val="nil"/>
              <w:left w:val="nil"/>
              <w:bottom w:val="nil"/>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kern w:val="0"/>
                <w:sz w:val="24"/>
                <w:szCs w:val="24"/>
              </w:rPr>
            </w:pPr>
            <w:r w:rsidRPr="003B6B9A">
              <w:rPr>
                <w:rFonts w:ascii="Times New Roman" w:eastAsia="標楷體"/>
                <w:kern w:val="0"/>
                <w:sz w:val="24"/>
                <w:szCs w:val="24"/>
              </w:rPr>
              <w:t>2008</w:t>
            </w:r>
            <w:r w:rsidRPr="003B6B9A">
              <w:rPr>
                <w:rFonts w:ascii="Times New Roman" w:eastAsia="標楷體"/>
                <w:kern w:val="0"/>
                <w:sz w:val="24"/>
                <w:szCs w:val="24"/>
              </w:rPr>
              <w:t>年</w:t>
            </w:r>
          </w:p>
        </w:tc>
        <w:tc>
          <w:tcPr>
            <w:tcW w:w="1391" w:type="dxa"/>
            <w:tcBorders>
              <w:top w:val="nil"/>
              <w:left w:val="single" w:sz="4" w:space="0" w:color="auto"/>
              <w:bottom w:val="nil"/>
              <w:right w:val="sing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B6B9A">
              <w:rPr>
                <w:rFonts w:eastAsia="新細明體"/>
                <w:spacing w:val="0"/>
                <w:szCs w:val="24"/>
              </w:rPr>
              <w:t>172,291</w:t>
            </w:r>
          </w:p>
        </w:tc>
        <w:tc>
          <w:tcPr>
            <w:tcW w:w="1103" w:type="dxa"/>
            <w:tcBorders>
              <w:top w:val="nil"/>
              <w:left w:val="single" w:sz="4" w:space="0" w:color="auto"/>
              <w:bottom w:val="nil"/>
              <w:right w:val="doub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華康楷書體W5"/>
                <w:spacing w:val="0"/>
                <w:szCs w:val="24"/>
              </w:rPr>
            </w:pPr>
            <w:r w:rsidRPr="003B6B9A">
              <w:rPr>
                <w:rFonts w:eastAsia="新細明體"/>
                <w:spacing w:val="0"/>
                <w:szCs w:val="24"/>
              </w:rPr>
              <w:t>25.5</w:t>
            </w:r>
          </w:p>
        </w:tc>
        <w:tc>
          <w:tcPr>
            <w:tcW w:w="1053" w:type="dxa"/>
            <w:tcBorders>
              <w:top w:val="nil"/>
              <w:bottom w:val="nil"/>
              <w:right w:val="single" w:sz="4" w:space="0" w:color="auto"/>
            </w:tcBorders>
            <w:vAlign w:val="center"/>
          </w:tcPr>
          <w:p w:rsidR="004B772B" w:rsidRPr="003B6B9A" w:rsidRDefault="004B772B" w:rsidP="001040FB">
            <w:pPr>
              <w:ind w:leftChars="38" w:left="91" w:rightChars="25" w:right="60"/>
              <w:jc w:val="right"/>
              <w:rPr>
                <w:rFonts w:eastAsia="華康楷書體W5"/>
              </w:rPr>
            </w:pPr>
            <w:r w:rsidRPr="003B6B9A">
              <w:rPr>
                <w:rFonts w:eastAsia="華康楷書體W5"/>
              </w:rPr>
              <w:t>16,641</w:t>
            </w:r>
          </w:p>
        </w:tc>
        <w:tc>
          <w:tcPr>
            <w:tcW w:w="922" w:type="dxa"/>
            <w:tcBorders>
              <w:top w:val="nil"/>
              <w:bottom w:val="nil"/>
              <w:right w:val="single" w:sz="4" w:space="0" w:color="auto"/>
            </w:tcBorders>
            <w:vAlign w:val="center"/>
          </w:tcPr>
          <w:p w:rsidR="004B772B" w:rsidRPr="003B6B9A" w:rsidRDefault="004B772B" w:rsidP="001040FB">
            <w:pPr>
              <w:ind w:right="-142"/>
              <w:jc w:val="center"/>
              <w:rPr>
                <w:rFonts w:eastAsia="華康楷書體W5"/>
              </w:rPr>
            </w:pPr>
            <w:r w:rsidRPr="003B6B9A">
              <w:t>29.6</w:t>
            </w:r>
          </w:p>
        </w:tc>
        <w:tc>
          <w:tcPr>
            <w:tcW w:w="1037" w:type="dxa"/>
            <w:tcBorders>
              <w:top w:val="nil"/>
              <w:left w:val="single" w:sz="4" w:space="0" w:color="auto"/>
              <w:bottom w:val="nil"/>
              <w:right w:val="single" w:sz="4" w:space="0" w:color="auto"/>
            </w:tcBorders>
            <w:vAlign w:val="center"/>
          </w:tcPr>
          <w:p w:rsidR="004B772B" w:rsidRPr="003B6B9A" w:rsidRDefault="004B772B" w:rsidP="001040FB">
            <w:pPr>
              <w:ind w:rightChars="25" w:right="60"/>
              <w:jc w:val="right"/>
              <w:rPr>
                <w:rFonts w:eastAsia="華康楷書體W5"/>
              </w:rPr>
            </w:pPr>
            <w:r w:rsidRPr="003B6B9A">
              <w:t>131,526</w:t>
            </w:r>
          </w:p>
        </w:tc>
        <w:tc>
          <w:tcPr>
            <w:tcW w:w="840" w:type="dxa"/>
            <w:tcBorders>
              <w:top w:val="nil"/>
              <w:left w:val="single" w:sz="4" w:space="0" w:color="auto"/>
              <w:bottom w:val="nil"/>
              <w:right w:val="nil"/>
            </w:tcBorders>
            <w:vAlign w:val="center"/>
          </w:tcPr>
          <w:p w:rsidR="004B772B" w:rsidRPr="003B6B9A" w:rsidRDefault="004B772B" w:rsidP="001040FB">
            <w:pPr>
              <w:ind w:right="-142"/>
              <w:jc w:val="center"/>
              <w:rPr>
                <w:rFonts w:eastAsia="華康楷書體W5"/>
              </w:rPr>
            </w:pPr>
            <w:r w:rsidRPr="003B6B9A">
              <w:rPr>
                <w:rFonts w:eastAsia="華康楷書體W5"/>
              </w:rPr>
              <w:t>25.7</w:t>
            </w:r>
          </w:p>
        </w:tc>
      </w:tr>
      <w:tr w:rsidR="004B772B" w:rsidRPr="003B6B9A" w:rsidTr="001040FB">
        <w:trPr>
          <w:cantSplit/>
          <w:trHeight w:val="360"/>
          <w:jc w:val="center"/>
        </w:trPr>
        <w:tc>
          <w:tcPr>
            <w:tcW w:w="1612" w:type="dxa"/>
            <w:tcBorders>
              <w:top w:val="nil"/>
              <w:left w:val="nil"/>
              <w:bottom w:val="nil"/>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kern w:val="0"/>
                <w:sz w:val="24"/>
                <w:szCs w:val="24"/>
              </w:rPr>
            </w:pPr>
            <w:r w:rsidRPr="003B6B9A">
              <w:rPr>
                <w:rFonts w:ascii="Times New Roman" w:eastAsia="標楷體"/>
                <w:kern w:val="0"/>
                <w:sz w:val="24"/>
                <w:szCs w:val="24"/>
              </w:rPr>
              <w:t>2009</w:t>
            </w:r>
            <w:r w:rsidRPr="003B6B9A">
              <w:rPr>
                <w:rFonts w:ascii="Times New Roman" w:eastAsia="標楷體"/>
                <w:kern w:val="0"/>
                <w:sz w:val="24"/>
                <w:szCs w:val="24"/>
              </w:rPr>
              <w:t>年</w:t>
            </w:r>
          </w:p>
        </w:tc>
        <w:tc>
          <w:tcPr>
            <w:tcW w:w="1391" w:type="dxa"/>
            <w:tcBorders>
              <w:top w:val="nil"/>
              <w:left w:val="single" w:sz="4" w:space="0" w:color="auto"/>
              <w:bottom w:val="nil"/>
              <w:right w:val="sing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B6B9A">
              <w:rPr>
                <w:rFonts w:eastAsia="新細明體"/>
                <w:spacing w:val="0"/>
                <w:szCs w:val="24"/>
              </w:rPr>
              <w:t>224,846</w:t>
            </w:r>
          </w:p>
        </w:tc>
        <w:tc>
          <w:tcPr>
            <w:tcW w:w="1103" w:type="dxa"/>
            <w:tcBorders>
              <w:top w:val="nil"/>
              <w:left w:val="single" w:sz="4" w:space="0" w:color="auto"/>
              <w:bottom w:val="nil"/>
              <w:right w:val="doub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B6B9A">
              <w:rPr>
                <w:rFonts w:eastAsia="新細明體"/>
                <w:spacing w:val="0"/>
                <w:szCs w:val="24"/>
              </w:rPr>
              <w:t>30.1</w:t>
            </w:r>
          </w:p>
        </w:tc>
        <w:tc>
          <w:tcPr>
            <w:tcW w:w="1053" w:type="dxa"/>
            <w:tcBorders>
              <w:top w:val="nil"/>
              <w:bottom w:val="nil"/>
              <w:right w:val="single" w:sz="4" w:space="0" w:color="auto"/>
            </w:tcBorders>
            <w:vAlign w:val="center"/>
          </w:tcPr>
          <w:p w:rsidR="004B772B" w:rsidRPr="003B6B9A" w:rsidRDefault="004B772B" w:rsidP="001040FB">
            <w:pPr>
              <w:ind w:leftChars="38" w:left="91" w:rightChars="25" w:right="60"/>
              <w:jc w:val="right"/>
              <w:rPr>
                <w:rFonts w:eastAsia="華康楷書體W5"/>
              </w:rPr>
            </w:pPr>
            <w:r w:rsidRPr="003B6B9A">
              <w:rPr>
                <w:rFonts w:eastAsia="華康楷書體W5"/>
              </w:rPr>
              <w:t>19,651</w:t>
            </w:r>
          </w:p>
        </w:tc>
        <w:tc>
          <w:tcPr>
            <w:tcW w:w="922" w:type="dxa"/>
            <w:tcBorders>
              <w:top w:val="nil"/>
              <w:bottom w:val="nil"/>
              <w:right w:val="single" w:sz="4" w:space="0" w:color="auto"/>
            </w:tcBorders>
            <w:vAlign w:val="center"/>
          </w:tcPr>
          <w:p w:rsidR="004B772B" w:rsidRPr="003B6B9A" w:rsidRDefault="004B772B" w:rsidP="001040FB">
            <w:pPr>
              <w:ind w:right="-142"/>
              <w:jc w:val="center"/>
              <w:rPr>
                <w:rFonts w:eastAsia="華康楷書體W5"/>
              </w:rPr>
            </w:pPr>
            <w:r w:rsidRPr="003B6B9A">
              <w:rPr>
                <w:rFonts w:eastAsia="華康楷書體W5"/>
              </w:rPr>
              <w:t>18.4</w:t>
            </w:r>
          </w:p>
        </w:tc>
        <w:tc>
          <w:tcPr>
            <w:tcW w:w="1037" w:type="dxa"/>
            <w:tcBorders>
              <w:top w:val="nil"/>
              <w:left w:val="single" w:sz="4" w:space="0" w:color="auto"/>
              <w:bottom w:val="nil"/>
              <w:right w:val="single" w:sz="4" w:space="0" w:color="auto"/>
            </w:tcBorders>
            <w:vAlign w:val="center"/>
          </w:tcPr>
          <w:p w:rsidR="004B772B" w:rsidRPr="003B6B9A" w:rsidRDefault="004B772B" w:rsidP="001040FB">
            <w:pPr>
              <w:ind w:rightChars="25" w:right="60"/>
              <w:jc w:val="right"/>
              <w:rPr>
                <w:rFonts w:eastAsia="華康楷書體W5"/>
              </w:rPr>
            </w:pPr>
            <w:r w:rsidRPr="003B6B9A">
              <w:rPr>
                <w:rFonts w:eastAsia="華康楷書體W5"/>
              </w:rPr>
              <w:t>174,488</w:t>
            </w:r>
          </w:p>
        </w:tc>
        <w:tc>
          <w:tcPr>
            <w:tcW w:w="840" w:type="dxa"/>
            <w:tcBorders>
              <w:top w:val="nil"/>
              <w:left w:val="single" w:sz="4" w:space="0" w:color="auto"/>
              <w:bottom w:val="nil"/>
              <w:right w:val="nil"/>
            </w:tcBorders>
            <w:vAlign w:val="center"/>
          </w:tcPr>
          <w:p w:rsidR="004B772B" w:rsidRPr="003B6B9A" w:rsidRDefault="004B772B" w:rsidP="001040FB">
            <w:pPr>
              <w:ind w:right="-142"/>
              <w:jc w:val="center"/>
              <w:rPr>
                <w:rFonts w:eastAsia="華康楷書體W5"/>
              </w:rPr>
            </w:pPr>
            <w:r w:rsidRPr="003B6B9A">
              <w:rPr>
                <w:rFonts w:eastAsia="華康楷書體W5"/>
              </w:rPr>
              <w:t>32.0</w:t>
            </w:r>
          </w:p>
        </w:tc>
      </w:tr>
      <w:tr w:rsidR="004B772B" w:rsidRPr="003B6B9A" w:rsidTr="001040FB">
        <w:trPr>
          <w:cantSplit/>
          <w:trHeight w:val="360"/>
          <w:jc w:val="center"/>
        </w:trPr>
        <w:tc>
          <w:tcPr>
            <w:tcW w:w="1612" w:type="dxa"/>
            <w:tcBorders>
              <w:top w:val="nil"/>
              <w:left w:val="nil"/>
              <w:bottom w:val="nil"/>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kern w:val="0"/>
                <w:sz w:val="24"/>
                <w:szCs w:val="24"/>
              </w:rPr>
            </w:pPr>
            <w:r w:rsidRPr="003B6B9A">
              <w:rPr>
                <w:rFonts w:ascii="Times New Roman" w:eastAsia="標楷體"/>
                <w:kern w:val="0"/>
                <w:sz w:val="24"/>
                <w:szCs w:val="24"/>
              </w:rPr>
              <w:t>2010</w:t>
            </w:r>
            <w:r w:rsidRPr="003B6B9A">
              <w:rPr>
                <w:rFonts w:ascii="Times New Roman" w:eastAsia="標楷體"/>
                <w:kern w:val="0"/>
                <w:sz w:val="24"/>
                <w:szCs w:val="24"/>
              </w:rPr>
              <w:t>年</w:t>
            </w:r>
          </w:p>
        </w:tc>
        <w:tc>
          <w:tcPr>
            <w:tcW w:w="1391" w:type="dxa"/>
            <w:tcBorders>
              <w:top w:val="nil"/>
              <w:left w:val="single" w:sz="4" w:space="0" w:color="auto"/>
              <w:bottom w:val="nil"/>
              <w:right w:val="sing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B6B9A">
              <w:rPr>
                <w:rFonts w:eastAsia="新細明體"/>
                <w:spacing w:val="0"/>
                <w:szCs w:val="24"/>
              </w:rPr>
              <w:t>278,140</w:t>
            </w:r>
          </w:p>
        </w:tc>
        <w:tc>
          <w:tcPr>
            <w:tcW w:w="1103" w:type="dxa"/>
            <w:tcBorders>
              <w:top w:val="nil"/>
              <w:left w:val="single" w:sz="4" w:space="0" w:color="auto"/>
              <w:bottom w:val="nil"/>
              <w:right w:val="doub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B6B9A">
              <w:rPr>
                <w:rFonts w:eastAsia="新細明體"/>
                <w:spacing w:val="0"/>
                <w:szCs w:val="24"/>
              </w:rPr>
              <w:t>23.8</w:t>
            </w:r>
          </w:p>
        </w:tc>
        <w:tc>
          <w:tcPr>
            <w:tcW w:w="1053" w:type="dxa"/>
            <w:tcBorders>
              <w:top w:val="nil"/>
              <w:bottom w:val="nil"/>
              <w:right w:val="single" w:sz="4" w:space="0" w:color="auto"/>
            </w:tcBorders>
            <w:vAlign w:val="center"/>
          </w:tcPr>
          <w:p w:rsidR="004B772B" w:rsidRPr="003B6B9A" w:rsidRDefault="004B772B" w:rsidP="001040FB">
            <w:pPr>
              <w:ind w:leftChars="38" w:left="91" w:rightChars="25" w:right="60"/>
              <w:jc w:val="right"/>
              <w:rPr>
                <w:rFonts w:eastAsia="華康楷書體W5"/>
              </w:rPr>
            </w:pPr>
            <w:r w:rsidRPr="003B6B9A">
              <w:rPr>
                <w:rFonts w:eastAsia="華康楷書體W5"/>
              </w:rPr>
              <w:t>21,837</w:t>
            </w:r>
          </w:p>
        </w:tc>
        <w:tc>
          <w:tcPr>
            <w:tcW w:w="922" w:type="dxa"/>
            <w:tcBorders>
              <w:top w:val="nil"/>
              <w:bottom w:val="nil"/>
              <w:right w:val="single" w:sz="4" w:space="0" w:color="auto"/>
            </w:tcBorders>
            <w:vAlign w:val="center"/>
          </w:tcPr>
          <w:p w:rsidR="004B772B" w:rsidRPr="003B6B9A" w:rsidRDefault="004B772B" w:rsidP="001040FB">
            <w:pPr>
              <w:ind w:right="-142"/>
              <w:jc w:val="center"/>
              <w:rPr>
                <w:rFonts w:eastAsia="華康楷書體W5"/>
              </w:rPr>
            </w:pPr>
            <w:r w:rsidRPr="003B6B9A">
              <w:rPr>
                <w:rFonts w:eastAsia="華康楷書體W5"/>
              </w:rPr>
              <w:t>8.9</w:t>
            </w:r>
          </w:p>
        </w:tc>
        <w:tc>
          <w:tcPr>
            <w:tcW w:w="1037" w:type="dxa"/>
            <w:tcBorders>
              <w:top w:val="nil"/>
              <w:left w:val="single" w:sz="4" w:space="0" w:color="auto"/>
              <w:bottom w:val="nil"/>
              <w:right w:val="single" w:sz="4" w:space="0" w:color="auto"/>
            </w:tcBorders>
            <w:vAlign w:val="center"/>
          </w:tcPr>
          <w:p w:rsidR="004B772B" w:rsidRPr="003B6B9A" w:rsidRDefault="004B772B" w:rsidP="001040FB">
            <w:pPr>
              <w:ind w:rightChars="25" w:right="60"/>
              <w:jc w:val="right"/>
              <w:rPr>
                <w:rFonts w:eastAsia="華康楷書體W5"/>
              </w:rPr>
            </w:pPr>
            <w:r w:rsidRPr="003B6B9A">
              <w:rPr>
                <w:rFonts w:eastAsia="華康楷書體W5"/>
              </w:rPr>
              <w:t>219,578</w:t>
            </w:r>
          </w:p>
        </w:tc>
        <w:tc>
          <w:tcPr>
            <w:tcW w:w="840" w:type="dxa"/>
            <w:tcBorders>
              <w:top w:val="nil"/>
              <w:left w:val="single" w:sz="4" w:space="0" w:color="auto"/>
              <w:bottom w:val="nil"/>
              <w:right w:val="nil"/>
            </w:tcBorders>
            <w:vAlign w:val="center"/>
          </w:tcPr>
          <w:p w:rsidR="004B772B" w:rsidRPr="003B6B9A" w:rsidRDefault="004B772B" w:rsidP="001040FB">
            <w:pPr>
              <w:ind w:right="-142"/>
              <w:jc w:val="center"/>
              <w:rPr>
                <w:rFonts w:eastAsia="華康楷書體W5"/>
              </w:rPr>
            </w:pPr>
            <w:r w:rsidRPr="003B6B9A">
              <w:rPr>
                <w:rFonts w:eastAsia="華康楷書體W5"/>
              </w:rPr>
              <w:t>26.3</w:t>
            </w:r>
          </w:p>
        </w:tc>
      </w:tr>
      <w:tr w:rsidR="004B772B" w:rsidRPr="003B6B9A" w:rsidTr="001040FB">
        <w:trPr>
          <w:cantSplit/>
          <w:trHeight w:val="360"/>
          <w:jc w:val="center"/>
        </w:trPr>
        <w:tc>
          <w:tcPr>
            <w:tcW w:w="1612" w:type="dxa"/>
            <w:tcBorders>
              <w:top w:val="nil"/>
              <w:left w:val="nil"/>
              <w:bottom w:val="nil"/>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kern w:val="0"/>
                <w:sz w:val="24"/>
                <w:szCs w:val="24"/>
              </w:rPr>
            </w:pPr>
            <w:r w:rsidRPr="003B6B9A">
              <w:rPr>
                <w:rFonts w:ascii="Times New Roman" w:eastAsia="標楷體"/>
                <w:kern w:val="0"/>
                <w:sz w:val="24"/>
                <w:szCs w:val="24"/>
              </w:rPr>
              <w:t>2011</w:t>
            </w:r>
            <w:r w:rsidRPr="003B6B9A">
              <w:rPr>
                <w:rFonts w:ascii="Times New Roman" w:eastAsia="標楷體"/>
                <w:kern w:val="0"/>
                <w:sz w:val="24"/>
                <w:szCs w:val="24"/>
              </w:rPr>
              <w:t>年</w:t>
            </w:r>
          </w:p>
        </w:tc>
        <w:tc>
          <w:tcPr>
            <w:tcW w:w="1391" w:type="dxa"/>
            <w:tcBorders>
              <w:top w:val="nil"/>
              <w:left w:val="single" w:sz="4" w:space="0" w:color="auto"/>
              <w:bottom w:val="nil"/>
              <w:right w:val="sing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B6B9A">
              <w:rPr>
                <w:rFonts w:eastAsia="新細明體"/>
                <w:spacing w:val="0"/>
                <w:szCs w:val="24"/>
              </w:rPr>
              <w:t>301,933</w:t>
            </w:r>
          </w:p>
        </w:tc>
        <w:tc>
          <w:tcPr>
            <w:tcW w:w="1103" w:type="dxa"/>
            <w:tcBorders>
              <w:top w:val="nil"/>
              <w:left w:val="single" w:sz="4" w:space="0" w:color="auto"/>
              <w:bottom w:val="nil"/>
              <w:right w:val="doub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B6B9A">
              <w:rPr>
                <w:rFonts w:eastAsia="新細明體"/>
                <w:spacing w:val="0"/>
                <w:szCs w:val="24"/>
              </w:rPr>
              <w:t>23.8</w:t>
            </w:r>
          </w:p>
        </w:tc>
        <w:tc>
          <w:tcPr>
            <w:tcW w:w="1053" w:type="dxa"/>
            <w:tcBorders>
              <w:top w:val="nil"/>
              <w:bottom w:val="nil"/>
              <w:right w:val="single" w:sz="4" w:space="0" w:color="auto"/>
            </w:tcBorders>
            <w:vAlign w:val="center"/>
          </w:tcPr>
          <w:p w:rsidR="004B772B" w:rsidRPr="003B6B9A" w:rsidRDefault="004B772B" w:rsidP="001040FB">
            <w:pPr>
              <w:ind w:leftChars="38" w:left="91" w:rightChars="25" w:right="60"/>
              <w:jc w:val="right"/>
              <w:rPr>
                <w:rFonts w:eastAsia="華康楷書體W5"/>
              </w:rPr>
            </w:pPr>
            <w:r w:rsidRPr="003B6B9A">
              <w:rPr>
                <w:rFonts w:eastAsia="華康楷書體W5"/>
              </w:rPr>
              <w:t>20,209</w:t>
            </w:r>
          </w:p>
        </w:tc>
        <w:tc>
          <w:tcPr>
            <w:tcW w:w="922" w:type="dxa"/>
            <w:tcBorders>
              <w:top w:val="nil"/>
              <w:bottom w:val="nil"/>
              <w:right w:val="single" w:sz="4" w:space="0" w:color="auto"/>
            </w:tcBorders>
            <w:vAlign w:val="center"/>
          </w:tcPr>
          <w:p w:rsidR="004B772B" w:rsidRPr="003B6B9A" w:rsidRDefault="004B772B" w:rsidP="001040FB">
            <w:pPr>
              <w:ind w:right="-142"/>
              <w:jc w:val="center"/>
              <w:rPr>
                <w:rFonts w:eastAsia="華康楷書體W5"/>
              </w:rPr>
            </w:pPr>
            <w:r w:rsidRPr="003B6B9A">
              <w:rPr>
                <w:rFonts w:eastAsia="華康楷書體W5"/>
              </w:rPr>
              <w:t>-9.7</w:t>
            </w:r>
          </w:p>
        </w:tc>
        <w:tc>
          <w:tcPr>
            <w:tcW w:w="1037" w:type="dxa"/>
            <w:tcBorders>
              <w:top w:val="nil"/>
              <w:left w:val="single" w:sz="4" w:space="0" w:color="auto"/>
              <w:bottom w:val="nil"/>
              <w:right w:val="single" w:sz="4" w:space="0" w:color="auto"/>
            </w:tcBorders>
            <w:vAlign w:val="center"/>
          </w:tcPr>
          <w:p w:rsidR="004B772B" w:rsidRPr="003B6B9A" w:rsidRDefault="004B772B" w:rsidP="001040FB">
            <w:pPr>
              <w:ind w:rightChars="25" w:right="60"/>
              <w:jc w:val="right"/>
              <w:rPr>
                <w:rFonts w:eastAsia="華康楷書體W5"/>
              </w:rPr>
            </w:pPr>
            <w:r w:rsidRPr="003B6B9A">
              <w:rPr>
                <w:rFonts w:eastAsia="華康楷書體W5"/>
              </w:rPr>
              <w:t>281,724</w:t>
            </w:r>
          </w:p>
        </w:tc>
        <w:tc>
          <w:tcPr>
            <w:tcW w:w="840" w:type="dxa"/>
            <w:tcBorders>
              <w:top w:val="nil"/>
              <w:left w:val="single" w:sz="4" w:space="0" w:color="auto"/>
              <w:bottom w:val="nil"/>
              <w:right w:val="nil"/>
            </w:tcBorders>
            <w:vAlign w:val="center"/>
          </w:tcPr>
          <w:p w:rsidR="004B772B" w:rsidRPr="003B6B9A" w:rsidRDefault="004B772B" w:rsidP="001040FB">
            <w:pPr>
              <w:ind w:right="-142"/>
              <w:jc w:val="center"/>
              <w:rPr>
                <w:rFonts w:eastAsia="華康楷書體W5"/>
              </w:rPr>
            </w:pPr>
            <w:r w:rsidRPr="003B6B9A">
              <w:rPr>
                <w:rFonts w:eastAsia="華康楷書體W5"/>
              </w:rPr>
              <w:t>27.2</w:t>
            </w:r>
          </w:p>
        </w:tc>
      </w:tr>
      <w:tr w:rsidR="004B772B" w:rsidRPr="003B6B9A" w:rsidTr="001040FB">
        <w:trPr>
          <w:cantSplit/>
          <w:trHeight w:val="360"/>
          <w:jc w:val="center"/>
        </w:trPr>
        <w:tc>
          <w:tcPr>
            <w:tcW w:w="1612" w:type="dxa"/>
            <w:tcBorders>
              <w:top w:val="nil"/>
              <w:left w:val="nil"/>
              <w:bottom w:val="nil"/>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kern w:val="0"/>
                <w:sz w:val="24"/>
                <w:szCs w:val="24"/>
              </w:rPr>
            </w:pPr>
            <w:r w:rsidRPr="003B6B9A">
              <w:rPr>
                <w:rFonts w:ascii="Times New Roman" w:eastAsia="標楷體"/>
                <w:kern w:val="0"/>
                <w:sz w:val="24"/>
                <w:szCs w:val="24"/>
              </w:rPr>
              <w:t>2012</w:t>
            </w:r>
            <w:r w:rsidRPr="003B6B9A">
              <w:rPr>
                <w:rFonts w:ascii="Times New Roman" w:eastAsia="標楷體"/>
                <w:kern w:val="0"/>
                <w:sz w:val="24"/>
                <w:szCs w:val="24"/>
              </w:rPr>
              <w:t>年</w:t>
            </w:r>
          </w:p>
        </w:tc>
        <w:tc>
          <w:tcPr>
            <w:tcW w:w="1391" w:type="dxa"/>
            <w:tcBorders>
              <w:top w:val="nil"/>
              <w:left w:val="single" w:sz="4" w:space="0" w:color="auto"/>
              <w:bottom w:val="nil"/>
              <w:right w:val="sing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B6B9A">
              <w:rPr>
                <w:rFonts w:eastAsia="新細明體"/>
                <w:spacing w:val="0"/>
                <w:szCs w:val="24"/>
              </w:rPr>
              <w:t>364,835</w:t>
            </w:r>
          </w:p>
        </w:tc>
        <w:tc>
          <w:tcPr>
            <w:tcW w:w="1103" w:type="dxa"/>
            <w:tcBorders>
              <w:top w:val="nil"/>
              <w:left w:val="single" w:sz="4" w:space="0" w:color="auto"/>
              <w:bottom w:val="nil"/>
              <w:right w:val="doub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B6B9A">
              <w:rPr>
                <w:rFonts w:eastAsia="新細明體"/>
                <w:spacing w:val="0"/>
                <w:szCs w:val="24"/>
              </w:rPr>
              <w:t>20.6</w:t>
            </w:r>
          </w:p>
        </w:tc>
        <w:tc>
          <w:tcPr>
            <w:tcW w:w="1053" w:type="dxa"/>
            <w:tcBorders>
              <w:top w:val="nil"/>
              <w:bottom w:val="nil"/>
              <w:right w:val="single" w:sz="4" w:space="0" w:color="auto"/>
            </w:tcBorders>
            <w:vAlign w:val="center"/>
          </w:tcPr>
          <w:p w:rsidR="004B772B" w:rsidRPr="003B6B9A" w:rsidRDefault="004B772B" w:rsidP="001040FB">
            <w:pPr>
              <w:ind w:leftChars="38" w:left="91" w:rightChars="25" w:right="60"/>
              <w:jc w:val="right"/>
              <w:rPr>
                <w:rFonts w:eastAsia="華康楷書體W5"/>
              </w:rPr>
            </w:pPr>
            <w:r w:rsidRPr="003B6B9A">
              <w:rPr>
                <w:rFonts w:eastAsia="華康楷書體W5"/>
              </w:rPr>
              <w:t>21,663</w:t>
            </w:r>
          </w:p>
        </w:tc>
        <w:tc>
          <w:tcPr>
            <w:tcW w:w="922" w:type="dxa"/>
            <w:tcBorders>
              <w:top w:val="nil"/>
              <w:bottom w:val="nil"/>
              <w:right w:val="single" w:sz="4" w:space="0" w:color="auto"/>
            </w:tcBorders>
            <w:vAlign w:val="center"/>
          </w:tcPr>
          <w:p w:rsidR="004B772B" w:rsidRPr="003B6B9A" w:rsidRDefault="004B772B" w:rsidP="001040FB">
            <w:pPr>
              <w:ind w:right="-142"/>
              <w:jc w:val="center"/>
              <w:rPr>
                <w:rFonts w:eastAsia="華康楷書體W5"/>
              </w:rPr>
            </w:pPr>
            <w:r w:rsidRPr="003B6B9A">
              <w:rPr>
                <w:rFonts w:eastAsia="華康楷書體W5"/>
              </w:rPr>
              <w:t>5.9</w:t>
            </w:r>
          </w:p>
        </w:tc>
        <w:tc>
          <w:tcPr>
            <w:tcW w:w="1037" w:type="dxa"/>
            <w:tcBorders>
              <w:top w:val="nil"/>
              <w:left w:val="single" w:sz="4" w:space="0" w:color="auto"/>
              <w:bottom w:val="nil"/>
              <w:right w:val="single" w:sz="4" w:space="0" w:color="auto"/>
            </w:tcBorders>
            <w:vAlign w:val="center"/>
          </w:tcPr>
          <w:p w:rsidR="004B772B" w:rsidRPr="003B6B9A" w:rsidRDefault="004B772B" w:rsidP="001040FB">
            <w:pPr>
              <w:ind w:rightChars="25" w:right="60"/>
              <w:jc w:val="right"/>
              <w:rPr>
                <w:rFonts w:eastAsia="華康楷書體W5"/>
              </w:rPr>
            </w:pPr>
            <w:r w:rsidRPr="003B6B9A">
              <w:rPr>
                <w:rFonts w:eastAsia="華康楷書體W5"/>
              </w:rPr>
              <w:t>343,172</w:t>
            </w:r>
          </w:p>
        </w:tc>
        <w:tc>
          <w:tcPr>
            <w:tcW w:w="840" w:type="dxa"/>
            <w:tcBorders>
              <w:top w:val="nil"/>
              <w:left w:val="single" w:sz="4" w:space="0" w:color="auto"/>
              <w:bottom w:val="nil"/>
              <w:right w:val="nil"/>
            </w:tcBorders>
            <w:vAlign w:val="center"/>
          </w:tcPr>
          <w:p w:rsidR="004B772B" w:rsidRPr="003B6B9A" w:rsidRDefault="004B772B" w:rsidP="001040FB">
            <w:pPr>
              <w:ind w:right="-142"/>
              <w:jc w:val="center"/>
              <w:rPr>
                <w:rFonts w:eastAsia="華康楷書體W5"/>
              </w:rPr>
            </w:pPr>
            <w:r w:rsidRPr="003B6B9A">
              <w:rPr>
                <w:rFonts w:eastAsia="華康楷書體W5"/>
              </w:rPr>
              <w:t>21.7</w:t>
            </w:r>
          </w:p>
        </w:tc>
      </w:tr>
      <w:tr w:rsidR="004B772B" w:rsidRPr="003B6B9A" w:rsidTr="001040FB">
        <w:trPr>
          <w:cantSplit/>
          <w:trHeight w:val="360"/>
          <w:jc w:val="center"/>
        </w:trPr>
        <w:tc>
          <w:tcPr>
            <w:tcW w:w="1612" w:type="dxa"/>
            <w:tcBorders>
              <w:top w:val="nil"/>
              <w:left w:val="nil"/>
              <w:bottom w:val="nil"/>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kern w:val="0"/>
                <w:sz w:val="24"/>
                <w:szCs w:val="24"/>
              </w:rPr>
            </w:pPr>
            <w:r w:rsidRPr="003B6B9A">
              <w:rPr>
                <w:rFonts w:ascii="Times New Roman" w:eastAsia="標楷體"/>
                <w:kern w:val="0"/>
                <w:sz w:val="24"/>
                <w:szCs w:val="24"/>
              </w:rPr>
              <w:t>2013</w:t>
            </w:r>
            <w:r w:rsidRPr="003B6B9A">
              <w:rPr>
                <w:rFonts w:ascii="Times New Roman" w:eastAsia="標楷體"/>
                <w:kern w:val="0"/>
                <w:sz w:val="24"/>
                <w:szCs w:val="24"/>
              </w:rPr>
              <w:t>年</w:t>
            </w:r>
          </w:p>
        </w:tc>
        <w:tc>
          <w:tcPr>
            <w:tcW w:w="1391" w:type="dxa"/>
            <w:tcBorders>
              <w:top w:val="nil"/>
              <w:left w:val="single" w:sz="4" w:space="0" w:color="auto"/>
              <w:bottom w:val="nil"/>
              <w:right w:val="sing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B6B9A">
              <w:rPr>
                <w:rFonts w:eastAsia="新細明體"/>
                <w:spacing w:val="0"/>
                <w:szCs w:val="24"/>
              </w:rPr>
              <w:t>436,528</w:t>
            </w:r>
          </w:p>
        </w:tc>
        <w:tc>
          <w:tcPr>
            <w:tcW w:w="1103" w:type="dxa"/>
            <w:tcBorders>
              <w:top w:val="nil"/>
              <w:left w:val="single" w:sz="4" w:space="0" w:color="auto"/>
              <w:bottom w:val="nil"/>
              <w:right w:val="doub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B6B9A">
              <w:rPr>
                <w:rFonts w:eastAsia="新細明體"/>
                <w:spacing w:val="0"/>
                <w:szCs w:val="24"/>
              </w:rPr>
              <w:t>19.6</w:t>
            </w:r>
          </w:p>
        </w:tc>
        <w:tc>
          <w:tcPr>
            <w:tcW w:w="1053" w:type="dxa"/>
            <w:tcBorders>
              <w:top w:val="nil"/>
              <w:bottom w:val="nil"/>
              <w:right w:val="single" w:sz="4" w:space="0" w:color="auto"/>
            </w:tcBorders>
            <w:vAlign w:val="center"/>
          </w:tcPr>
          <w:p w:rsidR="004B772B" w:rsidRPr="003B6B9A" w:rsidRDefault="004B772B" w:rsidP="001040FB">
            <w:pPr>
              <w:ind w:leftChars="38" w:left="91" w:rightChars="25" w:right="60"/>
              <w:jc w:val="right"/>
              <w:rPr>
                <w:rFonts w:eastAsia="華康楷書體W5"/>
              </w:rPr>
            </w:pPr>
            <w:r w:rsidRPr="003B6B9A">
              <w:rPr>
                <w:rFonts w:eastAsia="華康楷書體W5"/>
              </w:rPr>
              <w:t>24,785</w:t>
            </w:r>
          </w:p>
        </w:tc>
        <w:tc>
          <w:tcPr>
            <w:tcW w:w="922" w:type="dxa"/>
            <w:tcBorders>
              <w:top w:val="nil"/>
              <w:bottom w:val="nil"/>
              <w:right w:val="single" w:sz="4" w:space="0" w:color="auto"/>
            </w:tcBorders>
            <w:vAlign w:val="center"/>
          </w:tcPr>
          <w:p w:rsidR="004B772B" w:rsidRPr="003B6B9A" w:rsidRDefault="004B772B" w:rsidP="001040FB">
            <w:pPr>
              <w:ind w:right="-142"/>
              <w:jc w:val="center"/>
              <w:rPr>
                <w:rFonts w:eastAsia="華康楷書體W5"/>
              </w:rPr>
            </w:pPr>
            <w:r w:rsidRPr="003B6B9A">
              <w:rPr>
                <w:rFonts w:eastAsia="華康楷書體W5"/>
              </w:rPr>
              <w:t>12.4</w:t>
            </w:r>
          </w:p>
        </w:tc>
        <w:tc>
          <w:tcPr>
            <w:tcW w:w="1037" w:type="dxa"/>
            <w:tcBorders>
              <w:top w:val="nil"/>
              <w:left w:val="single" w:sz="4" w:space="0" w:color="auto"/>
              <w:bottom w:val="nil"/>
              <w:right w:val="single" w:sz="4" w:space="0" w:color="auto"/>
            </w:tcBorders>
            <w:vAlign w:val="center"/>
          </w:tcPr>
          <w:p w:rsidR="004B772B" w:rsidRPr="003B6B9A" w:rsidRDefault="004B772B" w:rsidP="001040FB">
            <w:pPr>
              <w:ind w:rightChars="25" w:right="60"/>
              <w:jc w:val="right"/>
              <w:rPr>
                <w:rFonts w:eastAsia="華康楷書體W5"/>
              </w:rPr>
            </w:pPr>
            <w:r w:rsidRPr="003B6B9A">
              <w:rPr>
                <w:rFonts w:eastAsia="華康楷書體W5"/>
              </w:rPr>
              <w:t>411,742</w:t>
            </w:r>
          </w:p>
        </w:tc>
        <w:tc>
          <w:tcPr>
            <w:tcW w:w="840" w:type="dxa"/>
            <w:tcBorders>
              <w:top w:val="nil"/>
              <w:left w:val="single" w:sz="4" w:space="0" w:color="auto"/>
              <w:bottom w:val="nil"/>
              <w:right w:val="nil"/>
            </w:tcBorders>
            <w:vAlign w:val="center"/>
          </w:tcPr>
          <w:p w:rsidR="004B772B" w:rsidRPr="003B6B9A" w:rsidRDefault="004B772B" w:rsidP="001040FB">
            <w:pPr>
              <w:ind w:right="-142"/>
              <w:jc w:val="center"/>
              <w:rPr>
                <w:rFonts w:eastAsia="華康楷書體W5"/>
              </w:rPr>
            </w:pPr>
            <w:r w:rsidRPr="003B6B9A">
              <w:rPr>
                <w:rFonts w:eastAsia="華康楷書體W5"/>
              </w:rPr>
              <w:t>20.1</w:t>
            </w:r>
          </w:p>
        </w:tc>
      </w:tr>
      <w:tr w:rsidR="004B772B" w:rsidRPr="003B6B9A" w:rsidTr="001040FB">
        <w:trPr>
          <w:cantSplit/>
          <w:trHeight w:val="360"/>
          <w:jc w:val="center"/>
        </w:trPr>
        <w:tc>
          <w:tcPr>
            <w:tcW w:w="1612" w:type="dxa"/>
            <w:tcBorders>
              <w:top w:val="nil"/>
              <w:left w:val="nil"/>
              <w:bottom w:val="nil"/>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kern w:val="0"/>
                <w:sz w:val="24"/>
                <w:szCs w:val="24"/>
              </w:rPr>
            </w:pPr>
            <w:r w:rsidRPr="003B6B9A">
              <w:rPr>
                <w:rFonts w:ascii="Times New Roman" w:eastAsia="標楷體"/>
                <w:kern w:val="0"/>
                <w:sz w:val="24"/>
                <w:szCs w:val="24"/>
              </w:rPr>
              <w:t>2014</w:t>
            </w:r>
            <w:r w:rsidRPr="003B6B9A">
              <w:rPr>
                <w:rFonts w:ascii="Times New Roman" w:eastAsia="標楷體"/>
                <w:kern w:val="0"/>
                <w:sz w:val="24"/>
                <w:szCs w:val="24"/>
              </w:rPr>
              <w:t>年</w:t>
            </w:r>
          </w:p>
        </w:tc>
        <w:tc>
          <w:tcPr>
            <w:tcW w:w="1391" w:type="dxa"/>
            <w:tcBorders>
              <w:top w:val="nil"/>
              <w:left w:val="single" w:sz="4" w:space="0" w:color="auto"/>
              <w:bottom w:val="nil"/>
              <w:right w:val="sing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3B6B9A">
              <w:rPr>
                <w:rFonts w:eastAsia="新細明體"/>
                <w:spacing w:val="0"/>
                <w:szCs w:val="24"/>
              </w:rPr>
              <w:t>502,005</w:t>
            </w:r>
          </w:p>
        </w:tc>
        <w:tc>
          <w:tcPr>
            <w:tcW w:w="1103" w:type="dxa"/>
            <w:tcBorders>
              <w:top w:val="nil"/>
              <w:left w:val="single" w:sz="4" w:space="0" w:color="auto"/>
              <w:bottom w:val="nil"/>
              <w:right w:val="doub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B6B9A">
              <w:rPr>
                <w:rFonts w:eastAsia="新細明體"/>
                <w:spacing w:val="0"/>
                <w:szCs w:val="24"/>
              </w:rPr>
              <w:t>15.7</w:t>
            </w:r>
          </w:p>
        </w:tc>
        <w:tc>
          <w:tcPr>
            <w:tcW w:w="1053" w:type="dxa"/>
            <w:tcBorders>
              <w:top w:val="nil"/>
              <w:bottom w:val="nil"/>
              <w:right w:val="single" w:sz="4" w:space="0" w:color="auto"/>
            </w:tcBorders>
            <w:vAlign w:val="center"/>
          </w:tcPr>
          <w:p w:rsidR="004B772B" w:rsidRPr="003B6B9A" w:rsidRDefault="004B772B" w:rsidP="001040FB">
            <w:pPr>
              <w:ind w:leftChars="38" w:left="91" w:rightChars="25" w:right="60"/>
              <w:jc w:val="right"/>
              <w:rPr>
                <w:rFonts w:eastAsia="華康楷書體W5"/>
              </w:rPr>
            </w:pPr>
            <w:r w:rsidRPr="003B6B9A">
              <w:rPr>
                <w:rFonts w:eastAsia="華康楷書體W5"/>
              </w:rPr>
              <w:t>25,371</w:t>
            </w:r>
          </w:p>
        </w:tc>
        <w:tc>
          <w:tcPr>
            <w:tcW w:w="922" w:type="dxa"/>
            <w:tcBorders>
              <w:top w:val="nil"/>
              <w:bottom w:val="nil"/>
              <w:right w:val="single" w:sz="4" w:space="0" w:color="auto"/>
            </w:tcBorders>
            <w:vAlign w:val="center"/>
          </w:tcPr>
          <w:p w:rsidR="004B772B" w:rsidRPr="003B6B9A" w:rsidRDefault="004B772B" w:rsidP="001040FB">
            <w:pPr>
              <w:ind w:right="-142"/>
              <w:jc w:val="center"/>
              <w:rPr>
                <w:rFonts w:eastAsia="華康楷書體W5"/>
              </w:rPr>
            </w:pPr>
            <w:r w:rsidRPr="003B6B9A">
              <w:rPr>
                <w:rFonts w:eastAsia="華康楷書體W5"/>
              </w:rPr>
              <w:t>10.8</w:t>
            </w:r>
          </w:p>
        </w:tc>
        <w:tc>
          <w:tcPr>
            <w:tcW w:w="1037" w:type="dxa"/>
            <w:tcBorders>
              <w:top w:val="nil"/>
              <w:left w:val="single" w:sz="4" w:space="0" w:color="auto"/>
              <w:bottom w:val="nil"/>
              <w:right w:val="single" w:sz="4" w:space="0" w:color="auto"/>
            </w:tcBorders>
            <w:vAlign w:val="center"/>
          </w:tcPr>
          <w:p w:rsidR="004B772B" w:rsidRPr="003B6B9A" w:rsidRDefault="004B772B" w:rsidP="001040FB">
            <w:pPr>
              <w:ind w:leftChars="38" w:left="91" w:rightChars="25" w:right="60"/>
              <w:jc w:val="right"/>
              <w:rPr>
                <w:rFonts w:eastAsia="華康楷書體W5"/>
              </w:rPr>
            </w:pPr>
            <w:r w:rsidRPr="003B6B9A">
              <w:rPr>
                <w:rFonts w:eastAsia="華康楷書體W5"/>
              </w:rPr>
              <w:t>476,634</w:t>
            </w:r>
          </w:p>
        </w:tc>
        <w:tc>
          <w:tcPr>
            <w:tcW w:w="840" w:type="dxa"/>
            <w:tcBorders>
              <w:top w:val="nil"/>
              <w:left w:val="single" w:sz="4" w:space="0" w:color="auto"/>
              <w:bottom w:val="nil"/>
              <w:right w:val="nil"/>
            </w:tcBorders>
            <w:vAlign w:val="center"/>
          </w:tcPr>
          <w:p w:rsidR="004B772B" w:rsidRPr="003B6B9A" w:rsidRDefault="004B772B" w:rsidP="001040FB">
            <w:pPr>
              <w:ind w:right="-142"/>
              <w:jc w:val="center"/>
              <w:rPr>
                <w:rFonts w:eastAsia="華康楷書體W5"/>
              </w:rPr>
            </w:pPr>
            <w:r w:rsidRPr="003B6B9A">
              <w:rPr>
                <w:rFonts w:eastAsia="華康楷書體W5"/>
              </w:rPr>
              <w:t>15.9</w:t>
            </w:r>
          </w:p>
        </w:tc>
      </w:tr>
      <w:tr w:rsidR="004B772B" w:rsidRPr="003B6B9A" w:rsidTr="001040FB">
        <w:trPr>
          <w:cantSplit/>
          <w:trHeight w:val="360"/>
          <w:jc w:val="center"/>
        </w:trPr>
        <w:tc>
          <w:tcPr>
            <w:tcW w:w="1612" w:type="dxa"/>
            <w:tcBorders>
              <w:top w:val="nil"/>
              <w:left w:val="nil"/>
              <w:bottom w:val="single" w:sz="4" w:space="0" w:color="auto"/>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kern w:val="0"/>
                <w:sz w:val="24"/>
                <w:szCs w:val="24"/>
              </w:rPr>
            </w:pPr>
            <w:r w:rsidRPr="003B6B9A">
              <w:rPr>
                <w:rFonts w:ascii="Times New Roman" w:eastAsia="標楷體"/>
                <w:kern w:val="0"/>
                <w:sz w:val="24"/>
                <w:szCs w:val="24"/>
              </w:rPr>
              <w:t>2015</w:t>
            </w:r>
            <w:r w:rsidRPr="003B6B9A">
              <w:rPr>
                <w:rFonts w:ascii="Times New Roman" w:eastAsia="標楷體"/>
                <w:kern w:val="0"/>
                <w:sz w:val="24"/>
                <w:szCs w:val="24"/>
              </w:rPr>
              <w:t>年</w:t>
            </w:r>
            <w:r w:rsidRPr="003B6B9A">
              <w:rPr>
                <w:rFonts w:ascii="Times New Roman" w:eastAsia="標楷體"/>
                <w:kern w:val="0"/>
                <w:sz w:val="24"/>
                <w:szCs w:val="24"/>
              </w:rPr>
              <w:t>1~4</w:t>
            </w:r>
            <w:r w:rsidRPr="003B6B9A">
              <w:rPr>
                <w:rFonts w:ascii="Times New Roman" w:eastAsia="標楷體"/>
                <w:kern w:val="0"/>
                <w:sz w:val="24"/>
                <w:szCs w:val="24"/>
              </w:rPr>
              <w:t>月</w:t>
            </w:r>
          </w:p>
        </w:tc>
        <w:tc>
          <w:tcPr>
            <w:tcW w:w="1391" w:type="dxa"/>
            <w:tcBorders>
              <w:top w:val="nil"/>
              <w:left w:val="single" w:sz="4" w:space="0" w:color="auto"/>
              <w:bottom w:val="single" w:sz="4" w:space="0" w:color="auto"/>
              <w:right w:val="sing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3B6B9A">
              <w:rPr>
                <w:rFonts w:eastAsia="新細明體"/>
                <w:spacing w:val="0"/>
                <w:szCs w:val="24"/>
              </w:rPr>
              <w:t>119,979</w:t>
            </w:r>
          </w:p>
        </w:tc>
        <w:tc>
          <w:tcPr>
            <w:tcW w:w="1103" w:type="dxa"/>
            <w:tcBorders>
              <w:top w:val="nil"/>
              <w:left w:val="single" w:sz="4" w:space="0" w:color="auto"/>
              <w:bottom w:val="single" w:sz="4" w:space="0" w:color="auto"/>
              <w:right w:val="double" w:sz="4" w:space="0" w:color="auto"/>
            </w:tcBorders>
            <w:vAlign w:val="cente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B6B9A">
              <w:rPr>
                <w:rFonts w:eastAsia="新細明體"/>
                <w:spacing w:val="0"/>
                <w:szCs w:val="24"/>
              </w:rPr>
              <w:t>12.0</w:t>
            </w:r>
          </w:p>
        </w:tc>
        <w:tc>
          <w:tcPr>
            <w:tcW w:w="1053" w:type="dxa"/>
            <w:tcBorders>
              <w:top w:val="nil"/>
              <w:bottom w:val="single" w:sz="4" w:space="0" w:color="auto"/>
              <w:right w:val="single" w:sz="4" w:space="0" w:color="auto"/>
            </w:tcBorders>
            <w:vAlign w:val="center"/>
          </w:tcPr>
          <w:p w:rsidR="004B772B" w:rsidRPr="003B6B9A" w:rsidRDefault="004B772B" w:rsidP="001040FB">
            <w:pPr>
              <w:ind w:leftChars="38" w:left="91" w:rightChars="25" w:right="60"/>
              <w:jc w:val="right"/>
              <w:rPr>
                <w:rFonts w:eastAsia="華康楷書體W5"/>
              </w:rPr>
            </w:pPr>
            <w:r w:rsidRPr="003B6B9A">
              <w:rPr>
                <w:rFonts w:eastAsia="華康楷書體W5"/>
              </w:rPr>
              <w:t>4,996</w:t>
            </w:r>
          </w:p>
        </w:tc>
        <w:tc>
          <w:tcPr>
            <w:tcW w:w="922" w:type="dxa"/>
            <w:tcBorders>
              <w:top w:val="nil"/>
              <w:bottom w:val="single" w:sz="4" w:space="0" w:color="auto"/>
              <w:right w:val="single" w:sz="4" w:space="0" w:color="auto"/>
            </w:tcBorders>
            <w:vAlign w:val="center"/>
          </w:tcPr>
          <w:p w:rsidR="004B772B" w:rsidRPr="003B6B9A" w:rsidRDefault="004B772B" w:rsidP="001040FB">
            <w:pPr>
              <w:ind w:right="-142"/>
              <w:jc w:val="center"/>
              <w:rPr>
                <w:rFonts w:eastAsia="華康楷書體W5"/>
              </w:rPr>
            </w:pPr>
            <w:r w:rsidRPr="003B6B9A">
              <w:rPr>
                <w:rFonts w:eastAsia="華康楷書體W5"/>
              </w:rPr>
              <w:t>8.1</w:t>
            </w:r>
          </w:p>
        </w:tc>
        <w:tc>
          <w:tcPr>
            <w:tcW w:w="1037" w:type="dxa"/>
            <w:tcBorders>
              <w:top w:val="nil"/>
              <w:left w:val="single" w:sz="4" w:space="0" w:color="auto"/>
              <w:bottom w:val="single" w:sz="4" w:space="0" w:color="auto"/>
              <w:right w:val="single" w:sz="4" w:space="0" w:color="auto"/>
            </w:tcBorders>
            <w:vAlign w:val="center"/>
          </w:tcPr>
          <w:p w:rsidR="004B772B" w:rsidRPr="003B6B9A" w:rsidRDefault="004B772B" w:rsidP="001040FB">
            <w:pPr>
              <w:ind w:leftChars="38" w:left="91" w:rightChars="25" w:right="60"/>
              <w:jc w:val="right"/>
              <w:rPr>
                <w:rFonts w:eastAsia="華康楷書體W5"/>
              </w:rPr>
            </w:pPr>
            <w:r w:rsidRPr="003B6B9A">
              <w:rPr>
                <w:rFonts w:eastAsia="華康楷書體W5"/>
              </w:rPr>
              <w:t>114,982</w:t>
            </w:r>
          </w:p>
        </w:tc>
        <w:tc>
          <w:tcPr>
            <w:tcW w:w="840" w:type="dxa"/>
            <w:tcBorders>
              <w:top w:val="nil"/>
              <w:left w:val="single" w:sz="4" w:space="0" w:color="auto"/>
              <w:bottom w:val="single" w:sz="4" w:space="0" w:color="auto"/>
              <w:right w:val="nil"/>
            </w:tcBorders>
            <w:vAlign w:val="center"/>
          </w:tcPr>
          <w:p w:rsidR="004B772B" w:rsidRPr="003B6B9A" w:rsidRDefault="004B772B" w:rsidP="001040FB">
            <w:pPr>
              <w:ind w:right="-142"/>
              <w:jc w:val="center"/>
              <w:rPr>
                <w:rFonts w:eastAsia="華康楷書體W5"/>
              </w:rPr>
            </w:pPr>
            <w:r w:rsidRPr="003B6B9A">
              <w:rPr>
                <w:rFonts w:eastAsia="華康楷書體W5"/>
              </w:rPr>
              <w:t>12.2</w:t>
            </w:r>
          </w:p>
        </w:tc>
      </w:tr>
    </w:tbl>
    <w:p w:rsidR="004B772B" w:rsidRPr="003B6B9A" w:rsidRDefault="004B772B" w:rsidP="004B772B">
      <w:pPr>
        <w:pStyle w:val="a9"/>
        <w:rPr>
          <w:rFonts w:ascii="Times New Roman" w:eastAsia="標楷體"/>
          <w:sz w:val="22"/>
        </w:rPr>
      </w:pPr>
      <w:r w:rsidRPr="003B6B9A">
        <w:rPr>
          <w:rFonts w:ascii="Times New Roman" w:eastAsia="標楷體"/>
          <w:sz w:val="22"/>
        </w:rPr>
        <w:t>註：中國大陸國家統計局自</w:t>
      </w:r>
      <w:r w:rsidRPr="003B6B9A">
        <w:rPr>
          <w:rFonts w:ascii="Times New Roman" w:eastAsia="標楷體"/>
          <w:sz w:val="22"/>
        </w:rPr>
        <w:t>2011</w:t>
      </w:r>
      <w:r w:rsidRPr="003B6B9A">
        <w:rPr>
          <w:rFonts w:ascii="Times New Roman" w:eastAsia="標楷體"/>
          <w:sz w:val="22"/>
        </w:rPr>
        <w:t>年</w:t>
      </w:r>
      <w:r w:rsidRPr="003B6B9A">
        <w:rPr>
          <w:rFonts w:ascii="Times New Roman" w:eastAsia="標楷體"/>
          <w:sz w:val="22"/>
        </w:rPr>
        <w:t>4</w:t>
      </w:r>
      <w:r w:rsidRPr="003B6B9A">
        <w:rPr>
          <w:rFonts w:ascii="Times New Roman" w:eastAsia="標楷體"/>
          <w:sz w:val="22"/>
        </w:rPr>
        <w:t>月起，公布之固定資產投資數據不含農戶。</w:t>
      </w:r>
    </w:p>
    <w:p w:rsidR="004B772B" w:rsidRPr="003B6B9A" w:rsidRDefault="004B772B" w:rsidP="004B772B">
      <w:pPr>
        <w:pStyle w:val="a9"/>
        <w:rPr>
          <w:rFonts w:ascii="Times New Roman" w:eastAsia="標楷體"/>
          <w:sz w:val="22"/>
        </w:rPr>
      </w:pPr>
      <w:r w:rsidRPr="003B6B9A">
        <w:rPr>
          <w:rFonts w:ascii="Times New Roman" w:eastAsia="標楷體"/>
          <w:sz w:val="22"/>
        </w:rPr>
        <w:t>資料來源：中國大陸統計年鑑</w:t>
      </w:r>
      <w:r w:rsidRPr="003B6B9A">
        <w:rPr>
          <w:rFonts w:ascii="Times New Roman" w:eastAsia="標楷體"/>
          <w:sz w:val="22"/>
        </w:rPr>
        <w:t>(</w:t>
      </w:r>
      <w:r w:rsidRPr="003B6B9A">
        <w:rPr>
          <w:rFonts w:ascii="Times New Roman" w:eastAsia="標楷體"/>
          <w:sz w:val="22"/>
        </w:rPr>
        <w:t>各年份</w:t>
      </w:r>
      <w:r w:rsidRPr="003B6B9A">
        <w:rPr>
          <w:rFonts w:ascii="Times New Roman" w:eastAsia="標楷體"/>
          <w:sz w:val="22"/>
        </w:rPr>
        <w:t>)</w:t>
      </w:r>
      <w:r w:rsidRPr="003B6B9A">
        <w:rPr>
          <w:rFonts w:ascii="Times New Roman" w:eastAsia="標楷體"/>
          <w:sz w:val="22"/>
        </w:rPr>
        <w:t>；中國大陸國家統計局。</w:t>
      </w:r>
    </w:p>
    <w:p w:rsidR="008A5536" w:rsidRPr="002D5C9A" w:rsidRDefault="008A5536" w:rsidP="008A5536">
      <w:pPr>
        <w:pStyle w:val="k3a"/>
        <w:spacing w:beforeLines="0" w:before="120" w:line="300" w:lineRule="auto"/>
        <w:ind w:leftChars="0" w:left="0" w:firstLineChars="0" w:firstLine="0"/>
        <w:outlineLvl w:val="2"/>
        <w:rPr>
          <w:b/>
          <w:bCs/>
          <w:sz w:val="32"/>
        </w:rPr>
      </w:pPr>
      <w:r w:rsidRPr="00B118E9">
        <w:rPr>
          <w:color w:val="FF0000"/>
        </w:rPr>
        <w:br w:type="page"/>
      </w:r>
      <w:bookmarkStart w:id="155" w:name="_Toc368324034"/>
      <w:bookmarkStart w:id="156" w:name="_Toc402171722"/>
      <w:bookmarkStart w:id="157" w:name="_Toc420680047"/>
      <w:r w:rsidRPr="00B118E9">
        <w:rPr>
          <w:b/>
          <w:bCs/>
          <w:sz w:val="32"/>
        </w:rPr>
        <w:t>（二）吸引外資</w:t>
      </w:r>
      <w:bookmarkEnd w:id="155"/>
      <w:bookmarkEnd w:id="156"/>
      <w:bookmarkEnd w:id="157"/>
    </w:p>
    <w:p w:rsidR="004B772B" w:rsidRPr="003B6B9A" w:rsidRDefault="004B772B" w:rsidP="004B772B">
      <w:pPr>
        <w:pStyle w:val="a9"/>
        <w:widowControl/>
        <w:snapToGrid w:val="0"/>
        <w:spacing w:line="276" w:lineRule="auto"/>
        <w:ind w:leftChars="140" w:left="616" w:right="-142" w:hangingChars="100" w:hanging="280"/>
        <w:jc w:val="both"/>
        <w:rPr>
          <w:rFonts w:ascii="Times New Roman" w:eastAsia="標楷體"/>
          <w:sz w:val="28"/>
        </w:rPr>
      </w:pPr>
      <w:r w:rsidRPr="003B6B9A">
        <w:rPr>
          <w:rFonts w:ascii="Times New Roman" w:eastAsia="標楷體" w:hint="eastAsia"/>
          <w:sz w:val="28"/>
        </w:rPr>
        <w:t>－</w:t>
      </w:r>
      <w:r w:rsidRPr="003B6B9A">
        <w:rPr>
          <w:rFonts w:ascii="Times New Roman" w:eastAsia="標楷體" w:hint="eastAsia"/>
          <w:sz w:val="28"/>
        </w:rPr>
        <w:t>2015</w:t>
      </w:r>
      <w:r w:rsidRPr="003B6B9A">
        <w:rPr>
          <w:rFonts w:ascii="Times New Roman" w:eastAsia="標楷體" w:hint="eastAsia"/>
          <w:sz w:val="28"/>
        </w:rPr>
        <w:t>年</w:t>
      </w:r>
      <w:r w:rsidRPr="003B6B9A">
        <w:rPr>
          <w:rFonts w:ascii="Times New Roman" w:eastAsia="標楷體" w:hint="eastAsia"/>
          <w:sz w:val="28"/>
        </w:rPr>
        <w:t>3</w:t>
      </w:r>
      <w:r w:rsidRPr="003B6B9A">
        <w:rPr>
          <w:rFonts w:ascii="Times New Roman" w:eastAsia="標楷體" w:hint="eastAsia"/>
          <w:sz w:val="28"/>
        </w:rPr>
        <w:t>月</w:t>
      </w:r>
      <w:r w:rsidRPr="003B6B9A">
        <w:rPr>
          <w:rFonts w:ascii="Times New Roman" w:eastAsia="標楷體" w:hint="eastAsia"/>
          <w:spacing w:val="-4"/>
          <w:sz w:val="28"/>
        </w:rPr>
        <w:t>中國大陸非金融領域新批設立外商投資企業</w:t>
      </w:r>
      <w:r w:rsidRPr="003B6B9A">
        <w:rPr>
          <w:rFonts w:ascii="Times New Roman" w:eastAsia="標楷體" w:hint="eastAsia"/>
          <w:spacing w:val="-4"/>
          <w:sz w:val="28"/>
        </w:rPr>
        <w:t>2,030</w:t>
      </w:r>
      <w:r w:rsidRPr="003B6B9A">
        <w:rPr>
          <w:rFonts w:ascii="Times New Roman" w:eastAsia="標楷體" w:hint="eastAsia"/>
          <w:spacing w:val="-4"/>
          <w:sz w:val="28"/>
        </w:rPr>
        <w:t>家，較上年同期增加</w:t>
      </w:r>
      <w:r w:rsidRPr="003B6B9A">
        <w:rPr>
          <w:rFonts w:ascii="Times New Roman" w:eastAsia="標楷體" w:hint="eastAsia"/>
          <w:spacing w:val="-4"/>
          <w:sz w:val="28"/>
        </w:rPr>
        <w:t>0.35%</w:t>
      </w:r>
      <w:r w:rsidRPr="003B6B9A">
        <w:rPr>
          <w:rFonts w:ascii="Times New Roman" w:eastAsia="標楷體" w:hint="eastAsia"/>
          <w:spacing w:val="-4"/>
          <w:sz w:val="28"/>
        </w:rPr>
        <w:t>；實際利用外資金額為</w:t>
      </w:r>
      <w:r w:rsidRPr="003B6B9A">
        <w:rPr>
          <w:rFonts w:ascii="Times New Roman" w:eastAsia="標楷體" w:hint="eastAsia"/>
          <w:spacing w:val="-4"/>
          <w:sz w:val="28"/>
        </w:rPr>
        <w:t>124</w:t>
      </w:r>
      <w:r w:rsidRPr="003B6B9A">
        <w:rPr>
          <w:rFonts w:ascii="Times New Roman" w:eastAsia="標楷體" w:hint="eastAsia"/>
          <w:spacing w:val="-4"/>
          <w:sz w:val="28"/>
        </w:rPr>
        <w:t>億美元，較上年同期增加</w:t>
      </w:r>
      <w:r w:rsidRPr="003B6B9A">
        <w:rPr>
          <w:rFonts w:ascii="Times New Roman" w:eastAsia="標楷體" w:hint="eastAsia"/>
          <w:spacing w:val="-4"/>
          <w:sz w:val="28"/>
        </w:rPr>
        <w:t>1.3%</w:t>
      </w:r>
      <w:r w:rsidRPr="003B6B9A">
        <w:rPr>
          <w:rFonts w:ascii="Times New Roman" w:eastAsia="標楷體" w:hint="eastAsia"/>
          <w:spacing w:val="-4"/>
          <w:sz w:val="28"/>
        </w:rPr>
        <w:t>。</w:t>
      </w:r>
    </w:p>
    <w:p w:rsidR="004B772B" w:rsidRPr="003B6B9A" w:rsidRDefault="004B772B" w:rsidP="004B772B">
      <w:pPr>
        <w:pStyle w:val="a9"/>
        <w:widowControl/>
        <w:snapToGrid w:val="0"/>
        <w:spacing w:line="276" w:lineRule="auto"/>
        <w:ind w:leftChars="139" w:left="614" w:right="-142" w:hangingChars="100" w:hanging="280"/>
        <w:jc w:val="both"/>
        <w:rPr>
          <w:rFonts w:ascii="Times New Roman" w:eastAsia="標楷體"/>
          <w:sz w:val="28"/>
        </w:rPr>
      </w:pPr>
      <w:r w:rsidRPr="003B6B9A">
        <w:rPr>
          <w:rFonts w:ascii="Times New Roman" w:eastAsia="標楷體" w:hint="eastAsia"/>
          <w:sz w:val="28"/>
        </w:rPr>
        <w:t>－</w:t>
      </w:r>
      <w:r w:rsidRPr="003B6B9A">
        <w:rPr>
          <w:rFonts w:ascii="Times New Roman" w:eastAsia="標楷體" w:hint="eastAsia"/>
          <w:sz w:val="28"/>
        </w:rPr>
        <w:t>2015</w:t>
      </w:r>
      <w:r w:rsidRPr="003B6B9A">
        <w:rPr>
          <w:rFonts w:ascii="Times New Roman" w:eastAsia="標楷體" w:hint="eastAsia"/>
          <w:sz w:val="28"/>
        </w:rPr>
        <w:t>年</w:t>
      </w:r>
      <w:r w:rsidRPr="003B6B9A">
        <w:rPr>
          <w:rFonts w:ascii="Times New Roman" w:eastAsia="標楷體" w:hint="eastAsia"/>
          <w:sz w:val="28"/>
        </w:rPr>
        <w:t>3</w:t>
      </w:r>
      <w:r w:rsidRPr="003B6B9A">
        <w:rPr>
          <w:rFonts w:ascii="Times New Roman" w:eastAsia="標楷體" w:hint="eastAsia"/>
          <w:sz w:val="28"/>
        </w:rPr>
        <w:t>月</w:t>
      </w:r>
      <w:r w:rsidRPr="003B6B9A">
        <w:rPr>
          <w:rFonts w:ascii="Times New Roman" w:eastAsia="標楷體" w:hint="eastAsia"/>
          <w:spacing w:val="-2"/>
          <w:sz w:val="28"/>
        </w:rPr>
        <w:t>外資</w:t>
      </w:r>
      <w:r w:rsidRPr="003B6B9A">
        <w:rPr>
          <w:rFonts w:ascii="Times New Roman" w:eastAsia="標楷體"/>
          <w:spacing w:val="-2"/>
          <w:sz w:val="28"/>
        </w:rPr>
        <w:t>企</w:t>
      </w:r>
      <w:r w:rsidRPr="003B6B9A">
        <w:rPr>
          <w:rFonts w:ascii="Times New Roman" w:eastAsia="標楷體" w:hint="eastAsia"/>
          <w:spacing w:val="-2"/>
          <w:sz w:val="28"/>
        </w:rPr>
        <w:t>業進出口總額</w:t>
      </w:r>
      <w:r w:rsidRPr="003B6B9A">
        <w:rPr>
          <w:rFonts w:ascii="Times New Roman" w:eastAsia="標楷體" w:hint="eastAsia"/>
          <w:spacing w:val="-2"/>
          <w:sz w:val="28"/>
        </w:rPr>
        <w:t>1,469</w:t>
      </w:r>
      <w:r w:rsidRPr="003B6B9A">
        <w:rPr>
          <w:rFonts w:ascii="Times New Roman" w:eastAsia="標楷體" w:hint="eastAsia"/>
          <w:spacing w:val="-2"/>
          <w:sz w:val="28"/>
        </w:rPr>
        <w:t>億美元，</w:t>
      </w:r>
      <w:r w:rsidRPr="003B6B9A">
        <w:rPr>
          <w:rFonts w:ascii="Times New Roman" w:eastAsia="標楷體" w:hint="eastAsia"/>
          <w:spacing w:val="-4"/>
          <w:sz w:val="28"/>
        </w:rPr>
        <w:t>較上年同期減少</w:t>
      </w:r>
      <w:r w:rsidRPr="003B6B9A">
        <w:rPr>
          <w:rFonts w:ascii="Times New Roman" w:eastAsia="標楷體" w:hint="eastAsia"/>
          <w:spacing w:val="-2"/>
          <w:sz w:val="28"/>
        </w:rPr>
        <w:t>5.5%</w:t>
      </w:r>
      <w:r w:rsidRPr="003B6B9A">
        <w:rPr>
          <w:rFonts w:ascii="Times New Roman" w:eastAsia="標楷體"/>
          <w:spacing w:val="-2"/>
          <w:sz w:val="28"/>
        </w:rPr>
        <w:t>。</w:t>
      </w:r>
      <w:r w:rsidRPr="003B6B9A">
        <w:rPr>
          <w:rFonts w:ascii="Times New Roman" w:eastAsia="標楷體" w:hint="eastAsia"/>
          <w:spacing w:val="-2"/>
          <w:sz w:val="28"/>
        </w:rPr>
        <w:t>其中，出口額為</w:t>
      </w:r>
      <w:r w:rsidRPr="003B6B9A">
        <w:rPr>
          <w:rFonts w:ascii="Times New Roman" w:eastAsia="標楷體" w:hint="eastAsia"/>
          <w:spacing w:val="-2"/>
          <w:sz w:val="28"/>
        </w:rPr>
        <w:t>761</w:t>
      </w:r>
      <w:r w:rsidRPr="003B6B9A">
        <w:rPr>
          <w:rFonts w:ascii="Times New Roman" w:eastAsia="標楷體" w:hint="eastAsia"/>
          <w:spacing w:val="-2"/>
          <w:sz w:val="28"/>
        </w:rPr>
        <w:t>億美元，減少</w:t>
      </w:r>
      <w:r w:rsidRPr="003B6B9A">
        <w:rPr>
          <w:rFonts w:ascii="Times New Roman" w:eastAsia="標楷體" w:hint="eastAsia"/>
          <w:spacing w:val="-2"/>
          <w:sz w:val="28"/>
        </w:rPr>
        <w:t>8.8%</w:t>
      </w:r>
      <w:r w:rsidRPr="003B6B9A">
        <w:rPr>
          <w:rFonts w:ascii="Times New Roman" w:eastAsia="標楷體"/>
          <w:spacing w:val="-2"/>
          <w:sz w:val="28"/>
        </w:rPr>
        <w:t>，</w:t>
      </w:r>
      <w:r w:rsidRPr="003B6B9A">
        <w:rPr>
          <w:rFonts w:ascii="Times New Roman" w:eastAsia="標楷體" w:hint="eastAsia"/>
          <w:spacing w:val="-2"/>
          <w:sz w:val="28"/>
        </w:rPr>
        <w:t>占整體出口比重為</w:t>
      </w:r>
      <w:r w:rsidRPr="003B6B9A">
        <w:rPr>
          <w:rFonts w:ascii="Times New Roman" w:eastAsia="標楷體" w:hint="eastAsia"/>
          <w:spacing w:val="-2"/>
          <w:sz w:val="28"/>
        </w:rPr>
        <w:t>52.6%</w:t>
      </w:r>
      <w:r w:rsidRPr="003B6B9A">
        <w:rPr>
          <w:rFonts w:ascii="Times New Roman" w:eastAsia="標楷體" w:hint="eastAsia"/>
          <w:spacing w:val="-2"/>
          <w:sz w:val="28"/>
        </w:rPr>
        <w:t>；進口額</w:t>
      </w:r>
      <w:r w:rsidRPr="003B6B9A">
        <w:rPr>
          <w:rFonts w:ascii="Times New Roman" w:eastAsia="標楷體" w:hint="eastAsia"/>
          <w:spacing w:val="-2"/>
          <w:sz w:val="28"/>
        </w:rPr>
        <w:t>708</w:t>
      </w:r>
      <w:r w:rsidRPr="003B6B9A">
        <w:rPr>
          <w:rFonts w:ascii="Times New Roman" w:eastAsia="標楷體" w:hint="eastAsia"/>
          <w:spacing w:val="-2"/>
          <w:sz w:val="28"/>
        </w:rPr>
        <w:t>億美元，減少</w:t>
      </w:r>
      <w:r w:rsidRPr="003B6B9A">
        <w:rPr>
          <w:rFonts w:ascii="Times New Roman" w:eastAsia="標楷體" w:hint="eastAsia"/>
          <w:spacing w:val="-2"/>
          <w:sz w:val="28"/>
        </w:rPr>
        <w:t>1.6%</w:t>
      </w:r>
      <w:r w:rsidRPr="003B6B9A">
        <w:rPr>
          <w:rFonts w:ascii="Times New Roman" w:eastAsia="標楷體"/>
          <w:spacing w:val="-2"/>
          <w:sz w:val="28"/>
        </w:rPr>
        <w:t>，</w:t>
      </w:r>
      <w:r w:rsidRPr="003B6B9A">
        <w:rPr>
          <w:rFonts w:ascii="Times New Roman" w:eastAsia="標楷體" w:hint="eastAsia"/>
          <w:spacing w:val="-2"/>
          <w:sz w:val="28"/>
        </w:rPr>
        <w:t>比重為</w:t>
      </w:r>
      <w:r w:rsidRPr="003B6B9A">
        <w:rPr>
          <w:rFonts w:ascii="Times New Roman" w:eastAsia="標楷體" w:hint="eastAsia"/>
          <w:spacing w:val="-2"/>
          <w:sz w:val="28"/>
        </w:rPr>
        <w:t>50.0%</w:t>
      </w:r>
      <w:r w:rsidRPr="003B6B9A">
        <w:rPr>
          <w:rFonts w:ascii="Times New Roman" w:eastAsia="標楷體" w:hint="eastAsia"/>
          <w:sz w:val="28"/>
        </w:rPr>
        <w:t>。</w:t>
      </w:r>
    </w:p>
    <w:p w:rsidR="004B772B" w:rsidRPr="003B6B9A" w:rsidRDefault="004B772B" w:rsidP="004B772B">
      <w:pPr>
        <w:pStyle w:val="a9"/>
        <w:widowControl/>
        <w:snapToGrid w:val="0"/>
        <w:spacing w:line="300" w:lineRule="auto"/>
        <w:ind w:leftChars="139" w:left="574" w:right="-142" w:hangingChars="100" w:hanging="240"/>
        <w:jc w:val="both"/>
        <w:rPr>
          <w:rFonts w:ascii="Times New Roman" w:eastAsia="標楷體"/>
          <w:sz w:val="28"/>
        </w:rPr>
      </w:pPr>
      <w:r w:rsidRPr="003B6B9A">
        <w:rPr>
          <w:noProof/>
        </w:rPr>
        <w:drawing>
          <wp:inline distT="0" distB="0" distL="0" distR="0" wp14:anchorId="13C1CBA8" wp14:editId="0CAE9FBC">
            <wp:extent cx="5715000" cy="1600200"/>
            <wp:effectExtent l="0" t="0" r="0" b="0"/>
            <wp:docPr id="498" name="物件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4B772B" w:rsidRPr="003B6B9A" w:rsidRDefault="004B772B" w:rsidP="004B772B">
      <w:pPr>
        <w:pStyle w:val="a9"/>
        <w:widowControl/>
        <w:snapToGrid w:val="0"/>
        <w:spacing w:before="120" w:line="180" w:lineRule="auto"/>
        <w:ind w:leftChars="297" w:left="1133" w:right="-284" w:hangingChars="191" w:hanging="420"/>
        <w:rPr>
          <w:rFonts w:ascii="Times New Roman" w:eastAsia="標楷體"/>
          <w:sz w:val="22"/>
        </w:rPr>
      </w:pPr>
      <w:r w:rsidRPr="003B6B9A">
        <w:rPr>
          <w:rFonts w:ascii="Times New Roman" w:eastAsia="標楷體" w:hint="eastAsia"/>
          <w:sz w:val="22"/>
        </w:rPr>
        <w:t>註：上述國家對中國大陸投資金額包括透過維京群島、開曼群島、薩摩亞及模里西斯等地對中國大陸投資之金額。</w:t>
      </w:r>
    </w:p>
    <w:p w:rsidR="004B772B" w:rsidRPr="003B6B9A" w:rsidRDefault="004B772B" w:rsidP="004B772B">
      <w:pPr>
        <w:pStyle w:val="a9"/>
        <w:widowControl/>
        <w:snapToGrid w:val="0"/>
        <w:spacing w:before="120" w:line="180" w:lineRule="auto"/>
        <w:ind w:leftChars="297" w:left="1133" w:right="-284" w:hangingChars="191" w:hanging="420"/>
        <w:rPr>
          <w:rFonts w:ascii="Times New Roman" w:eastAsia="標楷體"/>
          <w:sz w:val="22"/>
        </w:rPr>
      </w:pPr>
    </w:p>
    <w:p w:rsidR="004B772B" w:rsidRPr="003B6B9A" w:rsidRDefault="004B772B" w:rsidP="004B772B">
      <w:pPr>
        <w:pStyle w:val="a9"/>
        <w:widowControl/>
        <w:wordWrap w:val="0"/>
        <w:snapToGrid w:val="0"/>
        <w:spacing w:before="120" w:line="180" w:lineRule="auto"/>
        <w:ind w:leftChars="297" w:left="993" w:right="-284" w:hangingChars="100" w:hanging="280"/>
        <w:jc w:val="right"/>
        <w:rPr>
          <w:rFonts w:ascii="Times New Roman" w:eastAsia="標楷體"/>
        </w:rPr>
      </w:pPr>
      <w:r w:rsidRPr="003B6B9A">
        <w:rPr>
          <w:rFonts w:ascii="Times New Roman" w:eastAsia="標楷體" w:hAnsi="標楷體" w:hint="eastAsia"/>
          <w:b/>
          <w:bCs/>
          <w:sz w:val="28"/>
        </w:rPr>
        <w:t xml:space="preserve">     </w:t>
      </w:r>
      <w:r w:rsidRPr="003B6B9A">
        <w:rPr>
          <w:rFonts w:ascii="Times New Roman" w:eastAsia="標楷體" w:hAnsi="標楷體" w:hint="eastAsia"/>
          <w:b/>
          <w:bCs/>
          <w:sz w:val="28"/>
        </w:rPr>
        <w:t>表</w:t>
      </w:r>
      <w:r w:rsidRPr="003B6B9A">
        <w:rPr>
          <w:rFonts w:ascii="Times New Roman" w:eastAsia="標楷體"/>
          <w:b/>
          <w:bCs/>
          <w:sz w:val="28"/>
        </w:rPr>
        <w:t xml:space="preserve">3-2  </w:t>
      </w:r>
      <w:r w:rsidRPr="003B6B9A">
        <w:rPr>
          <w:rFonts w:ascii="Times New Roman" w:eastAsia="標楷體" w:hAnsi="標楷體" w:hint="eastAsia"/>
          <w:b/>
          <w:bCs/>
          <w:sz w:val="28"/>
        </w:rPr>
        <w:t>中國大陸外資統計表</w:t>
      </w:r>
      <w:r w:rsidRPr="003B6B9A">
        <w:rPr>
          <w:rFonts w:ascii="Times New Roman" w:eastAsia="標楷體"/>
          <w:b/>
          <w:bCs/>
          <w:sz w:val="28"/>
        </w:rPr>
        <w:t xml:space="preserve">   </w:t>
      </w:r>
      <w:r w:rsidRPr="003B6B9A">
        <w:rPr>
          <w:rFonts w:ascii="Times New Roman" w:eastAsia="標楷體" w:hint="eastAsia"/>
          <w:b/>
          <w:bCs/>
          <w:sz w:val="28"/>
        </w:rPr>
        <w:t xml:space="preserve">       </w:t>
      </w:r>
      <w:r w:rsidRPr="003B6B9A">
        <w:rPr>
          <w:rFonts w:ascii="Times New Roman" w:eastAsia="標楷體"/>
          <w:b/>
          <w:bCs/>
          <w:sz w:val="28"/>
        </w:rPr>
        <w:t xml:space="preserve"> </w:t>
      </w:r>
      <w:r w:rsidRPr="003B6B9A">
        <w:rPr>
          <w:rFonts w:ascii="Times New Roman" w:eastAsia="標楷體"/>
        </w:rPr>
        <w:t xml:space="preserve"> </w:t>
      </w:r>
      <w:r w:rsidRPr="003B6B9A">
        <w:rPr>
          <w:rFonts w:ascii="Times New Roman" w:eastAsia="標楷體" w:hAnsi="標楷體" w:hint="eastAsia"/>
        </w:rPr>
        <w:t>單位：億美元；</w:t>
      </w:r>
      <w:r w:rsidRPr="003B6B9A">
        <w:rPr>
          <w:rFonts w:ascii="Times New Roman" w:eastAsia="標楷體" w:hAnsi="標楷體" w:hint="eastAsia"/>
        </w:rPr>
        <w:t>%</w:t>
      </w:r>
    </w:p>
    <w:tbl>
      <w:tblPr>
        <w:tblW w:w="9899"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76"/>
        <w:gridCol w:w="1009"/>
        <w:gridCol w:w="1132"/>
        <w:gridCol w:w="1132"/>
        <w:gridCol w:w="1236"/>
        <w:gridCol w:w="1273"/>
        <w:gridCol w:w="1333"/>
        <w:gridCol w:w="1108"/>
      </w:tblGrid>
      <w:tr w:rsidR="004B772B" w:rsidRPr="003B6B9A" w:rsidTr="001040FB">
        <w:trPr>
          <w:cantSplit/>
          <w:trHeight w:val="234"/>
        </w:trPr>
        <w:tc>
          <w:tcPr>
            <w:tcW w:w="1676" w:type="dxa"/>
            <w:vMerge w:val="restart"/>
            <w:tcBorders>
              <w:left w:val="nil"/>
            </w:tcBorders>
          </w:tcPr>
          <w:p w:rsidR="004B772B" w:rsidRPr="003B6B9A" w:rsidRDefault="004B772B" w:rsidP="004B772B">
            <w:pPr>
              <w:snapToGrid w:val="0"/>
              <w:spacing w:beforeLines="50" w:before="180" w:line="240" w:lineRule="atLeast"/>
              <w:ind w:left="-28"/>
              <w:jc w:val="center"/>
              <w:rPr>
                <w:rFonts w:eastAsia="標楷體"/>
              </w:rPr>
            </w:pPr>
            <w:r w:rsidRPr="003B6B9A">
              <w:rPr>
                <w:rFonts w:eastAsia="標楷體" w:hAnsi="標楷體" w:hint="eastAsia"/>
              </w:rPr>
              <w:t>年（月）別</w:t>
            </w:r>
          </w:p>
        </w:tc>
        <w:tc>
          <w:tcPr>
            <w:tcW w:w="1009" w:type="dxa"/>
            <w:vMerge w:val="restart"/>
            <w:vAlign w:val="center"/>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新批設</w:t>
            </w:r>
          </w:p>
          <w:p w:rsidR="004B772B" w:rsidRPr="003B6B9A" w:rsidRDefault="004B772B" w:rsidP="001040FB">
            <w:pPr>
              <w:snapToGrid w:val="0"/>
              <w:spacing w:line="240" w:lineRule="atLeast"/>
              <w:jc w:val="center"/>
              <w:rPr>
                <w:rFonts w:eastAsia="標楷體"/>
              </w:rPr>
            </w:pPr>
            <w:r w:rsidRPr="003B6B9A">
              <w:rPr>
                <w:rFonts w:eastAsia="標楷體" w:hAnsi="標楷體" w:hint="eastAsia"/>
              </w:rPr>
              <w:t>家數</w:t>
            </w:r>
          </w:p>
        </w:tc>
        <w:tc>
          <w:tcPr>
            <w:tcW w:w="2264" w:type="dxa"/>
            <w:gridSpan w:val="2"/>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實際利用外資</w:t>
            </w:r>
          </w:p>
        </w:tc>
        <w:tc>
          <w:tcPr>
            <w:tcW w:w="4950" w:type="dxa"/>
            <w:gridSpan w:val="4"/>
            <w:tcBorders>
              <w:right w:val="nil"/>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外資企業</w:t>
            </w:r>
          </w:p>
        </w:tc>
      </w:tr>
      <w:tr w:rsidR="004B772B" w:rsidRPr="003B6B9A" w:rsidTr="001040FB">
        <w:trPr>
          <w:cantSplit/>
          <w:trHeight w:val="170"/>
        </w:trPr>
        <w:tc>
          <w:tcPr>
            <w:tcW w:w="1676" w:type="dxa"/>
            <w:vMerge/>
            <w:tcBorders>
              <w:left w:val="nil"/>
              <w:bottom w:val="single" w:sz="4" w:space="0" w:color="auto"/>
            </w:tcBorders>
          </w:tcPr>
          <w:p w:rsidR="004B772B" w:rsidRPr="003B6B9A" w:rsidRDefault="004B772B" w:rsidP="001040FB">
            <w:pPr>
              <w:snapToGrid w:val="0"/>
              <w:spacing w:line="240" w:lineRule="atLeast"/>
              <w:ind w:left="-28"/>
              <w:jc w:val="center"/>
              <w:rPr>
                <w:rFonts w:eastAsia="標楷體"/>
              </w:rPr>
            </w:pPr>
          </w:p>
        </w:tc>
        <w:tc>
          <w:tcPr>
            <w:tcW w:w="1009" w:type="dxa"/>
            <w:vMerge/>
            <w:tcBorders>
              <w:bottom w:val="single" w:sz="4" w:space="0" w:color="auto"/>
            </w:tcBorders>
          </w:tcPr>
          <w:p w:rsidR="004B772B" w:rsidRPr="003B6B9A" w:rsidRDefault="004B772B" w:rsidP="001040FB">
            <w:pPr>
              <w:snapToGrid w:val="0"/>
              <w:spacing w:line="240" w:lineRule="atLeast"/>
              <w:jc w:val="center"/>
              <w:rPr>
                <w:rFonts w:eastAsia="標楷體"/>
              </w:rPr>
            </w:pPr>
          </w:p>
        </w:tc>
        <w:tc>
          <w:tcPr>
            <w:tcW w:w="1132" w:type="dxa"/>
            <w:tcBorders>
              <w:bottom w:val="single" w:sz="4" w:space="0" w:color="auto"/>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金額</w:t>
            </w:r>
          </w:p>
        </w:tc>
        <w:tc>
          <w:tcPr>
            <w:tcW w:w="1132" w:type="dxa"/>
            <w:tcBorders>
              <w:bottom w:val="single" w:sz="4" w:space="0" w:color="auto"/>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年增率</w:t>
            </w:r>
          </w:p>
        </w:tc>
        <w:tc>
          <w:tcPr>
            <w:tcW w:w="1236" w:type="dxa"/>
            <w:tcBorders>
              <w:bottom w:val="single" w:sz="4" w:space="0" w:color="auto"/>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出口金額</w:t>
            </w:r>
          </w:p>
        </w:tc>
        <w:tc>
          <w:tcPr>
            <w:tcW w:w="1273" w:type="dxa"/>
            <w:tcBorders>
              <w:bottom w:val="single" w:sz="4" w:space="0" w:color="auto"/>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年增率</w:t>
            </w:r>
          </w:p>
        </w:tc>
        <w:tc>
          <w:tcPr>
            <w:tcW w:w="1333" w:type="dxa"/>
            <w:tcBorders>
              <w:bottom w:val="single" w:sz="4" w:space="0" w:color="auto"/>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進口金額</w:t>
            </w:r>
          </w:p>
        </w:tc>
        <w:tc>
          <w:tcPr>
            <w:tcW w:w="1108" w:type="dxa"/>
            <w:tcBorders>
              <w:bottom w:val="single" w:sz="4" w:space="0" w:color="auto"/>
              <w:right w:val="nil"/>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年增率</w:t>
            </w:r>
          </w:p>
        </w:tc>
      </w:tr>
      <w:tr w:rsidR="004B772B" w:rsidRPr="003B6B9A" w:rsidTr="001040FB">
        <w:trPr>
          <w:trHeight w:val="320"/>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2010</w:t>
            </w:r>
            <w:r w:rsidRPr="003B6B9A">
              <w:rPr>
                <w:rFonts w:eastAsia="標楷體" w:hint="eastAsia"/>
              </w:rPr>
              <w:t>年</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27,406</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1,057.4</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17.4</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8,623.1</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28.3</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7,380.0</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35.3</w:t>
            </w:r>
          </w:p>
        </w:tc>
      </w:tr>
      <w:tr w:rsidR="004B772B" w:rsidRPr="003B6B9A" w:rsidTr="001040FB">
        <w:trPr>
          <w:trHeight w:val="320"/>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2011</w:t>
            </w:r>
            <w:r w:rsidRPr="003B6B9A">
              <w:rPr>
                <w:rFonts w:eastAsia="標楷體" w:hint="eastAsia"/>
              </w:rPr>
              <w:t>年</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27,712</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1,160.1</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9.7</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9,953.3</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15.4</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8,646.3</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17.2</w:t>
            </w:r>
          </w:p>
        </w:tc>
      </w:tr>
      <w:tr w:rsidR="004B772B" w:rsidRPr="003B6B9A" w:rsidTr="001040FB">
        <w:trPr>
          <w:trHeight w:val="320"/>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2012</w:t>
            </w:r>
            <w:r w:rsidRPr="003B6B9A">
              <w:rPr>
                <w:rFonts w:eastAsia="標楷體" w:hint="eastAsia"/>
              </w:rPr>
              <w:t>年</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24,925</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1,117.2</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-3.7</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10,227.5</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2.8</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8,712.5</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0.7</w:t>
            </w:r>
          </w:p>
        </w:tc>
      </w:tr>
      <w:tr w:rsidR="004B772B" w:rsidRPr="003B6B9A" w:rsidTr="001040FB">
        <w:trPr>
          <w:trHeight w:val="320"/>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2013</w:t>
            </w:r>
            <w:r w:rsidRPr="003B6B9A">
              <w:rPr>
                <w:rFonts w:eastAsia="標楷體" w:hint="eastAsia"/>
              </w:rPr>
              <w:t>年</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22,773</w:t>
            </w:r>
          </w:p>
        </w:tc>
        <w:tc>
          <w:tcPr>
            <w:tcW w:w="1132"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1,175.9</w:t>
            </w:r>
          </w:p>
        </w:tc>
        <w:tc>
          <w:tcPr>
            <w:tcW w:w="1132"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5.3</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10,442.7</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2.1</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8,748.2</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0.4</w:t>
            </w:r>
          </w:p>
        </w:tc>
      </w:tr>
      <w:tr w:rsidR="004B772B" w:rsidRPr="003B6B9A" w:rsidTr="001040FB">
        <w:trPr>
          <w:trHeight w:val="320"/>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2014</w:t>
            </w:r>
            <w:r w:rsidRPr="003B6B9A">
              <w:rPr>
                <w:rFonts w:eastAsia="標楷體" w:hint="eastAsia"/>
              </w:rPr>
              <w:t>年</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23,778</w:t>
            </w:r>
          </w:p>
        </w:tc>
        <w:tc>
          <w:tcPr>
            <w:tcW w:w="1132"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1,195.6</w:t>
            </w:r>
          </w:p>
        </w:tc>
        <w:tc>
          <w:tcPr>
            <w:tcW w:w="1132"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1.7</w:t>
            </w:r>
          </w:p>
        </w:tc>
        <w:tc>
          <w:tcPr>
            <w:tcW w:w="1236"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10,747.0</w:t>
            </w:r>
          </w:p>
        </w:tc>
        <w:tc>
          <w:tcPr>
            <w:tcW w:w="1273" w:type="dxa"/>
            <w:tcBorders>
              <w:top w:val="nil"/>
              <w:left w:val="nil"/>
              <w:bottom w:val="nil"/>
              <w:right w:val="single" w:sz="4" w:space="0" w:color="auto"/>
            </w:tcBorders>
            <w:vAlign w:val="center"/>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2.9</w:t>
            </w:r>
          </w:p>
        </w:tc>
        <w:tc>
          <w:tcPr>
            <w:tcW w:w="133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9,093.0</w:t>
            </w:r>
          </w:p>
        </w:tc>
        <w:tc>
          <w:tcPr>
            <w:tcW w:w="1108" w:type="dxa"/>
            <w:tcBorders>
              <w:top w:val="nil"/>
              <w:left w:val="nil"/>
              <w:bottom w:val="nil"/>
              <w:right w:val="nil"/>
            </w:tcBorders>
            <w:vAlign w:val="center"/>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3.9</w:t>
            </w:r>
          </w:p>
        </w:tc>
      </w:tr>
      <w:tr w:rsidR="004B772B" w:rsidRPr="003B6B9A" w:rsidTr="001040FB">
        <w:trPr>
          <w:trHeight w:val="265"/>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3</w:t>
            </w:r>
            <w:r w:rsidRPr="003B6B9A">
              <w:rPr>
                <w:rFonts w:eastAsia="標楷體" w:hint="eastAsia"/>
              </w:rPr>
              <w:t>月</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2,023</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122.4</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-1.5</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834.4</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-3.7</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719.3</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-1.5</w:t>
            </w:r>
          </w:p>
        </w:tc>
      </w:tr>
      <w:tr w:rsidR="004B772B" w:rsidRPr="003B6B9A" w:rsidTr="001040FB">
        <w:trPr>
          <w:trHeight w:val="265"/>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4</w:t>
            </w:r>
            <w:r w:rsidRPr="003B6B9A">
              <w:rPr>
                <w:rFonts w:eastAsia="標楷體" w:hint="eastAsia"/>
              </w:rPr>
              <w:t>月</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1,874</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87.0</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3.4</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874.4</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4.2</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775.4</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8.8</w:t>
            </w:r>
          </w:p>
        </w:tc>
      </w:tr>
      <w:tr w:rsidR="004B772B" w:rsidRPr="003B6B9A" w:rsidTr="001040FB">
        <w:trPr>
          <w:trHeight w:val="265"/>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5</w:t>
            </w:r>
            <w:r w:rsidRPr="003B6B9A">
              <w:rPr>
                <w:rFonts w:eastAsia="標楷體" w:hint="eastAsia"/>
              </w:rPr>
              <w:t>月</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2,083</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86.4</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-6.7</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894.6</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3.2</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738.9</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-1.6</w:t>
            </w:r>
          </w:p>
        </w:tc>
      </w:tr>
      <w:tr w:rsidR="004B772B" w:rsidRPr="003B6B9A" w:rsidTr="001040FB">
        <w:trPr>
          <w:trHeight w:val="265"/>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6</w:t>
            </w:r>
            <w:r w:rsidRPr="003B6B9A">
              <w:rPr>
                <w:rFonts w:eastAsia="標楷體" w:hint="eastAsia"/>
              </w:rPr>
              <w:t>月</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2,229</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144.2</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0.2</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835.5</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0.9</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728.9</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7.4</w:t>
            </w:r>
          </w:p>
        </w:tc>
      </w:tr>
      <w:tr w:rsidR="004B772B" w:rsidRPr="003B6B9A" w:rsidTr="001040FB">
        <w:trPr>
          <w:trHeight w:val="265"/>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7</w:t>
            </w:r>
            <w:r w:rsidRPr="003B6B9A">
              <w:rPr>
                <w:rFonts w:eastAsia="標楷體" w:hint="eastAsia"/>
              </w:rPr>
              <w:t>月</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2,276</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78.1</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-17.0</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933.7</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8.6</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776.4</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2.1</w:t>
            </w:r>
          </w:p>
        </w:tc>
      </w:tr>
      <w:tr w:rsidR="004B772B" w:rsidRPr="003B6B9A" w:rsidTr="001040FB">
        <w:trPr>
          <w:trHeight w:val="265"/>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8</w:t>
            </w:r>
            <w:r w:rsidRPr="003B6B9A">
              <w:rPr>
                <w:rFonts w:eastAsia="標楷體" w:hint="eastAsia"/>
              </w:rPr>
              <w:t>月</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1,951</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72.0</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-14.0</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907.7</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0.3</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762.0</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-0.3</w:t>
            </w:r>
          </w:p>
        </w:tc>
      </w:tr>
      <w:tr w:rsidR="004B772B" w:rsidRPr="003B6B9A" w:rsidTr="001040FB">
        <w:trPr>
          <w:trHeight w:val="265"/>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9</w:t>
            </w:r>
            <w:r w:rsidRPr="003B6B9A">
              <w:rPr>
                <w:rFonts w:eastAsia="標楷體" w:hint="eastAsia"/>
              </w:rPr>
              <w:t>月</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2,047</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90.1</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1.9</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950.0</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6.2</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862.0</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8.9</w:t>
            </w:r>
          </w:p>
        </w:tc>
      </w:tr>
      <w:tr w:rsidR="004B772B" w:rsidRPr="003B6B9A" w:rsidTr="001040FB">
        <w:trPr>
          <w:trHeight w:val="265"/>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10</w:t>
            </w:r>
            <w:r w:rsidRPr="003B6B9A">
              <w:rPr>
                <w:rFonts w:eastAsia="標楷體" w:hint="eastAsia"/>
              </w:rPr>
              <w:t>月</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1,992</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85.3</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1.3</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954.2</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7.4</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777.0</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9.6</w:t>
            </w:r>
          </w:p>
        </w:tc>
      </w:tr>
      <w:tr w:rsidR="004B772B" w:rsidRPr="003B6B9A" w:rsidTr="001040FB">
        <w:trPr>
          <w:trHeight w:val="265"/>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11</w:t>
            </w:r>
            <w:r w:rsidRPr="003B6B9A">
              <w:rPr>
                <w:rFonts w:eastAsia="標楷體" w:hint="eastAsia"/>
              </w:rPr>
              <w:t>月</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2,057</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103.6</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22.2</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994.0</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0.3</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733.0</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-6.5</w:t>
            </w:r>
          </w:p>
        </w:tc>
      </w:tr>
      <w:tr w:rsidR="004B772B" w:rsidRPr="003B6B9A" w:rsidTr="001040FB">
        <w:trPr>
          <w:trHeight w:val="265"/>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12</w:t>
            </w:r>
            <w:r w:rsidRPr="003B6B9A">
              <w:rPr>
                <w:rFonts w:eastAsia="標楷體" w:hint="eastAsia"/>
              </w:rPr>
              <w:t>月</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2,482</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133.2</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10.3</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1,036.0</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7.4</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856.0</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4.0</w:t>
            </w:r>
          </w:p>
        </w:tc>
      </w:tr>
      <w:tr w:rsidR="004B772B" w:rsidRPr="003B6B9A" w:rsidTr="001040FB">
        <w:trPr>
          <w:trHeight w:val="265"/>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2015</w:t>
            </w:r>
            <w:r w:rsidRPr="003B6B9A">
              <w:rPr>
                <w:rFonts w:eastAsia="標楷體" w:hint="eastAsia"/>
              </w:rPr>
              <w:t>年</w:t>
            </w:r>
            <w:r w:rsidRPr="003B6B9A">
              <w:rPr>
                <w:rFonts w:eastAsia="標楷體" w:hint="eastAsia"/>
              </w:rPr>
              <w:t>1~3</w:t>
            </w:r>
            <w:r w:rsidRPr="003B6B9A">
              <w:rPr>
                <w:rFonts w:eastAsia="標楷體" w:hint="eastAsia"/>
              </w:rPr>
              <w:t>月</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5,861</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348.8</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10.6</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2,348.0</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-0.8</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1,962.0</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-5.8</w:t>
            </w:r>
          </w:p>
        </w:tc>
      </w:tr>
      <w:tr w:rsidR="004B772B" w:rsidRPr="003B6B9A" w:rsidTr="001040FB">
        <w:trPr>
          <w:trHeight w:val="265"/>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1</w:t>
            </w:r>
            <w:r w:rsidRPr="003B6B9A">
              <w:rPr>
                <w:rFonts w:eastAsia="標楷體" w:hint="eastAsia"/>
              </w:rPr>
              <w:t>月</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2,266</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139.2</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29.4</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855.0</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-6.9</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693.0</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-9.0</w:t>
            </w:r>
          </w:p>
        </w:tc>
      </w:tr>
      <w:tr w:rsidR="004B772B" w:rsidRPr="003B6B9A" w:rsidTr="001040FB">
        <w:trPr>
          <w:trHeight w:val="265"/>
        </w:trPr>
        <w:tc>
          <w:tcPr>
            <w:tcW w:w="1676"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w:t>
            </w:r>
            <w:r w:rsidRPr="003B6B9A">
              <w:rPr>
                <w:rFonts w:eastAsia="標楷體" w:hint="eastAsia"/>
              </w:rPr>
              <w:t>月</w:t>
            </w:r>
          </w:p>
        </w:tc>
        <w:tc>
          <w:tcPr>
            <w:tcW w:w="1009" w:type="dxa"/>
            <w:tcBorders>
              <w:top w:val="nil"/>
              <w:left w:val="single" w:sz="4" w:space="0" w:color="auto"/>
              <w:bottom w:val="nil"/>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1,565</w:t>
            </w:r>
          </w:p>
        </w:tc>
        <w:tc>
          <w:tcPr>
            <w:tcW w:w="1132" w:type="dxa"/>
            <w:tcBorders>
              <w:top w:val="nil"/>
              <w:left w:val="single" w:sz="4" w:space="0" w:color="auto"/>
              <w:bottom w:val="nil"/>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85.6</w:t>
            </w:r>
          </w:p>
        </w:tc>
        <w:tc>
          <w:tcPr>
            <w:tcW w:w="1132" w:type="dxa"/>
            <w:tcBorders>
              <w:top w:val="nil"/>
              <w:left w:val="nil"/>
              <w:bottom w:val="nil"/>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0.1</w:t>
            </w:r>
          </w:p>
        </w:tc>
        <w:tc>
          <w:tcPr>
            <w:tcW w:w="1236" w:type="dxa"/>
            <w:tcBorders>
              <w:top w:val="nil"/>
              <w:left w:val="single" w:sz="4" w:space="0" w:color="auto"/>
              <w:bottom w:val="nil"/>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732.0</w:t>
            </w:r>
          </w:p>
        </w:tc>
        <w:tc>
          <w:tcPr>
            <w:tcW w:w="1273" w:type="dxa"/>
            <w:tcBorders>
              <w:top w:val="nil"/>
              <w:left w:val="nil"/>
              <w:bottom w:val="nil"/>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19.2</w:t>
            </w:r>
          </w:p>
        </w:tc>
        <w:tc>
          <w:tcPr>
            <w:tcW w:w="1333" w:type="dxa"/>
            <w:tcBorders>
              <w:top w:val="nil"/>
              <w:left w:val="single" w:sz="4" w:space="0" w:color="auto"/>
              <w:bottom w:val="nil"/>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561.0</w:t>
            </w:r>
          </w:p>
        </w:tc>
        <w:tc>
          <w:tcPr>
            <w:tcW w:w="1108" w:type="dxa"/>
            <w:tcBorders>
              <w:top w:val="nil"/>
              <w:left w:val="nil"/>
              <w:bottom w:val="nil"/>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-6.9</w:t>
            </w:r>
          </w:p>
        </w:tc>
      </w:tr>
      <w:tr w:rsidR="004B772B" w:rsidRPr="003B6B9A" w:rsidTr="001040FB">
        <w:trPr>
          <w:trHeight w:val="265"/>
        </w:trPr>
        <w:tc>
          <w:tcPr>
            <w:tcW w:w="1676" w:type="dxa"/>
            <w:tcBorders>
              <w:top w:val="nil"/>
              <w:left w:val="nil"/>
              <w:bottom w:val="single" w:sz="4" w:space="0" w:color="auto"/>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3</w:t>
            </w:r>
            <w:r w:rsidRPr="003B6B9A">
              <w:rPr>
                <w:rFonts w:eastAsia="標楷體" w:hint="eastAsia"/>
              </w:rPr>
              <w:t>月</w:t>
            </w:r>
          </w:p>
        </w:tc>
        <w:tc>
          <w:tcPr>
            <w:tcW w:w="1009" w:type="dxa"/>
            <w:tcBorders>
              <w:top w:val="nil"/>
              <w:left w:val="single" w:sz="4" w:space="0" w:color="auto"/>
              <w:bottom w:val="single" w:sz="4" w:space="0" w:color="auto"/>
              <w:right w:val="single" w:sz="4" w:space="0" w:color="auto"/>
            </w:tcBorders>
            <w:vAlign w:val="center"/>
          </w:tcPr>
          <w:p w:rsidR="004B772B" w:rsidRPr="003B6B9A" w:rsidRDefault="004B772B" w:rsidP="001040FB">
            <w:pPr>
              <w:snapToGrid w:val="0"/>
              <w:spacing w:line="280" w:lineRule="exact"/>
              <w:ind w:left="-28"/>
              <w:jc w:val="center"/>
              <w:rPr>
                <w:rFonts w:eastAsia="標楷體"/>
              </w:rPr>
            </w:pPr>
            <w:r w:rsidRPr="003B6B9A">
              <w:rPr>
                <w:rFonts w:eastAsia="標楷體" w:hint="eastAsia"/>
              </w:rPr>
              <w:t>2,030</w:t>
            </w:r>
          </w:p>
        </w:tc>
        <w:tc>
          <w:tcPr>
            <w:tcW w:w="1132" w:type="dxa"/>
            <w:tcBorders>
              <w:top w:val="nil"/>
              <w:left w:val="single" w:sz="4" w:space="0" w:color="auto"/>
              <w:bottom w:val="single" w:sz="4" w:space="0" w:color="auto"/>
              <w:right w:val="nil"/>
            </w:tcBorders>
          </w:tcPr>
          <w:p w:rsidR="004B772B" w:rsidRPr="003B6B9A" w:rsidRDefault="004B772B" w:rsidP="001040FB">
            <w:pPr>
              <w:snapToGrid w:val="0"/>
              <w:spacing w:line="280" w:lineRule="exact"/>
              <w:ind w:left="-28" w:rightChars="67" w:right="161"/>
              <w:jc w:val="right"/>
              <w:rPr>
                <w:rFonts w:eastAsia="標楷體"/>
              </w:rPr>
            </w:pPr>
            <w:r w:rsidRPr="003B6B9A">
              <w:rPr>
                <w:rFonts w:eastAsia="標楷體" w:hint="eastAsia"/>
              </w:rPr>
              <w:t>124.0</w:t>
            </w:r>
          </w:p>
        </w:tc>
        <w:tc>
          <w:tcPr>
            <w:tcW w:w="1132" w:type="dxa"/>
            <w:tcBorders>
              <w:top w:val="nil"/>
              <w:left w:val="nil"/>
              <w:bottom w:val="single" w:sz="4" w:space="0" w:color="auto"/>
              <w:right w:val="single" w:sz="4" w:space="0" w:color="auto"/>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1.3</w:t>
            </w:r>
          </w:p>
        </w:tc>
        <w:tc>
          <w:tcPr>
            <w:tcW w:w="1236" w:type="dxa"/>
            <w:tcBorders>
              <w:top w:val="nil"/>
              <w:left w:val="single" w:sz="4" w:space="0" w:color="auto"/>
              <w:bottom w:val="single" w:sz="4" w:space="0" w:color="auto"/>
              <w:right w:val="nil"/>
            </w:tcBorders>
          </w:tcPr>
          <w:p w:rsidR="004B772B" w:rsidRPr="003B6B9A" w:rsidRDefault="004B772B" w:rsidP="001040FB">
            <w:pPr>
              <w:snapToGrid w:val="0"/>
              <w:spacing w:line="280" w:lineRule="exact"/>
              <w:ind w:left="-28" w:rightChars="57" w:right="137"/>
              <w:jc w:val="right"/>
              <w:rPr>
                <w:rFonts w:eastAsia="標楷體"/>
              </w:rPr>
            </w:pPr>
            <w:r w:rsidRPr="003B6B9A">
              <w:rPr>
                <w:rFonts w:eastAsia="標楷體" w:hint="eastAsia"/>
              </w:rPr>
              <w:t>761.0</w:t>
            </w:r>
          </w:p>
        </w:tc>
        <w:tc>
          <w:tcPr>
            <w:tcW w:w="1273" w:type="dxa"/>
            <w:tcBorders>
              <w:top w:val="nil"/>
              <w:left w:val="nil"/>
              <w:bottom w:val="single" w:sz="4" w:space="0" w:color="auto"/>
              <w:right w:val="single" w:sz="4" w:space="0" w:color="auto"/>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-8.8</w:t>
            </w:r>
          </w:p>
        </w:tc>
        <w:tc>
          <w:tcPr>
            <w:tcW w:w="1333" w:type="dxa"/>
            <w:tcBorders>
              <w:top w:val="nil"/>
              <w:left w:val="single" w:sz="4" w:space="0" w:color="auto"/>
              <w:bottom w:val="single" w:sz="4" w:space="0" w:color="auto"/>
              <w:right w:val="nil"/>
            </w:tcBorders>
          </w:tcPr>
          <w:p w:rsidR="004B772B" w:rsidRPr="003B6B9A" w:rsidRDefault="004B772B" w:rsidP="001040FB">
            <w:pPr>
              <w:snapToGrid w:val="0"/>
              <w:spacing w:line="280" w:lineRule="exact"/>
              <w:ind w:left="-28" w:rightChars="110" w:right="264"/>
              <w:jc w:val="right"/>
              <w:rPr>
                <w:rFonts w:eastAsia="標楷體"/>
              </w:rPr>
            </w:pPr>
            <w:r w:rsidRPr="003B6B9A">
              <w:rPr>
                <w:rFonts w:eastAsia="標楷體" w:hint="eastAsia"/>
              </w:rPr>
              <w:t>708.0</w:t>
            </w:r>
          </w:p>
        </w:tc>
        <w:tc>
          <w:tcPr>
            <w:tcW w:w="1108" w:type="dxa"/>
            <w:tcBorders>
              <w:top w:val="nil"/>
              <w:left w:val="nil"/>
              <w:bottom w:val="single" w:sz="4" w:space="0" w:color="auto"/>
              <w:right w:val="nil"/>
            </w:tcBorders>
          </w:tcPr>
          <w:p w:rsidR="004B772B" w:rsidRPr="003B6B9A" w:rsidRDefault="004B772B" w:rsidP="001040FB">
            <w:pPr>
              <w:snapToGrid w:val="0"/>
              <w:spacing w:line="280" w:lineRule="exact"/>
              <w:ind w:rightChars="110" w:right="264"/>
              <w:jc w:val="right"/>
              <w:rPr>
                <w:rFonts w:eastAsia="標楷體"/>
              </w:rPr>
            </w:pPr>
            <w:r w:rsidRPr="003B6B9A">
              <w:rPr>
                <w:rFonts w:eastAsia="標楷體" w:hint="eastAsia"/>
              </w:rPr>
              <w:t>-1.6</w:t>
            </w:r>
          </w:p>
        </w:tc>
      </w:tr>
    </w:tbl>
    <w:p w:rsidR="004B772B" w:rsidRPr="003B6B9A" w:rsidRDefault="004B772B" w:rsidP="004B772B">
      <w:pPr>
        <w:snapToGrid w:val="0"/>
        <w:spacing w:line="200" w:lineRule="atLeast"/>
        <w:ind w:left="280" w:right="-1197" w:hanging="461"/>
        <w:jc w:val="both"/>
        <w:rPr>
          <w:rFonts w:eastAsia="標楷體"/>
          <w:sz w:val="22"/>
        </w:rPr>
      </w:pPr>
      <w:r w:rsidRPr="003B6B9A">
        <w:rPr>
          <w:rFonts w:eastAsia="標楷體"/>
          <w:sz w:val="22"/>
        </w:rPr>
        <w:t>註：</w:t>
      </w:r>
      <w:r w:rsidRPr="003B6B9A">
        <w:rPr>
          <w:rFonts w:eastAsia="標楷體" w:hint="eastAsia"/>
          <w:sz w:val="22"/>
        </w:rPr>
        <w:t>2007</w:t>
      </w:r>
      <w:r w:rsidRPr="003B6B9A">
        <w:rPr>
          <w:rFonts w:eastAsia="標楷體" w:hint="eastAsia"/>
          <w:sz w:val="22"/>
        </w:rPr>
        <w:t>年起實際利用外資為非金融領域金額。</w:t>
      </w:r>
    </w:p>
    <w:p w:rsidR="004B772B" w:rsidRPr="003B6B9A" w:rsidRDefault="004B772B" w:rsidP="004B772B">
      <w:pPr>
        <w:snapToGrid w:val="0"/>
        <w:spacing w:line="200" w:lineRule="atLeast"/>
        <w:ind w:left="1701" w:right="-539" w:hanging="1882"/>
        <w:jc w:val="both"/>
        <w:rPr>
          <w:b/>
          <w:bCs/>
        </w:rPr>
      </w:pPr>
      <w:r w:rsidRPr="003B6B9A">
        <w:rPr>
          <w:rFonts w:eastAsia="標楷體" w:hAnsi="標楷體" w:hint="eastAsia"/>
          <w:sz w:val="22"/>
        </w:rPr>
        <w:t>資料來源：中國大陸商務部。</w:t>
      </w:r>
    </w:p>
    <w:p w:rsidR="00C8198D" w:rsidRPr="00B118E9" w:rsidRDefault="008A5536" w:rsidP="00C8198D">
      <w:pPr>
        <w:pStyle w:val="t-3"/>
        <w:spacing w:line="520" w:lineRule="exact"/>
        <w:ind w:right="-60"/>
      </w:pPr>
      <w:r w:rsidRPr="00B118E9">
        <w:rPr>
          <w:b w:val="0"/>
          <w:bCs w:val="0"/>
          <w:color w:val="FF0000"/>
        </w:rPr>
        <w:br w:type="page"/>
      </w:r>
      <w:bookmarkStart w:id="158" w:name="_Toc420680048"/>
      <w:bookmarkStart w:id="159" w:name="_Toc337122140"/>
      <w:bookmarkEnd w:id="148"/>
      <w:bookmarkEnd w:id="149"/>
      <w:bookmarkEnd w:id="150"/>
      <w:bookmarkEnd w:id="154"/>
      <w:r w:rsidR="004B772B" w:rsidRPr="003B6B9A">
        <w:rPr>
          <w:b w:val="0"/>
          <w:bCs w:val="0"/>
          <w:noProof/>
          <w:sz w:val="20"/>
        </w:rPr>
        <w:drawing>
          <wp:anchor distT="0" distB="0" distL="114300" distR="114300" simplePos="0" relativeHeight="252142080" behindDoc="1" locked="0" layoutInCell="1" allowOverlap="1" wp14:anchorId="2232AF83" wp14:editId="0D84019F">
            <wp:simplePos x="0" y="0"/>
            <wp:positionH relativeFrom="column">
              <wp:posOffset>2546350</wp:posOffset>
            </wp:positionH>
            <wp:positionV relativeFrom="paragraph">
              <wp:posOffset>-360680</wp:posOffset>
            </wp:positionV>
            <wp:extent cx="3708400" cy="2787650"/>
            <wp:effectExtent l="0" t="0" r="6350" b="0"/>
            <wp:wrapSquare wrapText="bothSides"/>
            <wp:docPr id="499" name="物件 8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page">
              <wp14:pctWidth>0</wp14:pctWidth>
            </wp14:sizeRelH>
            <wp14:sizeRelV relativeFrom="page">
              <wp14:pctHeight>0</wp14:pctHeight>
            </wp14:sizeRelV>
          </wp:anchor>
        </w:drawing>
      </w:r>
      <w:r w:rsidR="00C8198D" w:rsidRPr="00B118E9">
        <w:t>（</w:t>
      </w:r>
      <w:r w:rsidR="00C8198D">
        <w:rPr>
          <w:rFonts w:hint="eastAsia"/>
        </w:rPr>
        <w:t>三</w:t>
      </w:r>
      <w:r w:rsidR="00C8198D" w:rsidRPr="00B118E9">
        <w:t>）</w:t>
      </w:r>
      <w:r w:rsidR="00C8198D">
        <w:rPr>
          <w:rFonts w:hint="eastAsia"/>
        </w:rPr>
        <w:t>對外貿易</w:t>
      </w:r>
      <w:bookmarkEnd w:id="158"/>
    </w:p>
    <w:p w:rsidR="004B772B" w:rsidRPr="003B6B9A" w:rsidRDefault="004B772B" w:rsidP="004B772B">
      <w:pPr>
        <w:snapToGrid w:val="0"/>
        <w:spacing w:before="120"/>
        <w:ind w:leftChars="150" w:left="640" w:hangingChars="100" w:hanging="280"/>
        <w:jc w:val="both"/>
        <w:rPr>
          <w:rFonts w:eastAsia="標楷體"/>
          <w:sz w:val="28"/>
          <w:szCs w:val="16"/>
        </w:rPr>
      </w:pPr>
      <w:r w:rsidRPr="003B6B9A">
        <w:rPr>
          <w:rFonts w:eastAsia="標楷體" w:hint="eastAsia"/>
          <w:sz w:val="28"/>
          <w:szCs w:val="16"/>
        </w:rPr>
        <w:t>－</w:t>
      </w:r>
      <w:r w:rsidRPr="003B6B9A">
        <w:rPr>
          <w:rFonts w:eastAsia="標楷體"/>
          <w:sz w:val="28"/>
          <w:szCs w:val="16"/>
        </w:rPr>
        <w:t>2</w:t>
      </w:r>
      <w:r w:rsidRPr="003B6B9A">
        <w:rPr>
          <w:rFonts w:eastAsia="標楷體"/>
          <w:spacing w:val="-2"/>
          <w:sz w:val="28"/>
          <w:szCs w:val="16"/>
        </w:rPr>
        <w:t>0</w:t>
      </w:r>
      <w:r w:rsidRPr="003B6B9A">
        <w:rPr>
          <w:rFonts w:eastAsia="標楷體" w:hint="eastAsia"/>
          <w:spacing w:val="-2"/>
          <w:sz w:val="28"/>
          <w:szCs w:val="16"/>
        </w:rPr>
        <w:t>15</w:t>
      </w:r>
      <w:r w:rsidRPr="003B6B9A">
        <w:rPr>
          <w:rFonts w:eastAsia="標楷體" w:hint="eastAsia"/>
          <w:spacing w:val="-2"/>
          <w:sz w:val="28"/>
          <w:szCs w:val="16"/>
        </w:rPr>
        <w:t>年</w:t>
      </w:r>
      <w:r w:rsidRPr="003B6B9A">
        <w:rPr>
          <w:rFonts w:eastAsia="標楷體" w:hint="eastAsia"/>
          <w:spacing w:val="-2"/>
          <w:sz w:val="28"/>
          <w:szCs w:val="16"/>
        </w:rPr>
        <w:t>1</w:t>
      </w:r>
      <w:r w:rsidRPr="003B6B9A">
        <w:rPr>
          <w:rFonts w:eastAsia="標楷體" w:hint="eastAsia"/>
          <w:spacing w:val="-2"/>
          <w:sz w:val="28"/>
          <w:szCs w:val="16"/>
        </w:rPr>
        <w:t>至</w:t>
      </w:r>
      <w:r w:rsidRPr="003B6B9A">
        <w:rPr>
          <w:rFonts w:eastAsia="標楷體" w:hint="eastAsia"/>
          <w:spacing w:val="-2"/>
          <w:sz w:val="28"/>
          <w:szCs w:val="16"/>
        </w:rPr>
        <w:t>4</w:t>
      </w:r>
      <w:r w:rsidRPr="003B6B9A">
        <w:rPr>
          <w:rFonts w:eastAsia="標楷體" w:hint="eastAsia"/>
          <w:spacing w:val="-2"/>
          <w:sz w:val="28"/>
          <w:szCs w:val="16"/>
        </w:rPr>
        <w:t>月中國大陸進出口總值為</w:t>
      </w:r>
      <w:r w:rsidRPr="003B6B9A">
        <w:rPr>
          <w:rFonts w:eastAsia="標楷體" w:hint="eastAsia"/>
          <w:spacing w:val="-2"/>
          <w:sz w:val="28"/>
          <w:szCs w:val="16"/>
        </w:rPr>
        <w:t>12,225.1</w:t>
      </w:r>
      <w:r w:rsidRPr="003B6B9A">
        <w:rPr>
          <w:rFonts w:eastAsia="標楷體" w:hint="eastAsia"/>
          <w:spacing w:val="-2"/>
          <w:sz w:val="28"/>
          <w:szCs w:val="16"/>
        </w:rPr>
        <w:t>億美元，較上年同期減少</w:t>
      </w:r>
      <w:r w:rsidRPr="003B6B9A">
        <w:rPr>
          <w:rFonts w:eastAsia="標楷體" w:hint="eastAsia"/>
          <w:spacing w:val="-2"/>
          <w:sz w:val="28"/>
          <w:szCs w:val="16"/>
        </w:rPr>
        <w:t>7.6%</w:t>
      </w:r>
      <w:r w:rsidRPr="003B6B9A">
        <w:rPr>
          <w:rFonts w:eastAsia="標楷體" w:hint="eastAsia"/>
          <w:spacing w:val="-2"/>
          <w:sz w:val="28"/>
          <w:szCs w:val="16"/>
        </w:rPr>
        <w:t>。其中，出口額為</w:t>
      </w:r>
      <w:r w:rsidRPr="003B6B9A">
        <w:rPr>
          <w:rFonts w:eastAsia="標楷體" w:hint="eastAsia"/>
          <w:spacing w:val="-2"/>
          <w:sz w:val="28"/>
          <w:szCs w:val="16"/>
        </w:rPr>
        <w:t>6,901.6</w:t>
      </w:r>
      <w:r w:rsidRPr="003B6B9A">
        <w:rPr>
          <w:rFonts w:eastAsia="標楷體" w:hint="eastAsia"/>
          <w:spacing w:val="-2"/>
          <w:sz w:val="28"/>
          <w:szCs w:val="16"/>
        </w:rPr>
        <w:t>億美元，增加</w:t>
      </w:r>
      <w:r w:rsidRPr="003B6B9A">
        <w:rPr>
          <w:rFonts w:eastAsia="標楷體" w:hint="eastAsia"/>
          <w:spacing w:val="-2"/>
          <w:sz w:val="28"/>
          <w:szCs w:val="16"/>
        </w:rPr>
        <w:t>1.6%</w:t>
      </w:r>
      <w:r w:rsidRPr="003B6B9A">
        <w:rPr>
          <w:rFonts w:eastAsia="標楷體" w:hint="eastAsia"/>
          <w:spacing w:val="-2"/>
          <w:sz w:val="28"/>
          <w:szCs w:val="16"/>
        </w:rPr>
        <w:t>；進口額為</w:t>
      </w:r>
      <w:r w:rsidRPr="003B6B9A">
        <w:rPr>
          <w:rFonts w:eastAsia="標楷體" w:hint="eastAsia"/>
          <w:spacing w:val="-2"/>
          <w:sz w:val="28"/>
          <w:szCs w:val="16"/>
        </w:rPr>
        <w:t>5,323.5</w:t>
      </w:r>
      <w:r w:rsidRPr="003B6B9A">
        <w:rPr>
          <w:rFonts w:eastAsia="標楷體" w:hint="eastAsia"/>
          <w:spacing w:val="-2"/>
          <w:sz w:val="28"/>
          <w:szCs w:val="16"/>
        </w:rPr>
        <w:t>億美元，減少</w:t>
      </w:r>
      <w:r w:rsidRPr="003B6B9A">
        <w:rPr>
          <w:rFonts w:eastAsia="標楷體" w:hint="eastAsia"/>
          <w:spacing w:val="-2"/>
          <w:sz w:val="28"/>
          <w:szCs w:val="16"/>
        </w:rPr>
        <w:t>17.3%</w:t>
      </w:r>
      <w:r w:rsidRPr="003B6B9A">
        <w:rPr>
          <w:rFonts w:eastAsia="標楷體" w:hint="eastAsia"/>
          <w:spacing w:val="-2"/>
          <w:sz w:val="28"/>
          <w:szCs w:val="16"/>
        </w:rPr>
        <w:t>，出超</w:t>
      </w:r>
      <w:r w:rsidRPr="003B6B9A">
        <w:rPr>
          <w:rFonts w:eastAsia="標楷體" w:hint="eastAsia"/>
          <w:spacing w:val="-2"/>
          <w:sz w:val="28"/>
          <w:szCs w:val="16"/>
        </w:rPr>
        <w:t>1,578.1</w:t>
      </w:r>
      <w:r w:rsidRPr="003B6B9A">
        <w:rPr>
          <w:rFonts w:eastAsia="標楷體" w:hint="eastAsia"/>
          <w:spacing w:val="-2"/>
          <w:sz w:val="28"/>
          <w:szCs w:val="16"/>
        </w:rPr>
        <w:t>億美元</w:t>
      </w:r>
      <w:r w:rsidRPr="003B6B9A">
        <w:rPr>
          <w:rFonts w:eastAsia="標楷體" w:hint="eastAsia"/>
          <w:sz w:val="28"/>
          <w:szCs w:val="16"/>
        </w:rPr>
        <w:t>。</w:t>
      </w:r>
    </w:p>
    <w:p w:rsidR="004B772B" w:rsidRPr="003B6B9A" w:rsidRDefault="004B772B" w:rsidP="004B772B">
      <w:pPr>
        <w:snapToGrid w:val="0"/>
        <w:spacing w:before="120"/>
        <w:ind w:leftChars="150" w:left="640" w:hangingChars="100" w:hanging="280"/>
        <w:jc w:val="both"/>
        <w:rPr>
          <w:rFonts w:eastAsia="標楷體"/>
          <w:sz w:val="28"/>
          <w:szCs w:val="16"/>
        </w:rPr>
      </w:pPr>
      <w:r w:rsidRPr="003B6B9A">
        <w:rPr>
          <w:rFonts w:eastAsia="標楷體"/>
          <w:sz w:val="28"/>
          <w:szCs w:val="16"/>
        </w:rPr>
        <w:t>－</w:t>
      </w:r>
      <w:r w:rsidRPr="003B6B9A">
        <w:rPr>
          <w:rFonts w:eastAsia="標楷體"/>
          <w:sz w:val="28"/>
          <w:szCs w:val="16"/>
        </w:rPr>
        <w:t>2</w:t>
      </w:r>
      <w:r w:rsidRPr="003B6B9A">
        <w:rPr>
          <w:rFonts w:eastAsia="標楷體"/>
          <w:spacing w:val="-2"/>
          <w:sz w:val="28"/>
          <w:szCs w:val="16"/>
        </w:rPr>
        <w:t>0</w:t>
      </w:r>
      <w:r w:rsidRPr="003B6B9A">
        <w:rPr>
          <w:rFonts w:eastAsia="標楷體" w:hint="eastAsia"/>
          <w:spacing w:val="-2"/>
          <w:sz w:val="28"/>
          <w:szCs w:val="16"/>
        </w:rPr>
        <w:t>15</w:t>
      </w:r>
      <w:r w:rsidRPr="003B6B9A">
        <w:rPr>
          <w:rFonts w:eastAsia="標楷體" w:hint="eastAsia"/>
          <w:spacing w:val="-2"/>
          <w:sz w:val="28"/>
          <w:szCs w:val="16"/>
        </w:rPr>
        <w:t>年</w:t>
      </w:r>
      <w:r w:rsidRPr="003B6B9A">
        <w:rPr>
          <w:rFonts w:eastAsia="標楷體" w:hint="eastAsia"/>
          <w:spacing w:val="-2"/>
          <w:sz w:val="28"/>
          <w:szCs w:val="16"/>
        </w:rPr>
        <w:t>1</w:t>
      </w:r>
      <w:r w:rsidRPr="003B6B9A">
        <w:rPr>
          <w:rFonts w:eastAsia="標楷體" w:hint="eastAsia"/>
          <w:spacing w:val="-2"/>
          <w:sz w:val="28"/>
          <w:szCs w:val="16"/>
        </w:rPr>
        <w:t>至</w:t>
      </w:r>
      <w:r w:rsidRPr="003B6B9A">
        <w:rPr>
          <w:rFonts w:eastAsia="標楷體" w:hint="eastAsia"/>
          <w:spacing w:val="-2"/>
          <w:sz w:val="28"/>
          <w:szCs w:val="16"/>
        </w:rPr>
        <w:t>4</w:t>
      </w:r>
      <w:r w:rsidRPr="003B6B9A">
        <w:rPr>
          <w:rFonts w:eastAsia="標楷體" w:hint="eastAsia"/>
          <w:spacing w:val="-2"/>
          <w:sz w:val="28"/>
          <w:szCs w:val="16"/>
        </w:rPr>
        <w:t>月</w:t>
      </w:r>
      <w:r w:rsidRPr="003B6B9A">
        <w:rPr>
          <w:rFonts w:eastAsia="標楷體" w:hint="eastAsia"/>
          <w:sz w:val="28"/>
          <w:szCs w:val="16"/>
        </w:rPr>
        <w:t>與歐盟、美國、東協及日本之貿易總額，</w:t>
      </w:r>
      <w:r w:rsidRPr="003B6B9A">
        <w:rPr>
          <w:rFonts w:eastAsia="標楷體"/>
          <w:sz w:val="28"/>
          <w:szCs w:val="16"/>
        </w:rPr>
        <w:t>分</w:t>
      </w:r>
      <w:r w:rsidRPr="003B6B9A">
        <w:rPr>
          <w:rFonts w:eastAsia="標楷體" w:hint="eastAsia"/>
          <w:sz w:val="28"/>
          <w:szCs w:val="16"/>
        </w:rPr>
        <w:t>別為</w:t>
      </w:r>
      <w:r w:rsidRPr="003B6B9A">
        <w:rPr>
          <w:rFonts w:eastAsia="標楷體" w:hint="eastAsia"/>
          <w:sz w:val="28"/>
          <w:szCs w:val="16"/>
        </w:rPr>
        <w:t>1,779.7</w:t>
      </w:r>
      <w:r w:rsidRPr="003B6B9A">
        <w:rPr>
          <w:rFonts w:eastAsia="標楷體" w:hint="eastAsia"/>
          <w:sz w:val="28"/>
          <w:szCs w:val="16"/>
        </w:rPr>
        <w:t>億美元、</w:t>
      </w:r>
      <w:r w:rsidRPr="003B6B9A">
        <w:rPr>
          <w:rFonts w:eastAsia="標楷體" w:hint="eastAsia"/>
          <w:sz w:val="28"/>
          <w:szCs w:val="16"/>
        </w:rPr>
        <w:t>1,716.2</w:t>
      </w:r>
      <w:r w:rsidRPr="003B6B9A">
        <w:rPr>
          <w:rFonts w:eastAsia="標楷體" w:hint="eastAsia"/>
          <w:sz w:val="28"/>
          <w:szCs w:val="16"/>
        </w:rPr>
        <w:t>億美元、</w:t>
      </w:r>
      <w:r w:rsidRPr="003B6B9A">
        <w:rPr>
          <w:rFonts w:eastAsia="標楷體" w:hint="eastAsia"/>
          <w:sz w:val="28"/>
          <w:szCs w:val="16"/>
        </w:rPr>
        <w:t>1,459.6</w:t>
      </w:r>
      <w:r w:rsidRPr="003B6B9A">
        <w:rPr>
          <w:rFonts w:eastAsia="標楷體" w:hint="eastAsia"/>
          <w:sz w:val="28"/>
          <w:szCs w:val="16"/>
        </w:rPr>
        <w:t>億美元及</w:t>
      </w:r>
      <w:r w:rsidRPr="003B6B9A">
        <w:rPr>
          <w:rFonts w:eastAsia="標楷體" w:hint="eastAsia"/>
          <w:sz w:val="28"/>
          <w:szCs w:val="16"/>
        </w:rPr>
        <w:t>903.7</w:t>
      </w:r>
      <w:r w:rsidRPr="003B6B9A">
        <w:rPr>
          <w:rFonts w:eastAsia="標楷體" w:hint="eastAsia"/>
          <w:sz w:val="28"/>
          <w:szCs w:val="16"/>
        </w:rPr>
        <w:t>億美元；對日本及歐盟分別減少</w:t>
      </w:r>
      <w:r w:rsidRPr="003B6B9A">
        <w:rPr>
          <w:rFonts w:eastAsia="標楷體" w:hint="eastAsia"/>
          <w:sz w:val="28"/>
          <w:szCs w:val="16"/>
        </w:rPr>
        <w:t>11.2%</w:t>
      </w:r>
      <w:r w:rsidRPr="003B6B9A">
        <w:rPr>
          <w:rFonts w:eastAsia="標楷體" w:hint="eastAsia"/>
          <w:sz w:val="28"/>
          <w:szCs w:val="16"/>
        </w:rPr>
        <w:t>及</w:t>
      </w:r>
      <w:r w:rsidRPr="003B6B9A">
        <w:rPr>
          <w:rFonts w:eastAsia="標楷體" w:hint="eastAsia"/>
          <w:sz w:val="28"/>
          <w:szCs w:val="16"/>
        </w:rPr>
        <w:t>5.3%</w:t>
      </w:r>
      <w:r w:rsidRPr="003B6B9A">
        <w:rPr>
          <w:rFonts w:eastAsia="標楷體" w:hint="eastAsia"/>
          <w:sz w:val="28"/>
          <w:szCs w:val="16"/>
        </w:rPr>
        <w:t>，對美國及東協則分別增加</w:t>
      </w:r>
      <w:r w:rsidRPr="003B6B9A">
        <w:rPr>
          <w:rFonts w:eastAsia="標楷體" w:hint="eastAsia"/>
          <w:sz w:val="28"/>
          <w:szCs w:val="16"/>
        </w:rPr>
        <w:t>2.1%</w:t>
      </w:r>
      <w:r w:rsidRPr="003B6B9A">
        <w:rPr>
          <w:rFonts w:eastAsia="標楷體" w:hint="eastAsia"/>
          <w:sz w:val="28"/>
          <w:szCs w:val="16"/>
        </w:rPr>
        <w:t>及</w:t>
      </w:r>
      <w:r w:rsidRPr="003B6B9A">
        <w:rPr>
          <w:rFonts w:eastAsia="標楷體" w:hint="eastAsia"/>
          <w:sz w:val="28"/>
          <w:szCs w:val="16"/>
        </w:rPr>
        <w:t>1.2%</w:t>
      </w:r>
      <w:r w:rsidRPr="003B6B9A">
        <w:rPr>
          <w:rFonts w:eastAsia="標楷體"/>
          <w:sz w:val="28"/>
          <w:szCs w:val="16"/>
        </w:rPr>
        <w:t>。</w:t>
      </w:r>
    </w:p>
    <w:p w:rsidR="004B772B" w:rsidRPr="003B6B9A" w:rsidRDefault="004B772B" w:rsidP="004B772B">
      <w:pPr>
        <w:pStyle w:val="a9"/>
        <w:widowControl/>
        <w:snapToGrid w:val="0"/>
        <w:spacing w:before="120" w:line="0" w:lineRule="atLeast"/>
        <w:ind w:leftChars="140" w:left="616" w:right="-1559" w:hangingChars="100" w:hanging="280"/>
        <w:jc w:val="center"/>
        <w:rPr>
          <w:rFonts w:ascii="Times New Roman" w:eastAsia="標楷體"/>
        </w:rPr>
      </w:pPr>
      <w:r w:rsidRPr="003B6B9A">
        <w:rPr>
          <w:rFonts w:ascii="Times New Roman" w:eastAsia="標楷體" w:hint="eastAsia"/>
          <w:b/>
          <w:bCs/>
          <w:sz w:val="28"/>
        </w:rPr>
        <w:t xml:space="preserve">      </w:t>
      </w:r>
      <w:r w:rsidRPr="003B6B9A">
        <w:rPr>
          <w:rFonts w:ascii="Times New Roman" w:eastAsia="標楷體" w:hint="eastAsia"/>
          <w:b/>
          <w:bCs/>
          <w:sz w:val="28"/>
        </w:rPr>
        <w:t>表</w:t>
      </w:r>
      <w:r w:rsidRPr="003B6B9A">
        <w:rPr>
          <w:rFonts w:ascii="Times New Roman" w:eastAsia="標楷體"/>
          <w:b/>
          <w:bCs/>
          <w:sz w:val="28"/>
        </w:rPr>
        <w:t xml:space="preserve">3-3   </w:t>
      </w:r>
      <w:r w:rsidRPr="003B6B9A">
        <w:rPr>
          <w:rFonts w:ascii="Times New Roman" w:eastAsia="標楷體" w:hint="eastAsia"/>
          <w:b/>
          <w:bCs/>
          <w:sz w:val="28"/>
        </w:rPr>
        <w:t>中國大陸進出口貿易統計</w:t>
      </w:r>
      <w:r w:rsidRPr="003B6B9A">
        <w:rPr>
          <w:rFonts w:ascii="Times New Roman" w:eastAsia="標楷體"/>
          <w:b/>
          <w:bCs/>
          <w:sz w:val="28"/>
        </w:rPr>
        <w:t xml:space="preserve"> </w:t>
      </w:r>
      <w:r w:rsidRPr="003B6B9A">
        <w:rPr>
          <w:rFonts w:ascii="Times New Roman" w:eastAsia="標楷體" w:hint="eastAsia"/>
          <w:b/>
          <w:bCs/>
          <w:sz w:val="28"/>
        </w:rPr>
        <w:t xml:space="preserve"> </w:t>
      </w:r>
      <w:r w:rsidRPr="003B6B9A">
        <w:rPr>
          <w:rFonts w:ascii="Times New Roman" w:eastAsia="標楷體" w:hAnsi="標楷體" w:hint="eastAsia"/>
        </w:rPr>
        <w:t>單位：億美元；</w:t>
      </w:r>
      <w:r w:rsidRPr="003B6B9A">
        <w:rPr>
          <w:rFonts w:ascii="Times New Roman" w:eastAsia="標楷體" w:hAnsi="標楷體" w:hint="eastAsia"/>
        </w:rPr>
        <w:t>%</w:t>
      </w:r>
    </w:p>
    <w:tbl>
      <w:tblPr>
        <w:tblW w:w="8521" w:type="dxa"/>
        <w:tblInd w:w="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
        <w:gridCol w:w="1821"/>
        <w:gridCol w:w="843"/>
        <w:gridCol w:w="934"/>
        <w:gridCol w:w="833"/>
        <w:gridCol w:w="825"/>
        <w:gridCol w:w="938"/>
        <w:gridCol w:w="868"/>
        <w:gridCol w:w="1453"/>
      </w:tblGrid>
      <w:tr w:rsidR="004B772B" w:rsidRPr="003B6B9A" w:rsidTr="001040FB">
        <w:trPr>
          <w:cantSplit/>
          <w:trHeight w:val="315"/>
        </w:trPr>
        <w:tc>
          <w:tcPr>
            <w:tcW w:w="1827" w:type="dxa"/>
            <w:gridSpan w:val="2"/>
            <w:vMerge w:val="restart"/>
            <w:tcBorders>
              <w:left w:val="nil"/>
            </w:tcBorders>
            <w:vAlign w:val="center"/>
          </w:tcPr>
          <w:p w:rsidR="004B772B" w:rsidRPr="003B6B9A" w:rsidRDefault="004B772B" w:rsidP="001040FB">
            <w:pPr>
              <w:snapToGrid w:val="0"/>
              <w:spacing w:line="0" w:lineRule="atLeast"/>
              <w:jc w:val="center"/>
              <w:rPr>
                <w:rFonts w:eastAsia="標楷體"/>
              </w:rPr>
            </w:pPr>
            <w:r w:rsidRPr="003B6B9A">
              <w:rPr>
                <w:rFonts w:eastAsia="標楷體" w:hAnsi="標楷體" w:hint="eastAsia"/>
              </w:rPr>
              <w:t>年（月）別</w:t>
            </w:r>
          </w:p>
        </w:tc>
        <w:tc>
          <w:tcPr>
            <w:tcW w:w="1777" w:type="dxa"/>
            <w:gridSpan w:val="2"/>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貿易總額</w:t>
            </w:r>
          </w:p>
        </w:tc>
        <w:tc>
          <w:tcPr>
            <w:tcW w:w="1658" w:type="dxa"/>
            <w:gridSpan w:val="2"/>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出口總額</w:t>
            </w:r>
          </w:p>
        </w:tc>
        <w:tc>
          <w:tcPr>
            <w:tcW w:w="1806" w:type="dxa"/>
            <w:gridSpan w:val="2"/>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進口總額</w:t>
            </w:r>
          </w:p>
        </w:tc>
        <w:tc>
          <w:tcPr>
            <w:tcW w:w="1453" w:type="dxa"/>
            <w:tcBorders>
              <w:bottom w:val="single" w:sz="4" w:space="0" w:color="auto"/>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出</w:t>
            </w:r>
            <w:r w:rsidRPr="003B6B9A">
              <w:rPr>
                <w:rFonts w:eastAsia="標楷體" w:hAnsi="標楷體" w:hint="eastAsia"/>
              </w:rPr>
              <w:t>(</w:t>
            </w:r>
            <w:r w:rsidRPr="003B6B9A">
              <w:rPr>
                <w:rFonts w:eastAsia="標楷體" w:hAnsi="標楷體" w:hint="eastAsia"/>
              </w:rPr>
              <w:t>入</w:t>
            </w:r>
            <w:r w:rsidRPr="003B6B9A">
              <w:rPr>
                <w:rFonts w:eastAsia="標楷體" w:hAnsi="標楷體" w:hint="eastAsia"/>
              </w:rPr>
              <w:t>)</w:t>
            </w:r>
            <w:r w:rsidRPr="003B6B9A">
              <w:rPr>
                <w:rFonts w:eastAsia="標楷體" w:hAnsi="標楷體" w:hint="eastAsia"/>
              </w:rPr>
              <w:t>超</w:t>
            </w:r>
          </w:p>
        </w:tc>
      </w:tr>
      <w:tr w:rsidR="004B772B" w:rsidRPr="003B6B9A" w:rsidTr="001040FB">
        <w:trPr>
          <w:cantSplit/>
          <w:trHeight w:val="146"/>
        </w:trPr>
        <w:tc>
          <w:tcPr>
            <w:tcW w:w="1827" w:type="dxa"/>
            <w:gridSpan w:val="2"/>
            <w:vMerge/>
            <w:tcBorders>
              <w:left w:val="nil"/>
              <w:bottom w:val="single" w:sz="4" w:space="0" w:color="auto"/>
            </w:tcBorders>
          </w:tcPr>
          <w:p w:rsidR="004B772B" w:rsidRPr="003B6B9A" w:rsidRDefault="004B772B" w:rsidP="001040FB">
            <w:pPr>
              <w:snapToGrid w:val="0"/>
              <w:spacing w:line="0" w:lineRule="atLeast"/>
              <w:jc w:val="center"/>
              <w:rPr>
                <w:rFonts w:eastAsia="標楷體"/>
              </w:rPr>
            </w:pPr>
          </w:p>
        </w:tc>
        <w:tc>
          <w:tcPr>
            <w:tcW w:w="843"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金額</w:t>
            </w:r>
          </w:p>
        </w:tc>
        <w:tc>
          <w:tcPr>
            <w:tcW w:w="934"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年增率</w:t>
            </w:r>
          </w:p>
        </w:tc>
        <w:tc>
          <w:tcPr>
            <w:tcW w:w="833"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金額</w:t>
            </w:r>
          </w:p>
        </w:tc>
        <w:tc>
          <w:tcPr>
            <w:tcW w:w="825"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年增率</w:t>
            </w:r>
          </w:p>
        </w:tc>
        <w:tc>
          <w:tcPr>
            <w:tcW w:w="938"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金額</w:t>
            </w:r>
          </w:p>
        </w:tc>
        <w:tc>
          <w:tcPr>
            <w:tcW w:w="868"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年增率</w:t>
            </w:r>
          </w:p>
        </w:tc>
        <w:tc>
          <w:tcPr>
            <w:tcW w:w="1453" w:type="dxa"/>
            <w:tcBorders>
              <w:bottom w:val="single" w:sz="4" w:space="0" w:color="auto"/>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金額</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2010</w:t>
            </w:r>
            <w:r w:rsidRPr="003B6B9A">
              <w:rPr>
                <w:rFonts w:eastAsia="標楷體" w:hint="eastAsia"/>
              </w:rPr>
              <w:t>年</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29,727.6</w:t>
            </w:r>
          </w:p>
        </w:tc>
        <w:tc>
          <w:tcPr>
            <w:tcW w:w="934" w:type="dxa"/>
            <w:tcBorders>
              <w:top w:val="nil"/>
              <w:left w:val="nil"/>
              <w:bottom w:val="nil"/>
              <w:right w:val="nil"/>
            </w:tcBorders>
            <w:vAlign w:val="center"/>
          </w:tcPr>
          <w:p w:rsidR="004B772B" w:rsidRPr="003B6B9A" w:rsidRDefault="004B772B" w:rsidP="001040FB">
            <w:pPr>
              <w:snapToGrid w:val="0"/>
              <w:spacing w:line="0" w:lineRule="atLeast"/>
              <w:ind w:left="-113" w:rightChars="50" w:right="120"/>
              <w:jc w:val="right"/>
              <w:rPr>
                <w:rFonts w:eastAsia="標楷體"/>
              </w:rPr>
            </w:pPr>
            <w:r w:rsidRPr="003B6B9A">
              <w:rPr>
                <w:rFonts w:eastAsia="標楷體" w:hint="eastAsia"/>
              </w:rPr>
              <w:t>34.7</w:t>
            </w:r>
          </w:p>
        </w:tc>
        <w:tc>
          <w:tcPr>
            <w:tcW w:w="833" w:type="dxa"/>
            <w:tcBorders>
              <w:top w:val="nil"/>
              <w:left w:val="nil"/>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15,779.3</w:t>
            </w:r>
          </w:p>
        </w:tc>
        <w:tc>
          <w:tcPr>
            <w:tcW w:w="825" w:type="dxa"/>
            <w:tcBorders>
              <w:top w:val="nil"/>
              <w:left w:val="nil"/>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31.3</w:t>
            </w:r>
          </w:p>
        </w:tc>
        <w:tc>
          <w:tcPr>
            <w:tcW w:w="938" w:type="dxa"/>
            <w:tcBorders>
              <w:top w:val="nil"/>
              <w:left w:val="nil"/>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13,948.3</w:t>
            </w:r>
          </w:p>
        </w:tc>
        <w:tc>
          <w:tcPr>
            <w:tcW w:w="868" w:type="dxa"/>
            <w:tcBorders>
              <w:top w:val="nil"/>
              <w:left w:val="nil"/>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38.7</w:t>
            </w:r>
          </w:p>
        </w:tc>
        <w:tc>
          <w:tcPr>
            <w:tcW w:w="1453" w:type="dxa"/>
            <w:tcBorders>
              <w:top w:val="nil"/>
              <w:left w:val="nil"/>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1,831.0</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2011</w:t>
            </w:r>
            <w:r w:rsidRPr="003B6B9A">
              <w:rPr>
                <w:rFonts w:eastAsia="標楷體" w:hint="eastAsia"/>
              </w:rPr>
              <w:t>年</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36,420.6</w:t>
            </w:r>
          </w:p>
        </w:tc>
        <w:tc>
          <w:tcPr>
            <w:tcW w:w="934" w:type="dxa"/>
            <w:tcBorders>
              <w:top w:val="nil"/>
              <w:left w:val="nil"/>
              <w:bottom w:val="nil"/>
              <w:right w:val="nil"/>
            </w:tcBorders>
            <w:vAlign w:val="center"/>
          </w:tcPr>
          <w:p w:rsidR="004B772B" w:rsidRPr="003B6B9A" w:rsidRDefault="004B772B" w:rsidP="001040FB">
            <w:pPr>
              <w:snapToGrid w:val="0"/>
              <w:spacing w:line="0" w:lineRule="atLeast"/>
              <w:ind w:left="-113" w:rightChars="50" w:right="120"/>
              <w:jc w:val="right"/>
              <w:rPr>
                <w:rFonts w:eastAsia="標楷體"/>
              </w:rPr>
            </w:pPr>
            <w:r w:rsidRPr="003B6B9A">
              <w:rPr>
                <w:rFonts w:eastAsia="標楷體" w:hint="eastAsia"/>
              </w:rPr>
              <w:t>22.5</w:t>
            </w:r>
          </w:p>
        </w:tc>
        <w:tc>
          <w:tcPr>
            <w:tcW w:w="833" w:type="dxa"/>
            <w:tcBorders>
              <w:top w:val="nil"/>
              <w:left w:val="nil"/>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18,986.0</w:t>
            </w:r>
          </w:p>
        </w:tc>
        <w:tc>
          <w:tcPr>
            <w:tcW w:w="825" w:type="dxa"/>
            <w:tcBorders>
              <w:top w:val="nil"/>
              <w:left w:val="nil"/>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20.3</w:t>
            </w:r>
          </w:p>
        </w:tc>
        <w:tc>
          <w:tcPr>
            <w:tcW w:w="938" w:type="dxa"/>
            <w:tcBorders>
              <w:top w:val="nil"/>
              <w:left w:val="nil"/>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17,434.6</w:t>
            </w:r>
          </w:p>
        </w:tc>
        <w:tc>
          <w:tcPr>
            <w:tcW w:w="868" w:type="dxa"/>
            <w:tcBorders>
              <w:top w:val="nil"/>
              <w:left w:val="nil"/>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24.9</w:t>
            </w:r>
          </w:p>
        </w:tc>
        <w:tc>
          <w:tcPr>
            <w:tcW w:w="1453" w:type="dxa"/>
            <w:tcBorders>
              <w:top w:val="nil"/>
              <w:left w:val="nil"/>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1,551.4</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2012</w:t>
            </w:r>
            <w:r w:rsidRPr="003B6B9A">
              <w:rPr>
                <w:rFonts w:eastAsia="標楷體" w:hint="eastAsia"/>
              </w:rPr>
              <w:t>年</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38,667.6</w:t>
            </w:r>
          </w:p>
        </w:tc>
        <w:tc>
          <w:tcPr>
            <w:tcW w:w="934" w:type="dxa"/>
            <w:tcBorders>
              <w:top w:val="nil"/>
              <w:left w:val="nil"/>
              <w:bottom w:val="nil"/>
              <w:right w:val="nil"/>
            </w:tcBorders>
            <w:vAlign w:val="center"/>
          </w:tcPr>
          <w:p w:rsidR="004B772B" w:rsidRPr="003B6B9A" w:rsidRDefault="004B772B" w:rsidP="001040FB">
            <w:pPr>
              <w:snapToGrid w:val="0"/>
              <w:spacing w:line="0" w:lineRule="atLeast"/>
              <w:ind w:left="-113" w:rightChars="50" w:right="120"/>
              <w:jc w:val="right"/>
              <w:rPr>
                <w:rFonts w:eastAsia="標楷體"/>
              </w:rPr>
            </w:pPr>
            <w:r w:rsidRPr="003B6B9A">
              <w:rPr>
                <w:rFonts w:eastAsia="標楷體" w:hint="eastAsia"/>
              </w:rPr>
              <w:t>6.2</w:t>
            </w:r>
          </w:p>
        </w:tc>
        <w:tc>
          <w:tcPr>
            <w:tcW w:w="833" w:type="dxa"/>
            <w:tcBorders>
              <w:top w:val="nil"/>
              <w:left w:val="nil"/>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20,489.4</w:t>
            </w:r>
          </w:p>
        </w:tc>
        <w:tc>
          <w:tcPr>
            <w:tcW w:w="825" w:type="dxa"/>
            <w:tcBorders>
              <w:top w:val="nil"/>
              <w:left w:val="nil"/>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7.9</w:t>
            </w:r>
          </w:p>
        </w:tc>
        <w:tc>
          <w:tcPr>
            <w:tcW w:w="938" w:type="dxa"/>
            <w:tcBorders>
              <w:top w:val="nil"/>
              <w:left w:val="nil"/>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18,178.3</w:t>
            </w:r>
          </w:p>
        </w:tc>
        <w:tc>
          <w:tcPr>
            <w:tcW w:w="868" w:type="dxa"/>
            <w:tcBorders>
              <w:top w:val="nil"/>
              <w:left w:val="nil"/>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4.3</w:t>
            </w:r>
          </w:p>
        </w:tc>
        <w:tc>
          <w:tcPr>
            <w:tcW w:w="1453" w:type="dxa"/>
            <w:tcBorders>
              <w:top w:val="nil"/>
              <w:left w:val="nil"/>
              <w:bottom w:val="nil"/>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int="eastAsia"/>
              </w:rPr>
              <w:t>2,311.1</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2013</w:t>
            </w:r>
            <w:r w:rsidRPr="003B6B9A">
              <w:rPr>
                <w:rFonts w:eastAsia="標楷體" w:hint="eastAsia"/>
              </w:rPr>
              <w:t>年</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41,603.3</w:t>
            </w:r>
          </w:p>
        </w:tc>
        <w:tc>
          <w:tcPr>
            <w:tcW w:w="934"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7.6</w:t>
            </w:r>
          </w:p>
        </w:tc>
        <w:tc>
          <w:tcPr>
            <w:tcW w:w="83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22,100.4</w:t>
            </w:r>
          </w:p>
        </w:tc>
        <w:tc>
          <w:tcPr>
            <w:tcW w:w="825"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7.9</w:t>
            </w:r>
          </w:p>
        </w:tc>
        <w:tc>
          <w:tcPr>
            <w:tcW w:w="93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19,502.9</w:t>
            </w:r>
          </w:p>
        </w:tc>
        <w:tc>
          <w:tcPr>
            <w:tcW w:w="86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7.3</w:t>
            </w:r>
          </w:p>
        </w:tc>
        <w:tc>
          <w:tcPr>
            <w:tcW w:w="145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2,597.5</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2014</w:t>
            </w:r>
            <w:r w:rsidRPr="003B6B9A">
              <w:rPr>
                <w:rFonts w:eastAsia="標楷體" w:hint="eastAsia"/>
              </w:rPr>
              <w:t>年</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43,030.4</w:t>
            </w:r>
          </w:p>
        </w:tc>
        <w:tc>
          <w:tcPr>
            <w:tcW w:w="934"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3.4</w:t>
            </w:r>
          </w:p>
        </w:tc>
        <w:tc>
          <w:tcPr>
            <w:tcW w:w="83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23</w:t>
            </w:r>
            <w:r w:rsidRPr="003B6B9A">
              <w:rPr>
                <w:rFonts w:eastAsia="標楷體"/>
              </w:rPr>
              <w:t>,</w:t>
            </w:r>
            <w:r w:rsidRPr="003B6B9A">
              <w:rPr>
                <w:rFonts w:eastAsia="標楷體" w:hint="eastAsia"/>
              </w:rPr>
              <w:t>427.5</w:t>
            </w:r>
          </w:p>
        </w:tc>
        <w:tc>
          <w:tcPr>
            <w:tcW w:w="825"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6.1</w:t>
            </w:r>
          </w:p>
        </w:tc>
        <w:tc>
          <w:tcPr>
            <w:tcW w:w="93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19</w:t>
            </w:r>
            <w:r w:rsidRPr="003B6B9A">
              <w:rPr>
                <w:rFonts w:eastAsia="標楷體"/>
              </w:rPr>
              <w:t>,</w:t>
            </w:r>
            <w:r w:rsidRPr="003B6B9A">
              <w:rPr>
                <w:rFonts w:eastAsia="標楷體" w:hint="eastAsia"/>
              </w:rPr>
              <w:t>602.9</w:t>
            </w:r>
          </w:p>
        </w:tc>
        <w:tc>
          <w:tcPr>
            <w:tcW w:w="868" w:type="dxa"/>
            <w:tcBorders>
              <w:top w:val="nil"/>
              <w:left w:val="nil"/>
              <w:bottom w:val="nil"/>
              <w:right w:val="nil"/>
            </w:tcBorders>
            <w:vAlign w:val="center"/>
          </w:tcPr>
          <w:p w:rsidR="004B772B" w:rsidRPr="003B6B9A" w:rsidRDefault="004B772B" w:rsidP="001040FB">
            <w:pPr>
              <w:snapToGrid w:val="0"/>
              <w:spacing w:line="280" w:lineRule="exact"/>
              <w:ind w:left="-113" w:rightChars="100" w:right="240"/>
              <w:jc w:val="right"/>
              <w:rPr>
                <w:rFonts w:eastAsia="標楷體"/>
              </w:rPr>
            </w:pPr>
            <w:r w:rsidRPr="003B6B9A">
              <w:rPr>
                <w:rFonts w:eastAsia="標楷體" w:hint="eastAsia"/>
              </w:rPr>
              <w:t>0.4</w:t>
            </w:r>
          </w:p>
        </w:tc>
        <w:tc>
          <w:tcPr>
            <w:tcW w:w="1453" w:type="dxa"/>
            <w:tcBorders>
              <w:top w:val="nil"/>
              <w:left w:val="nil"/>
              <w:bottom w:val="nil"/>
              <w:right w:val="nil"/>
            </w:tcBorders>
            <w:vAlign w:val="center"/>
          </w:tcPr>
          <w:p w:rsidR="004B772B" w:rsidRPr="003B6B9A" w:rsidRDefault="004B772B" w:rsidP="001040FB">
            <w:pPr>
              <w:snapToGrid w:val="0"/>
              <w:spacing w:line="280" w:lineRule="exact"/>
              <w:ind w:left="-113" w:rightChars="150" w:right="360"/>
              <w:jc w:val="right"/>
              <w:rPr>
                <w:rFonts w:eastAsia="標楷體"/>
              </w:rPr>
            </w:pPr>
            <w:r w:rsidRPr="003B6B9A">
              <w:rPr>
                <w:rFonts w:eastAsia="標楷體" w:hint="eastAsia"/>
              </w:rPr>
              <w:t>3,824.6</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4</w:t>
            </w:r>
            <w:r w:rsidRPr="003B6B9A">
              <w:rPr>
                <w:rFonts w:eastAsia="標楷體" w:hint="eastAsia"/>
              </w:rPr>
              <w:t>月</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3,586.3</w:t>
            </w:r>
          </w:p>
        </w:tc>
        <w:tc>
          <w:tcPr>
            <w:tcW w:w="934"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0.8</w:t>
            </w:r>
          </w:p>
        </w:tc>
        <w:tc>
          <w:tcPr>
            <w:tcW w:w="83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1,885.4</w:t>
            </w:r>
          </w:p>
        </w:tc>
        <w:tc>
          <w:tcPr>
            <w:tcW w:w="825"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0.9</w:t>
            </w:r>
          </w:p>
        </w:tc>
        <w:tc>
          <w:tcPr>
            <w:tcW w:w="93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1,700.9</w:t>
            </w:r>
          </w:p>
        </w:tc>
        <w:tc>
          <w:tcPr>
            <w:tcW w:w="868" w:type="dxa"/>
            <w:tcBorders>
              <w:top w:val="nil"/>
              <w:left w:val="nil"/>
              <w:bottom w:val="nil"/>
              <w:right w:val="nil"/>
            </w:tcBorders>
            <w:vAlign w:val="center"/>
          </w:tcPr>
          <w:p w:rsidR="004B772B" w:rsidRPr="003B6B9A" w:rsidRDefault="004B772B" w:rsidP="001040FB">
            <w:pPr>
              <w:snapToGrid w:val="0"/>
              <w:spacing w:line="280" w:lineRule="exact"/>
              <w:ind w:left="-113" w:rightChars="100" w:right="240"/>
              <w:jc w:val="right"/>
              <w:rPr>
                <w:rFonts w:eastAsia="標楷體"/>
              </w:rPr>
            </w:pPr>
            <w:r w:rsidRPr="003B6B9A">
              <w:rPr>
                <w:rFonts w:eastAsia="標楷體" w:hint="eastAsia"/>
              </w:rPr>
              <w:t>0.8</w:t>
            </w:r>
          </w:p>
        </w:tc>
        <w:tc>
          <w:tcPr>
            <w:tcW w:w="1453" w:type="dxa"/>
            <w:tcBorders>
              <w:top w:val="nil"/>
              <w:left w:val="nil"/>
              <w:bottom w:val="nil"/>
              <w:right w:val="nil"/>
            </w:tcBorders>
            <w:vAlign w:val="center"/>
          </w:tcPr>
          <w:p w:rsidR="004B772B" w:rsidRPr="003B6B9A" w:rsidRDefault="004B772B" w:rsidP="001040FB">
            <w:pPr>
              <w:snapToGrid w:val="0"/>
              <w:spacing w:line="280" w:lineRule="exact"/>
              <w:ind w:left="-113" w:rightChars="150" w:right="360"/>
              <w:jc w:val="right"/>
              <w:rPr>
                <w:rFonts w:eastAsia="標楷體"/>
              </w:rPr>
            </w:pPr>
            <w:r w:rsidRPr="003B6B9A">
              <w:rPr>
                <w:rFonts w:eastAsia="標楷體" w:hint="eastAsia"/>
              </w:rPr>
              <w:t>184.6</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5</w:t>
            </w:r>
            <w:r w:rsidRPr="003B6B9A">
              <w:rPr>
                <w:rFonts w:eastAsia="標楷體" w:hint="eastAsia"/>
              </w:rPr>
              <w:t>月</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3,550.2</w:t>
            </w:r>
          </w:p>
        </w:tc>
        <w:tc>
          <w:tcPr>
            <w:tcW w:w="934"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3.0</w:t>
            </w:r>
          </w:p>
        </w:tc>
        <w:tc>
          <w:tcPr>
            <w:tcW w:w="83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rPr>
              <w:t>1,954.7</w:t>
            </w:r>
          </w:p>
        </w:tc>
        <w:tc>
          <w:tcPr>
            <w:tcW w:w="825"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7.0</w:t>
            </w:r>
          </w:p>
        </w:tc>
        <w:tc>
          <w:tcPr>
            <w:tcW w:w="93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rPr>
              <w:t>1,595.5</w:t>
            </w:r>
          </w:p>
        </w:tc>
        <w:tc>
          <w:tcPr>
            <w:tcW w:w="868" w:type="dxa"/>
            <w:tcBorders>
              <w:top w:val="nil"/>
              <w:left w:val="nil"/>
              <w:bottom w:val="nil"/>
              <w:right w:val="nil"/>
            </w:tcBorders>
            <w:vAlign w:val="center"/>
          </w:tcPr>
          <w:p w:rsidR="004B772B" w:rsidRPr="003B6B9A" w:rsidRDefault="004B772B" w:rsidP="001040FB">
            <w:pPr>
              <w:snapToGrid w:val="0"/>
              <w:spacing w:line="280" w:lineRule="exact"/>
              <w:ind w:left="-113" w:rightChars="100" w:right="240"/>
              <w:jc w:val="right"/>
              <w:rPr>
                <w:rFonts w:eastAsia="標楷體"/>
              </w:rPr>
            </w:pPr>
            <w:r w:rsidRPr="003B6B9A">
              <w:rPr>
                <w:rFonts w:eastAsia="標楷體" w:hint="eastAsia"/>
              </w:rPr>
              <w:t>-1.6</w:t>
            </w:r>
          </w:p>
        </w:tc>
        <w:tc>
          <w:tcPr>
            <w:tcW w:w="1453" w:type="dxa"/>
            <w:tcBorders>
              <w:top w:val="nil"/>
              <w:left w:val="nil"/>
              <w:bottom w:val="nil"/>
              <w:right w:val="nil"/>
            </w:tcBorders>
            <w:vAlign w:val="center"/>
          </w:tcPr>
          <w:p w:rsidR="004B772B" w:rsidRPr="003B6B9A" w:rsidRDefault="004B772B" w:rsidP="001040FB">
            <w:pPr>
              <w:snapToGrid w:val="0"/>
              <w:spacing w:line="280" w:lineRule="exact"/>
              <w:ind w:left="-113" w:rightChars="150" w:right="360"/>
              <w:jc w:val="right"/>
              <w:rPr>
                <w:rFonts w:eastAsia="標楷體"/>
              </w:rPr>
            </w:pPr>
            <w:r w:rsidRPr="003B6B9A">
              <w:rPr>
                <w:rFonts w:eastAsia="標楷體" w:hint="eastAsia"/>
              </w:rPr>
              <w:t>359.2</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6</w:t>
            </w:r>
            <w:r w:rsidRPr="003B6B9A">
              <w:rPr>
                <w:rFonts w:eastAsia="標楷體" w:hint="eastAsia"/>
              </w:rPr>
              <w:t>月</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3,420.1</w:t>
            </w:r>
          </w:p>
        </w:tc>
        <w:tc>
          <w:tcPr>
            <w:tcW w:w="934"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6.4</w:t>
            </w:r>
          </w:p>
        </w:tc>
        <w:tc>
          <w:tcPr>
            <w:tcW w:w="83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1,867.9</w:t>
            </w:r>
          </w:p>
        </w:tc>
        <w:tc>
          <w:tcPr>
            <w:tcW w:w="825"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7.2</w:t>
            </w:r>
          </w:p>
        </w:tc>
        <w:tc>
          <w:tcPr>
            <w:tcW w:w="93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1,552.2</w:t>
            </w:r>
          </w:p>
        </w:tc>
        <w:tc>
          <w:tcPr>
            <w:tcW w:w="868" w:type="dxa"/>
            <w:tcBorders>
              <w:top w:val="nil"/>
              <w:left w:val="nil"/>
              <w:bottom w:val="nil"/>
              <w:right w:val="nil"/>
            </w:tcBorders>
            <w:vAlign w:val="center"/>
          </w:tcPr>
          <w:p w:rsidR="004B772B" w:rsidRPr="003B6B9A" w:rsidRDefault="004B772B" w:rsidP="001040FB">
            <w:pPr>
              <w:snapToGrid w:val="0"/>
              <w:spacing w:line="280" w:lineRule="exact"/>
              <w:ind w:left="-113" w:rightChars="100" w:right="240"/>
              <w:jc w:val="right"/>
              <w:rPr>
                <w:rFonts w:eastAsia="標楷體"/>
              </w:rPr>
            </w:pPr>
            <w:r w:rsidRPr="003B6B9A">
              <w:rPr>
                <w:rFonts w:eastAsia="標楷體" w:hint="eastAsia"/>
              </w:rPr>
              <w:t>5.5</w:t>
            </w:r>
          </w:p>
        </w:tc>
        <w:tc>
          <w:tcPr>
            <w:tcW w:w="1453" w:type="dxa"/>
            <w:tcBorders>
              <w:top w:val="nil"/>
              <w:left w:val="nil"/>
              <w:bottom w:val="nil"/>
              <w:right w:val="nil"/>
            </w:tcBorders>
            <w:vAlign w:val="center"/>
          </w:tcPr>
          <w:p w:rsidR="004B772B" w:rsidRPr="003B6B9A" w:rsidRDefault="004B772B" w:rsidP="001040FB">
            <w:pPr>
              <w:snapToGrid w:val="0"/>
              <w:spacing w:line="280" w:lineRule="exact"/>
              <w:ind w:left="-113" w:rightChars="150" w:right="360"/>
              <w:jc w:val="right"/>
              <w:rPr>
                <w:rFonts w:eastAsia="標楷體"/>
              </w:rPr>
            </w:pPr>
            <w:r w:rsidRPr="003B6B9A">
              <w:rPr>
                <w:rFonts w:eastAsia="標楷體" w:hint="eastAsia"/>
              </w:rPr>
              <w:t>315.6</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7</w:t>
            </w:r>
            <w:r w:rsidRPr="003B6B9A">
              <w:rPr>
                <w:rFonts w:eastAsia="標楷體" w:hint="eastAsia"/>
              </w:rPr>
              <w:t>月</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3,784.8</w:t>
            </w:r>
          </w:p>
        </w:tc>
        <w:tc>
          <w:tcPr>
            <w:tcW w:w="934"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6.9</w:t>
            </w:r>
          </w:p>
        </w:tc>
        <w:tc>
          <w:tcPr>
            <w:tcW w:w="83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2,128.9</w:t>
            </w:r>
          </w:p>
        </w:tc>
        <w:tc>
          <w:tcPr>
            <w:tcW w:w="825"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14.5</w:t>
            </w:r>
          </w:p>
        </w:tc>
        <w:tc>
          <w:tcPr>
            <w:tcW w:w="93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1,655.9</w:t>
            </w:r>
          </w:p>
        </w:tc>
        <w:tc>
          <w:tcPr>
            <w:tcW w:w="868" w:type="dxa"/>
            <w:tcBorders>
              <w:top w:val="nil"/>
              <w:left w:val="nil"/>
              <w:bottom w:val="nil"/>
              <w:right w:val="nil"/>
            </w:tcBorders>
            <w:vAlign w:val="center"/>
          </w:tcPr>
          <w:p w:rsidR="004B772B" w:rsidRPr="003B6B9A" w:rsidRDefault="004B772B" w:rsidP="001040FB">
            <w:pPr>
              <w:snapToGrid w:val="0"/>
              <w:spacing w:line="280" w:lineRule="exact"/>
              <w:ind w:left="-113" w:rightChars="100" w:right="240"/>
              <w:jc w:val="right"/>
              <w:rPr>
                <w:rFonts w:eastAsia="標楷體"/>
              </w:rPr>
            </w:pPr>
            <w:r w:rsidRPr="003B6B9A">
              <w:rPr>
                <w:rFonts w:eastAsia="標楷體" w:hint="eastAsia"/>
              </w:rPr>
              <w:t>-1.6</w:t>
            </w:r>
          </w:p>
        </w:tc>
        <w:tc>
          <w:tcPr>
            <w:tcW w:w="1453" w:type="dxa"/>
            <w:tcBorders>
              <w:top w:val="nil"/>
              <w:left w:val="nil"/>
              <w:bottom w:val="nil"/>
              <w:right w:val="nil"/>
            </w:tcBorders>
            <w:vAlign w:val="center"/>
          </w:tcPr>
          <w:p w:rsidR="004B772B" w:rsidRPr="003B6B9A" w:rsidRDefault="004B772B" w:rsidP="001040FB">
            <w:pPr>
              <w:snapToGrid w:val="0"/>
              <w:spacing w:line="280" w:lineRule="exact"/>
              <w:ind w:left="-113" w:rightChars="150" w:right="360"/>
              <w:jc w:val="right"/>
              <w:rPr>
                <w:rFonts w:eastAsia="標楷體"/>
              </w:rPr>
            </w:pPr>
            <w:r w:rsidRPr="003B6B9A">
              <w:rPr>
                <w:rFonts w:eastAsia="標楷體" w:hint="eastAsia"/>
              </w:rPr>
              <w:t>473.0</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8</w:t>
            </w:r>
            <w:r w:rsidRPr="003B6B9A">
              <w:rPr>
                <w:rFonts w:eastAsia="標楷體" w:hint="eastAsia"/>
              </w:rPr>
              <w:t>月</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3,670.9</w:t>
            </w:r>
          </w:p>
        </w:tc>
        <w:tc>
          <w:tcPr>
            <w:tcW w:w="934"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4.0</w:t>
            </w:r>
          </w:p>
        </w:tc>
        <w:tc>
          <w:tcPr>
            <w:tcW w:w="83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2,084.7</w:t>
            </w:r>
          </w:p>
        </w:tc>
        <w:tc>
          <w:tcPr>
            <w:tcW w:w="825"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9.4</w:t>
            </w:r>
          </w:p>
        </w:tc>
        <w:tc>
          <w:tcPr>
            <w:tcW w:w="93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1,586.3</w:t>
            </w:r>
          </w:p>
        </w:tc>
        <w:tc>
          <w:tcPr>
            <w:tcW w:w="868" w:type="dxa"/>
            <w:tcBorders>
              <w:top w:val="nil"/>
              <w:left w:val="nil"/>
              <w:bottom w:val="nil"/>
              <w:right w:val="nil"/>
            </w:tcBorders>
            <w:vAlign w:val="center"/>
          </w:tcPr>
          <w:p w:rsidR="004B772B" w:rsidRPr="003B6B9A" w:rsidRDefault="004B772B" w:rsidP="001040FB">
            <w:pPr>
              <w:snapToGrid w:val="0"/>
              <w:spacing w:line="280" w:lineRule="exact"/>
              <w:ind w:left="-113" w:rightChars="100" w:right="240"/>
              <w:jc w:val="right"/>
              <w:rPr>
                <w:rFonts w:eastAsia="標楷體"/>
              </w:rPr>
            </w:pPr>
            <w:r w:rsidRPr="003B6B9A">
              <w:rPr>
                <w:rFonts w:eastAsia="標楷體" w:hint="eastAsia"/>
              </w:rPr>
              <w:t>-2.4</w:t>
            </w:r>
          </w:p>
        </w:tc>
        <w:tc>
          <w:tcPr>
            <w:tcW w:w="1453" w:type="dxa"/>
            <w:tcBorders>
              <w:top w:val="nil"/>
              <w:left w:val="nil"/>
              <w:bottom w:val="nil"/>
              <w:right w:val="nil"/>
            </w:tcBorders>
            <w:vAlign w:val="center"/>
          </w:tcPr>
          <w:p w:rsidR="004B772B" w:rsidRPr="003B6B9A" w:rsidRDefault="004B772B" w:rsidP="001040FB">
            <w:pPr>
              <w:snapToGrid w:val="0"/>
              <w:spacing w:line="280" w:lineRule="exact"/>
              <w:ind w:left="-113" w:rightChars="150" w:right="360"/>
              <w:jc w:val="right"/>
              <w:rPr>
                <w:rFonts w:eastAsia="標楷體"/>
              </w:rPr>
            </w:pPr>
            <w:r w:rsidRPr="003B6B9A">
              <w:rPr>
                <w:rFonts w:eastAsia="標楷體" w:hint="eastAsia"/>
              </w:rPr>
              <w:t>498.4</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9</w:t>
            </w:r>
            <w:r w:rsidRPr="003B6B9A">
              <w:rPr>
                <w:rFonts w:eastAsia="標楷體" w:hint="eastAsia"/>
              </w:rPr>
              <w:t>月</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3,964.3</w:t>
            </w:r>
          </w:p>
        </w:tc>
        <w:tc>
          <w:tcPr>
            <w:tcW w:w="934"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11.3</w:t>
            </w:r>
          </w:p>
        </w:tc>
        <w:tc>
          <w:tcPr>
            <w:tcW w:w="83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2,136.9</w:t>
            </w:r>
          </w:p>
        </w:tc>
        <w:tc>
          <w:tcPr>
            <w:tcW w:w="825"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15.3</w:t>
            </w:r>
          </w:p>
        </w:tc>
        <w:tc>
          <w:tcPr>
            <w:tcW w:w="93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1,827.5</w:t>
            </w:r>
          </w:p>
        </w:tc>
        <w:tc>
          <w:tcPr>
            <w:tcW w:w="868" w:type="dxa"/>
            <w:tcBorders>
              <w:top w:val="nil"/>
              <w:left w:val="nil"/>
              <w:bottom w:val="nil"/>
              <w:right w:val="nil"/>
            </w:tcBorders>
            <w:vAlign w:val="center"/>
          </w:tcPr>
          <w:p w:rsidR="004B772B" w:rsidRPr="003B6B9A" w:rsidRDefault="004B772B" w:rsidP="001040FB">
            <w:pPr>
              <w:snapToGrid w:val="0"/>
              <w:spacing w:line="280" w:lineRule="exact"/>
              <w:ind w:left="-113" w:rightChars="100" w:right="240"/>
              <w:jc w:val="right"/>
              <w:rPr>
                <w:rFonts w:eastAsia="標楷體"/>
              </w:rPr>
            </w:pPr>
            <w:r w:rsidRPr="003B6B9A">
              <w:rPr>
                <w:rFonts w:eastAsia="標楷體" w:hint="eastAsia"/>
              </w:rPr>
              <w:t>7.0</w:t>
            </w:r>
          </w:p>
        </w:tc>
        <w:tc>
          <w:tcPr>
            <w:tcW w:w="1453" w:type="dxa"/>
            <w:tcBorders>
              <w:top w:val="nil"/>
              <w:left w:val="nil"/>
              <w:bottom w:val="nil"/>
              <w:right w:val="nil"/>
            </w:tcBorders>
            <w:vAlign w:val="center"/>
          </w:tcPr>
          <w:p w:rsidR="004B772B" w:rsidRPr="003B6B9A" w:rsidRDefault="004B772B" w:rsidP="001040FB">
            <w:pPr>
              <w:snapToGrid w:val="0"/>
              <w:spacing w:line="280" w:lineRule="exact"/>
              <w:ind w:left="-113" w:rightChars="150" w:right="360"/>
              <w:jc w:val="right"/>
              <w:rPr>
                <w:rFonts w:eastAsia="標楷體"/>
              </w:rPr>
            </w:pPr>
            <w:r w:rsidRPr="003B6B9A">
              <w:rPr>
                <w:rFonts w:eastAsia="標楷體" w:hint="eastAsia"/>
              </w:rPr>
              <w:t>309.4</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10</w:t>
            </w:r>
            <w:r w:rsidRPr="003B6B9A">
              <w:rPr>
                <w:rFonts w:eastAsia="標楷體" w:hint="eastAsia"/>
              </w:rPr>
              <w:t>月</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3,397.0</w:t>
            </w:r>
          </w:p>
        </w:tc>
        <w:tc>
          <w:tcPr>
            <w:tcW w:w="934"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6.5</w:t>
            </w:r>
          </w:p>
        </w:tc>
        <w:tc>
          <w:tcPr>
            <w:tcW w:w="83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1,854.1</w:t>
            </w:r>
          </w:p>
        </w:tc>
        <w:tc>
          <w:tcPr>
            <w:tcW w:w="825"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5.6</w:t>
            </w:r>
          </w:p>
        </w:tc>
        <w:tc>
          <w:tcPr>
            <w:tcW w:w="93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1,543.0</w:t>
            </w:r>
          </w:p>
        </w:tc>
        <w:tc>
          <w:tcPr>
            <w:tcW w:w="868" w:type="dxa"/>
            <w:tcBorders>
              <w:top w:val="nil"/>
              <w:left w:val="nil"/>
              <w:bottom w:val="nil"/>
              <w:right w:val="nil"/>
            </w:tcBorders>
            <w:vAlign w:val="center"/>
          </w:tcPr>
          <w:p w:rsidR="004B772B" w:rsidRPr="003B6B9A" w:rsidRDefault="004B772B" w:rsidP="001040FB">
            <w:pPr>
              <w:snapToGrid w:val="0"/>
              <w:spacing w:line="280" w:lineRule="exact"/>
              <w:ind w:left="-113" w:right="220"/>
              <w:jc w:val="right"/>
              <w:rPr>
                <w:rFonts w:eastAsia="標楷體"/>
              </w:rPr>
            </w:pPr>
            <w:r w:rsidRPr="003B6B9A">
              <w:rPr>
                <w:rFonts w:eastAsia="標楷體" w:hint="eastAsia"/>
              </w:rPr>
              <w:t>7.6</w:t>
            </w:r>
          </w:p>
        </w:tc>
        <w:tc>
          <w:tcPr>
            <w:tcW w:w="1453" w:type="dxa"/>
            <w:tcBorders>
              <w:top w:val="nil"/>
              <w:left w:val="nil"/>
              <w:bottom w:val="nil"/>
              <w:right w:val="nil"/>
            </w:tcBorders>
            <w:vAlign w:val="center"/>
          </w:tcPr>
          <w:p w:rsidR="004B772B" w:rsidRPr="003B6B9A" w:rsidRDefault="004B772B" w:rsidP="001040FB">
            <w:pPr>
              <w:snapToGrid w:val="0"/>
              <w:spacing w:line="280" w:lineRule="exact"/>
              <w:ind w:left="-113" w:rightChars="150" w:right="360"/>
              <w:jc w:val="right"/>
              <w:rPr>
                <w:rFonts w:eastAsia="標楷體"/>
              </w:rPr>
            </w:pPr>
            <w:r w:rsidRPr="003B6B9A">
              <w:rPr>
                <w:rFonts w:eastAsia="標楷體" w:hint="eastAsia"/>
              </w:rPr>
              <w:t>311.1</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11</w:t>
            </w:r>
            <w:r w:rsidRPr="003B6B9A">
              <w:rPr>
                <w:rFonts w:eastAsia="標楷體" w:hint="eastAsia"/>
              </w:rPr>
              <w:t>月</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3,688.5</w:t>
            </w:r>
          </w:p>
        </w:tc>
        <w:tc>
          <w:tcPr>
            <w:tcW w:w="934"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-0.5</w:t>
            </w:r>
          </w:p>
        </w:tc>
        <w:tc>
          <w:tcPr>
            <w:tcW w:w="83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2,116.6</w:t>
            </w:r>
          </w:p>
        </w:tc>
        <w:tc>
          <w:tcPr>
            <w:tcW w:w="825"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4.7</w:t>
            </w:r>
          </w:p>
        </w:tc>
        <w:tc>
          <w:tcPr>
            <w:tcW w:w="93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1,571.9</w:t>
            </w:r>
          </w:p>
        </w:tc>
        <w:tc>
          <w:tcPr>
            <w:tcW w:w="868" w:type="dxa"/>
            <w:tcBorders>
              <w:top w:val="nil"/>
              <w:left w:val="nil"/>
              <w:bottom w:val="nil"/>
              <w:right w:val="nil"/>
            </w:tcBorders>
            <w:vAlign w:val="center"/>
          </w:tcPr>
          <w:p w:rsidR="004B772B" w:rsidRPr="003B6B9A" w:rsidRDefault="004B772B" w:rsidP="001040FB">
            <w:pPr>
              <w:snapToGrid w:val="0"/>
              <w:spacing w:line="280" w:lineRule="exact"/>
              <w:ind w:left="-113" w:right="220"/>
              <w:jc w:val="right"/>
              <w:rPr>
                <w:rFonts w:eastAsia="標楷體"/>
              </w:rPr>
            </w:pPr>
            <w:r w:rsidRPr="003B6B9A">
              <w:rPr>
                <w:rFonts w:eastAsia="標楷體" w:hint="eastAsia"/>
              </w:rPr>
              <w:t>-6.7</w:t>
            </w:r>
          </w:p>
        </w:tc>
        <w:tc>
          <w:tcPr>
            <w:tcW w:w="1453" w:type="dxa"/>
            <w:tcBorders>
              <w:top w:val="nil"/>
              <w:left w:val="nil"/>
              <w:bottom w:val="nil"/>
              <w:right w:val="nil"/>
            </w:tcBorders>
            <w:vAlign w:val="center"/>
          </w:tcPr>
          <w:p w:rsidR="004B772B" w:rsidRPr="003B6B9A" w:rsidRDefault="004B772B" w:rsidP="001040FB">
            <w:pPr>
              <w:snapToGrid w:val="0"/>
              <w:spacing w:line="280" w:lineRule="exact"/>
              <w:ind w:left="-113" w:rightChars="150" w:right="360"/>
              <w:jc w:val="right"/>
              <w:rPr>
                <w:rFonts w:eastAsia="標楷體"/>
              </w:rPr>
            </w:pPr>
            <w:r w:rsidRPr="003B6B9A">
              <w:rPr>
                <w:rFonts w:eastAsia="標楷體" w:hint="eastAsia"/>
              </w:rPr>
              <w:t>544.7</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12</w:t>
            </w:r>
            <w:r w:rsidRPr="003B6B9A">
              <w:rPr>
                <w:rFonts w:eastAsia="標楷體" w:hint="eastAsia"/>
              </w:rPr>
              <w:t>月</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4,054.2</w:t>
            </w:r>
          </w:p>
        </w:tc>
        <w:tc>
          <w:tcPr>
            <w:tcW w:w="934"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4.0</w:t>
            </w:r>
          </w:p>
        </w:tc>
        <w:tc>
          <w:tcPr>
            <w:tcW w:w="83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2,275.1</w:t>
            </w:r>
          </w:p>
        </w:tc>
        <w:tc>
          <w:tcPr>
            <w:tcW w:w="825"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9.7</w:t>
            </w:r>
          </w:p>
        </w:tc>
        <w:tc>
          <w:tcPr>
            <w:tcW w:w="93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1,779.0</w:t>
            </w:r>
          </w:p>
        </w:tc>
        <w:tc>
          <w:tcPr>
            <w:tcW w:w="868" w:type="dxa"/>
            <w:tcBorders>
              <w:top w:val="nil"/>
              <w:left w:val="nil"/>
              <w:bottom w:val="nil"/>
              <w:right w:val="nil"/>
            </w:tcBorders>
            <w:vAlign w:val="center"/>
          </w:tcPr>
          <w:p w:rsidR="004B772B" w:rsidRPr="003B6B9A" w:rsidRDefault="004B772B" w:rsidP="001040FB">
            <w:pPr>
              <w:snapToGrid w:val="0"/>
              <w:spacing w:line="280" w:lineRule="exact"/>
              <w:ind w:left="-113" w:right="220"/>
              <w:jc w:val="right"/>
              <w:rPr>
                <w:rFonts w:eastAsia="標楷體"/>
              </w:rPr>
            </w:pPr>
            <w:r w:rsidRPr="003B6B9A">
              <w:rPr>
                <w:rFonts w:eastAsia="標楷體" w:hint="eastAsia"/>
              </w:rPr>
              <w:t xml:space="preserve"> -2.4</w:t>
            </w:r>
          </w:p>
        </w:tc>
        <w:tc>
          <w:tcPr>
            <w:tcW w:w="1453" w:type="dxa"/>
            <w:tcBorders>
              <w:top w:val="nil"/>
              <w:left w:val="nil"/>
              <w:bottom w:val="nil"/>
              <w:right w:val="nil"/>
            </w:tcBorders>
            <w:vAlign w:val="center"/>
          </w:tcPr>
          <w:p w:rsidR="004B772B" w:rsidRPr="003B6B9A" w:rsidRDefault="004B772B" w:rsidP="001040FB">
            <w:pPr>
              <w:snapToGrid w:val="0"/>
              <w:spacing w:line="280" w:lineRule="exact"/>
              <w:ind w:left="-113" w:rightChars="150" w:right="360"/>
              <w:jc w:val="right"/>
              <w:rPr>
                <w:rFonts w:eastAsia="標楷體"/>
              </w:rPr>
            </w:pPr>
            <w:r w:rsidRPr="003B6B9A">
              <w:rPr>
                <w:rFonts w:eastAsia="標楷體" w:hint="eastAsia"/>
              </w:rPr>
              <w:t>496.1</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2015</w:t>
            </w:r>
            <w:r w:rsidRPr="003B6B9A">
              <w:rPr>
                <w:rFonts w:eastAsia="標楷體" w:hint="eastAsia"/>
              </w:rPr>
              <w:t>年</w:t>
            </w:r>
            <w:r w:rsidRPr="003B6B9A">
              <w:rPr>
                <w:rFonts w:eastAsia="標楷體" w:hint="eastAsia"/>
              </w:rPr>
              <w:t>1~4</w:t>
            </w:r>
            <w:r w:rsidRPr="003B6B9A">
              <w:rPr>
                <w:rFonts w:eastAsia="標楷體" w:hint="eastAsia"/>
              </w:rPr>
              <w:t>月</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12,225.1</w:t>
            </w:r>
          </w:p>
        </w:tc>
        <w:tc>
          <w:tcPr>
            <w:tcW w:w="934"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-7.6</w:t>
            </w:r>
          </w:p>
        </w:tc>
        <w:tc>
          <w:tcPr>
            <w:tcW w:w="83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6,901.6</w:t>
            </w:r>
          </w:p>
        </w:tc>
        <w:tc>
          <w:tcPr>
            <w:tcW w:w="825"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1.6</w:t>
            </w:r>
          </w:p>
        </w:tc>
        <w:tc>
          <w:tcPr>
            <w:tcW w:w="93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5,323.5</w:t>
            </w:r>
          </w:p>
        </w:tc>
        <w:tc>
          <w:tcPr>
            <w:tcW w:w="868" w:type="dxa"/>
            <w:tcBorders>
              <w:top w:val="nil"/>
              <w:left w:val="nil"/>
              <w:bottom w:val="nil"/>
              <w:right w:val="nil"/>
            </w:tcBorders>
            <w:vAlign w:val="center"/>
          </w:tcPr>
          <w:p w:rsidR="004B772B" w:rsidRPr="003B6B9A" w:rsidRDefault="004B772B" w:rsidP="001040FB">
            <w:pPr>
              <w:snapToGrid w:val="0"/>
              <w:spacing w:line="280" w:lineRule="exact"/>
              <w:ind w:left="-113" w:right="220"/>
              <w:jc w:val="right"/>
              <w:rPr>
                <w:rFonts w:eastAsia="標楷體"/>
              </w:rPr>
            </w:pPr>
            <w:r w:rsidRPr="003B6B9A">
              <w:rPr>
                <w:rFonts w:eastAsia="標楷體" w:hint="eastAsia"/>
              </w:rPr>
              <w:t>-17.3</w:t>
            </w:r>
          </w:p>
        </w:tc>
        <w:tc>
          <w:tcPr>
            <w:tcW w:w="1453" w:type="dxa"/>
            <w:tcBorders>
              <w:top w:val="nil"/>
              <w:left w:val="nil"/>
              <w:bottom w:val="nil"/>
              <w:right w:val="nil"/>
            </w:tcBorders>
            <w:vAlign w:val="center"/>
          </w:tcPr>
          <w:p w:rsidR="004B772B" w:rsidRPr="003B6B9A" w:rsidRDefault="004B772B" w:rsidP="001040FB">
            <w:pPr>
              <w:snapToGrid w:val="0"/>
              <w:spacing w:line="280" w:lineRule="exact"/>
              <w:ind w:left="-113" w:rightChars="150" w:right="360"/>
              <w:jc w:val="right"/>
              <w:rPr>
                <w:rFonts w:eastAsia="標楷體"/>
              </w:rPr>
            </w:pPr>
            <w:r w:rsidRPr="003B6B9A">
              <w:rPr>
                <w:rFonts w:eastAsia="標楷體" w:hint="eastAsia"/>
              </w:rPr>
              <w:t>1,578.1</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w:t>
            </w:r>
            <w:r w:rsidRPr="003B6B9A">
              <w:rPr>
                <w:rFonts w:eastAsia="標楷體" w:hint="eastAsia"/>
              </w:rPr>
              <w:t>月</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3,404.8</w:t>
            </w:r>
          </w:p>
        </w:tc>
        <w:tc>
          <w:tcPr>
            <w:tcW w:w="934"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-10.9</w:t>
            </w:r>
          </w:p>
        </w:tc>
        <w:tc>
          <w:tcPr>
            <w:tcW w:w="83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2,002.6</w:t>
            </w:r>
          </w:p>
        </w:tc>
        <w:tc>
          <w:tcPr>
            <w:tcW w:w="825"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-3.3</w:t>
            </w:r>
          </w:p>
        </w:tc>
        <w:tc>
          <w:tcPr>
            <w:tcW w:w="93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1,402.3</w:t>
            </w:r>
          </w:p>
        </w:tc>
        <w:tc>
          <w:tcPr>
            <w:tcW w:w="868" w:type="dxa"/>
            <w:tcBorders>
              <w:top w:val="nil"/>
              <w:left w:val="nil"/>
              <w:bottom w:val="nil"/>
              <w:right w:val="nil"/>
            </w:tcBorders>
            <w:vAlign w:val="center"/>
          </w:tcPr>
          <w:p w:rsidR="004B772B" w:rsidRPr="003B6B9A" w:rsidRDefault="004B772B" w:rsidP="001040FB">
            <w:pPr>
              <w:snapToGrid w:val="0"/>
              <w:spacing w:line="280" w:lineRule="exact"/>
              <w:ind w:left="-113" w:right="220"/>
              <w:jc w:val="right"/>
              <w:rPr>
                <w:rFonts w:eastAsia="標楷體"/>
              </w:rPr>
            </w:pPr>
            <w:r w:rsidRPr="003B6B9A">
              <w:rPr>
                <w:rFonts w:eastAsia="標楷體" w:hint="eastAsia"/>
              </w:rPr>
              <w:t>-19.9</w:t>
            </w:r>
          </w:p>
        </w:tc>
        <w:tc>
          <w:tcPr>
            <w:tcW w:w="1453" w:type="dxa"/>
            <w:tcBorders>
              <w:top w:val="nil"/>
              <w:left w:val="nil"/>
              <w:bottom w:val="nil"/>
              <w:right w:val="nil"/>
            </w:tcBorders>
            <w:vAlign w:val="center"/>
          </w:tcPr>
          <w:p w:rsidR="004B772B" w:rsidRPr="003B6B9A" w:rsidRDefault="004B772B" w:rsidP="001040FB">
            <w:pPr>
              <w:snapToGrid w:val="0"/>
              <w:spacing w:line="280" w:lineRule="exact"/>
              <w:ind w:left="-113" w:rightChars="150" w:right="360"/>
              <w:jc w:val="right"/>
              <w:rPr>
                <w:rFonts w:eastAsia="標楷體"/>
              </w:rPr>
            </w:pPr>
            <w:r w:rsidRPr="003B6B9A">
              <w:rPr>
                <w:rFonts w:eastAsia="標楷體" w:hint="eastAsia"/>
              </w:rPr>
              <w:t>600.3</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2</w:t>
            </w:r>
            <w:r w:rsidRPr="003B6B9A">
              <w:rPr>
                <w:rFonts w:eastAsia="標楷體" w:hint="eastAsia"/>
              </w:rPr>
              <w:t>月</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2,777.6</w:t>
            </w:r>
          </w:p>
        </w:tc>
        <w:tc>
          <w:tcPr>
            <w:tcW w:w="934"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10.8</w:t>
            </w:r>
          </w:p>
        </w:tc>
        <w:tc>
          <w:tcPr>
            <w:tcW w:w="83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1,691.9</w:t>
            </w:r>
          </w:p>
        </w:tc>
        <w:tc>
          <w:tcPr>
            <w:tcW w:w="825"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48.3</w:t>
            </w:r>
          </w:p>
        </w:tc>
        <w:tc>
          <w:tcPr>
            <w:tcW w:w="93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1,085.7</w:t>
            </w:r>
          </w:p>
        </w:tc>
        <w:tc>
          <w:tcPr>
            <w:tcW w:w="868" w:type="dxa"/>
            <w:tcBorders>
              <w:top w:val="nil"/>
              <w:left w:val="nil"/>
              <w:bottom w:val="nil"/>
              <w:right w:val="nil"/>
            </w:tcBorders>
            <w:vAlign w:val="center"/>
          </w:tcPr>
          <w:p w:rsidR="004B772B" w:rsidRPr="003B6B9A" w:rsidRDefault="004B772B" w:rsidP="001040FB">
            <w:pPr>
              <w:snapToGrid w:val="0"/>
              <w:spacing w:line="280" w:lineRule="exact"/>
              <w:ind w:left="-113" w:right="220"/>
              <w:jc w:val="right"/>
              <w:rPr>
                <w:rFonts w:eastAsia="標楷體"/>
              </w:rPr>
            </w:pPr>
            <w:r w:rsidRPr="003B6B9A">
              <w:rPr>
                <w:rFonts w:eastAsia="標楷體" w:hint="eastAsia"/>
              </w:rPr>
              <w:t>-20.5</w:t>
            </w:r>
          </w:p>
        </w:tc>
        <w:tc>
          <w:tcPr>
            <w:tcW w:w="1453" w:type="dxa"/>
            <w:tcBorders>
              <w:top w:val="nil"/>
              <w:left w:val="nil"/>
              <w:bottom w:val="nil"/>
              <w:right w:val="nil"/>
            </w:tcBorders>
            <w:vAlign w:val="center"/>
          </w:tcPr>
          <w:p w:rsidR="004B772B" w:rsidRPr="003B6B9A" w:rsidRDefault="004B772B" w:rsidP="001040FB">
            <w:pPr>
              <w:snapToGrid w:val="0"/>
              <w:spacing w:line="280" w:lineRule="exact"/>
              <w:ind w:left="-113" w:rightChars="150" w:right="360"/>
              <w:jc w:val="right"/>
              <w:rPr>
                <w:rFonts w:eastAsia="標楷體"/>
              </w:rPr>
            </w:pPr>
            <w:r w:rsidRPr="003B6B9A">
              <w:rPr>
                <w:rFonts w:eastAsia="標楷體" w:hint="eastAsia"/>
              </w:rPr>
              <w:t>606.2</w:t>
            </w:r>
          </w:p>
        </w:tc>
      </w:tr>
      <w:tr w:rsidR="004B772B"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3</w:t>
            </w:r>
            <w:r w:rsidRPr="003B6B9A">
              <w:rPr>
                <w:rFonts w:eastAsia="標楷體" w:hint="eastAsia"/>
              </w:rPr>
              <w:t>月</w:t>
            </w:r>
          </w:p>
        </w:tc>
        <w:tc>
          <w:tcPr>
            <w:tcW w:w="843" w:type="dxa"/>
            <w:tcBorders>
              <w:top w:val="nil"/>
              <w:left w:val="single" w:sz="4" w:space="0" w:color="auto"/>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2,860.6</w:t>
            </w:r>
          </w:p>
        </w:tc>
        <w:tc>
          <w:tcPr>
            <w:tcW w:w="934"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-13.8</w:t>
            </w:r>
          </w:p>
        </w:tc>
        <w:tc>
          <w:tcPr>
            <w:tcW w:w="833"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1,445.7</w:t>
            </w:r>
          </w:p>
        </w:tc>
        <w:tc>
          <w:tcPr>
            <w:tcW w:w="825" w:type="dxa"/>
            <w:tcBorders>
              <w:top w:val="nil"/>
              <w:left w:val="nil"/>
              <w:bottom w:val="nil"/>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-15.0</w:t>
            </w:r>
          </w:p>
        </w:tc>
        <w:tc>
          <w:tcPr>
            <w:tcW w:w="938" w:type="dxa"/>
            <w:tcBorders>
              <w:top w:val="nil"/>
              <w:left w:val="nil"/>
              <w:bottom w:val="nil"/>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1,414.9</w:t>
            </w:r>
          </w:p>
        </w:tc>
        <w:tc>
          <w:tcPr>
            <w:tcW w:w="868" w:type="dxa"/>
            <w:tcBorders>
              <w:top w:val="nil"/>
              <w:left w:val="nil"/>
              <w:bottom w:val="nil"/>
              <w:right w:val="nil"/>
            </w:tcBorders>
            <w:vAlign w:val="center"/>
          </w:tcPr>
          <w:p w:rsidR="004B772B" w:rsidRPr="003B6B9A" w:rsidRDefault="004B772B" w:rsidP="001040FB">
            <w:pPr>
              <w:snapToGrid w:val="0"/>
              <w:spacing w:line="280" w:lineRule="exact"/>
              <w:ind w:left="-113" w:right="220"/>
              <w:jc w:val="right"/>
              <w:rPr>
                <w:rFonts w:eastAsia="標楷體"/>
              </w:rPr>
            </w:pPr>
            <w:r w:rsidRPr="003B6B9A">
              <w:rPr>
                <w:rFonts w:eastAsia="標楷體" w:hint="eastAsia"/>
              </w:rPr>
              <w:t>-12.7</w:t>
            </w:r>
          </w:p>
        </w:tc>
        <w:tc>
          <w:tcPr>
            <w:tcW w:w="1453" w:type="dxa"/>
            <w:tcBorders>
              <w:top w:val="nil"/>
              <w:left w:val="nil"/>
              <w:bottom w:val="nil"/>
              <w:right w:val="nil"/>
            </w:tcBorders>
            <w:vAlign w:val="center"/>
          </w:tcPr>
          <w:p w:rsidR="004B772B" w:rsidRPr="003B6B9A" w:rsidRDefault="004B772B" w:rsidP="001040FB">
            <w:pPr>
              <w:snapToGrid w:val="0"/>
              <w:spacing w:line="280" w:lineRule="exact"/>
              <w:ind w:left="-113" w:rightChars="150" w:right="360"/>
              <w:jc w:val="right"/>
              <w:rPr>
                <w:rFonts w:eastAsia="標楷體"/>
              </w:rPr>
            </w:pPr>
            <w:r w:rsidRPr="003B6B9A">
              <w:rPr>
                <w:rFonts w:eastAsia="標楷體" w:hint="eastAsia"/>
              </w:rPr>
              <w:t>30.8</w:t>
            </w:r>
          </w:p>
        </w:tc>
      </w:tr>
      <w:tr w:rsidR="004B772B" w:rsidRPr="003B6B9A" w:rsidTr="001040FB">
        <w:trPr>
          <w:gridBefore w:val="1"/>
          <w:wBefore w:w="6" w:type="dxa"/>
          <w:cantSplit/>
          <w:trHeight w:hRule="exact" w:val="401"/>
        </w:trPr>
        <w:tc>
          <w:tcPr>
            <w:tcW w:w="1821" w:type="dxa"/>
            <w:tcBorders>
              <w:top w:val="nil"/>
              <w:left w:val="nil"/>
              <w:bottom w:val="single" w:sz="4" w:space="0" w:color="auto"/>
              <w:right w:val="single" w:sz="4" w:space="0" w:color="auto"/>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4</w:t>
            </w:r>
            <w:r w:rsidRPr="003B6B9A">
              <w:rPr>
                <w:rFonts w:eastAsia="標楷體" w:hint="eastAsia"/>
              </w:rPr>
              <w:t>月</w:t>
            </w:r>
          </w:p>
        </w:tc>
        <w:tc>
          <w:tcPr>
            <w:tcW w:w="843" w:type="dxa"/>
            <w:tcBorders>
              <w:top w:val="nil"/>
              <w:left w:val="single" w:sz="4" w:space="0" w:color="auto"/>
              <w:bottom w:val="single" w:sz="4" w:space="0" w:color="auto"/>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3,185.3</w:t>
            </w:r>
          </w:p>
        </w:tc>
        <w:tc>
          <w:tcPr>
            <w:tcW w:w="934" w:type="dxa"/>
            <w:tcBorders>
              <w:top w:val="nil"/>
              <w:left w:val="nil"/>
              <w:bottom w:val="single" w:sz="4" w:space="0" w:color="auto"/>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-11.1</w:t>
            </w:r>
          </w:p>
        </w:tc>
        <w:tc>
          <w:tcPr>
            <w:tcW w:w="833" w:type="dxa"/>
            <w:tcBorders>
              <w:top w:val="nil"/>
              <w:left w:val="nil"/>
              <w:bottom w:val="single" w:sz="4" w:space="0" w:color="auto"/>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1,763.3</w:t>
            </w:r>
          </w:p>
        </w:tc>
        <w:tc>
          <w:tcPr>
            <w:tcW w:w="825" w:type="dxa"/>
            <w:tcBorders>
              <w:top w:val="nil"/>
              <w:left w:val="nil"/>
              <w:bottom w:val="single" w:sz="4" w:space="0" w:color="auto"/>
              <w:right w:val="nil"/>
            </w:tcBorders>
            <w:vAlign w:val="center"/>
          </w:tcPr>
          <w:p w:rsidR="004B772B" w:rsidRPr="003B6B9A" w:rsidRDefault="004B772B" w:rsidP="001040FB">
            <w:pPr>
              <w:snapToGrid w:val="0"/>
              <w:spacing w:line="280" w:lineRule="exact"/>
              <w:ind w:left="-113" w:rightChars="50" w:right="120"/>
              <w:jc w:val="right"/>
              <w:rPr>
                <w:rFonts w:eastAsia="標楷體"/>
              </w:rPr>
            </w:pPr>
            <w:r w:rsidRPr="003B6B9A">
              <w:rPr>
                <w:rFonts w:eastAsia="標楷體" w:hint="eastAsia"/>
              </w:rPr>
              <w:t>-6.4</w:t>
            </w:r>
          </w:p>
        </w:tc>
        <w:tc>
          <w:tcPr>
            <w:tcW w:w="938" w:type="dxa"/>
            <w:tcBorders>
              <w:top w:val="nil"/>
              <w:left w:val="nil"/>
              <w:bottom w:val="single" w:sz="4" w:space="0" w:color="auto"/>
              <w:right w:val="nil"/>
            </w:tcBorders>
            <w:vAlign w:val="center"/>
          </w:tcPr>
          <w:p w:rsidR="004B772B" w:rsidRPr="003B6B9A" w:rsidRDefault="004B772B" w:rsidP="001040FB">
            <w:pPr>
              <w:snapToGrid w:val="0"/>
              <w:spacing w:line="280" w:lineRule="exact"/>
              <w:ind w:left="-113" w:right="-113"/>
              <w:jc w:val="center"/>
              <w:rPr>
                <w:rFonts w:eastAsia="標楷體"/>
              </w:rPr>
            </w:pPr>
            <w:r w:rsidRPr="003B6B9A">
              <w:rPr>
                <w:rFonts w:eastAsia="標楷體" w:hint="eastAsia"/>
              </w:rPr>
              <w:t>1,422.0</w:t>
            </w:r>
          </w:p>
        </w:tc>
        <w:tc>
          <w:tcPr>
            <w:tcW w:w="868" w:type="dxa"/>
            <w:tcBorders>
              <w:top w:val="nil"/>
              <w:left w:val="nil"/>
              <w:bottom w:val="single" w:sz="4" w:space="0" w:color="auto"/>
              <w:right w:val="nil"/>
            </w:tcBorders>
            <w:vAlign w:val="center"/>
          </w:tcPr>
          <w:p w:rsidR="004B772B" w:rsidRPr="003B6B9A" w:rsidRDefault="004B772B" w:rsidP="001040FB">
            <w:pPr>
              <w:snapToGrid w:val="0"/>
              <w:spacing w:line="280" w:lineRule="exact"/>
              <w:ind w:left="-113" w:right="220"/>
              <w:jc w:val="right"/>
              <w:rPr>
                <w:rFonts w:eastAsia="標楷體"/>
              </w:rPr>
            </w:pPr>
            <w:r w:rsidRPr="003B6B9A">
              <w:rPr>
                <w:rFonts w:eastAsia="標楷體" w:hint="eastAsia"/>
              </w:rPr>
              <w:t>-16.2</w:t>
            </w:r>
          </w:p>
        </w:tc>
        <w:tc>
          <w:tcPr>
            <w:tcW w:w="1453" w:type="dxa"/>
            <w:tcBorders>
              <w:top w:val="nil"/>
              <w:left w:val="nil"/>
              <w:bottom w:val="single" w:sz="4" w:space="0" w:color="auto"/>
              <w:right w:val="nil"/>
            </w:tcBorders>
            <w:vAlign w:val="center"/>
          </w:tcPr>
          <w:p w:rsidR="004B772B" w:rsidRPr="003B6B9A" w:rsidRDefault="004B772B" w:rsidP="001040FB">
            <w:pPr>
              <w:snapToGrid w:val="0"/>
              <w:spacing w:line="280" w:lineRule="exact"/>
              <w:ind w:left="-113" w:rightChars="150" w:right="360"/>
              <w:jc w:val="right"/>
              <w:rPr>
                <w:rFonts w:eastAsia="標楷體"/>
              </w:rPr>
            </w:pPr>
            <w:r w:rsidRPr="003B6B9A">
              <w:rPr>
                <w:rFonts w:eastAsia="標楷體" w:hint="eastAsia"/>
              </w:rPr>
              <w:t>341.3</w:t>
            </w:r>
          </w:p>
        </w:tc>
      </w:tr>
    </w:tbl>
    <w:p w:rsidR="004B772B" w:rsidRPr="003B6B9A" w:rsidRDefault="004B772B" w:rsidP="004B772B">
      <w:pPr>
        <w:snapToGrid w:val="0"/>
        <w:spacing w:before="50" w:line="300" w:lineRule="auto"/>
        <w:ind w:rightChars="18" w:right="43" w:firstLineChars="257" w:firstLine="565"/>
        <w:rPr>
          <w:rFonts w:eastAsia="標楷體" w:hAnsi="標楷體"/>
          <w:sz w:val="22"/>
        </w:rPr>
      </w:pPr>
      <w:r w:rsidRPr="003B6B9A">
        <w:rPr>
          <w:rFonts w:eastAsia="標楷體" w:hint="eastAsia"/>
          <w:sz w:val="22"/>
        </w:rPr>
        <w:t>資料來源：中國大陸海關統計、中國大陸商務部</w:t>
      </w:r>
      <w:r w:rsidRPr="003B6B9A">
        <w:rPr>
          <w:rFonts w:eastAsia="標楷體" w:hAnsi="標楷體" w:hint="eastAsia"/>
          <w:sz w:val="22"/>
        </w:rPr>
        <w:t>。</w:t>
      </w:r>
    </w:p>
    <w:p w:rsidR="004B772B" w:rsidRPr="003B6B9A" w:rsidRDefault="004B772B" w:rsidP="004B772B">
      <w:pPr>
        <w:pStyle w:val="2"/>
        <w:spacing w:afterLines="0" w:after="0" w:line="300" w:lineRule="auto"/>
        <w:rPr>
          <w:b w:val="0"/>
          <w:bCs w:val="0"/>
          <w:sz w:val="40"/>
        </w:rPr>
      </w:pPr>
      <w:bookmarkStart w:id="160" w:name="_Toc391906421"/>
      <w:bookmarkStart w:id="161" w:name="_Toc417918571"/>
      <w:bookmarkStart w:id="162" w:name="_Toc420680049"/>
      <w:r w:rsidRPr="003B6B9A">
        <w:rPr>
          <w:sz w:val="40"/>
        </w:rPr>
        <w:t>四、兩岸經貿統計</w:t>
      </w:r>
      <w:bookmarkEnd w:id="160"/>
      <w:bookmarkEnd w:id="161"/>
      <w:bookmarkEnd w:id="162"/>
    </w:p>
    <w:p w:rsidR="004B772B" w:rsidRPr="003B6B9A" w:rsidRDefault="004B772B" w:rsidP="004B772B">
      <w:pPr>
        <w:pStyle w:val="k3a"/>
        <w:spacing w:beforeLines="0" w:before="0" w:line="300" w:lineRule="auto"/>
        <w:ind w:leftChars="0" w:left="0" w:firstLineChars="0" w:firstLine="0"/>
        <w:outlineLvl w:val="2"/>
        <w:rPr>
          <w:b/>
          <w:bCs/>
          <w:sz w:val="40"/>
          <w:szCs w:val="36"/>
        </w:rPr>
      </w:pPr>
      <w:bookmarkStart w:id="163" w:name="_Toc391906422"/>
      <w:bookmarkStart w:id="164" w:name="_Toc417918572"/>
      <w:bookmarkStart w:id="165" w:name="_Toc420680050"/>
      <w:r w:rsidRPr="003B6B9A">
        <w:rPr>
          <w:b/>
          <w:bCs/>
          <w:sz w:val="32"/>
        </w:rPr>
        <w:t>（一）兩岸投資</w:t>
      </w:r>
      <w:bookmarkEnd w:id="163"/>
      <w:bookmarkEnd w:id="164"/>
      <w:r w:rsidRPr="003B6B9A">
        <w:rPr>
          <w:noProof/>
        </w:rPr>
        <w:drawing>
          <wp:anchor distT="0" distB="0" distL="114300" distR="114300" simplePos="0" relativeHeight="252144128" behindDoc="1" locked="0" layoutInCell="1" allowOverlap="1" wp14:anchorId="1C3ED9C0" wp14:editId="32345BF0">
            <wp:simplePos x="0" y="0"/>
            <wp:positionH relativeFrom="column">
              <wp:posOffset>2748280</wp:posOffset>
            </wp:positionH>
            <wp:positionV relativeFrom="paragraph">
              <wp:posOffset>-636270</wp:posOffset>
            </wp:positionV>
            <wp:extent cx="3877945" cy="3141980"/>
            <wp:effectExtent l="0" t="0" r="0" b="0"/>
            <wp:wrapTight wrapText="bothSides">
              <wp:wrapPolygon edited="0">
                <wp:start x="6579" y="3012"/>
                <wp:lineTo x="1592" y="4322"/>
                <wp:lineTo x="1698" y="5108"/>
                <wp:lineTo x="637" y="5369"/>
                <wp:lineTo x="212" y="5500"/>
                <wp:lineTo x="212" y="8905"/>
                <wp:lineTo x="637" y="9560"/>
                <wp:lineTo x="1486" y="9560"/>
                <wp:lineTo x="637" y="10084"/>
                <wp:lineTo x="424" y="10477"/>
                <wp:lineTo x="424" y="13358"/>
                <wp:lineTo x="637" y="13751"/>
                <wp:lineTo x="1486" y="13751"/>
                <wp:lineTo x="531" y="14799"/>
                <wp:lineTo x="531" y="15323"/>
                <wp:lineTo x="1486" y="15846"/>
                <wp:lineTo x="743" y="16239"/>
                <wp:lineTo x="531" y="16632"/>
                <wp:lineTo x="212" y="18073"/>
                <wp:lineTo x="1910" y="19251"/>
                <wp:lineTo x="19418" y="19251"/>
                <wp:lineTo x="19948" y="17942"/>
                <wp:lineTo x="19842" y="17025"/>
                <wp:lineTo x="19418" y="15846"/>
                <wp:lineTo x="19630" y="6024"/>
                <wp:lineTo x="18781" y="5893"/>
                <wp:lineTo x="10823" y="5369"/>
                <wp:lineTo x="14112" y="4453"/>
                <wp:lineTo x="14961" y="3929"/>
                <wp:lineTo x="14431" y="3012"/>
                <wp:lineTo x="6579" y="3012"/>
              </wp:wrapPolygon>
            </wp:wrapTight>
            <wp:docPr id="500" name="圖片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877945" cy="314198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165"/>
    </w:p>
    <w:p w:rsidR="004B772B" w:rsidRPr="003B6B9A" w:rsidRDefault="004B772B" w:rsidP="004B772B">
      <w:pPr>
        <w:widowControl/>
        <w:snapToGrid w:val="0"/>
        <w:spacing w:line="276" w:lineRule="auto"/>
        <w:ind w:right="-142"/>
        <w:jc w:val="both"/>
        <w:rPr>
          <w:rFonts w:eastAsia="標楷體"/>
          <w:b/>
          <w:bCs/>
          <w:kern w:val="0"/>
          <w:sz w:val="32"/>
          <w:szCs w:val="20"/>
        </w:rPr>
      </w:pPr>
      <w:r w:rsidRPr="003B6B9A">
        <w:rPr>
          <w:rFonts w:eastAsia="標楷體"/>
          <w:b/>
          <w:bCs/>
          <w:kern w:val="0"/>
          <w:sz w:val="32"/>
          <w:szCs w:val="20"/>
        </w:rPr>
        <w:t>１、我對中國大陸投資</w:t>
      </w:r>
    </w:p>
    <w:p w:rsidR="004B772B" w:rsidRPr="003B6B9A" w:rsidRDefault="004B772B" w:rsidP="004B772B">
      <w:pPr>
        <w:snapToGrid w:val="0"/>
        <w:ind w:leftChars="100" w:left="520" w:hangingChars="100" w:hanging="280"/>
        <w:jc w:val="both"/>
        <w:rPr>
          <w:rFonts w:eastAsia="標楷體"/>
          <w:sz w:val="28"/>
          <w:szCs w:val="16"/>
        </w:rPr>
      </w:pPr>
      <w:r w:rsidRPr="003B6B9A">
        <w:rPr>
          <w:rFonts w:eastAsia="標楷體"/>
          <w:sz w:val="28"/>
          <w:szCs w:val="16"/>
        </w:rPr>
        <w:t>－</w:t>
      </w:r>
      <w:r w:rsidRPr="003B6B9A">
        <w:rPr>
          <w:rFonts w:eastAsia="標楷體"/>
          <w:sz w:val="28"/>
          <w:szCs w:val="16"/>
        </w:rPr>
        <w:t>2015</w:t>
      </w:r>
      <w:r w:rsidRPr="003B6B9A">
        <w:rPr>
          <w:rFonts w:eastAsia="標楷體"/>
          <w:sz w:val="28"/>
          <w:szCs w:val="16"/>
        </w:rPr>
        <w:t>年</w:t>
      </w:r>
      <w:r w:rsidRPr="003B6B9A">
        <w:rPr>
          <w:rFonts w:eastAsia="標楷體"/>
          <w:sz w:val="28"/>
          <w:szCs w:val="16"/>
        </w:rPr>
        <w:t>1</w:t>
      </w:r>
      <w:r w:rsidRPr="003B6B9A">
        <w:rPr>
          <w:rFonts w:eastAsia="標楷體"/>
          <w:sz w:val="28"/>
          <w:szCs w:val="16"/>
        </w:rPr>
        <w:t>至</w:t>
      </w:r>
      <w:r w:rsidRPr="003B6B9A">
        <w:rPr>
          <w:rFonts w:eastAsia="標楷體"/>
          <w:sz w:val="28"/>
          <w:szCs w:val="16"/>
        </w:rPr>
        <w:t>4</w:t>
      </w:r>
      <w:r w:rsidRPr="003B6B9A">
        <w:rPr>
          <w:rFonts w:eastAsia="標楷體"/>
          <w:sz w:val="28"/>
          <w:szCs w:val="16"/>
        </w:rPr>
        <w:t>月我對中國大陸投資件數為</w:t>
      </w:r>
      <w:r w:rsidRPr="003B6B9A">
        <w:rPr>
          <w:rFonts w:eastAsia="標楷體"/>
          <w:sz w:val="28"/>
          <w:szCs w:val="16"/>
        </w:rPr>
        <w:t>138</w:t>
      </w:r>
      <w:r w:rsidRPr="003B6B9A">
        <w:rPr>
          <w:rFonts w:eastAsia="標楷體"/>
          <w:sz w:val="28"/>
          <w:szCs w:val="16"/>
        </w:rPr>
        <w:t>件，金額為</w:t>
      </w:r>
      <w:r w:rsidRPr="003B6B9A">
        <w:rPr>
          <w:rFonts w:eastAsia="標楷體"/>
          <w:sz w:val="28"/>
          <w:szCs w:val="16"/>
        </w:rPr>
        <w:t>33.5</w:t>
      </w:r>
      <w:r w:rsidRPr="003B6B9A">
        <w:rPr>
          <w:rFonts w:eastAsia="標楷體"/>
          <w:sz w:val="28"/>
          <w:szCs w:val="16"/>
        </w:rPr>
        <w:t>億美元。累計</w:t>
      </w:r>
      <w:r w:rsidRPr="003B6B9A">
        <w:rPr>
          <w:rFonts w:eastAsia="標楷體"/>
          <w:sz w:val="28"/>
          <w:szCs w:val="16"/>
        </w:rPr>
        <w:t>1991</w:t>
      </w:r>
      <w:r w:rsidRPr="003B6B9A">
        <w:rPr>
          <w:rFonts w:eastAsia="標楷體"/>
          <w:sz w:val="28"/>
          <w:szCs w:val="16"/>
        </w:rPr>
        <w:t>年至</w:t>
      </w:r>
      <w:r w:rsidRPr="003B6B9A">
        <w:rPr>
          <w:rFonts w:eastAsia="標楷體"/>
          <w:sz w:val="28"/>
          <w:szCs w:val="16"/>
        </w:rPr>
        <w:t>2015</w:t>
      </w:r>
      <w:r w:rsidRPr="003B6B9A">
        <w:rPr>
          <w:rFonts w:eastAsia="標楷體"/>
          <w:sz w:val="28"/>
          <w:szCs w:val="16"/>
        </w:rPr>
        <w:t>年</w:t>
      </w:r>
      <w:r w:rsidRPr="003B6B9A">
        <w:rPr>
          <w:rFonts w:eastAsia="標楷體"/>
          <w:sz w:val="28"/>
          <w:szCs w:val="16"/>
        </w:rPr>
        <w:t>4</w:t>
      </w:r>
      <w:r w:rsidRPr="003B6B9A">
        <w:rPr>
          <w:rFonts w:eastAsia="標楷體"/>
          <w:sz w:val="28"/>
          <w:szCs w:val="16"/>
        </w:rPr>
        <w:t>月，臺商赴中國大陸投資共計</w:t>
      </w:r>
      <w:r w:rsidRPr="003B6B9A">
        <w:rPr>
          <w:rFonts w:eastAsia="標楷體"/>
          <w:sz w:val="28"/>
          <w:szCs w:val="16"/>
        </w:rPr>
        <w:t>1,473.1</w:t>
      </w:r>
      <w:r w:rsidRPr="003B6B9A">
        <w:rPr>
          <w:rFonts w:eastAsia="標楷體"/>
          <w:sz w:val="28"/>
          <w:szCs w:val="16"/>
        </w:rPr>
        <w:t>億美元。</w:t>
      </w:r>
      <w:r w:rsidRPr="003B6B9A">
        <w:rPr>
          <w:rFonts w:eastAsia="標楷體"/>
          <w:sz w:val="28"/>
          <w:szCs w:val="16"/>
        </w:rPr>
        <w:t>(</w:t>
      </w:r>
      <w:r w:rsidRPr="003B6B9A">
        <w:rPr>
          <w:rFonts w:eastAsia="標楷體"/>
          <w:sz w:val="28"/>
          <w:szCs w:val="16"/>
        </w:rPr>
        <w:t>以上單年、累計之件數及金額均含經核准補辦案件</w:t>
      </w:r>
      <w:r w:rsidRPr="003B6B9A">
        <w:rPr>
          <w:rFonts w:eastAsia="標楷體"/>
          <w:sz w:val="28"/>
          <w:szCs w:val="16"/>
        </w:rPr>
        <w:t>)</w:t>
      </w:r>
    </w:p>
    <w:p w:rsidR="004B772B" w:rsidRPr="003B6B9A" w:rsidRDefault="004B772B" w:rsidP="004B772B">
      <w:pPr>
        <w:snapToGrid w:val="0"/>
        <w:spacing w:beforeLines="50" w:before="180" w:line="320" w:lineRule="exact"/>
        <w:ind w:right="-573"/>
        <w:jc w:val="center"/>
        <w:rPr>
          <w:rFonts w:eastAsia="標楷體"/>
          <w:b/>
          <w:bCs/>
          <w:sz w:val="28"/>
        </w:rPr>
      </w:pPr>
      <w:r w:rsidRPr="003B6B9A">
        <w:rPr>
          <w:rFonts w:eastAsia="標楷體"/>
          <w:b/>
          <w:bCs/>
          <w:sz w:val="28"/>
        </w:rPr>
        <w:t>表</w:t>
      </w:r>
      <w:r w:rsidRPr="003B6B9A">
        <w:rPr>
          <w:rFonts w:eastAsia="標楷體"/>
          <w:b/>
          <w:bCs/>
          <w:sz w:val="28"/>
        </w:rPr>
        <w:t xml:space="preserve">4-1  </w:t>
      </w:r>
      <w:r w:rsidRPr="003B6B9A">
        <w:rPr>
          <w:rFonts w:eastAsia="標楷體" w:hint="eastAsia"/>
          <w:b/>
          <w:bCs/>
          <w:sz w:val="28"/>
        </w:rPr>
        <w:t>臺</w:t>
      </w:r>
      <w:r w:rsidRPr="003B6B9A">
        <w:rPr>
          <w:rFonts w:eastAsia="標楷體"/>
          <w:b/>
          <w:bCs/>
          <w:sz w:val="28"/>
        </w:rPr>
        <w:t>商赴中國大陸投資概況</w:t>
      </w:r>
    </w:p>
    <w:tbl>
      <w:tblPr>
        <w:tblW w:w="9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48"/>
        <w:gridCol w:w="1394"/>
        <w:gridCol w:w="1521"/>
        <w:gridCol w:w="1521"/>
        <w:gridCol w:w="1521"/>
        <w:gridCol w:w="1783"/>
      </w:tblGrid>
      <w:tr w:rsidR="004B772B" w:rsidRPr="003B6B9A" w:rsidTr="001040FB">
        <w:trPr>
          <w:cantSplit/>
        </w:trPr>
        <w:tc>
          <w:tcPr>
            <w:tcW w:w="1648" w:type="dxa"/>
            <w:vMerge w:val="restart"/>
            <w:tcBorders>
              <w:left w:val="nil"/>
            </w:tcBorders>
            <w:vAlign w:val="center"/>
          </w:tcPr>
          <w:p w:rsidR="004B772B" w:rsidRPr="003B6B9A" w:rsidRDefault="004B772B" w:rsidP="001040FB">
            <w:pPr>
              <w:adjustRightInd w:val="0"/>
              <w:snapToGrid w:val="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r w:rsidRPr="003B6B9A">
              <w:rPr>
                <w:rFonts w:eastAsia="標楷體"/>
              </w:rPr>
              <w:t>別</w:t>
            </w:r>
          </w:p>
        </w:tc>
        <w:tc>
          <w:tcPr>
            <w:tcW w:w="4436" w:type="dxa"/>
            <w:gridSpan w:val="3"/>
          </w:tcPr>
          <w:p w:rsidR="004B772B" w:rsidRPr="003B6B9A" w:rsidRDefault="004B772B" w:rsidP="001040FB">
            <w:pPr>
              <w:adjustRightInd w:val="0"/>
              <w:snapToGrid w:val="0"/>
              <w:jc w:val="center"/>
              <w:rPr>
                <w:rFonts w:eastAsia="標楷體"/>
                <w:b/>
                <w:bCs/>
                <w:sz w:val="28"/>
              </w:rPr>
            </w:pPr>
            <w:r w:rsidRPr="003B6B9A">
              <w:rPr>
                <w:rFonts w:eastAsia="標楷體"/>
              </w:rPr>
              <w:t>經濟部核准資料</w:t>
            </w:r>
          </w:p>
        </w:tc>
        <w:tc>
          <w:tcPr>
            <w:tcW w:w="3304" w:type="dxa"/>
            <w:gridSpan w:val="2"/>
            <w:tcBorders>
              <w:right w:val="nil"/>
            </w:tcBorders>
          </w:tcPr>
          <w:p w:rsidR="004B772B" w:rsidRPr="003B6B9A" w:rsidRDefault="004B772B" w:rsidP="001040FB">
            <w:pPr>
              <w:adjustRightInd w:val="0"/>
              <w:snapToGrid w:val="0"/>
              <w:jc w:val="center"/>
              <w:rPr>
                <w:rFonts w:eastAsia="標楷體"/>
                <w:b/>
                <w:bCs/>
                <w:sz w:val="28"/>
              </w:rPr>
            </w:pPr>
            <w:r w:rsidRPr="003B6B9A">
              <w:rPr>
                <w:rFonts w:eastAsia="標楷體"/>
              </w:rPr>
              <w:t>中國大陸對外宣布</w:t>
            </w:r>
          </w:p>
        </w:tc>
      </w:tr>
      <w:tr w:rsidR="004B772B" w:rsidRPr="003B6B9A" w:rsidTr="001040FB">
        <w:trPr>
          <w:cantSplit/>
        </w:trPr>
        <w:tc>
          <w:tcPr>
            <w:tcW w:w="1648" w:type="dxa"/>
            <w:vMerge/>
            <w:tcBorders>
              <w:left w:val="nil"/>
            </w:tcBorders>
          </w:tcPr>
          <w:p w:rsidR="004B772B" w:rsidRPr="003B6B9A" w:rsidRDefault="004B772B" w:rsidP="001040FB">
            <w:pPr>
              <w:adjustRightInd w:val="0"/>
              <w:snapToGrid w:val="0"/>
              <w:jc w:val="center"/>
              <w:rPr>
                <w:rFonts w:eastAsia="標楷體"/>
                <w:b/>
                <w:bCs/>
                <w:sz w:val="28"/>
              </w:rPr>
            </w:pPr>
          </w:p>
        </w:tc>
        <w:tc>
          <w:tcPr>
            <w:tcW w:w="1394" w:type="dxa"/>
            <w:vMerge w:val="restart"/>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數量</w:t>
            </w:r>
            <w:r w:rsidRPr="003B6B9A">
              <w:rPr>
                <w:rFonts w:eastAsia="標楷體"/>
                <w:sz w:val="22"/>
              </w:rPr>
              <w:t>*</w:t>
            </w:r>
          </w:p>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w:t>
            </w:r>
            <w:r w:rsidRPr="003B6B9A">
              <w:rPr>
                <w:rFonts w:eastAsia="標楷體"/>
                <w:sz w:val="22"/>
              </w:rPr>
              <w:t>件</w:t>
            </w:r>
            <w:r w:rsidRPr="003B6B9A">
              <w:rPr>
                <w:rFonts w:eastAsia="標楷體"/>
                <w:sz w:val="22"/>
              </w:rPr>
              <w:t>)</w:t>
            </w:r>
          </w:p>
        </w:tc>
        <w:tc>
          <w:tcPr>
            <w:tcW w:w="1521" w:type="dxa"/>
            <w:vMerge w:val="restart"/>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金額</w:t>
            </w:r>
            <w:r w:rsidRPr="003B6B9A">
              <w:rPr>
                <w:rFonts w:eastAsia="標楷體"/>
                <w:sz w:val="22"/>
              </w:rPr>
              <w:t>*</w:t>
            </w:r>
          </w:p>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（億美元）</w:t>
            </w:r>
          </w:p>
        </w:tc>
        <w:tc>
          <w:tcPr>
            <w:tcW w:w="1521" w:type="dxa"/>
            <w:vMerge w:val="restart"/>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平均投資</w:t>
            </w:r>
            <w:r w:rsidRPr="003B6B9A">
              <w:rPr>
                <w:rFonts w:eastAsia="標楷體"/>
                <w:sz w:val="16"/>
              </w:rPr>
              <w:t>**</w:t>
            </w:r>
          </w:p>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規模（萬美元）</w:t>
            </w:r>
          </w:p>
        </w:tc>
        <w:tc>
          <w:tcPr>
            <w:tcW w:w="3304" w:type="dxa"/>
            <w:gridSpan w:val="2"/>
            <w:tcBorders>
              <w:bottom w:val="nil"/>
              <w:right w:val="nil"/>
            </w:tcBorders>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實際金額（億美元）</w:t>
            </w:r>
          </w:p>
        </w:tc>
      </w:tr>
      <w:tr w:rsidR="004B772B" w:rsidRPr="003B6B9A" w:rsidTr="001040FB">
        <w:trPr>
          <w:cantSplit/>
          <w:trHeight w:hRule="exact" w:val="318"/>
        </w:trPr>
        <w:tc>
          <w:tcPr>
            <w:tcW w:w="1648" w:type="dxa"/>
            <w:vMerge/>
            <w:tcBorders>
              <w:left w:val="nil"/>
              <w:bottom w:val="single" w:sz="4" w:space="0" w:color="auto"/>
            </w:tcBorders>
          </w:tcPr>
          <w:p w:rsidR="004B772B" w:rsidRPr="003B6B9A" w:rsidRDefault="004B772B" w:rsidP="001040FB">
            <w:pPr>
              <w:adjustRightInd w:val="0"/>
              <w:snapToGrid w:val="0"/>
              <w:jc w:val="center"/>
              <w:rPr>
                <w:rFonts w:eastAsia="標楷體"/>
                <w:b/>
                <w:bCs/>
                <w:sz w:val="28"/>
              </w:rPr>
            </w:pPr>
          </w:p>
        </w:tc>
        <w:tc>
          <w:tcPr>
            <w:tcW w:w="1394" w:type="dxa"/>
            <w:vMerge/>
            <w:tcBorders>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521" w:type="dxa"/>
            <w:tcBorders>
              <w:top w:val="nil"/>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783" w:type="dxa"/>
            <w:tcBorders>
              <w:bottom w:val="single" w:sz="4" w:space="0" w:color="auto"/>
              <w:right w:val="nil"/>
            </w:tcBorders>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pacing w:val="-24"/>
                <w:sz w:val="22"/>
              </w:rPr>
              <w:t>占外資比重（</w:t>
            </w:r>
            <w:r w:rsidRPr="003B6B9A">
              <w:rPr>
                <w:rFonts w:eastAsia="標楷體"/>
                <w:spacing w:val="-24"/>
                <w:sz w:val="22"/>
              </w:rPr>
              <w:t>%</w:t>
            </w:r>
            <w:r w:rsidRPr="003B6B9A">
              <w:rPr>
                <w:rFonts w:eastAsia="標楷體"/>
                <w:spacing w:val="-24"/>
                <w:sz w:val="22"/>
              </w:rPr>
              <w:t>）</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2010</w:t>
            </w:r>
            <w:r w:rsidRPr="003B6B9A">
              <w:rPr>
                <w:rFonts w:eastAsia="標楷體"/>
              </w:rPr>
              <w:t>年</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914</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146.2</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2,361.0</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24.8</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2.3</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2011</w:t>
            </w:r>
            <w:r w:rsidRPr="003B6B9A">
              <w:rPr>
                <w:rFonts w:eastAsia="標楷體"/>
              </w:rPr>
              <w:t>年</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887</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143.8</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2,278.3</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19.5</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1.9</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2012</w:t>
            </w:r>
            <w:r w:rsidRPr="003B6B9A">
              <w:rPr>
                <w:rFonts w:eastAsia="標楷體"/>
              </w:rPr>
              <w:t>年</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636</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127.9</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2,406.3</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25.6</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2.6</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2013</w:t>
            </w:r>
            <w:r w:rsidRPr="003B6B9A">
              <w:rPr>
                <w:rFonts w:eastAsia="標楷體"/>
              </w:rPr>
              <w:t>年</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554</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91.9</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1,658.8</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17.1</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1.8</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2014</w:t>
            </w:r>
            <w:r w:rsidRPr="003B6B9A">
              <w:rPr>
                <w:rFonts w:eastAsia="標楷體"/>
              </w:rPr>
              <w:t>年</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497</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102.8</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2,533.5</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20.2</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1.7</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4</w:t>
            </w:r>
            <w:r w:rsidRPr="003B6B9A">
              <w:rPr>
                <w:rFonts w:eastAsia="標楷體"/>
              </w:rPr>
              <w:t>月</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35</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6.4</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1,933.3</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1.6</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1.8</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5</w:t>
            </w:r>
            <w:r w:rsidRPr="003B6B9A">
              <w:rPr>
                <w:rFonts w:eastAsia="標楷體"/>
              </w:rPr>
              <w:t>月</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61</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9.7</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1,590.2</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1.2</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1.4</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6</w:t>
            </w:r>
            <w:r w:rsidRPr="003B6B9A">
              <w:rPr>
                <w:rFonts w:eastAsia="標楷體"/>
              </w:rPr>
              <w:t>月</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47</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9.0</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1,923.2</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4.3</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3.0</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7</w:t>
            </w:r>
            <w:r w:rsidRPr="003B6B9A">
              <w:rPr>
                <w:rFonts w:eastAsia="標楷體"/>
              </w:rPr>
              <w:t>月</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30</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5.1</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2,314.9</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1.5</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1.9</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8</w:t>
            </w:r>
            <w:r w:rsidRPr="003B6B9A">
              <w:rPr>
                <w:rFonts w:eastAsia="標楷體"/>
              </w:rPr>
              <w:t>月</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44</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5.1</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1,210.0</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1.0</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1.4</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9</w:t>
            </w:r>
            <w:r w:rsidRPr="003B6B9A">
              <w:rPr>
                <w:rFonts w:eastAsia="標楷體"/>
              </w:rPr>
              <w:t>月</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40</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11.9</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3,472.2</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1.1</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1.2</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10</w:t>
            </w:r>
            <w:r w:rsidRPr="003B6B9A">
              <w:rPr>
                <w:rFonts w:eastAsia="標楷體"/>
              </w:rPr>
              <w:t>月</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56</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5.3</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1,407.7</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0.8</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0.9</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11</w:t>
            </w:r>
            <w:r w:rsidRPr="003B6B9A">
              <w:rPr>
                <w:rFonts w:eastAsia="標楷體"/>
              </w:rPr>
              <w:t>月</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33</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8.0</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3,143.3</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1.2</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1.2</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12</w:t>
            </w:r>
            <w:r w:rsidRPr="003B6B9A">
              <w:rPr>
                <w:rFonts w:eastAsia="標楷體"/>
              </w:rPr>
              <w:t>月</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41</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12.8</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4,342.2</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1.4</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1.1</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2015</w:t>
            </w:r>
            <w:r w:rsidRPr="003B6B9A">
              <w:rPr>
                <w:rFonts w:eastAsia="標楷體"/>
              </w:rPr>
              <w:t>年</w:t>
            </w:r>
            <w:r w:rsidRPr="003B6B9A">
              <w:rPr>
                <w:rFonts w:eastAsia="標楷體"/>
              </w:rPr>
              <w:t>1~4</w:t>
            </w:r>
            <w:r w:rsidRPr="003B6B9A">
              <w:rPr>
                <w:rFonts w:eastAsia="標楷體"/>
              </w:rPr>
              <w:t>月</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138</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33.5</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3,060.4</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4.9</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1.4</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1</w:t>
            </w:r>
            <w:r w:rsidRPr="003B6B9A">
              <w:rPr>
                <w:rFonts w:eastAsia="標楷體"/>
              </w:rPr>
              <w:t>月</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41</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7.6</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2,353.4</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1.7</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1.2</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2</w:t>
            </w:r>
            <w:r w:rsidRPr="003B6B9A">
              <w:rPr>
                <w:rFonts w:eastAsia="標楷體"/>
              </w:rPr>
              <w:t>月</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22</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9.0</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4,103.2</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2.2</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2.6</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3</w:t>
            </w:r>
            <w:r w:rsidRPr="003B6B9A">
              <w:rPr>
                <w:rFonts w:eastAsia="標楷體"/>
              </w:rPr>
              <w:t>月</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33</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8.0</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3,338.7</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0.9</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0.7</w:t>
            </w:r>
          </w:p>
        </w:tc>
      </w:tr>
      <w:tr w:rsidR="004B772B" w:rsidRPr="003B6B9A" w:rsidTr="001040FB">
        <w:trPr>
          <w:trHeight w:val="356"/>
        </w:trPr>
        <w:tc>
          <w:tcPr>
            <w:tcW w:w="1648" w:type="dxa"/>
            <w:tcBorders>
              <w:top w:val="nil"/>
              <w:left w:val="nil"/>
              <w:bottom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4</w:t>
            </w:r>
            <w:r w:rsidRPr="003B6B9A">
              <w:rPr>
                <w:rFonts w:eastAsia="標楷體"/>
              </w:rPr>
              <w:t>月</w:t>
            </w:r>
          </w:p>
        </w:tc>
        <w:tc>
          <w:tcPr>
            <w:tcW w:w="1394" w:type="dxa"/>
            <w:tcBorders>
              <w:top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42</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8.9</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szCs w:val="22"/>
              </w:rPr>
            </w:pPr>
            <w:r w:rsidRPr="003B6B9A">
              <w:rPr>
                <w:rFonts w:eastAsia="標楷體"/>
                <w:sz w:val="22"/>
                <w:szCs w:val="22"/>
              </w:rPr>
              <w:t>2,834.2</w:t>
            </w:r>
          </w:p>
        </w:tc>
        <w:tc>
          <w:tcPr>
            <w:tcW w:w="1521"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w:t>
            </w:r>
          </w:p>
        </w:tc>
        <w:tc>
          <w:tcPr>
            <w:tcW w:w="1783" w:type="dxa"/>
            <w:tcBorders>
              <w:top w:val="nil"/>
              <w:left w:val="nil"/>
              <w:bottom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w:t>
            </w:r>
          </w:p>
        </w:tc>
      </w:tr>
      <w:tr w:rsidR="004B772B" w:rsidRPr="003B6B9A" w:rsidTr="001040FB">
        <w:trPr>
          <w:trHeight w:val="356"/>
        </w:trPr>
        <w:tc>
          <w:tcPr>
            <w:tcW w:w="1648" w:type="dxa"/>
            <w:tcBorders>
              <w:top w:val="nil"/>
              <w:left w:val="nil"/>
            </w:tcBorders>
            <w:vAlign w:val="center"/>
          </w:tcPr>
          <w:p w:rsidR="004B772B" w:rsidRPr="003B6B9A" w:rsidRDefault="004B772B" w:rsidP="001040FB">
            <w:pPr>
              <w:adjustRightInd w:val="0"/>
              <w:snapToGrid w:val="0"/>
              <w:spacing w:line="240" w:lineRule="exact"/>
              <w:jc w:val="center"/>
              <w:rPr>
                <w:rFonts w:eastAsia="標楷體"/>
              </w:rPr>
            </w:pPr>
            <w:r w:rsidRPr="003B6B9A">
              <w:rPr>
                <w:rFonts w:eastAsia="標楷體"/>
              </w:rPr>
              <w:t>1991</w:t>
            </w:r>
            <w:r w:rsidRPr="003B6B9A">
              <w:rPr>
                <w:rFonts w:eastAsia="標楷體"/>
              </w:rPr>
              <w:t>年以來</w:t>
            </w:r>
          </w:p>
        </w:tc>
        <w:tc>
          <w:tcPr>
            <w:tcW w:w="1394" w:type="dxa"/>
            <w:tcBorders>
              <w:top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41,397</w:t>
            </w:r>
          </w:p>
        </w:tc>
        <w:tc>
          <w:tcPr>
            <w:tcW w:w="1521" w:type="dxa"/>
            <w:tcBorders>
              <w:top w:val="nil"/>
              <w:left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1,473.1</w:t>
            </w:r>
          </w:p>
        </w:tc>
        <w:tc>
          <w:tcPr>
            <w:tcW w:w="1521" w:type="dxa"/>
            <w:tcBorders>
              <w:top w:val="nil"/>
              <w:left w:val="nil"/>
              <w:right w:val="nil"/>
            </w:tcBorders>
            <w:vAlign w:val="center"/>
          </w:tcPr>
          <w:p w:rsidR="004B772B" w:rsidRPr="003B6B9A" w:rsidRDefault="004B772B" w:rsidP="001040FB">
            <w:pPr>
              <w:adjustRightInd w:val="0"/>
              <w:snapToGrid w:val="0"/>
              <w:spacing w:line="240" w:lineRule="exact"/>
              <w:jc w:val="center"/>
              <w:rPr>
                <w:rFonts w:eastAsia="標楷體"/>
                <w:sz w:val="22"/>
                <w:highlight w:val="yellow"/>
              </w:rPr>
            </w:pPr>
            <w:r w:rsidRPr="003B6B9A">
              <w:rPr>
                <w:rFonts w:eastAsia="標楷體"/>
                <w:sz w:val="22"/>
                <w:szCs w:val="22"/>
              </w:rPr>
              <w:t>355.8*</w:t>
            </w:r>
          </w:p>
        </w:tc>
        <w:tc>
          <w:tcPr>
            <w:tcW w:w="1521" w:type="dxa"/>
            <w:tcBorders>
              <w:top w:val="nil"/>
              <w:left w:val="nil"/>
              <w:right w:val="nil"/>
            </w:tcBorders>
            <w:vAlign w:val="center"/>
          </w:tcPr>
          <w:p w:rsidR="004B772B" w:rsidRPr="003B6B9A" w:rsidRDefault="004B772B" w:rsidP="001040FB">
            <w:pPr>
              <w:adjustRightInd w:val="0"/>
              <w:snapToGrid w:val="0"/>
              <w:spacing w:line="240" w:lineRule="exact"/>
              <w:jc w:val="center"/>
              <w:rPr>
                <w:rFonts w:eastAsia="標楷體"/>
                <w:sz w:val="22"/>
                <w:u w:val="single"/>
              </w:rPr>
            </w:pPr>
            <w:r w:rsidRPr="003B6B9A">
              <w:rPr>
                <w:rFonts w:eastAsia="標楷體"/>
                <w:sz w:val="22"/>
              </w:rPr>
              <w:t>616.4</w:t>
            </w:r>
            <w:r w:rsidRPr="003B6B9A">
              <w:rPr>
                <w:rFonts w:ascii="Cambria Math" w:eastAsia="標楷體" w:hAnsi="Cambria Math" w:cs="Cambria Math"/>
                <w:sz w:val="22"/>
                <w:vertAlign w:val="superscript"/>
              </w:rPr>
              <w:t>△</w:t>
            </w:r>
          </w:p>
        </w:tc>
        <w:tc>
          <w:tcPr>
            <w:tcW w:w="1783" w:type="dxa"/>
            <w:tcBorders>
              <w:top w:val="nil"/>
              <w:left w:val="nil"/>
              <w:right w:val="nil"/>
            </w:tcBorders>
            <w:vAlign w:val="center"/>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3.9</w:t>
            </w:r>
          </w:p>
        </w:tc>
      </w:tr>
    </w:tbl>
    <w:p w:rsidR="004B772B" w:rsidRPr="003B6B9A" w:rsidRDefault="004B772B" w:rsidP="004B772B">
      <w:pPr>
        <w:snapToGrid w:val="0"/>
        <w:spacing w:line="200" w:lineRule="exact"/>
        <w:ind w:right="-777"/>
        <w:jc w:val="both"/>
        <w:rPr>
          <w:rFonts w:eastAsia="標楷體"/>
          <w:sz w:val="22"/>
          <w:szCs w:val="22"/>
        </w:rPr>
      </w:pPr>
      <w:r w:rsidRPr="003B6B9A">
        <w:rPr>
          <w:rFonts w:eastAsia="標楷體"/>
          <w:sz w:val="22"/>
          <w:szCs w:val="22"/>
        </w:rPr>
        <w:t>註：</w:t>
      </w:r>
      <w:r w:rsidRPr="003B6B9A">
        <w:rPr>
          <w:rFonts w:eastAsia="標楷體"/>
          <w:sz w:val="22"/>
          <w:szCs w:val="22"/>
        </w:rPr>
        <w:t>1.</w:t>
      </w:r>
      <w:r w:rsidRPr="003B6B9A">
        <w:rPr>
          <w:rFonts w:eastAsia="標楷體"/>
          <w:sz w:val="22"/>
          <w:szCs w:val="22"/>
        </w:rPr>
        <w:t>＊含補辦許可案件及金額。</w:t>
      </w:r>
    </w:p>
    <w:p w:rsidR="004B772B" w:rsidRPr="003B6B9A" w:rsidRDefault="004B772B" w:rsidP="004B772B">
      <w:pPr>
        <w:snapToGrid w:val="0"/>
        <w:spacing w:line="200" w:lineRule="exact"/>
        <w:ind w:leftChars="177" w:left="425" w:right="-777"/>
        <w:jc w:val="both"/>
        <w:rPr>
          <w:rFonts w:eastAsia="標楷體"/>
          <w:sz w:val="22"/>
          <w:szCs w:val="22"/>
        </w:rPr>
      </w:pPr>
      <w:r w:rsidRPr="003B6B9A">
        <w:rPr>
          <w:rFonts w:eastAsia="標楷體"/>
          <w:sz w:val="22"/>
          <w:szCs w:val="22"/>
        </w:rPr>
        <w:t>2.</w:t>
      </w:r>
      <w:r w:rsidRPr="003B6B9A">
        <w:rPr>
          <w:rFonts w:eastAsia="標楷體"/>
          <w:sz w:val="22"/>
          <w:szCs w:val="22"/>
        </w:rPr>
        <w:t>＊＊及我對中國大陸投資</w:t>
      </w:r>
      <w:r w:rsidRPr="003B6B9A">
        <w:rPr>
          <w:rFonts w:eastAsia="標楷體" w:hint="eastAsia"/>
          <w:sz w:val="22"/>
          <w:szCs w:val="22"/>
        </w:rPr>
        <w:t>變動</w:t>
      </w:r>
      <w:r w:rsidRPr="003B6B9A">
        <w:rPr>
          <w:rFonts w:eastAsia="標楷體"/>
          <w:sz w:val="22"/>
          <w:szCs w:val="22"/>
        </w:rPr>
        <w:t>圖不含補辦許可部分。</w:t>
      </w:r>
    </w:p>
    <w:p w:rsidR="004B772B" w:rsidRPr="003B6B9A" w:rsidRDefault="004B772B" w:rsidP="004B772B">
      <w:pPr>
        <w:tabs>
          <w:tab w:val="left" w:pos="426"/>
        </w:tabs>
        <w:snapToGrid w:val="0"/>
        <w:spacing w:line="200" w:lineRule="exact"/>
        <w:ind w:leftChars="177" w:left="425" w:right="-777"/>
        <w:jc w:val="both"/>
        <w:rPr>
          <w:rFonts w:eastAsia="標楷體"/>
          <w:sz w:val="22"/>
          <w:szCs w:val="22"/>
        </w:rPr>
      </w:pPr>
      <w:r w:rsidRPr="003B6B9A">
        <w:rPr>
          <w:rFonts w:eastAsia="標楷體"/>
          <w:sz w:val="22"/>
          <w:szCs w:val="22"/>
        </w:rPr>
        <w:t>3.</w:t>
      </w:r>
      <w:r w:rsidRPr="003B6B9A">
        <w:rPr>
          <w:rFonts w:ascii="Cambria Math" w:eastAsia="標楷體" w:hAnsi="Cambria Math" w:cs="Cambria Math"/>
          <w:sz w:val="22"/>
          <w:szCs w:val="22"/>
        </w:rPr>
        <w:t>△</w:t>
      </w:r>
      <w:r w:rsidRPr="003B6B9A">
        <w:rPr>
          <w:rFonts w:eastAsia="標楷體"/>
          <w:sz w:val="22"/>
          <w:szCs w:val="22"/>
        </w:rPr>
        <w:t>為自</w:t>
      </w:r>
      <w:r w:rsidRPr="003B6B9A">
        <w:rPr>
          <w:rFonts w:eastAsia="標楷體"/>
          <w:sz w:val="22"/>
          <w:szCs w:val="22"/>
        </w:rPr>
        <w:t>1989</w:t>
      </w:r>
      <w:r w:rsidRPr="003B6B9A">
        <w:rPr>
          <w:rFonts w:eastAsia="標楷體"/>
          <w:sz w:val="22"/>
          <w:szCs w:val="22"/>
        </w:rPr>
        <w:t>年以來之統計資料。</w:t>
      </w:r>
    </w:p>
    <w:p w:rsidR="004B772B" w:rsidRPr="003B6B9A" w:rsidRDefault="004B772B" w:rsidP="004B772B">
      <w:pPr>
        <w:tabs>
          <w:tab w:val="left" w:pos="709"/>
        </w:tabs>
        <w:snapToGrid w:val="0"/>
        <w:spacing w:line="200" w:lineRule="exact"/>
        <w:ind w:leftChars="177" w:left="566" w:right="-631" w:hangingChars="64" w:hanging="141"/>
        <w:jc w:val="both"/>
        <w:rPr>
          <w:rFonts w:eastAsia="標楷體"/>
          <w:sz w:val="22"/>
          <w:szCs w:val="22"/>
        </w:rPr>
      </w:pPr>
      <w:r w:rsidRPr="003B6B9A">
        <w:rPr>
          <w:rFonts w:eastAsia="標楷體"/>
          <w:sz w:val="22"/>
          <w:szCs w:val="22"/>
        </w:rPr>
        <w:t>4.</w:t>
      </w:r>
      <w:r w:rsidRPr="003B6B9A">
        <w:rPr>
          <w:rFonts w:eastAsia="標楷體" w:hint="eastAsia"/>
          <w:sz w:val="22"/>
          <w:szCs w:val="22"/>
        </w:rPr>
        <w:t>中國大陸對外宣布數據不包括臺灣透過維京、開曼群島、薩摩亞、模里西斯等自由港對中國大陸投資之金額。</w:t>
      </w:r>
    </w:p>
    <w:p w:rsidR="004B772B" w:rsidRPr="003B6B9A" w:rsidRDefault="004B772B" w:rsidP="004B772B">
      <w:pPr>
        <w:snapToGrid w:val="0"/>
        <w:spacing w:line="200" w:lineRule="exact"/>
        <w:ind w:right="-777"/>
        <w:jc w:val="both"/>
        <w:rPr>
          <w:b/>
          <w:bCs/>
          <w:sz w:val="32"/>
        </w:rPr>
      </w:pPr>
      <w:r w:rsidRPr="003B6B9A">
        <w:rPr>
          <w:rFonts w:eastAsia="標楷體"/>
          <w:sz w:val="22"/>
          <w:szCs w:val="22"/>
        </w:rPr>
        <w:t>資料來源：經濟部投審會、中國大陸「商務部」。</w:t>
      </w:r>
      <w:r w:rsidRPr="003B6B9A">
        <w:rPr>
          <w:b/>
          <w:bCs/>
          <w:sz w:val="32"/>
        </w:rPr>
        <w:br w:type="page"/>
      </w:r>
    </w:p>
    <w:p w:rsidR="004B772B" w:rsidRPr="003B6B9A" w:rsidRDefault="004B772B" w:rsidP="004B772B">
      <w:pPr>
        <w:pStyle w:val="k3a"/>
        <w:spacing w:beforeLines="0" w:before="0" w:line="276" w:lineRule="auto"/>
        <w:ind w:leftChars="0" w:left="0" w:firstLineChars="0" w:firstLine="0"/>
      </w:pPr>
      <w:bookmarkStart w:id="166" w:name="_Toc391906423"/>
      <w:bookmarkStart w:id="167" w:name="_Toc401923806"/>
      <w:bookmarkStart w:id="168" w:name="_Toc402171727"/>
      <w:r w:rsidRPr="003B6B9A">
        <w:rPr>
          <w:noProof/>
        </w:rPr>
        <w:drawing>
          <wp:anchor distT="0" distB="0" distL="114300" distR="114300" simplePos="0" relativeHeight="252146176" behindDoc="1" locked="0" layoutInCell="1" allowOverlap="1" wp14:anchorId="1DB7E114" wp14:editId="32427C68">
            <wp:simplePos x="0" y="0"/>
            <wp:positionH relativeFrom="column">
              <wp:posOffset>2882265</wp:posOffset>
            </wp:positionH>
            <wp:positionV relativeFrom="paragraph">
              <wp:posOffset>-52705</wp:posOffset>
            </wp:positionV>
            <wp:extent cx="3597910" cy="3114675"/>
            <wp:effectExtent l="0" t="0" r="0" b="0"/>
            <wp:wrapSquare wrapText="bothSides"/>
            <wp:docPr id="501" name="圖片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597910" cy="3114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B6B9A">
        <w:rPr>
          <w:b/>
          <w:bCs/>
          <w:sz w:val="32"/>
        </w:rPr>
        <w:t>２、中國大陸對我投資</w:t>
      </w:r>
    </w:p>
    <w:p w:rsidR="004B772B" w:rsidRPr="003B6B9A" w:rsidRDefault="004B772B" w:rsidP="004B772B">
      <w:pPr>
        <w:pStyle w:val="k3a"/>
        <w:spacing w:beforeLines="0" w:before="0"/>
        <w:ind w:leftChars="119" w:left="569" w:right="0" w:hangingChars="101" w:hanging="283"/>
        <w:rPr>
          <w:szCs w:val="28"/>
        </w:rPr>
      </w:pPr>
      <w:r w:rsidRPr="003B6B9A">
        <w:rPr>
          <w:szCs w:val="28"/>
        </w:rPr>
        <w:t>－</w:t>
      </w:r>
      <w:r w:rsidRPr="003B6B9A">
        <w:rPr>
          <w:szCs w:val="28"/>
        </w:rPr>
        <w:t>2015</w:t>
      </w:r>
      <w:r w:rsidRPr="003B6B9A">
        <w:rPr>
          <w:szCs w:val="28"/>
        </w:rPr>
        <w:t>年</w:t>
      </w:r>
      <w:r w:rsidRPr="003B6B9A">
        <w:rPr>
          <w:szCs w:val="28"/>
        </w:rPr>
        <w:t>1</w:t>
      </w:r>
      <w:r w:rsidRPr="003B6B9A">
        <w:rPr>
          <w:szCs w:val="28"/>
        </w:rPr>
        <w:t>至</w:t>
      </w:r>
      <w:r w:rsidRPr="003B6B9A">
        <w:rPr>
          <w:szCs w:val="28"/>
        </w:rPr>
        <w:t>4</w:t>
      </w:r>
      <w:r w:rsidRPr="003B6B9A">
        <w:rPr>
          <w:szCs w:val="28"/>
        </w:rPr>
        <w:t>月陸資來臺投資件數為</w:t>
      </w:r>
      <w:r w:rsidRPr="003B6B9A">
        <w:rPr>
          <w:szCs w:val="28"/>
        </w:rPr>
        <w:t>48</w:t>
      </w:r>
      <w:r w:rsidRPr="003B6B9A">
        <w:rPr>
          <w:szCs w:val="28"/>
        </w:rPr>
        <w:t>件，金額為</w:t>
      </w:r>
      <w:r w:rsidRPr="003B6B9A">
        <w:rPr>
          <w:szCs w:val="28"/>
        </w:rPr>
        <w:t>2,625.5</w:t>
      </w:r>
      <w:r w:rsidRPr="003B6B9A">
        <w:rPr>
          <w:szCs w:val="28"/>
        </w:rPr>
        <w:t>萬美元。累計</w:t>
      </w:r>
      <w:r w:rsidRPr="003B6B9A">
        <w:rPr>
          <w:szCs w:val="28"/>
        </w:rPr>
        <w:t>2009</w:t>
      </w:r>
      <w:r w:rsidRPr="003B6B9A">
        <w:rPr>
          <w:szCs w:val="28"/>
        </w:rPr>
        <w:t>年</w:t>
      </w:r>
      <w:r w:rsidRPr="003B6B9A">
        <w:rPr>
          <w:szCs w:val="28"/>
        </w:rPr>
        <w:t>6</w:t>
      </w:r>
      <w:r w:rsidRPr="003B6B9A">
        <w:rPr>
          <w:szCs w:val="28"/>
        </w:rPr>
        <w:t>月</w:t>
      </w:r>
      <w:r w:rsidRPr="003B6B9A">
        <w:rPr>
          <w:szCs w:val="28"/>
        </w:rPr>
        <w:t>30</w:t>
      </w:r>
      <w:r w:rsidRPr="003B6B9A">
        <w:rPr>
          <w:szCs w:val="28"/>
        </w:rPr>
        <w:t>日至</w:t>
      </w:r>
      <w:r w:rsidRPr="003B6B9A">
        <w:rPr>
          <w:szCs w:val="28"/>
        </w:rPr>
        <w:t>2015</w:t>
      </w:r>
      <w:r w:rsidRPr="003B6B9A">
        <w:rPr>
          <w:szCs w:val="28"/>
        </w:rPr>
        <w:t>年</w:t>
      </w:r>
      <w:r w:rsidRPr="003B6B9A">
        <w:rPr>
          <w:szCs w:val="28"/>
        </w:rPr>
        <w:t>4</w:t>
      </w:r>
      <w:r w:rsidRPr="003B6B9A">
        <w:rPr>
          <w:szCs w:val="28"/>
        </w:rPr>
        <w:t>月，陸資來臺投資計</w:t>
      </w:r>
      <w:r w:rsidRPr="003B6B9A">
        <w:rPr>
          <w:szCs w:val="28"/>
        </w:rPr>
        <w:t>667</w:t>
      </w:r>
      <w:r w:rsidRPr="003B6B9A">
        <w:rPr>
          <w:szCs w:val="28"/>
        </w:rPr>
        <w:t>件，金額為</w:t>
      </w:r>
      <w:r w:rsidRPr="003B6B9A">
        <w:rPr>
          <w:szCs w:val="28"/>
        </w:rPr>
        <w:t>12.25</w:t>
      </w:r>
      <w:r w:rsidRPr="003B6B9A">
        <w:rPr>
          <w:szCs w:val="28"/>
        </w:rPr>
        <w:t>億美元。</w:t>
      </w:r>
    </w:p>
    <w:p w:rsidR="004B772B" w:rsidRPr="003B6B9A" w:rsidRDefault="004B772B" w:rsidP="004B772B">
      <w:pPr>
        <w:snapToGrid w:val="0"/>
        <w:spacing w:beforeLines="50" w:before="180" w:line="380" w:lineRule="exact"/>
        <w:ind w:leftChars="119" w:left="569" w:right="-105" w:hangingChars="101" w:hanging="283"/>
        <w:rPr>
          <w:rFonts w:eastAsia="標楷體"/>
          <w:sz w:val="28"/>
          <w:szCs w:val="28"/>
        </w:rPr>
      </w:pPr>
      <w:r w:rsidRPr="003B6B9A">
        <w:rPr>
          <w:rFonts w:eastAsia="標楷體"/>
          <w:sz w:val="28"/>
          <w:szCs w:val="28"/>
        </w:rPr>
        <w:t>－</w:t>
      </w:r>
      <w:r w:rsidRPr="003B6B9A">
        <w:rPr>
          <w:rFonts w:eastAsia="標楷體"/>
          <w:sz w:val="28"/>
          <w:szCs w:val="28"/>
        </w:rPr>
        <w:t>2009</w:t>
      </w:r>
      <w:r w:rsidRPr="003B6B9A">
        <w:rPr>
          <w:rFonts w:eastAsia="標楷體"/>
          <w:sz w:val="28"/>
          <w:szCs w:val="28"/>
        </w:rPr>
        <w:t>年</w:t>
      </w:r>
      <w:r w:rsidRPr="003B6B9A">
        <w:rPr>
          <w:rFonts w:eastAsia="標楷體"/>
          <w:sz w:val="28"/>
          <w:szCs w:val="28"/>
        </w:rPr>
        <w:t>6</w:t>
      </w:r>
      <w:r w:rsidRPr="003B6B9A">
        <w:rPr>
          <w:rFonts w:eastAsia="標楷體"/>
          <w:sz w:val="28"/>
          <w:szCs w:val="28"/>
        </w:rPr>
        <w:t>月</w:t>
      </w:r>
      <w:r w:rsidRPr="003B6B9A">
        <w:rPr>
          <w:rFonts w:eastAsia="標楷體"/>
          <w:sz w:val="28"/>
          <w:szCs w:val="28"/>
        </w:rPr>
        <w:t>30</w:t>
      </w:r>
      <w:r w:rsidRPr="003B6B9A">
        <w:rPr>
          <w:rFonts w:eastAsia="標楷體"/>
          <w:sz w:val="28"/>
          <w:szCs w:val="28"/>
        </w:rPr>
        <w:t>日至</w:t>
      </w:r>
      <w:r w:rsidRPr="003B6B9A">
        <w:rPr>
          <w:rFonts w:eastAsia="標楷體"/>
          <w:sz w:val="28"/>
          <w:szCs w:val="28"/>
        </w:rPr>
        <w:t>2015</w:t>
      </w:r>
      <w:r w:rsidRPr="003B6B9A">
        <w:rPr>
          <w:rFonts w:eastAsia="標楷體"/>
          <w:sz w:val="28"/>
          <w:szCs w:val="28"/>
        </w:rPr>
        <w:t>年</w:t>
      </w:r>
      <w:r w:rsidRPr="003B6B9A">
        <w:rPr>
          <w:rFonts w:eastAsia="標楷體"/>
          <w:sz w:val="28"/>
          <w:szCs w:val="28"/>
        </w:rPr>
        <w:t>4</w:t>
      </w:r>
      <w:r w:rsidRPr="003B6B9A">
        <w:rPr>
          <w:rFonts w:eastAsia="標楷體"/>
          <w:sz w:val="28"/>
          <w:szCs w:val="28"/>
        </w:rPr>
        <w:t>月，核准陸資來臺投資案件，前</w:t>
      </w:r>
      <w:r w:rsidRPr="003B6B9A">
        <w:rPr>
          <w:rFonts w:eastAsia="標楷體"/>
          <w:sz w:val="28"/>
          <w:szCs w:val="28"/>
        </w:rPr>
        <w:t>3</w:t>
      </w:r>
      <w:r w:rsidRPr="003B6B9A">
        <w:rPr>
          <w:rFonts w:eastAsia="標楷體"/>
          <w:sz w:val="28"/>
          <w:szCs w:val="28"/>
        </w:rPr>
        <w:t>名業別分別為批發及零售業</w:t>
      </w:r>
      <w:r w:rsidRPr="003B6B9A">
        <w:rPr>
          <w:rFonts w:eastAsia="標楷體"/>
          <w:sz w:val="28"/>
          <w:szCs w:val="28"/>
        </w:rPr>
        <w:t>3.03</w:t>
      </w:r>
      <w:r w:rsidRPr="003B6B9A">
        <w:rPr>
          <w:rFonts w:eastAsia="標楷體"/>
          <w:sz w:val="28"/>
          <w:szCs w:val="28"/>
        </w:rPr>
        <w:t>億美元</w:t>
      </w:r>
      <w:r w:rsidRPr="003B6B9A">
        <w:rPr>
          <w:rFonts w:eastAsia="標楷體"/>
          <w:sz w:val="28"/>
          <w:szCs w:val="28"/>
        </w:rPr>
        <w:t>(24.74%)</w:t>
      </w:r>
      <w:r w:rsidRPr="003B6B9A">
        <w:rPr>
          <w:rFonts w:eastAsia="標楷體"/>
          <w:sz w:val="28"/>
          <w:szCs w:val="28"/>
        </w:rPr>
        <w:t>、銀行業</w:t>
      </w:r>
      <w:r w:rsidRPr="003B6B9A">
        <w:rPr>
          <w:rFonts w:eastAsia="標楷體"/>
          <w:sz w:val="28"/>
          <w:szCs w:val="28"/>
        </w:rPr>
        <w:t>2.01</w:t>
      </w:r>
      <w:r w:rsidRPr="003B6B9A">
        <w:rPr>
          <w:rFonts w:eastAsia="標楷體"/>
          <w:sz w:val="28"/>
          <w:szCs w:val="28"/>
        </w:rPr>
        <w:t>億美元</w:t>
      </w:r>
      <w:r w:rsidRPr="003B6B9A">
        <w:rPr>
          <w:rFonts w:eastAsia="標楷體"/>
          <w:sz w:val="28"/>
          <w:szCs w:val="28"/>
        </w:rPr>
        <w:t>(16.44%)</w:t>
      </w:r>
      <w:r w:rsidRPr="003B6B9A">
        <w:rPr>
          <w:rFonts w:eastAsia="標楷體"/>
          <w:sz w:val="28"/>
          <w:szCs w:val="28"/>
        </w:rPr>
        <w:t>及港埠業</w:t>
      </w:r>
      <w:r w:rsidRPr="003B6B9A">
        <w:rPr>
          <w:rFonts w:eastAsia="標楷體"/>
          <w:sz w:val="28"/>
          <w:szCs w:val="28"/>
        </w:rPr>
        <w:t>1.39</w:t>
      </w:r>
      <w:r w:rsidRPr="003B6B9A">
        <w:rPr>
          <w:rFonts w:eastAsia="標楷體"/>
          <w:sz w:val="28"/>
          <w:szCs w:val="28"/>
        </w:rPr>
        <w:t>億美元</w:t>
      </w:r>
      <w:r w:rsidRPr="003B6B9A">
        <w:rPr>
          <w:rFonts w:eastAsia="標楷體"/>
          <w:sz w:val="28"/>
          <w:szCs w:val="28"/>
        </w:rPr>
        <w:t>(11.35%)</w:t>
      </w:r>
      <w:r w:rsidRPr="003B6B9A">
        <w:rPr>
          <w:rFonts w:eastAsia="標楷體"/>
          <w:sz w:val="28"/>
          <w:szCs w:val="28"/>
        </w:rPr>
        <w:t>。</w:t>
      </w:r>
    </w:p>
    <w:p w:rsidR="004B772B" w:rsidRPr="003B6B9A" w:rsidRDefault="004B772B" w:rsidP="004B772B">
      <w:pPr>
        <w:snapToGrid w:val="0"/>
        <w:spacing w:beforeLines="50" w:before="180" w:line="380" w:lineRule="exact"/>
        <w:ind w:leftChars="119" w:left="569" w:right="-105" w:hangingChars="101" w:hanging="283"/>
        <w:jc w:val="center"/>
        <w:rPr>
          <w:rFonts w:eastAsia="標楷體"/>
          <w:b/>
          <w:bCs/>
          <w:sz w:val="28"/>
        </w:rPr>
      </w:pPr>
      <w:r w:rsidRPr="003B6B9A">
        <w:rPr>
          <w:rFonts w:eastAsia="標楷體"/>
          <w:b/>
          <w:bCs/>
          <w:sz w:val="28"/>
        </w:rPr>
        <w:t>表</w:t>
      </w:r>
      <w:r w:rsidRPr="003B6B9A">
        <w:rPr>
          <w:rFonts w:eastAsia="標楷體"/>
          <w:b/>
          <w:bCs/>
          <w:sz w:val="28"/>
        </w:rPr>
        <w:t xml:space="preserve">4-2  </w:t>
      </w:r>
      <w:r w:rsidRPr="003B6B9A">
        <w:rPr>
          <w:rFonts w:eastAsia="標楷體"/>
          <w:b/>
          <w:bCs/>
          <w:sz w:val="28"/>
        </w:rPr>
        <w:t>陸資來</w:t>
      </w:r>
      <w:r w:rsidRPr="003B6B9A">
        <w:rPr>
          <w:rFonts w:eastAsia="標楷體" w:hint="eastAsia"/>
          <w:b/>
          <w:bCs/>
          <w:sz w:val="28"/>
        </w:rPr>
        <w:t>臺</w:t>
      </w:r>
      <w:r w:rsidRPr="003B6B9A">
        <w:rPr>
          <w:rFonts w:eastAsia="標楷體"/>
          <w:b/>
          <w:bCs/>
          <w:sz w:val="28"/>
        </w:rPr>
        <w:t>投資概況</w:t>
      </w:r>
    </w:p>
    <w:tbl>
      <w:tblPr>
        <w:tblW w:w="8739" w:type="dxa"/>
        <w:jc w:val="center"/>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501"/>
        <w:gridCol w:w="2490"/>
        <w:gridCol w:w="2490"/>
        <w:gridCol w:w="2258"/>
      </w:tblGrid>
      <w:tr w:rsidR="004B772B" w:rsidRPr="003B6B9A" w:rsidTr="001040FB">
        <w:trPr>
          <w:cantSplit/>
          <w:trHeight w:val="373"/>
          <w:jc w:val="center"/>
        </w:trPr>
        <w:tc>
          <w:tcPr>
            <w:tcW w:w="1501" w:type="dxa"/>
            <w:tcBorders>
              <w:left w:val="nil"/>
            </w:tcBorders>
          </w:tcPr>
          <w:p w:rsidR="004B772B" w:rsidRPr="003B6B9A" w:rsidRDefault="004B772B" w:rsidP="001040FB">
            <w:pPr>
              <w:adjustRightInd w:val="0"/>
              <w:snapToGrid w:val="0"/>
              <w:spacing w:line="380" w:lineRule="exact"/>
              <w:jc w:val="center"/>
              <w:rPr>
                <w:rFonts w:eastAsia="標楷體"/>
                <w:b/>
                <w:bCs/>
                <w:sz w:val="28"/>
              </w:rPr>
            </w:pPr>
            <w:r w:rsidRPr="003B6B9A">
              <w:rPr>
                <w:rFonts w:eastAsia="標楷體" w:hint="eastAsia"/>
              </w:rPr>
              <w:t>年</w:t>
            </w:r>
            <w:r w:rsidRPr="003B6B9A">
              <w:rPr>
                <w:rFonts w:eastAsia="標楷體" w:hint="eastAsia"/>
              </w:rPr>
              <w:t>(</w:t>
            </w:r>
            <w:r w:rsidRPr="003B6B9A">
              <w:rPr>
                <w:rFonts w:eastAsia="標楷體" w:hint="eastAsia"/>
              </w:rPr>
              <w:t>月</w:t>
            </w:r>
            <w:r w:rsidRPr="003B6B9A">
              <w:rPr>
                <w:rFonts w:eastAsia="標楷體" w:hint="eastAsia"/>
              </w:rPr>
              <w:t>)</w:t>
            </w:r>
            <w:r w:rsidRPr="003B6B9A">
              <w:rPr>
                <w:rFonts w:eastAsia="標楷體" w:hint="eastAsia"/>
              </w:rPr>
              <w:t>別</w:t>
            </w:r>
          </w:p>
        </w:tc>
        <w:tc>
          <w:tcPr>
            <w:tcW w:w="2490" w:type="dxa"/>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數量（件）</w:t>
            </w:r>
          </w:p>
        </w:tc>
        <w:tc>
          <w:tcPr>
            <w:tcW w:w="2490" w:type="dxa"/>
            <w:tcBorders>
              <w:right w:val="nil"/>
            </w:tcBorders>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金額（萬美元）</w:t>
            </w:r>
          </w:p>
        </w:tc>
        <w:tc>
          <w:tcPr>
            <w:tcW w:w="2258" w:type="dxa"/>
            <w:tcBorders>
              <w:right w:val="nil"/>
            </w:tcBorders>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變動率（</w:t>
            </w:r>
            <w:r w:rsidRPr="003B6B9A">
              <w:rPr>
                <w:rFonts w:eastAsia="標楷體" w:hint="eastAsia"/>
              </w:rPr>
              <w:t>%</w:t>
            </w:r>
            <w:r w:rsidRPr="003B6B9A">
              <w:rPr>
                <w:rFonts w:eastAsia="標楷體" w:hint="eastAsia"/>
              </w:rPr>
              <w:t>）</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2010</w:t>
            </w:r>
            <w:r w:rsidRPr="003B6B9A">
              <w:rPr>
                <w:rFonts w:eastAsia="標楷體" w:hint="eastAsia"/>
              </w:rPr>
              <w:t>年</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79</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9,434.5</w:t>
            </w:r>
          </w:p>
        </w:tc>
        <w:tc>
          <w:tcPr>
            <w:tcW w:w="2258" w:type="dxa"/>
            <w:tcBorders>
              <w:top w:val="nil"/>
              <w:left w:val="nil"/>
              <w:bottom w:val="nil"/>
              <w:right w:val="nil"/>
            </w:tcBorders>
          </w:tcPr>
          <w:p w:rsidR="004B772B" w:rsidRPr="003B6B9A" w:rsidRDefault="004B772B" w:rsidP="001040FB">
            <w:pPr>
              <w:jc w:val="center"/>
              <w:rPr>
                <w:sz w:val="22"/>
                <w:szCs w:val="22"/>
              </w:rPr>
            </w:pPr>
            <w:r w:rsidRPr="003B6B9A">
              <w:rPr>
                <w:sz w:val="22"/>
                <w:szCs w:val="22"/>
              </w:rPr>
              <w:t>151.7</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2011</w:t>
            </w:r>
            <w:r w:rsidRPr="003B6B9A">
              <w:rPr>
                <w:rFonts w:eastAsia="標楷體" w:hint="eastAsia"/>
              </w:rPr>
              <w:t>年</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105</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5,162.5</w:t>
            </w:r>
          </w:p>
        </w:tc>
        <w:tc>
          <w:tcPr>
            <w:tcW w:w="2258" w:type="dxa"/>
            <w:tcBorders>
              <w:top w:val="nil"/>
              <w:left w:val="nil"/>
              <w:bottom w:val="nil"/>
              <w:right w:val="nil"/>
            </w:tcBorders>
          </w:tcPr>
          <w:p w:rsidR="004B772B" w:rsidRPr="003B6B9A" w:rsidRDefault="004B772B" w:rsidP="001040FB">
            <w:pPr>
              <w:jc w:val="center"/>
              <w:rPr>
                <w:sz w:val="22"/>
                <w:szCs w:val="22"/>
              </w:rPr>
            </w:pPr>
            <w:r w:rsidRPr="003B6B9A">
              <w:rPr>
                <w:sz w:val="22"/>
                <w:szCs w:val="22"/>
              </w:rPr>
              <w:t>-45.3</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2012</w:t>
            </w:r>
            <w:r w:rsidRPr="003B6B9A">
              <w:rPr>
                <w:rFonts w:eastAsia="標楷體" w:hint="eastAsia"/>
              </w:rPr>
              <w:t>年</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138</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33,158.3</w:t>
            </w:r>
          </w:p>
        </w:tc>
        <w:tc>
          <w:tcPr>
            <w:tcW w:w="2258" w:type="dxa"/>
            <w:tcBorders>
              <w:top w:val="nil"/>
              <w:left w:val="nil"/>
              <w:bottom w:val="nil"/>
              <w:right w:val="nil"/>
            </w:tcBorders>
          </w:tcPr>
          <w:p w:rsidR="004B772B" w:rsidRPr="003B6B9A" w:rsidRDefault="004B772B" w:rsidP="001040FB">
            <w:pPr>
              <w:jc w:val="center"/>
              <w:rPr>
                <w:sz w:val="22"/>
                <w:szCs w:val="22"/>
              </w:rPr>
            </w:pPr>
            <w:r w:rsidRPr="003B6B9A">
              <w:rPr>
                <w:sz w:val="22"/>
                <w:szCs w:val="22"/>
              </w:rPr>
              <w:t>542.3</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2013</w:t>
            </w:r>
            <w:r w:rsidRPr="003B6B9A">
              <w:rPr>
                <w:rFonts w:eastAsia="標楷體" w:hint="eastAsia"/>
              </w:rPr>
              <w:t>年</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138</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34,947.9</w:t>
            </w:r>
          </w:p>
        </w:tc>
        <w:tc>
          <w:tcPr>
            <w:tcW w:w="2258" w:type="dxa"/>
            <w:tcBorders>
              <w:top w:val="nil"/>
              <w:left w:val="nil"/>
              <w:bottom w:val="nil"/>
              <w:right w:val="nil"/>
            </w:tcBorders>
          </w:tcPr>
          <w:p w:rsidR="004B772B" w:rsidRPr="003B6B9A" w:rsidRDefault="004B772B" w:rsidP="001040FB">
            <w:pPr>
              <w:jc w:val="center"/>
              <w:rPr>
                <w:sz w:val="22"/>
                <w:szCs w:val="22"/>
              </w:rPr>
            </w:pPr>
            <w:r w:rsidRPr="003B6B9A">
              <w:rPr>
                <w:sz w:val="22"/>
                <w:szCs w:val="22"/>
              </w:rPr>
              <w:t>5.4</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2014</w:t>
            </w:r>
            <w:r w:rsidRPr="003B6B9A">
              <w:rPr>
                <w:rFonts w:eastAsia="標楷體" w:hint="eastAsia"/>
              </w:rPr>
              <w:t>年</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136</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33,463.1</w:t>
            </w:r>
          </w:p>
        </w:tc>
        <w:tc>
          <w:tcPr>
            <w:tcW w:w="2258" w:type="dxa"/>
            <w:tcBorders>
              <w:top w:val="nil"/>
              <w:left w:val="nil"/>
              <w:bottom w:val="nil"/>
              <w:right w:val="nil"/>
            </w:tcBorders>
          </w:tcPr>
          <w:p w:rsidR="004B772B" w:rsidRPr="003B6B9A" w:rsidRDefault="004B772B" w:rsidP="001040FB">
            <w:pPr>
              <w:jc w:val="center"/>
              <w:rPr>
                <w:sz w:val="22"/>
                <w:szCs w:val="22"/>
              </w:rPr>
            </w:pPr>
            <w:r w:rsidRPr="003B6B9A">
              <w:rPr>
                <w:sz w:val="22"/>
                <w:szCs w:val="22"/>
              </w:rPr>
              <w:t>-4.2</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4</w:t>
            </w:r>
            <w:r w:rsidRPr="003B6B9A">
              <w:rPr>
                <w:rFonts w:eastAsia="標楷體" w:hint="eastAsia"/>
              </w:rPr>
              <w:t>月</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8</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7,722.2</w:t>
            </w:r>
          </w:p>
        </w:tc>
        <w:tc>
          <w:tcPr>
            <w:tcW w:w="2258" w:type="dxa"/>
            <w:tcBorders>
              <w:top w:val="nil"/>
              <w:left w:val="nil"/>
              <w:bottom w:val="nil"/>
              <w:right w:val="nil"/>
            </w:tcBorders>
            <w:vAlign w:val="bottom"/>
          </w:tcPr>
          <w:p w:rsidR="004B772B" w:rsidRPr="003B6B9A" w:rsidRDefault="004B772B" w:rsidP="001040FB">
            <w:pPr>
              <w:jc w:val="center"/>
              <w:rPr>
                <w:sz w:val="22"/>
                <w:szCs w:val="22"/>
              </w:rPr>
            </w:pPr>
            <w:r w:rsidRPr="003B6B9A">
              <w:rPr>
                <w:rFonts w:hint="eastAsia"/>
                <w:sz w:val="22"/>
                <w:szCs w:val="22"/>
              </w:rPr>
              <w:t>18.5</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5</w:t>
            </w:r>
            <w:r w:rsidRPr="003B6B9A">
              <w:rPr>
                <w:rFonts w:eastAsia="標楷體" w:hint="eastAsia"/>
              </w:rPr>
              <w:t>月</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8</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5,158.5</w:t>
            </w:r>
          </w:p>
        </w:tc>
        <w:tc>
          <w:tcPr>
            <w:tcW w:w="2258" w:type="dxa"/>
            <w:tcBorders>
              <w:top w:val="nil"/>
              <w:left w:val="nil"/>
              <w:bottom w:val="nil"/>
              <w:right w:val="nil"/>
            </w:tcBorders>
            <w:vAlign w:val="bottom"/>
          </w:tcPr>
          <w:p w:rsidR="004B772B" w:rsidRPr="003B6B9A" w:rsidRDefault="004B772B" w:rsidP="001040FB">
            <w:pPr>
              <w:jc w:val="center"/>
              <w:rPr>
                <w:sz w:val="22"/>
                <w:szCs w:val="22"/>
              </w:rPr>
            </w:pPr>
            <w:r w:rsidRPr="003B6B9A">
              <w:rPr>
                <w:rFonts w:hint="eastAsia"/>
                <w:sz w:val="22"/>
                <w:szCs w:val="22"/>
              </w:rPr>
              <w:t>735.0</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6</w:t>
            </w:r>
            <w:r w:rsidRPr="003B6B9A">
              <w:rPr>
                <w:rFonts w:eastAsia="標楷體" w:hint="eastAsia"/>
              </w:rPr>
              <w:t>月</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16</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1,736.1</w:t>
            </w:r>
          </w:p>
        </w:tc>
        <w:tc>
          <w:tcPr>
            <w:tcW w:w="2258" w:type="dxa"/>
            <w:tcBorders>
              <w:top w:val="nil"/>
              <w:left w:val="nil"/>
              <w:bottom w:val="nil"/>
              <w:right w:val="nil"/>
            </w:tcBorders>
            <w:vAlign w:val="bottom"/>
          </w:tcPr>
          <w:p w:rsidR="004B772B" w:rsidRPr="003B6B9A" w:rsidRDefault="004B772B" w:rsidP="001040FB">
            <w:pPr>
              <w:jc w:val="center"/>
              <w:rPr>
                <w:sz w:val="22"/>
                <w:szCs w:val="22"/>
              </w:rPr>
            </w:pPr>
            <w:r w:rsidRPr="003B6B9A">
              <w:rPr>
                <w:rFonts w:hint="eastAsia"/>
                <w:sz w:val="22"/>
                <w:szCs w:val="22"/>
              </w:rPr>
              <w:t>180.6</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7</w:t>
            </w:r>
            <w:r w:rsidRPr="003B6B9A">
              <w:rPr>
                <w:rFonts w:eastAsia="標楷體" w:hint="eastAsia"/>
              </w:rPr>
              <w:t>月</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10</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1,438.1</w:t>
            </w:r>
          </w:p>
        </w:tc>
        <w:tc>
          <w:tcPr>
            <w:tcW w:w="2258" w:type="dxa"/>
            <w:tcBorders>
              <w:top w:val="nil"/>
              <w:left w:val="nil"/>
              <w:bottom w:val="nil"/>
              <w:right w:val="nil"/>
            </w:tcBorders>
            <w:vAlign w:val="bottom"/>
          </w:tcPr>
          <w:p w:rsidR="004B772B" w:rsidRPr="003B6B9A" w:rsidRDefault="004B772B" w:rsidP="001040FB">
            <w:pPr>
              <w:jc w:val="center"/>
              <w:rPr>
                <w:sz w:val="22"/>
                <w:szCs w:val="22"/>
              </w:rPr>
            </w:pPr>
            <w:r w:rsidRPr="003B6B9A">
              <w:rPr>
                <w:rFonts w:hint="eastAsia"/>
                <w:sz w:val="22"/>
                <w:szCs w:val="22"/>
              </w:rPr>
              <w:t>-35.7</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8</w:t>
            </w:r>
            <w:r w:rsidRPr="003B6B9A">
              <w:rPr>
                <w:rFonts w:eastAsia="標楷體" w:hint="eastAsia"/>
              </w:rPr>
              <w:t>月</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10</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6,569.0</w:t>
            </w:r>
          </w:p>
        </w:tc>
        <w:tc>
          <w:tcPr>
            <w:tcW w:w="2258" w:type="dxa"/>
            <w:tcBorders>
              <w:top w:val="nil"/>
              <w:left w:val="nil"/>
              <w:bottom w:val="nil"/>
              <w:right w:val="nil"/>
            </w:tcBorders>
            <w:vAlign w:val="bottom"/>
          </w:tcPr>
          <w:p w:rsidR="004B772B" w:rsidRPr="003B6B9A" w:rsidRDefault="004B772B" w:rsidP="001040FB">
            <w:pPr>
              <w:jc w:val="center"/>
              <w:rPr>
                <w:sz w:val="22"/>
                <w:szCs w:val="22"/>
              </w:rPr>
            </w:pPr>
            <w:r w:rsidRPr="003B6B9A">
              <w:rPr>
                <w:rFonts w:hint="eastAsia"/>
                <w:sz w:val="22"/>
                <w:szCs w:val="22"/>
              </w:rPr>
              <w:t>-19.1</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9</w:t>
            </w:r>
            <w:r w:rsidRPr="003B6B9A">
              <w:rPr>
                <w:rFonts w:eastAsia="標楷體" w:hint="eastAsia"/>
              </w:rPr>
              <w:t>月</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12</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2,489.4</w:t>
            </w:r>
          </w:p>
        </w:tc>
        <w:tc>
          <w:tcPr>
            <w:tcW w:w="2258" w:type="dxa"/>
            <w:tcBorders>
              <w:top w:val="nil"/>
              <w:left w:val="nil"/>
              <w:bottom w:val="nil"/>
              <w:right w:val="nil"/>
            </w:tcBorders>
            <w:vAlign w:val="bottom"/>
          </w:tcPr>
          <w:p w:rsidR="004B772B" w:rsidRPr="003B6B9A" w:rsidRDefault="004B772B" w:rsidP="001040FB">
            <w:pPr>
              <w:jc w:val="center"/>
              <w:rPr>
                <w:sz w:val="22"/>
                <w:szCs w:val="22"/>
              </w:rPr>
            </w:pPr>
            <w:r w:rsidRPr="003B6B9A">
              <w:rPr>
                <w:rFonts w:hint="eastAsia"/>
                <w:sz w:val="22"/>
                <w:szCs w:val="22"/>
              </w:rPr>
              <w:t>125.7</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10</w:t>
            </w:r>
            <w:r w:rsidRPr="003B6B9A">
              <w:rPr>
                <w:rFonts w:eastAsia="標楷體" w:hint="eastAsia"/>
              </w:rPr>
              <w:t>月</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14</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5,263.9</w:t>
            </w:r>
          </w:p>
        </w:tc>
        <w:tc>
          <w:tcPr>
            <w:tcW w:w="2258" w:type="dxa"/>
            <w:tcBorders>
              <w:top w:val="nil"/>
              <w:left w:val="nil"/>
              <w:bottom w:val="nil"/>
              <w:right w:val="nil"/>
            </w:tcBorders>
            <w:vAlign w:val="bottom"/>
          </w:tcPr>
          <w:p w:rsidR="004B772B" w:rsidRPr="003B6B9A" w:rsidRDefault="004B772B" w:rsidP="001040FB">
            <w:pPr>
              <w:jc w:val="center"/>
              <w:rPr>
                <w:sz w:val="22"/>
                <w:szCs w:val="22"/>
              </w:rPr>
            </w:pPr>
            <w:r w:rsidRPr="003B6B9A">
              <w:rPr>
                <w:rFonts w:hint="eastAsia"/>
                <w:sz w:val="22"/>
                <w:szCs w:val="22"/>
              </w:rPr>
              <w:t>375.3</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11</w:t>
            </w:r>
            <w:r w:rsidRPr="003B6B9A">
              <w:rPr>
                <w:rFonts w:eastAsia="標楷體" w:hint="eastAsia"/>
              </w:rPr>
              <w:t>月</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4</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1,140.2</w:t>
            </w:r>
          </w:p>
        </w:tc>
        <w:tc>
          <w:tcPr>
            <w:tcW w:w="2258" w:type="dxa"/>
            <w:tcBorders>
              <w:top w:val="nil"/>
              <w:left w:val="nil"/>
              <w:bottom w:val="nil"/>
              <w:right w:val="nil"/>
            </w:tcBorders>
            <w:vAlign w:val="bottom"/>
          </w:tcPr>
          <w:p w:rsidR="004B772B" w:rsidRPr="003B6B9A" w:rsidRDefault="004B772B" w:rsidP="001040FB">
            <w:pPr>
              <w:jc w:val="center"/>
              <w:rPr>
                <w:sz w:val="22"/>
                <w:szCs w:val="22"/>
              </w:rPr>
            </w:pPr>
            <w:r w:rsidRPr="003B6B9A">
              <w:rPr>
                <w:rFonts w:hint="eastAsia"/>
                <w:sz w:val="22"/>
                <w:szCs w:val="22"/>
              </w:rPr>
              <w:t>-3.9</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12</w:t>
            </w:r>
            <w:r w:rsidRPr="003B6B9A">
              <w:rPr>
                <w:rFonts w:eastAsia="標楷體" w:hint="eastAsia"/>
              </w:rPr>
              <w:t>月</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20</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670.0</w:t>
            </w:r>
          </w:p>
        </w:tc>
        <w:tc>
          <w:tcPr>
            <w:tcW w:w="2258" w:type="dxa"/>
            <w:tcBorders>
              <w:top w:val="nil"/>
              <w:left w:val="nil"/>
              <w:bottom w:val="nil"/>
              <w:right w:val="nil"/>
            </w:tcBorders>
            <w:vAlign w:val="bottom"/>
          </w:tcPr>
          <w:p w:rsidR="004B772B" w:rsidRPr="003B6B9A" w:rsidRDefault="004B772B" w:rsidP="001040FB">
            <w:pPr>
              <w:jc w:val="center"/>
              <w:rPr>
                <w:sz w:val="22"/>
                <w:szCs w:val="22"/>
              </w:rPr>
            </w:pPr>
            <w:r w:rsidRPr="003B6B9A">
              <w:rPr>
                <w:rFonts w:hint="eastAsia"/>
                <w:sz w:val="22"/>
                <w:szCs w:val="22"/>
              </w:rPr>
              <w:t>0.6</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2015</w:t>
            </w:r>
            <w:r w:rsidRPr="003B6B9A">
              <w:rPr>
                <w:rFonts w:eastAsia="標楷體" w:hint="eastAsia"/>
              </w:rPr>
              <w:t>年</w:t>
            </w:r>
            <w:r w:rsidRPr="003B6B9A">
              <w:rPr>
                <w:rFonts w:eastAsia="標楷體" w:hint="eastAsia"/>
              </w:rPr>
              <w:t>1~4</w:t>
            </w:r>
            <w:r w:rsidRPr="003B6B9A">
              <w:rPr>
                <w:rFonts w:eastAsia="標楷體" w:hint="eastAsia"/>
              </w:rPr>
              <w:t>月</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48</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2,625.5</w:t>
            </w:r>
          </w:p>
        </w:tc>
        <w:tc>
          <w:tcPr>
            <w:tcW w:w="2258" w:type="dxa"/>
            <w:tcBorders>
              <w:top w:val="nil"/>
              <w:left w:val="nil"/>
              <w:bottom w:val="nil"/>
              <w:right w:val="nil"/>
            </w:tcBorders>
            <w:vAlign w:val="bottom"/>
          </w:tcPr>
          <w:p w:rsidR="004B772B" w:rsidRPr="003B6B9A" w:rsidRDefault="004B772B" w:rsidP="001040FB">
            <w:pPr>
              <w:jc w:val="center"/>
              <w:rPr>
                <w:sz w:val="22"/>
                <w:szCs w:val="22"/>
              </w:rPr>
            </w:pPr>
            <w:r w:rsidRPr="003B6B9A">
              <w:rPr>
                <w:rFonts w:hint="eastAsia"/>
                <w:sz w:val="22"/>
                <w:szCs w:val="22"/>
              </w:rPr>
              <w:t>-70.8</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1</w:t>
            </w:r>
            <w:r w:rsidRPr="003B6B9A">
              <w:rPr>
                <w:rFonts w:eastAsia="標楷體" w:hint="eastAsia"/>
              </w:rPr>
              <w:t>月</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12</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464.6</w:t>
            </w:r>
          </w:p>
        </w:tc>
        <w:tc>
          <w:tcPr>
            <w:tcW w:w="2258" w:type="dxa"/>
            <w:tcBorders>
              <w:top w:val="nil"/>
              <w:left w:val="nil"/>
              <w:bottom w:val="nil"/>
              <w:right w:val="nil"/>
            </w:tcBorders>
            <w:vAlign w:val="bottom"/>
          </w:tcPr>
          <w:p w:rsidR="004B772B" w:rsidRPr="003B6B9A" w:rsidRDefault="004B772B" w:rsidP="001040FB">
            <w:pPr>
              <w:jc w:val="center"/>
              <w:rPr>
                <w:sz w:val="22"/>
                <w:szCs w:val="22"/>
              </w:rPr>
            </w:pPr>
            <w:r w:rsidRPr="003B6B9A">
              <w:rPr>
                <w:rFonts w:hint="eastAsia"/>
                <w:sz w:val="22"/>
                <w:szCs w:val="22"/>
              </w:rPr>
              <w:t>-11.0</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2</w:t>
            </w:r>
            <w:r w:rsidRPr="003B6B9A">
              <w:rPr>
                <w:rFonts w:eastAsia="標楷體" w:hint="eastAsia"/>
              </w:rPr>
              <w:t>月</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12</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502.6</w:t>
            </w:r>
          </w:p>
        </w:tc>
        <w:tc>
          <w:tcPr>
            <w:tcW w:w="2258" w:type="dxa"/>
            <w:tcBorders>
              <w:top w:val="nil"/>
              <w:left w:val="nil"/>
              <w:bottom w:val="nil"/>
              <w:right w:val="nil"/>
            </w:tcBorders>
            <w:vAlign w:val="bottom"/>
          </w:tcPr>
          <w:p w:rsidR="004B772B" w:rsidRPr="003B6B9A" w:rsidRDefault="004B772B" w:rsidP="001040FB">
            <w:pPr>
              <w:jc w:val="center"/>
              <w:rPr>
                <w:sz w:val="22"/>
                <w:szCs w:val="22"/>
              </w:rPr>
            </w:pPr>
            <w:r w:rsidRPr="003B6B9A">
              <w:rPr>
                <w:rFonts w:hint="eastAsia"/>
                <w:sz w:val="22"/>
                <w:szCs w:val="22"/>
              </w:rPr>
              <w:t>161.4</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3</w:t>
            </w:r>
            <w:r w:rsidRPr="003B6B9A">
              <w:rPr>
                <w:rFonts w:eastAsia="標楷體" w:hint="eastAsia"/>
              </w:rPr>
              <w:t>月</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10</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1,031.0</w:t>
            </w:r>
          </w:p>
        </w:tc>
        <w:tc>
          <w:tcPr>
            <w:tcW w:w="2258" w:type="dxa"/>
            <w:tcBorders>
              <w:top w:val="nil"/>
              <w:left w:val="nil"/>
              <w:bottom w:val="nil"/>
              <w:right w:val="nil"/>
            </w:tcBorders>
            <w:vAlign w:val="bottom"/>
          </w:tcPr>
          <w:p w:rsidR="004B772B" w:rsidRPr="003B6B9A" w:rsidRDefault="004B772B" w:rsidP="001040FB">
            <w:pPr>
              <w:jc w:val="center"/>
              <w:rPr>
                <w:sz w:val="22"/>
                <w:szCs w:val="22"/>
              </w:rPr>
            </w:pPr>
            <w:r w:rsidRPr="003B6B9A">
              <w:rPr>
                <w:rFonts w:hint="eastAsia"/>
                <w:sz w:val="22"/>
                <w:szCs w:val="22"/>
              </w:rPr>
              <w:t>83.7</w:t>
            </w:r>
          </w:p>
        </w:tc>
      </w:tr>
      <w:tr w:rsidR="004B772B" w:rsidRPr="003B6B9A" w:rsidTr="001040FB">
        <w:trPr>
          <w:trHeight w:val="387"/>
          <w:jc w:val="center"/>
        </w:trPr>
        <w:tc>
          <w:tcPr>
            <w:tcW w:w="1501" w:type="dxa"/>
            <w:tcBorders>
              <w:top w:val="nil"/>
              <w:left w:val="nil"/>
              <w:bottom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4</w:t>
            </w:r>
            <w:r w:rsidRPr="003B6B9A">
              <w:rPr>
                <w:rFonts w:eastAsia="標楷體" w:hint="eastAsia"/>
              </w:rPr>
              <w:t>月</w:t>
            </w:r>
          </w:p>
        </w:tc>
        <w:tc>
          <w:tcPr>
            <w:tcW w:w="2490" w:type="dxa"/>
            <w:tcBorders>
              <w:top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14</w:t>
            </w:r>
          </w:p>
        </w:tc>
        <w:tc>
          <w:tcPr>
            <w:tcW w:w="2490" w:type="dxa"/>
            <w:tcBorders>
              <w:top w:val="nil"/>
              <w:left w:val="nil"/>
              <w:bottom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627.3</w:t>
            </w:r>
          </w:p>
        </w:tc>
        <w:tc>
          <w:tcPr>
            <w:tcW w:w="2258" w:type="dxa"/>
            <w:tcBorders>
              <w:top w:val="nil"/>
              <w:left w:val="nil"/>
              <w:bottom w:val="nil"/>
              <w:right w:val="nil"/>
            </w:tcBorders>
            <w:vAlign w:val="bottom"/>
          </w:tcPr>
          <w:p w:rsidR="004B772B" w:rsidRPr="003B6B9A" w:rsidRDefault="004B772B" w:rsidP="001040FB">
            <w:pPr>
              <w:jc w:val="center"/>
              <w:rPr>
                <w:sz w:val="22"/>
                <w:szCs w:val="22"/>
              </w:rPr>
            </w:pPr>
            <w:r w:rsidRPr="003B6B9A">
              <w:rPr>
                <w:rFonts w:hint="eastAsia"/>
                <w:sz w:val="22"/>
                <w:szCs w:val="22"/>
              </w:rPr>
              <w:t>-91.9</w:t>
            </w:r>
          </w:p>
        </w:tc>
      </w:tr>
      <w:tr w:rsidR="004B772B" w:rsidRPr="003B6B9A" w:rsidTr="001040FB">
        <w:trPr>
          <w:trHeight w:val="387"/>
          <w:jc w:val="center"/>
        </w:trPr>
        <w:tc>
          <w:tcPr>
            <w:tcW w:w="1501" w:type="dxa"/>
            <w:tcBorders>
              <w:top w:val="nil"/>
              <w:left w:val="nil"/>
            </w:tcBorders>
            <w:vAlign w:val="center"/>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2009</w:t>
            </w:r>
            <w:r w:rsidRPr="003B6B9A">
              <w:rPr>
                <w:rFonts w:eastAsia="標楷體" w:hint="eastAsia"/>
              </w:rPr>
              <w:t>年以來</w:t>
            </w:r>
          </w:p>
        </w:tc>
        <w:tc>
          <w:tcPr>
            <w:tcW w:w="2490" w:type="dxa"/>
            <w:tcBorders>
              <w:top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667</w:t>
            </w:r>
          </w:p>
        </w:tc>
        <w:tc>
          <w:tcPr>
            <w:tcW w:w="2490" w:type="dxa"/>
            <w:tcBorders>
              <w:top w:val="nil"/>
              <w:left w:val="nil"/>
              <w:right w:val="nil"/>
            </w:tcBorders>
            <w:vAlign w:val="center"/>
          </w:tcPr>
          <w:p w:rsidR="004B772B" w:rsidRPr="003B6B9A" w:rsidRDefault="004B772B" w:rsidP="001040FB">
            <w:pPr>
              <w:adjustRightInd w:val="0"/>
              <w:snapToGrid w:val="0"/>
              <w:spacing w:line="380" w:lineRule="exact"/>
              <w:jc w:val="center"/>
              <w:rPr>
                <w:rFonts w:eastAsia="標楷體"/>
                <w:sz w:val="22"/>
              </w:rPr>
            </w:pPr>
            <w:r w:rsidRPr="003B6B9A">
              <w:rPr>
                <w:rFonts w:eastAsia="標楷體" w:hint="eastAsia"/>
                <w:sz w:val="22"/>
              </w:rPr>
              <w:t>122,540.4</w:t>
            </w:r>
          </w:p>
        </w:tc>
        <w:tc>
          <w:tcPr>
            <w:tcW w:w="2258" w:type="dxa"/>
            <w:tcBorders>
              <w:top w:val="nil"/>
              <w:left w:val="nil"/>
              <w:right w:val="nil"/>
            </w:tcBorders>
          </w:tcPr>
          <w:p w:rsidR="004B772B" w:rsidRPr="003B6B9A" w:rsidRDefault="004B772B" w:rsidP="001040FB">
            <w:pPr>
              <w:adjustRightInd w:val="0"/>
              <w:snapToGrid w:val="0"/>
              <w:spacing w:line="380" w:lineRule="exact"/>
              <w:jc w:val="center"/>
              <w:rPr>
                <w:rFonts w:eastAsia="標楷體"/>
                <w:sz w:val="22"/>
                <w:szCs w:val="22"/>
              </w:rPr>
            </w:pPr>
            <w:r w:rsidRPr="003B6B9A">
              <w:rPr>
                <w:rFonts w:ascii="標楷體" w:eastAsia="標楷體" w:hAnsi="標楷體" w:hint="eastAsia"/>
                <w:sz w:val="22"/>
                <w:szCs w:val="22"/>
              </w:rPr>
              <w:t>—</w:t>
            </w:r>
          </w:p>
        </w:tc>
      </w:tr>
    </w:tbl>
    <w:p w:rsidR="004B772B" w:rsidRPr="003B6B9A" w:rsidRDefault="004B772B" w:rsidP="004B772B">
      <w:pPr>
        <w:pStyle w:val="k3a"/>
        <w:spacing w:beforeLines="0" w:before="0" w:line="240" w:lineRule="exact"/>
        <w:ind w:leftChars="-59" w:left="283" w:hangingChars="193" w:hanging="425"/>
        <w:rPr>
          <w:kern w:val="2"/>
          <w:sz w:val="22"/>
          <w:szCs w:val="22"/>
        </w:rPr>
      </w:pPr>
      <w:r w:rsidRPr="003B6B9A">
        <w:rPr>
          <w:kern w:val="2"/>
          <w:sz w:val="22"/>
          <w:szCs w:val="22"/>
        </w:rPr>
        <w:t>資料來源：經濟部投審會。</w:t>
      </w:r>
    </w:p>
    <w:p w:rsidR="003428F0" w:rsidRPr="00B118E9" w:rsidRDefault="003428F0" w:rsidP="003428F0">
      <w:pPr>
        <w:pStyle w:val="2"/>
        <w:spacing w:afterLines="50" w:after="180"/>
      </w:pPr>
      <w:bookmarkStart w:id="169" w:name="_Toc420680051"/>
      <w:r w:rsidRPr="00B118E9">
        <w:rPr>
          <w:sz w:val="32"/>
        </w:rPr>
        <w:t>（二）兩岸貿易</w:t>
      </w:r>
      <w:bookmarkEnd w:id="166"/>
      <w:bookmarkEnd w:id="167"/>
      <w:bookmarkEnd w:id="168"/>
      <w:bookmarkEnd w:id="169"/>
    </w:p>
    <w:p w:rsidR="004B772B" w:rsidRPr="003B6B9A" w:rsidRDefault="004B772B" w:rsidP="004B772B">
      <w:pPr>
        <w:pStyle w:val="af3"/>
        <w:widowControl w:val="0"/>
        <w:tabs>
          <w:tab w:val="left" w:pos="567"/>
          <w:tab w:val="left" w:pos="3119"/>
        </w:tabs>
        <w:ind w:leftChars="50" w:left="400" w:rightChars="2225" w:right="5340" w:hangingChars="100" w:hanging="280"/>
        <w:jc w:val="both"/>
        <w:rPr>
          <w:sz w:val="28"/>
          <w:szCs w:val="16"/>
          <w:u w:val="single"/>
        </w:rPr>
      </w:pPr>
      <w:r w:rsidRPr="003B6B9A">
        <w:rPr>
          <w:sz w:val="28"/>
          <w:szCs w:val="16"/>
        </w:rPr>
        <w:t>－</w:t>
      </w:r>
      <w:r w:rsidRPr="003B6B9A">
        <w:rPr>
          <w:noProof w:val="0"/>
          <w:kern w:val="2"/>
          <w:sz w:val="28"/>
          <w:szCs w:val="16"/>
          <w:lang w:bidi="ar-SA"/>
        </w:rPr>
        <w:t>2015</w:t>
      </w:r>
      <w:r w:rsidRPr="003B6B9A">
        <w:rPr>
          <w:noProof w:val="0"/>
          <w:kern w:val="2"/>
          <w:sz w:val="28"/>
          <w:szCs w:val="16"/>
          <w:lang w:bidi="ar-SA"/>
        </w:rPr>
        <w:t>年</w:t>
      </w:r>
      <w:r w:rsidRPr="003B6B9A">
        <w:rPr>
          <w:noProof w:val="0"/>
          <w:kern w:val="2"/>
          <w:sz w:val="28"/>
          <w:szCs w:val="16"/>
          <w:lang w:bidi="ar-SA"/>
        </w:rPr>
        <w:t>1</w:t>
      </w:r>
      <w:r w:rsidRPr="003B6B9A">
        <w:rPr>
          <w:noProof w:val="0"/>
          <w:kern w:val="2"/>
          <w:sz w:val="28"/>
          <w:szCs w:val="16"/>
          <w:lang w:bidi="ar-SA"/>
        </w:rPr>
        <w:t>至</w:t>
      </w:r>
      <w:r w:rsidRPr="003B6B9A">
        <w:rPr>
          <w:noProof w:val="0"/>
          <w:kern w:val="2"/>
          <w:sz w:val="28"/>
          <w:szCs w:val="16"/>
          <w:lang w:bidi="ar-SA"/>
        </w:rPr>
        <w:t>4</w:t>
      </w:r>
      <w:r w:rsidRPr="003B6B9A">
        <w:rPr>
          <w:noProof w:val="0"/>
          <w:kern w:val="2"/>
          <w:sz w:val="28"/>
          <w:szCs w:val="16"/>
          <w:lang w:bidi="ar-SA"/>
        </w:rPr>
        <w:t>月我對中國大陸</w:t>
      </w:r>
      <w:r w:rsidRPr="003B6B9A">
        <w:rPr>
          <w:noProof w:val="0"/>
          <w:kern w:val="2"/>
          <w:sz w:val="28"/>
          <w:szCs w:val="16"/>
          <w:lang w:bidi="ar-SA"/>
        </w:rPr>
        <w:t>(</w:t>
      </w:r>
      <w:r w:rsidRPr="003B6B9A">
        <w:rPr>
          <w:noProof w:val="0"/>
          <w:kern w:val="2"/>
          <w:sz w:val="28"/>
          <w:szCs w:val="16"/>
          <w:lang w:bidi="ar-SA"/>
        </w:rPr>
        <w:t>含香港</w:t>
      </w:r>
      <w:r w:rsidRPr="003B6B9A">
        <w:rPr>
          <w:noProof w:val="0"/>
          <w:kern w:val="2"/>
          <w:sz w:val="28"/>
          <w:szCs w:val="16"/>
          <w:lang w:bidi="ar-SA"/>
        </w:rPr>
        <w:t>)</w:t>
      </w:r>
      <w:r w:rsidRPr="003B6B9A">
        <w:rPr>
          <w:noProof w:val="0"/>
          <w:kern w:val="2"/>
          <w:sz w:val="28"/>
          <w:szCs w:val="16"/>
          <w:lang w:bidi="ar-SA"/>
        </w:rPr>
        <w:t>貿易</w:t>
      </w:r>
      <w:r w:rsidRPr="003B6B9A">
        <w:rPr>
          <w:lang w:bidi="ar-SA"/>
        </w:rPr>
        <w:drawing>
          <wp:anchor distT="0" distB="0" distL="180340" distR="114300" simplePos="0" relativeHeight="252149248" behindDoc="0" locked="1" layoutInCell="1" allowOverlap="1" wp14:anchorId="3BAB67D7" wp14:editId="39BB7694">
            <wp:simplePos x="0" y="0"/>
            <wp:positionH relativeFrom="column">
              <wp:posOffset>2121535</wp:posOffset>
            </wp:positionH>
            <wp:positionV relativeFrom="page">
              <wp:posOffset>1270000</wp:posOffset>
            </wp:positionV>
            <wp:extent cx="4441190" cy="2425700"/>
            <wp:effectExtent l="0" t="0" r="0" b="0"/>
            <wp:wrapSquare wrapText="bothSides"/>
            <wp:docPr id="506" name="圖表 50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page">
              <wp14:pctWidth>0</wp14:pctWidth>
            </wp14:sizeRelH>
            <wp14:sizeRelV relativeFrom="page">
              <wp14:pctHeight>0</wp14:pctHeight>
            </wp14:sizeRelV>
          </wp:anchor>
        </w:drawing>
      </w:r>
      <w:r w:rsidRPr="003B6B9A">
        <w:rPr>
          <w:noProof w:val="0"/>
          <w:kern w:val="2"/>
          <w:sz w:val="28"/>
          <w:szCs w:val="16"/>
          <w:lang w:bidi="ar-SA"/>
        </w:rPr>
        <w:t>總額為</w:t>
      </w:r>
      <w:r w:rsidRPr="003B6B9A">
        <w:rPr>
          <w:noProof w:val="0"/>
          <w:kern w:val="2"/>
          <w:sz w:val="28"/>
          <w:szCs w:val="16"/>
          <w:lang w:bidi="ar-SA"/>
        </w:rPr>
        <w:t>513.7</w:t>
      </w:r>
      <w:r w:rsidRPr="003B6B9A">
        <w:rPr>
          <w:noProof w:val="0"/>
          <w:kern w:val="2"/>
          <w:sz w:val="28"/>
          <w:szCs w:val="16"/>
          <w:lang w:bidi="ar-SA"/>
        </w:rPr>
        <w:t>億美元，較上年同期減少</w:t>
      </w:r>
      <w:r w:rsidRPr="003B6B9A">
        <w:rPr>
          <w:noProof w:val="0"/>
          <w:kern w:val="2"/>
          <w:sz w:val="28"/>
          <w:szCs w:val="16"/>
          <w:lang w:bidi="ar-SA"/>
        </w:rPr>
        <w:t>5.2%</w:t>
      </w:r>
      <w:r w:rsidRPr="003B6B9A">
        <w:rPr>
          <w:noProof w:val="0"/>
          <w:kern w:val="2"/>
          <w:sz w:val="28"/>
          <w:szCs w:val="16"/>
          <w:lang w:bidi="ar-SA"/>
        </w:rPr>
        <w:t>；其中出口額為</w:t>
      </w:r>
      <w:r w:rsidRPr="003B6B9A">
        <w:rPr>
          <w:noProof w:val="0"/>
          <w:kern w:val="2"/>
          <w:sz w:val="28"/>
          <w:szCs w:val="16"/>
          <w:lang w:bidi="ar-SA"/>
        </w:rPr>
        <w:t>365.3</w:t>
      </w:r>
      <w:r w:rsidRPr="003B6B9A">
        <w:rPr>
          <w:noProof w:val="0"/>
          <w:kern w:val="2"/>
          <w:sz w:val="28"/>
          <w:szCs w:val="16"/>
          <w:lang w:bidi="ar-SA"/>
        </w:rPr>
        <w:t>億美元，減少</w:t>
      </w:r>
      <w:r w:rsidRPr="003B6B9A">
        <w:rPr>
          <w:noProof w:val="0"/>
          <w:kern w:val="2"/>
          <w:sz w:val="28"/>
          <w:szCs w:val="16"/>
          <w:lang w:bidi="ar-SA"/>
        </w:rPr>
        <w:t>6.5%</w:t>
      </w:r>
      <w:r w:rsidRPr="003B6B9A">
        <w:rPr>
          <w:noProof w:val="0"/>
          <w:kern w:val="2"/>
          <w:sz w:val="28"/>
          <w:szCs w:val="16"/>
          <w:lang w:bidi="ar-SA"/>
        </w:rPr>
        <w:t>；進口額為</w:t>
      </w:r>
      <w:r w:rsidRPr="003B6B9A">
        <w:rPr>
          <w:noProof w:val="0"/>
          <w:kern w:val="2"/>
          <w:sz w:val="28"/>
          <w:szCs w:val="16"/>
          <w:lang w:bidi="ar-SA"/>
        </w:rPr>
        <w:t>148.4</w:t>
      </w:r>
      <w:r w:rsidRPr="003B6B9A">
        <w:rPr>
          <w:noProof w:val="0"/>
          <w:kern w:val="2"/>
          <w:sz w:val="28"/>
          <w:szCs w:val="16"/>
          <w:lang w:bidi="ar-SA"/>
        </w:rPr>
        <w:t>億美元，減少</w:t>
      </w:r>
      <w:r w:rsidRPr="003B6B9A">
        <w:rPr>
          <w:noProof w:val="0"/>
          <w:kern w:val="2"/>
          <w:sz w:val="28"/>
          <w:szCs w:val="16"/>
          <w:lang w:bidi="ar-SA"/>
        </w:rPr>
        <w:t>1.8%</w:t>
      </w:r>
      <w:r w:rsidRPr="003B6B9A">
        <w:rPr>
          <w:noProof w:val="0"/>
          <w:kern w:val="2"/>
          <w:sz w:val="28"/>
          <w:szCs w:val="16"/>
          <w:lang w:bidi="ar-SA"/>
        </w:rPr>
        <w:t>；貿易出超為</w:t>
      </w:r>
      <w:r w:rsidRPr="003B6B9A">
        <w:rPr>
          <w:noProof w:val="0"/>
          <w:kern w:val="2"/>
          <w:sz w:val="28"/>
          <w:szCs w:val="16"/>
          <w:lang w:bidi="ar-SA"/>
        </w:rPr>
        <w:t>216.8</w:t>
      </w:r>
      <w:r w:rsidRPr="003B6B9A">
        <w:rPr>
          <w:noProof w:val="0"/>
          <w:kern w:val="2"/>
          <w:sz w:val="28"/>
          <w:szCs w:val="16"/>
          <w:lang w:bidi="ar-SA"/>
        </w:rPr>
        <w:t>億美元，減少</w:t>
      </w:r>
      <w:r w:rsidRPr="003B6B9A">
        <w:rPr>
          <w:noProof w:val="0"/>
          <w:kern w:val="2"/>
          <w:sz w:val="28"/>
          <w:szCs w:val="16"/>
          <w:lang w:bidi="ar-SA"/>
        </w:rPr>
        <w:t>9.4%</w:t>
      </w:r>
      <w:r w:rsidRPr="003B6B9A">
        <w:rPr>
          <w:noProof w:val="0"/>
          <w:kern w:val="2"/>
          <w:sz w:val="28"/>
          <w:szCs w:val="16"/>
          <w:lang w:bidi="ar-SA"/>
        </w:rPr>
        <w:t>。</w:t>
      </w:r>
    </w:p>
    <w:p w:rsidR="004B772B" w:rsidRPr="003B6B9A" w:rsidRDefault="004B772B" w:rsidP="004B772B">
      <w:pPr>
        <w:pStyle w:val="k3a"/>
        <w:spacing w:beforeLines="0" w:before="0" w:line="300" w:lineRule="auto"/>
        <w:ind w:leftChars="0" w:left="0" w:firstLineChars="0" w:firstLine="0"/>
        <w:rPr>
          <w:vanish/>
        </w:rPr>
      </w:pP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pStyle w:val="z-"/>
        <w:pBdr>
          <w:top w:val="none" w:sz="0" w:space="0" w:color="auto"/>
        </w:pBdr>
        <w:rPr>
          <w:rFonts w:ascii="Times New Roman" w:eastAsia="標楷體" w:hAnsi="Times New Roman" w:cs="Times New Roman"/>
          <w:color w:val="auto"/>
          <w:sz w:val="28"/>
        </w:rPr>
      </w:pPr>
      <w:r w:rsidRPr="003B6B9A">
        <w:rPr>
          <w:rFonts w:ascii="Times New Roman" w:eastAsia="標楷體" w:hAnsi="Times New Roman" w:cs="Times New Roman"/>
          <w:color w:val="auto"/>
          <w:sz w:val="28"/>
        </w:rPr>
        <w:t>表單的底部</w:t>
      </w: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pStyle w:val="z-"/>
        <w:pBdr>
          <w:top w:val="none" w:sz="0" w:space="0" w:color="auto"/>
        </w:pBdr>
        <w:rPr>
          <w:rFonts w:ascii="Times New Roman" w:eastAsia="標楷體" w:hAnsi="Times New Roman" w:cs="Times New Roman"/>
          <w:color w:val="auto"/>
          <w:sz w:val="28"/>
        </w:rPr>
      </w:pPr>
      <w:r w:rsidRPr="003B6B9A">
        <w:rPr>
          <w:rFonts w:ascii="Times New Roman" w:eastAsia="標楷體" w:hAnsi="Times New Roman" w:cs="Times New Roman"/>
          <w:color w:val="auto"/>
          <w:sz w:val="28"/>
        </w:rPr>
        <w:t>表單的底部</w:t>
      </w:r>
    </w:p>
    <w:p w:rsidR="004B772B" w:rsidRPr="003B6B9A" w:rsidRDefault="004B772B" w:rsidP="004B772B">
      <w:pPr>
        <w:snapToGrid w:val="0"/>
        <w:spacing w:line="400" w:lineRule="exact"/>
        <w:ind w:right="-573"/>
        <w:jc w:val="right"/>
        <w:rPr>
          <w:rFonts w:eastAsia="標楷體"/>
          <w:b/>
          <w:bCs/>
          <w:sz w:val="28"/>
        </w:rPr>
      </w:pPr>
      <w:r w:rsidRPr="003B6B9A">
        <w:rPr>
          <w:rFonts w:eastAsia="標楷體"/>
          <w:noProof/>
          <w:spacing w:val="-4"/>
          <w:sz w:val="28"/>
        </w:rPr>
        <mc:AlternateContent>
          <mc:Choice Requires="wpg">
            <w:drawing>
              <wp:anchor distT="0" distB="0" distL="114300" distR="114300" simplePos="0" relativeHeight="252148224" behindDoc="0" locked="0" layoutInCell="1" allowOverlap="1" wp14:anchorId="67C0CC94" wp14:editId="6A75282C">
                <wp:simplePos x="0" y="0"/>
                <wp:positionH relativeFrom="column">
                  <wp:posOffset>-2880360</wp:posOffset>
                </wp:positionH>
                <wp:positionV relativeFrom="paragraph">
                  <wp:posOffset>552450</wp:posOffset>
                </wp:positionV>
                <wp:extent cx="571500" cy="342900"/>
                <wp:effectExtent l="0" t="0" r="3810" b="38100"/>
                <wp:wrapNone/>
                <wp:docPr id="502" name="群組 5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342900"/>
                          <a:chOff x="8064" y="2608"/>
                          <a:chExt cx="879" cy="731"/>
                        </a:xfrm>
                      </wpg:grpSpPr>
                      <wps:wsp>
                        <wps:cNvPr id="504" name="Text Box 3"/>
                        <wps:cNvSpPr txBox="1">
                          <a:spLocks noChangeArrowheads="1"/>
                        </wps:cNvSpPr>
                        <wps:spPr bwMode="auto">
                          <a:xfrm>
                            <a:off x="8064" y="2608"/>
                            <a:ext cx="879" cy="2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0D7B" w:rsidRDefault="00C20D7B" w:rsidP="004B772B">
                              <w:pPr>
                                <w:spacing w:line="200" w:lineRule="exact"/>
                                <w:rPr>
                                  <w:b/>
                                  <w:bCs/>
                                  <w:color w:val="000000"/>
                                  <w:sz w:val="16"/>
                                </w:rPr>
                              </w:pPr>
                              <w:r>
                                <w:rPr>
                                  <w:rFonts w:hint="eastAsia"/>
                                  <w:b/>
                                  <w:bCs/>
                                  <w:color w:val="000000"/>
                                  <w:sz w:val="16"/>
                                </w:rPr>
                                <w:t>進口成長率</w:t>
                              </w:r>
                            </w:p>
                            <w:p w:rsidR="00C20D7B" w:rsidRDefault="00C20D7B" w:rsidP="004B772B">
                              <w:pPr>
                                <w:spacing w:line="200" w:lineRule="exact"/>
                                <w:rPr>
                                  <w:sz w:val="14"/>
                                </w:rPr>
                              </w:pPr>
                            </w:p>
                          </w:txbxContent>
                        </wps:txbx>
                        <wps:bodyPr rot="0" vert="horz" wrap="square" lIns="0" tIns="0" rIns="0" bIns="0" anchor="t" anchorCtr="0" upright="1">
                          <a:noAutofit/>
                        </wps:bodyPr>
                      </wps:wsp>
                      <wps:wsp>
                        <wps:cNvPr id="505" name="Line 4"/>
                        <wps:cNvCnPr/>
                        <wps:spPr bwMode="auto">
                          <a:xfrm>
                            <a:off x="8640" y="2799"/>
                            <a:ext cx="180" cy="540"/>
                          </a:xfrm>
                          <a:prstGeom prst="line">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群組 502" o:spid="_x0000_s1036" style="position:absolute;left:0;text-align:left;margin-left:-226.8pt;margin-top:43.5pt;width:45pt;height:27pt;z-index:252148224" coordorigin="8064,2608" coordsize="879,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">
                <v:shape id="Text Box 3" o:spid="_x0000_s1037" type="#_x0000_t202" style="position:absolute;left:8064;top:2608;width:879;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McEcYA&#10;AADcAAAADwAAAGRycy9kb3ducmV2LnhtbESPT2vCQBTE7wW/w/KEXopuGlqR6CrWtNBDe9CK50f2&#10;mQSzb8Pumj/fvlsoeBxm5jfMejuYRnTkfG1ZwfM8AUFcWF1zqeD08zFbgvABWWNjmRSM5GG7mTys&#10;MdO25wN1x1CKCGGfoYIqhDaT0hcVGfRz2xJH72KdwRClK6V22Ee4aWSaJAtpsOa4UGFL+4qK6/Fm&#10;FCxyd+sPvH/KT+9f+N2W6fltPCv1OB12KxCBhnAP/7c/tYLX5AX+zsQj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McEcYAAADcAAAADwAAAAAAAAAAAAAAAACYAgAAZHJz&#10;L2Rvd25yZXYueG1sUEsFBgAAAAAEAAQA9QAAAIsDAAAAAA==&#10;" stroked="f">
                  <v:textbox inset="0,0,0,0">
                    <w:txbxContent>
                      <w:p w:rsidR="00C20D7B" w:rsidRDefault="00C20D7B" w:rsidP="004B772B">
                        <w:pPr>
                          <w:spacing w:line="200" w:lineRule="exact"/>
                          <w:rPr>
                            <w:b/>
                            <w:bCs/>
                            <w:color w:val="000000"/>
                            <w:sz w:val="16"/>
                          </w:rPr>
                        </w:pPr>
                        <w:r>
                          <w:rPr>
                            <w:rFonts w:hint="eastAsia"/>
                            <w:b/>
                            <w:bCs/>
                            <w:color w:val="000000"/>
                            <w:sz w:val="16"/>
                          </w:rPr>
                          <w:t>進口成長率</w:t>
                        </w:r>
                      </w:p>
                      <w:p w:rsidR="00C20D7B" w:rsidRDefault="00C20D7B" w:rsidP="004B772B">
                        <w:pPr>
                          <w:spacing w:line="200" w:lineRule="exact"/>
                          <w:rPr>
                            <w:sz w:val="14"/>
                          </w:rPr>
                        </w:pPr>
                      </w:p>
                    </w:txbxContent>
                  </v:textbox>
                </v:shape>
                <v:line id="Line 4" o:spid="_x0000_s1038" style="position:absolute;visibility:visible;mso-wrap-style:square" from="8640,2799" to="8820,3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93MEAAADcAAAADwAAAGRycy9kb3ducmV2LnhtbESP0YrCMBRE3wX/IVzBN01ctEg1irgs&#10;6NNi9QMuzbUtNjclydr692ZhYR+HmTnDbPeDbcWTfGgca1jMFQji0pmGKw2369dsDSJEZIOtY9Lw&#10;ogD73Xi0xdy4ni/0LGIlEoRDjhrqGLtcylDWZDHMXUecvLvzFmOSvpLGY5/gtpUfSmXSYsNpocaO&#10;jjWVj+LHarjcevs9ZGcVmQpZfmbLx9KftJ5OhsMGRKQh/of/2iejYaVW8HsmHQG5e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Un/3cwQAAANwAAAAPAAAAAAAAAAAAAAAA&#10;AKECAABkcnMvZG93bnJldi54bWxQSwUGAAAAAAQABAD5AAAAjwMAAAAA&#10;">
                  <v:stroke endarrow="classic"/>
                </v:line>
              </v:group>
            </w:pict>
          </mc:Fallback>
        </mc:AlternateContent>
      </w:r>
      <w:r w:rsidRPr="003B6B9A">
        <w:rPr>
          <w:rFonts w:eastAsia="標楷體"/>
          <w:b/>
          <w:bCs/>
          <w:sz w:val="28"/>
        </w:rPr>
        <w:t xml:space="preserve">                  </w:t>
      </w:r>
    </w:p>
    <w:p w:rsidR="004B772B" w:rsidRPr="003B6B9A" w:rsidRDefault="004B772B" w:rsidP="004B772B">
      <w:pPr>
        <w:snapToGrid w:val="0"/>
        <w:spacing w:line="400" w:lineRule="exact"/>
        <w:ind w:right="-573"/>
        <w:jc w:val="right"/>
        <w:rPr>
          <w:rFonts w:eastAsia="標楷體"/>
        </w:rPr>
      </w:pPr>
      <w:r w:rsidRPr="003B6B9A">
        <w:rPr>
          <w:rFonts w:eastAsia="標楷體"/>
          <w:b/>
          <w:bCs/>
          <w:sz w:val="28"/>
        </w:rPr>
        <w:t>表</w:t>
      </w:r>
      <w:r w:rsidRPr="003B6B9A">
        <w:rPr>
          <w:rFonts w:eastAsia="標楷體"/>
          <w:b/>
          <w:bCs/>
          <w:sz w:val="28"/>
        </w:rPr>
        <w:t xml:space="preserve">4-3 </w:t>
      </w:r>
      <w:r w:rsidRPr="003B6B9A">
        <w:rPr>
          <w:rFonts w:eastAsia="標楷體"/>
          <w:b/>
          <w:bCs/>
          <w:sz w:val="28"/>
        </w:rPr>
        <w:t>兩岸貿易概況</w:t>
      </w:r>
      <w:r w:rsidRPr="003B6B9A">
        <w:rPr>
          <w:rFonts w:eastAsia="標楷體"/>
          <w:b/>
          <w:bCs/>
          <w:sz w:val="28"/>
        </w:rPr>
        <w:t xml:space="preserve">             </w:t>
      </w:r>
      <w:r w:rsidRPr="003B6B9A">
        <w:rPr>
          <w:rFonts w:eastAsia="標楷體"/>
        </w:rPr>
        <w:t>單位：億美元；</w:t>
      </w:r>
      <w:r w:rsidRPr="003B6B9A">
        <w:rPr>
          <w:rFonts w:eastAsia="標楷體"/>
        </w:rPr>
        <w:t>%</w:t>
      </w:r>
    </w:p>
    <w:tbl>
      <w:tblPr>
        <w:tblW w:w="10620" w:type="dxa"/>
        <w:tblInd w:w="-885" w:type="dxa"/>
        <w:tblCellMar>
          <w:left w:w="0" w:type="dxa"/>
          <w:right w:w="0" w:type="dxa"/>
        </w:tblCellMar>
        <w:tblLook w:val="0000" w:firstRow="0" w:lastRow="0" w:firstColumn="0" w:lastColumn="0" w:noHBand="0" w:noVBand="0"/>
      </w:tblPr>
      <w:tblGrid>
        <w:gridCol w:w="1800"/>
        <w:gridCol w:w="976"/>
        <w:gridCol w:w="798"/>
        <w:gridCol w:w="631"/>
        <w:gridCol w:w="895"/>
        <w:gridCol w:w="840"/>
        <w:gridCol w:w="699"/>
        <w:gridCol w:w="782"/>
        <w:gridCol w:w="859"/>
        <w:gridCol w:w="720"/>
        <w:gridCol w:w="772"/>
        <w:gridCol w:w="848"/>
      </w:tblGrid>
      <w:tr w:rsidR="004B772B" w:rsidRPr="003B6B9A" w:rsidTr="001040FB">
        <w:trPr>
          <w:cantSplit/>
          <w:trHeight w:val="330"/>
        </w:trPr>
        <w:tc>
          <w:tcPr>
            <w:tcW w:w="1800" w:type="dxa"/>
            <w:vMerge w:val="restart"/>
            <w:tcBorders>
              <w:top w:val="single" w:sz="4" w:space="0" w:color="auto"/>
              <w:left w:val="nil"/>
              <w:bottom w:val="single" w:sz="4" w:space="0" w:color="000000"/>
              <w:right w:val="single" w:sz="4" w:space="0" w:color="000000"/>
            </w:tcBorders>
            <w:tcMar>
              <w:top w:w="15" w:type="dxa"/>
              <w:left w:w="15" w:type="dxa"/>
              <w:bottom w:w="0" w:type="dxa"/>
              <w:right w:w="15" w:type="dxa"/>
            </w:tcMa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textAlignment w:val="auto"/>
              <w:rPr>
                <w:rFonts w:ascii="標楷體" w:eastAsia="標楷體" w:hAnsi="標楷體" w:cs="Arial Unicode MS"/>
                <w:spacing w:val="0"/>
                <w:szCs w:val="24"/>
              </w:rPr>
            </w:pPr>
            <w:r w:rsidRPr="003B6B9A">
              <w:rPr>
                <w:rFonts w:ascii="標楷體" w:eastAsia="標楷體" w:hAnsi="標楷體" w:hint="eastAsia"/>
                <w:spacing w:val="0"/>
                <w:szCs w:val="24"/>
              </w:rPr>
              <w:t>年(月)別</w:t>
            </w:r>
          </w:p>
        </w:tc>
        <w:tc>
          <w:tcPr>
            <w:tcW w:w="2405" w:type="dxa"/>
            <w:gridSpan w:val="3"/>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新細明體" w:hAnsi="新細明體" w:cs="Arial Unicode MS"/>
              </w:rPr>
            </w:pPr>
            <w:r w:rsidRPr="003B6B9A">
              <w:rPr>
                <w:rFonts w:ascii="標楷體" w:eastAsia="標楷體" w:hAnsi="標楷體" w:hint="eastAsia"/>
              </w:rPr>
              <w:t xml:space="preserve">貿 </w:t>
            </w:r>
            <w:r w:rsidRPr="003B6B9A">
              <w:rPr>
                <w:rFonts w:ascii="標楷體" w:eastAsia="標楷體" w:hAnsi="標楷體"/>
              </w:rPr>
              <w:t>易</w:t>
            </w:r>
            <w:r w:rsidRPr="003B6B9A">
              <w:rPr>
                <w:rFonts w:ascii="標楷體" w:eastAsia="標楷體" w:hAnsi="標楷體" w:hint="eastAsia"/>
              </w:rPr>
              <w:t xml:space="preserve"> 總 </w:t>
            </w:r>
            <w:r w:rsidRPr="003B6B9A">
              <w:rPr>
                <w:rFonts w:ascii="標楷體" w:eastAsia="標楷體" w:hAnsi="標楷體"/>
              </w:rPr>
              <w:t>額</w:t>
            </w:r>
          </w:p>
        </w:tc>
        <w:tc>
          <w:tcPr>
            <w:tcW w:w="2434"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4B772B" w:rsidRPr="003B6B9A" w:rsidRDefault="004B772B" w:rsidP="001040FB">
            <w:pPr>
              <w:jc w:val="center"/>
              <w:rPr>
                <w:rFonts w:ascii="標楷體" w:eastAsia="標楷體" w:hAnsi="標楷體" w:cs="Arial Unicode MS"/>
              </w:rPr>
            </w:pPr>
            <w:r w:rsidRPr="003B6B9A">
              <w:rPr>
                <w:rFonts w:ascii="標楷體" w:eastAsia="標楷體" w:hAnsi="標楷體" w:hint="eastAsia"/>
              </w:rPr>
              <w:t>對中國大陸</w:t>
            </w:r>
            <w:r w:rsidRPr="003B6B9A">
              <w:rPr>
                <w:rFonts w:ascii="標楷體" w:eastAsia="標楷體" w:hAnsi="標楷體"/>
              </w:rPr>
              <w:br/>
              <w:t>（</w:t>
            </w:r>
            <w:r w:rsidRPr="003B6B9A">
              <w:rPr>
                <w:rFonts w:ascii="標楷體" w:eastAsia="標楷體" w:hAnsi="標楷體" w:hint="eastAsia"/>
              </w:rPr>
              <w:t>含香港</w:t>
            </w:r>
            <w:r w:rsidRPr="003B6B9A">
              <w:rPr>
                <w:rFonts w:ascii="標楷體" w:eastAsia="標楷體" w:hAnsi="標楷體"/>
              </w:rPr>
              <w:t>）</w:t>
            </w:r>
            <w:r w:rsidRPr="003B6B9A">
              <w:rPr>
                <w:rFonts w:ascii="標楷體" w:eastAsia="標楷體" w:hAnsi="標楷體" w:hint="eastAsia"/>
              </w:rPr>
              <w:t>出口</w:t>
            </w:r>
          </w:p>
        </w:tc>
        <w:tc>
          <w:tcPr>
            <w:tcW w:w="2361"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4B772B" w:rsidRPr="003B6B9A" w:rsidRDefault="004B772B" w:rsidP="001040FB">
            <w:pPr>
              <w:jc w:val="center"/>
              <w:rPr>
                <w:rFonts w:ascii="標楷體" w:eastAsia="標楷體" w:hAnsi="標楷體" w:cs="Arial Unicode MS"/>
              </w:rPr>
            </w:pPr>
            <w:r w:rsidRPr="003B6B9A">
              <w:rPr>
                <w:rFonts w:ascii="標楷體" w:eastAsia="標楷體" w:hAnsi="標楷體" w:hint="eastAsia"/>
              </w:rPr>
              <w:t>自中國大陸</w:t>
            </w:r>
            <w:r w:rsidRPr="003B6B9A">
              <w:rPr>
                <w:rFonts w:ascii="標楷體" w:eastAsia="標楷體" w:hAnsi="標楷體"/>
              </w:rPr>
              <w:br/>
              <w:t>（</w:t>
            </w:r>
            <w:r w:rsidRPr="003B6B9A">
              <w:rPr>
                <w:rFonts w:ascii="標楷體" w:eastAsia="標楷體" w:hAnsi="標楷體" w:hint="eastAsia"/>
              </w:rPr>
              <w:t>含香港</w:t>
            </w:r>
            <w:r w:rsidRPr="003B6B9A">
              <w:rPr>
                <w:rFonts w:ascii="標楷體" w:eastAsia="標楷體" w:hAnsi="標楷體"/>
              </w:rPr>
              <w:t>）</w:t>
            </w:r>
            <w:r w:rsidRPr="003B6B9A">
              <w:rPr>
                <w:rFonts w:ascii="標楷體" w:eastAsia="標楷體" w:hAnsi="標楷體" w:hint="eastAsia"/>
              </w:rPr>
              <w:t>進口</w:t>
            </w:r>
          </w:p>
        </w:tc>
        <w:tc>
          <w:tcPr>
            <w:tcW w:w="1620" w:type="dxa"/>
            <w:gridSpan w:val="2"/>
            <w:tcBorders>
              <w:top w:val="single" w:sz="4" w:space="0" w:color="auto"/>
              <w:left w:val="nil"/>
              <w:bottom w:val="single" w:sz="4" w:space="0" w:color="000000"/>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rPr>
            </w:pPr>
            <w:r w:rsidRPr="003B6B9A">
              <w:rPr>
                <w:rFonts w:ascii="標楷體" w:eastAsia="標楷體" w:hAnsi="標楷體" w:hint="eastAsia"/>
              </w:rPr>
              <w:t>出入超</w:t>
            </w:r>
          </w:p>
        </w:tc>
      </w:tr>
      <w:tr w:rsidR="004B772B" w:rsidRPr="003B6B9A" w:rsidTr="001040FB">
        <w:trPr>
          <w:cantSplit/>
          <w:trHeight w:val="496"/>
        </w:trPr>
        <w:tc>
          <w:tcPr>
            <w:tcW w:w="1800" w:type="dxa"/>
            <w:vMerge/>
            <w:tcBorders>
              <w:top w:val="single" w:sz="4" w:space="0" w:color="auto"/>
              <w:left w:val="nil"/>
              <w:bottom w:val="single" w:sz="4" w:space="0" w:color="000000"/>
              <w:right w:val="single" w:sz="4" w:space="0" w:color="000000"/>
            </w:tcBorders>
            <w:vAlign w:val="center"/>
          </w:tcPr>
          <w:p w:rsidR="004B772B" w:rsidRPr="003B6B9A" w:rsidRDefault="004B772B" w:rsidP="001040FB">
            <w:pPr>
              <w:rPr>
                <w:rFonts w:ascii="標楷體" w:eastAsia="標楷體" w:hAnsi="標楷體" w:cs="Arial Unicode MS"/>
              </w:rPr>
            </w:pPr>
          </w:p>
        </w:tc>
        <w:tc>
          <w:tcPr>
            <w:tcW w:w="976"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798"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c>
          <w:tcPr>
            <w:tcW w:w="631"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比</w:t>
            </w:r>
            <w:r w:rsidRPr="003B6B9A">
              <w:rPr>
                <w:rFonts w:ascii="標楷體" w:eastAsia="標楷體" w:hAnsi="標楷體"/>
                <w:sz w:val="22"/>
                <w:szCs w:val="22"/>
              </w:rPr>
              <w:t xml:space="preserve"> </w:t>
            </w:r>
            <w:r w:rsidRPr="003B6B9A">
              <w:rPr>
                <w:rFonts w:ascii="標楷體" w:eastAsia="標楷體" w:hAnsi="標楷體" w:hint="eastAsia"/>
                <w:sz w:val="22"/>
                <w:szCs w:val="22"/>
              </w:rPr>
              <w:t>重</w:t>
            </w:r>
          </w:p>
        </w:tc>
        <w:tc>
          <w:tcPr>
            <w:tcW w:w="895"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840"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c>
          <w:tcPr>
            <w:tcW w:w="699"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比</w:t>
            </w:r>
            <w:r w:rsidRPr="003B6B9A">
              <w:rPr>
                <w:rFonts w:ascii="標楷體" w:eastAsia="標楷體" w:hAnsi="標楷體"/>
                <w:sz w:val="22"/>
                <w:szCs w:val="22"/>
              </w:rPr>
              <w:t xml:space="preserve"> </w:t>
            </w:r>
            <w:r w:rsidRPr="003B6B9A">
              <w:rPr>
                <w:rFonts w:ascii="標楷體" w:eastAsia="標楷體" w:hAnsi="標楷體" w:hint="eastAsia"/>
                <w:sz w:val="22"/>
                <w:szCs w:val="22"/>
              </w:rPr>
              <w:t>重</w:t>
            </w:r>
          </w:p>
        </w:tc>
        <w:tc>
          <w:tcPr>
            <w:tcW w:w="782"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859"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c>
          <w:tcPr>
            <w:tcW w:w="720"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比</w:t>
            </w:r>
            <w:r w:rsidRPr="003B6B9A">
              <w:rPr>
                <w:rFonts w:ascii="標楷體" w:eastAsia="標楷體" w:hAnsi="標楷體"/>
                <w:sz w:val="22"/>
                <w:szCs w:val="22"/>
              </w:rPr>
              <w:t xml:space="preserve"> </w:t>
            </w:r>
            <w:r w:rsidRPr="003B6B9A">
              <w:rPr>
                <w:rFonts w:ascii="標楷體" w:eastAsia="標楷體" w:hAnsi="標楷體" w:hint="eastAsia"/>
                <w:sz w:val="22"/>
                <w:szCs w:val="22"/>
              </w:rPr>
              <w:t>重</w:t>
            </w:r>
          </w:p>
        </w:tc>
        <w:tc>
          <w:tcPr>
            <w:tcW w:w="772"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848" w:type="dxa"/>
            <w:tcBorders>
              <w:top w:val="nil"/>
              <w:left w:val="nil"/>
              <w:bottom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r>
      <w:tr w:rsidR="004B772B" w:rsidRPr="003B6B9A" w:rsidTr="001040FB">
        <w:trPr>
          <w:trHeight w:val="373"/>
        </w:trPr>
        <w:tc>
          <w:tcPr>
            <w:tcW w:w="1800" w:type="dxa"/>
            <w:tcBorders>
              <w:right w:val="single" w:sz="4" w:space="0" w:color="auto"/>
            </w:tcBorders>
            <w:tcMar>
              <w:top w:w="15" w:type="dxa"/>
              <w:left w:w="15" w:type="dxa"/>
              <w:bottom w:w="0" w:type="dxa"/>
              <w:right w:w="15" w:type="dxa"/>
            </w:tcMar>
          </w:tcPr>
          <w:p w:rsidR="004B772B" w:rsidRPr="003B6B9A" w:rsidRDefault="004B772B" w:rsidP="001040FB">
            <w:pPr>
              <w:jc w:val="center"/>
            </w:pPr>
            <w:r w:rsidRPr="003B6B9A">
              <w:t>2010</w:t>
            </w:r>
            <w:r w:rsidRPr="003B6B9A">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1,523.2</w:t>
            </w:r>
          </w:p>
        </w:tc>
        <w:tc>
          <w:tcPr>
            <w:tcW w:w="798"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39.3</w:t>
            </w:r>
          </w:p>
        </w:tc>
        <w:tc>
          <w:tcPr>
            <w:tcW w:w="631"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29.0</w:t>
            </w:r>
          </w:p>
        </w:tc>
        <w:tc>
          <w:tcPr>
            <w:tcW w:w="895"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1,147.4</w:t>
            </w:r>
          </w:p>
        </w:tc>
        <w:tc>
          <w:tcPr>
            <w:tcW w:w="840"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37.1</w:t>
            </w:r>
          </w:p>
        </w:tc>
        <w:tc>
          <w:tcPr>
            <w:tcW w:w="699"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41.8</w:t>
            </w:r>
          </w:p>
        </w:tc>
        <w:tc>
          <w:tcPr>
            <w:tcW w:w="782"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375.8</w:t>
            </w:r>
          </w:p>
        </w:tc>
        <w:tc>
          <w:tcPr>
            <w:tcW w:w="859"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46.6</w:t>
            </w:r>
          </w:p>
        </w:tc>
        <w:tc>
          <w:tcPr>
            <w:tcW w:w="720"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14.9</w:t>
            </w:r>
          </w:p>
        </w:tc>
        <w:tc>
          <w:tcPr>
            <w:tcW w:w="772"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771.6</w:t>
            </w:r>
          </w:p>
        </w:tc>
        <w:tc>
          <w:tcPr>
            <w:tcW w:w="848" w:type="dxa"/>
            <w:tcBorders>
              <w:top w:val="nil"/>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32.7</w:t>
            </w:r>
          </w:p>
        </w:tc>
      </w:tr>
      <w:tr w:rsidR="004B772B" w:rsidRPr="003B6B9A" w:rsidTr="001040FB">
        <w:trPr>
          <w:trHeight w:val="373"/>
        </w:trPr>
        <w:tc>
          <w:tcPr>
            <w:tcW w:w="1800" w:type="dxa"/>
            <w:tcBorders>
              <w:right w:val="single" w:sz="4" w:space="0" w:color="auto"/>
            </w:tcBorders>
            <w:tcMar>
              <w:top w:w="15" w:type="dxa"/>
              <w:left w:w="15" w:type="dxa"/>
              <w:bottom w:w="0" w:type="dxa"/>
              <w:right w:w="15" w:type="dxa"/>
            </w:tcMar>
          </w:tcPr>
          <w:p w:rsidR="004B772B" w:rsidRPr="003B6B9A" w:rsidRDefault="004B772B" w:rsidP="001040FB">
            <w:pPr>
              <w:jc w:val="center"/>
            </w:pPr>
            <w:r w:rsidRPr="003B6B9A">
              <w:rPr>
                <w:rFonts w:hint="eastAsia"/>
              </w:rPr>
              <w:t>2011</w:t>
            </w:r>
            <w:r w:rsidRPr="003B6B9A">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1,693.3</w:t>
            </w:r>
          </w:p>
        </w:tc>
        <w:tc>
          <w:tcPr>
            <w:tcW w:w="798"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11.2</w:t>
            </w:r>
          </w:p>
        </w:tc>
        <w:tc>
          <w:tcPr>
            <w:tcW w:w="631"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28.7</w:t>
            </w:r>
          </w:p>
        </w:tc>
        <w:tc>
          <w:tcPr>
            <w:tcW w:w="895"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1,240.5</w:t>
            </w:r>
          </w:p>
        </w:tc>
        <w:tc>
          <w:tcPr>
            <w:tcW w:w="840"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8.1</w:t>
            </w:r>
          </w:p>
        </w:tc>
        <w:tc>
          <w:tcPr>
            <w:tcW w:w="699"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40.2</w:t>
            </w:r>
          </w:p>
        </w:tc>
        <w:tc>
          <w:tcPr>
            <w:tcW w:w="782"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452.8</w:t>
            </w:r>
          </w:p>
        </w:tc>
        <w:tc>
          <w:tcPr>
            <w:tcW w:w="859"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20.5</w:t>
            </w:r>
          </w:p>
        </w:tc>
        <w:tc>
          <w:tcPr>
            <w:tcW w:w="720"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16.1</w:t>
            </w:r>
          </w:p>
        </w:tc>
        <w:tc>
          <w:tcPr>
            <w:tcW w:w="772" w:type="dxa"/>
            <w:tcBorders>
              <w:top w:val="nil"/>
              <w:left w:val="nil"/>
              <w:bottom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787.0</w:t>
            </w:r>
          </w:p>
        </w:tc>
        <w:tc>
          <w:tcPr>
            <w:tcW w:w="848" w:type="dxa"/>
            <w:tcBorders>
              <w:top w:val="nil"/>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2.1</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pPr>
            <w:r w:rsidRPr="003B6B9A">
              <w:rPr>
                <w:rFonts w:hint="eastAsia"/>
              </w:rPr>
              <w:t>2012</w:t>
            </w:r>
            <w:r w:rsidRPr="003B6B9A">
              <w:rPr>
                <w:rFonts w:ascii="標楷體" w:eastAsia="標楷體" w:hAnsi="標楷體" w:hint="eastAsia"/>
              </w:rPr>
              <w:t>年</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1,622.4</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-4.2</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28.4</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1,186.7</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-4.3</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39.4</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435.7</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-3.8</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16.1</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751.0</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-4.7</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2013</w:t>
            </w:r>
            <w:r w:rsidRPr="003B6B9A">
              <w:rPr>
                <w:rFonts w:eastAsia="標楷體" w:hint="eastAsia"/>
              </w:rPr>
              <w:t>年</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1,654.8</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2.0</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28.7</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1,212.3</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2.2</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39.7</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442.5</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1.6</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16.4</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769.8</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2.5</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2014</w:t>
            </w:r>
            <w:r w:rsidRPr="003B6B9A">
              <w:rPr>
                <w:rFonts w:eastAsia="標楷體" w:hint="eastAsia"/>
              </w:rPr>
              <w:t>年</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1,744.1</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5.4</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29.7</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1,246.9</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3.7</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39.7</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497.3</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12.4</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18.1</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749.6</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-2.6</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4</w:t>
            </w:r>
            <w:r w:rsidRPr="003B6B9A">
              <w:rPr>
                <w:rFonts w:eastAsia="標楷體" w:hint="eastAsia"/>
              </w:rPr>
              <w:t>月</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145.8</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7.3</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28.8</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103.8</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5.0</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39.0</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42.1</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13.4</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17.5</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61.7</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0.0</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5</w:t>
            </w:r>
            <w:r w:rsidRPr="003B6B9A">
              <w:rPr>
                <w:rFonts w:eastAsia="標楷體" w:hint="eastAsia"/>
              </w:rPr>
              <w:t>月</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150.8</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7.7</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31.4</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110.6</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6.4</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41.5</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40.2</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11.4</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18.8</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70.4</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3.7</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6</w:t>
            </w:r>
            <w:r w:rsidRPr="003B6B9A">
              <w:rPr>
                <w:rFonts w:eastAsia="標楷體" w:hint="eastAsia"/>
              </w:rPr>
              <w:t>月</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153.3</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10.1</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29.6</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106.3</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3.4</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39.7</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47.0</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29.2</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18.9</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59.3</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-10.7</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7</w:t>
            </w:r>
            <w:r w:rsidRPr="003B6B9A">
              <w:rPr>
                <w:rFonts w:eastAsia="標楷體" w:hint="eastAsia"/>
              </w:rPr>
              <w:t>月</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149.6</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8.7</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29.4</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105.2</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6.5</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39.3</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44.4</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14.4</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18.4</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60.8</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1.4</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8</w:t>
            </w:r>
            <w:r w:rsidRPr="003B6B9A">
              <w:rPr>
                <w:rFonts w:eastAsia="標楷體" w:hint="eastAsia"/>
              </w:rPr>
              <w:t>月</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155.0</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13.4</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29.8</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111.8</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8.7</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39.8</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43.2</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27.9</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18.0</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68.6</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-0.7</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9</w:t>
            </w:r>
            <w:r w:rsidRPr="003B6B9A">
              <w:rPr>
                <w:rFonts w:eastAsia="標楷體" w:hint="eastAsia"/>
              </w:rPr>
              <w:t>月</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146.5</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6.7</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29.7</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102.8</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3.6</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38.9</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43.7</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14.8</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19.0</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59.2</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-3.4</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10</w:t>
            </w:r>
            <w:r w:rsidRPr="003B6B9A">
              <w:rPr>
                <w:rFonts w:eastAsia="標楷體" w:hint="eastAsia"/>
              </w:rPr>
              <w:t>月</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147.5</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4.7</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30.0</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107.6</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5.5</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40.0</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39.9</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2.9</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17.9</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67.7</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7.0</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11</w:t>
            </w:r>
            <w:r w:rsidRPr="003B6B9A">
              <w:rPr>
                <w:rFonts w:eastAsia="標楷體" w:hint="eastAsia"/>
              </w:rPr>
              <w:t>月</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154.7</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6.8</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31.5</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108.1</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-0.3</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40.5</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46.5</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28.2</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20.7</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61.6</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-14.7</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12</w:t>
            </w:r>
            <w:r w:rsidRPr="003B6B9A">
              <w:rPr>
                <w:rFonts w:eastAsia="標楷體" w:hint="eastAsia"/>
              </w:rPr>
              <w:t>月</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145.2</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-3.5</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31.0</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103.9</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-5.6</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40.5</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41.2</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2.1</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19.5</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62.7</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-10.0</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2015</w:t>
            </w:r>
            <w:r w:rsidRPr="003B6B9A">
              <w:rPr>
                <w:rFonts w:eastAsia="標楷體" w:hint="eastAsia"/>
              </w:rPr>
              <w:t>年</w:t>
            </w:r>
            <w:r w:rsidRPr="003B6B9A">
              <w:rPr>
                <w:rFonts w:eastAsia="標楷體" w:hint="eastAsia"/>
              </w:rPr>
              <w:t>1~4</w:t>
            </w:r>
            <w:r w:rsidRPr="003B6B9A">
              <w:rPr>
                <w:rFonts w:eastAsia="標楷體" w:hint="eastAsia"/>
              </w:rPr>
              <w:t>月</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513.7</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-5.2</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30.3</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365.3</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-6.5</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39.0</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148.4</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-1.8</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19.6</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216.8</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-9.4</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1</w:t>
            </w:r>
            <w:r w:rsidRPr="003B6B9A">
              <w:rPr>
                <w:rFonts w:eastAsia="標楷體" w:hint="eastAsia"/>
              </w:rPr>
              <w:t>月</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146.2</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11.3</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32.2</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103.4</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11.8</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41.2</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42.8</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10.2</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21.1</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60.6</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13.0</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2</w:t>
            </w:r>
            <w:r w:rsidRPr="003B6B9A">
              <w:rPr>
                <w:rFonts w:eastAsia="標楷體" w:hint="eastAsia"/>
              </w:rPr>
              <w:t>月</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100.3</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-9.9</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28.5</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70.1</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-17.3</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35.3</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30.3</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13.5</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19.8</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39.8</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-31.5</w:t>
            </w:r>
          </w:p>
        </w:tc>
      </w:tr>
      <w:tr w:rsidR="004B772B"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3</w:t>
            </w:r>
            <w:r w:rsidRPr="003B6B9A">
              <w:rPr>
                <w:rFonts w:eastAsia="標楷體" w:hint="eastAsia"/>
              </w:rPr>
              <w:t>月</w:t>
            </w:r>
          </w:p>
        </w:tc>
        <w:tc>
          <w:tcPr>
            <w:tcW w:w="976" w:type="dxa"/>
            <w:tcBorders>
              <w:left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138.3</w:t>
            </w:r>
          </w:p>
        </w:tc>
        <w:tc>
          <w:tcPr>
            <w:tcW w:w="79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-9.6</w:t>
            </w:r>
          </w:p>
        </w:tc>
        <w:tc>
          <w:tcPr>
            <w:tcW w:w="631"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29.8</w:t>
            </w:r>
          </w:p>
        </w:tc>
        <w:tc>
          <w:tcPr>
            <w:tcW w:w="895"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100.7</w:t>
            </w:r>
          </w:p>
        </w:tc>
        <w:tc>
          <w:tcPr>
            <w:tcW w:w="84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-8.0</w:t>
            </w:r>
          </w:p>
        </w:tc>
        <w:tc>
          <w:tcPr>
            <w:tcW w:w="69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39.8</w:t>
            </w:r>
          </w:p>
        </w:tc>
        <w:tc>
          <w:tcPr>
            <w:tcW w:w="78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37.6</w:t>
            </w:r>
          </w:p>
        </w:tc>
        <w:tc>
          <w:tcPr>
            <w:tcW w:w="859"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-13.6</w:t>
            </w:r>
          </w:p>
        </w:tc>
        <w:tc>
          <w:tcPr>
            <w:tcW w:w="720"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17.7</w:t>
            </w:r>
          </w:p>
        </w:tc>
        <w:tc>
          <w:tcPr>
            <w:tcW w:w="772"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63.1</w:t>
            </w:r>
          </w:p>
        </w:tc>
        <w:tc>
          <w:tcPr>
            <w:tcW w:w="848" w:type="dxa"/>
            <w:tcBorders>
              <w:left w:val="nil"/>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-4.4</w:t>
            </w:r>
          </w:p>
        </w:tc>
      </w:tr>
      <w:tr w:rsidR="004B772B" w:rsidRPr="003B6B9A" w:rsidTr="001040FB">
        <w:trPr>
          <w:trHeight w:val="373"/>
        </w:trPr>
        <w:tc>
          <w:tcPr>
            <w:tcW w:w="1800"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4B772B" w:rsidRPr="003B6B9A" w:rsidRDefault="004B772B" w:rsidP="001040FB">
            <w:pPr>
              <w:jc w:val="center"/>
              <w:rPr>
                <w:rFonts w:eastAsia="標楷體"/>
              </w:rPr>
            </w:pPr>
            <w:r w:rsidRPr="003B6B9A">
              <w:rPr>
                <w:rFonts w:eastAsia="標楷體" w:hint="eastAsia"/>
              </w:rPr>
              <w:t>4</w:t>
            </w:r>
            <w:r w:rsidRPr="003B6B9A">
              <w:rPr>
                <w:rFonts w:eastAsia="標楷體" w:hint="eastAsia"/>
              </w:rPr>
              <w:t>月</w:t>
            </w:r>
          </w:p>
        </w:tc>
        <w:tc>
          <w:tcPr>
            <w:tcW w:w="976" w:type="dxa"/>
            <w:tcBorders>
              <w:left w:val="single" w:sz="4" w:space="0" w:color="auto"/>
              <w:bottom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128.8</w:t>
            </w:r>
          </w:p>
        </w:tc>
        <w:tc>
          <w:tcPr>
            <w:tcW w:w="798" w:type="dxa"/>
            <w:tcBorders>
              <w:left w:val="nil"/>
              <w:bottom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-11.7</w:t>
            </w:r>
          </w:p>
        </w:tc>
        <w:tc>
          <w:tcPr>
            <w:tcW w:w="631" w:type="dxa"/>
            <w:tcBorders>
              <w:left w:val="nil"/>
              <w:bottom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30.5</w:t>
            </w:r>
          </w:p>
        </w:tc>
        <w:tc>
          <w:tcPr>
            <w:tcW w:w="895" w:type="dxa"/>
            <w:tcBorders>
              <w:left w:val="nil"/>
              <w:bottom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91.1</w:t>
            </w:r>
          </w:p>
        </w:tc>
        <w:tc>
          <w:tcPr>
            <w:tcW w:w="840" w:type="dxa"/>
            <w:tcBorders>
              <w:left w:val="nil"/>
              <w:bottom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-12.2</w:t>
            </w:r>
          </w:p>
        </w:tc>
        <w:tc>
          <w:tcPr>
            <w:tcW w:w="699" w:type="dxa"/>
            <w:tcBorders>
              <w:left w:val="nil"/>
              <w:bottom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38.8</w:t>
            </w:r>
          </w:p>
        </w:tc>
        <w:tc>
          <w:tcPr>
            <w:tcW w:w="782" w:type="dxa"/>
            <w:tcBorders>
              <w:left w:val="nil"/>
              <w:bottom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37.7</w:t>
            </w:r>
          </w:p>
        </w:tc>
        <w:tc>
          <w:tcPr>
            <w:tcW w:w="859" w:type="dxa"/>
            <w:tcBorders>
              <w:left w:val="nil"/>
              <w:bottom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-10.3</w:t>
            </w:r>
          </w:p>
        </w:tc>
        <w:tc>
          <w:tcPr>
            <w:tcW w:w="720" w:type="dxa"/>
            <w:tcBorders>
              <w:left w:val="nil"/>
              <w:bottom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20.1</w:t>
            </w:r>
          </w:p>
        </w:tc>
        <w:tc>
          <w:tcPr>
            <w:tcW w:w="772" w:type="dxa"/>
            <w:tcBorders>
              <w:left w:val="nil"/>
              <w:bottom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53.4</w:t>
            </w:r>
          </w:p>
        </w:tc>
        <w:tc>
          <w:tcPr>
            <w:tcW w:w="848" w:type="dxa"/>
            <w:tcBorders>
              <w:left w:val="nil"/>
              <w:bottom w:val="single" w:sz="4" w:space="0" w:color="auto"/>
              <w:right w:val="nil"/>
            </w:tcBorders>
            <w:tcMar>
              <w:top w:w="15" w:type="dxa"/>
              <w:left w:w="15" w:type="dxa"/>
              <w:bottom w:w="0" w:type="dxa"/>
              <w:right w:w="15" w:type="dxa"/>
            </w:tcMar>
            <w:vAlign w:val="bottom"/>
          </w:tcPr>
          <w:p w:rsidR="004B772B" w:rsidRPr="003B6B9A" w:rsidRDefault="004B772B" w:rsidP="001040FB">
            <w:pPr>
              <w:jc w:val="center"/>
            </w:pPr>
            <w:r w:rsidRPr="003B6B9A">
              <w:rPr>
                <w:rFonts w:hint="eastAsia"/>
              </w:rPr>
              <w:t>-13.5</w:t>
            </w:r>
          </w:p>
        </w:tc>
      </w:tr>
    </w:tbl>
    <w:p w:rsidR="004B772B" w:rsidRPr="003B6B9A" w:rsidRDefault="004B772B" w:rsidP="004B772B">
      <w:pPr>
        <w:pStyle w:val="k3a"/>
        <w:spacing w:beforeLines="0" w:before="0" w:line="300" w:lineRule="auto"/>
        <w:ind w:leftChars="-354" w:left="283" w:hangingChars="515" w:hanging="1133"/>
        <w:rPr>
          <w:kern w:val="2"/>
          <w:sz w:val="22"/>
          <w:szCs w:val="22"/>
        </w:rPr>
      </w:pPr>
      <w:r w:rsidRPr="003B6B9A">
        <w:rPr>
          <w:kern w:val="2"/>
          <w:sz w:val="22"/>
          <w:szCs w:val="22"/>
        </w:rPr>
        <w:t>資料來源：財政部進出口海關統計。</w:t>
      </w:r>
    </w:p>
    <w:p w:rsidR="0098590E" w:rsidRPr="00B118E9" w:rsidRDefault="00AC2664" w:rsidP="00B63A10">
      <w:pPr>
        <w:pStyle w:val="t-1"/>
        <w:spacing w:afterLines="0" w:after="0"/>
      </w:pPr>
      <w:bookmarkStart w:id="170" w:name="_Toc401923808"/>
      <w:bookmarkStart w:id="171" w:name="_Toc402171729"/>
      <w:bookmarkStart w:id="172" w:name="_Toc420680052"/>
      <w:r w:rsidRPr="00B118E9">
        <w:t>肆、專論</w:t>
      </w:r>
      <w:bookmarkEnd w:id="159"/>
      <w:bookmarkEnd w:id="170"/>
      <w:bookmarkEnd w:id="171"/>
      <w:bookmarkEnd w:id="172"/>
    </w:p>
    <w:p w:rsidR="004B772B" w:rsidRPr="003B6B9A" w:rsidRDefault="004B772B" w:rsidP="004B772B">
      <w:pPr>
        <w:widowControl/>
        <w:spacing w:afterLines="50" w:after="180"/>
        <w:jc w:val="center"/>
        <w:rPr>
          <w:rFonts w:eastAsia="標楷體"/>
          <w:b/>
          <w:sz w:val="32"/>
        </w:rPr>
      </w:pPr>
      <w:r>
        <w:rPr>
          <w:rFonts w:eastAsia="標楷體" w:hint="eastAsia"/>
          <w:b/>
          <w:sz w:val="36"/>
          <w:szCs w:val="32"/>
        </w:rPr>
        <w:t>歐元區結構性改革成效及經濟觀察</w:t>
      </w:r>
      <w:r w:rsidRPr="003B6B9A">
        <w:rPr>
          <w:rStyle w:val="aff6"/>
          <w:rFonts w:ascii="標楷體" w:eastAsia="標楷體" w:hAnsi="標楷體"/>
          <w:b/>
          <w:sz w:val="36"/>
          <w:szCs w:val="36"/>
        </w:rPr>
        <w:footnoteReference w:id="1"/>
      </w:r>
    </w:p>
    <w:p w:rsidR="004B772B" w:rsidRPr="003B6B9A" w:rsidRDefault="004B772B" w:rsidP="004B772B">
      <w:pPr>
        <w:spacing w:line="520" w:lineRule="exact"/>
        <w:rPr>
          <w:rFonts w:eastAsia="標楷體"/>
          <w:b/>
          <w:sz w:val="28"/>
          <w:szCs w:val="32"/>
        </w:rPr>
      </w:pPr>
      <w:r w:rsidRPr="003B6B9A">
        <w:rPr>
          <w:rFonts w:eastAsia="標楷體" w:hint="eastAsia"/>
          <w:b/>
          <w:sz w:val="28"/>
          <w:szCs w:val="32"/>
        </w:rPr>
        <w:t>一、前言</w:t>
      </w:r>
    </w:p>
    <w:p w:rsidR="004B772B" w:rsidRPr="003B6B9A" w:rsidRDefault="004B772B" w:rsidP="004B772B">
      <w:pPr>
        <w:spacing w:beforeLines="30" w:before="108" w:afterLines="30" w:after="108" w:line="500" w:lineRule="exact"/>
        <w:ind w:leftChars="200" w:left="480" w:firstLineChars="200" w:firstLine="560"/>
        <w:jc w:val="both"/>
        <w:rPr>
          <w:rFonts w:eastAsia="標楷體"/>
          <w:sz w:val="28"/>
          <w:szCs w:val="28"/>
        </w:rPr>
      </w:pPr>
      <w:r w:rsidRPr="003B6B9A">
        <w:rPr>
          <w:rFonts w:eastAsia="標楷體" w:hint="eastAsia"/>
          <w:sz w:val="28"/>
          <w:szCs w:val="28"/>
        </w:rPr>
        <w:t>根據聯柏投資（</w:t>
      </w:r>
      <w:r w:rsidRPr="003B6B9A">
        <w:rPr>
          <w:rFonts w:eastAsia="標楷體" w:hint="eastAsia"/>
          <w:sz w:val="28"/>
          <w:szCs w:val="28"/>
        </w:rPr>
        <w:t>Alliance Bernstein</w:t>
      </w:r>
      <w:r w:rsidRPr="003B6B9A">
        <w:rPr>
          <w:rFonts w:eastAsia="標楷體" w:hint="eastAsia"/>
          <w:sz w:val="28"/>
          <w:szCs w:val="28"/>
        </w:rPr>
        <w:t>）運用世界經濟論壇（</w:t>
      </w:r>
      <w:r w:rsidRPr="003B6B9A">
        <w:rPr>
          <w:rFonts w:eastAsia="標楷體" w:hint="eastAsia"/>
          <w:sz w:val="28"/>
          <w:szCs w:val="28"/>
        </w:rPr>
        <w:t>WEF</w:t>
      </w:r>
      <w:r w:rsidRPr="003B6B9A">
        <w:rPr>
          <w:rFonts w:eastAsia="標楷體" w:hint="eastAsia"/>
          <w:sz w:val="28"/>
          <w:szCs w:val="28"/>
        </w:rPr>
        <w:t>）與經濟合作暨發展組織（</w:t>
      </w:r>
      <w:r w:rsidRPr="003B6B9A">
        <w:rPr>
          <w:rFonts w:eastAsia="標楷體" w:hint="eastAsia"/>
          <w:sz w:val="28"/>
          <w:szCs w:val="28"/>
        </w:rPr>
        <w:t>OECD</w:t>
      </w:r>
      <w:r w:rsidRPr="003B6B9A">
        <w:rPr>
          <w:rFonts w:eastAsia="標楷體" w:hint="eastAsia"/>
          <w:sz w:val="28"/>
          <w:szCs w:val="28"/>
        </w:rPr>
        <w:t>）公布的勞動數據，所做的《結構性改革：歐元區欠缺的關鍵拼圖》報告指出，歐元區外圍國家包括愛爾蘭、葡萄牙及西班牙等國在結構性改革上已有所成效，不僅單位勞動成本持續下跌且結構彈性也獲得改善。然而，非屬被歐盟及國際貨幣基金組織（</w:t>
      </w:r>
      <w:r w:rsidRPr="003B6B9A">
        <w:rPr>
          <w:rFonts w:eastAsia="標楷體" w:hint="eastAsia"/>
          <w:sz w:val="28"/>
          <w:szCs w:val="28"/>
        </w:rPr>
        <w:t>IMF</w:t>
      </w:r>
      <w:r w:rsidRPr="003B6B9A">
        <w:rPr>
          <w:rFonts w:eastAsia="標楷體" w:hint="eastAsia"/>
          <w:sz w:val="28"/>
          <w:szCs w:val="28"/>
        </w:rPr>
        <w:t>）紓困的國家，如法國及義大利，則因龐大的政治與社會反對壓力致使結構性改革進程緩慢，經濟成長停滯且失業率亦居高不下。</w:t>
      </w:r>
      <w:r w:rsidRPr="003B6B9A">
        <w:rPr>
          <w:rFonts w:eastAsia="標楷體" w:hint="eastAsia"/>
          <w:sz w:val="28"/>
          <w:szCs w:val="28"/>
        </w:rPr>
        <w:t>OECD</w:t>
      </w:r>
      <w:r w:rsidRPr="003B6B9A">
        <w:rPr>
          <w:rFonts w:eastAsia="標楷體" w:hint="eastAsia"/>
          <w:sz w:val="28"/>
          <w:szCs w:val="28"/>
        </w:rPr>
        <w:t>則於《跳脫成長停滯陷阱：對於歐元區與日本的政策選擇方案》報告指出，歐元區受到債務危機衝擊大，歐洲央行雖採行低利寬鬆政策，但刺激力道有限，當前歐元區資源與產能閒置情況嚴重，並已邁入「新平庸」（</w:t>
      </w:r>
      <w:r w:rsidRPr="003B6B9A">
        <w:rPr>
          <w:rFonts w:eastAsia="標楷體" w:hint="eastAsia"/>
          <w:sz w:val="28"/>
          <w:szCs w:val="28"/>
        </w:rPr>
        <w:t>New Mediocre</w:t>
      </w:r>
      <w:r w:rsidRPr="003B6B9A">
        <w:rPr>
          <w:rFonts w:eastAsia="標楷體" w:hint="eastAsia"/>
          <w:sz w:val="28"/>
          <w:szCs w:val="28"/>
        </w:rPr>
        <w:t>）階段，加上企業信心低落使經濟復甦仍脆弱，爰提出</w:t>
      </w:r>
      <w:r w:rsidRPr="003B6B9A">
        <w:rPr>
          <w:rFonts w:eastAsia="標楷體" w:hint="eastAsia"/>
          <w:sz w:val="28"/>
          <w:szCs w:val="28"/>
        </w:rPr>
        <w:t>10</w:t>
      </w:r>
      <w:r w:rsidRPr="003B6B9A">
        <w:rPr>
          <w:rFonts w:eastAsia="標楷體" w:hint="eastAsia"/>
          <w:sz w:val="28"/>
          <w:szCs w:val="28"/>
        </w:rPr>
        <w:t>項改革建議。</w:t>
      </w:r>
    </w:p>
    <w:p w:rsidR="004B772B" w:rsidRPr="003B6B9A" w:rsidRDefault="004B772B" w:rsidP="004B772B">
      <w:pPr>
        <w:spacing w:line="520" w:lineRule="exact"/>
        <w:rPr>
          <w:rFonts w:eastAsia="標楷體"/>
          <w:b/>
          <w:sz w:val="28"/>
          <w:szCs w:val="32"/>
        </w:rPr>
      </w:pPr>
      <w:r w:rsidRPr="003B6B9A">
        <w:rPr>
          <w:rFonts w:eastAsia="標楷體" w:hint="eastAsia"/>
          <w:b/>
          <w:sz w:val="28"/>
          <w:szCs w:val="32"/>
        </w:rPr>
        <w:t>二、聯柏投資─《結構性改革：歐元區欠缺的關鍵拼圖》</w:t>
      </w:r>
    </w:p>
    <w:p w:rsidR="004B772B" w:rsidRPr="003B6B9A" w:rsidRDefault="004B772B" w:rsidP="004B772B">
      <w:pPr>
        <w:spacing w:beforeLines="30" w:before="108" w:afterLines="30" w:after="108" w:line="500" w:lineRule="exact"/>
        <w:ind w:leftChars="200" w:left="480" w:firstLineChars="200" w:firstLine="560"/>
        <w:jc w:val="both"/>
        <w:rPr>
          <w:rFonts w:eastAsia="標楷體"/>
          <w:sz w:val="28"/>
          <w:szCs w:val="28"/>
        </w:rPr>
      </w:pPr>
      <w:r w:rsidRPr="003B6B9A">
        <w:rPr>
          <w:rFonts w:eastAsia="標楷體" w:hint="eastAsia"/>
          <w:sz w:val="28"/>
          <w:szCs w:val="28"/>
        </w:rPr>
        <w:t>聯柏投資於</w:t>
      </w:r>
      <w:r w:rsidRPr="003B6B9A">
        <w:rPr>
          <w:rFonts w:eastAsia="標楷體" w:hint="eastAsia"/>
          <w:sz w:val="28"/>
          <w:szCs w:val="28"/>
        </w:rPr>
        <w:t>2014</w:t>
      </w:r>
      <w:r w:rsidRPr="003B6B9A">
        <w:rPr>
          <w:rFonts w:eastAsia="標楷體" w:hint="eastAsia"/>
          <w:sz w:val="28"/>
          <w:szCs w:val="28"/>
        </w:rPr>
        <w:t>年</w:t>
      </w:r>
      <w:r w:rsidRPr="003B6B9A">
        <w:rPr>
          <w:rFonts w:eastAsia="標楷體" w:hint="eastAsia"/>
          <w:sz w:val="28"/>
          <w:szCs w:val="28"/>
        </w:rPr>
        <w:t>11</w:t>
      </w:r>
      <w:r w:rsidRPr="003B6B9A">
        <w:rPr>
          <w:rFonts w:eastAsia="標楷體" w:hint="eastAsia"/>
          <w:sz w:val="28"/>
          <w:szCs w:val="28"/>
        </w:rPr>
        <w:t>月</w:t>
      </w:r>
      <w:r w:rsidRPr="003B6B9A">
        <w:rPr>
          <w:rFonts w:eastAsia="標楷體" w:hint="eastAsia"/>
          <w:sz w:val="28"/>
          <w:szCs w:val="28"/>
        </w:rPr>
        <w:t>21</w:t>
      </w:r>
      <w:r w:rsidRPr="003B6B9A">
        <w:rPr>
          <w:rFonts w:eastAsia="標楷體" w:hint="eastAsia"/>
          <w:sz w:val="28"/>
          <w:szCs w:val="28"/>
        </w:rPr>
        <w:t>日公布《結構性改革：歐元區欠缺的關鍵拼圖》報告，當中運用</w:t>
      </w:r>
      <w:r w:rsidRPr="003B6B9A">
        <w:rPr>
          <w:rFonts w:eastAsia="標楷體" w:hint="eastAsia"/>
          <w:sz w:val="28"/>
          <w:szCs w:val="28"/>
        </w:rPr>
        <w:t>WEF</w:t>
      </w:r>
      <w:r w:rsidRPr="003B6B9A">
        <w:rPr>
          <w:rFonts w:eastAsia="標楷體" w:hint="eastAsia"/>
          <w:sz w:val="28"/>
          <w:szCs w:val="28"/>
        </w:rPr>
        <w:t>以及</w:t>
      </w:r>
      <w:r w:rsidRPr="003B6B9A">
        <w:rPr>
          <w:rFonts w:eastAsia="標楷體" w:hint="eastAsia"/>
          <w:sz w:val="28"/>
          <w:szCs w:val="28"/>
        </w:rPr>
        <w:t>OECD</w:t>
      </w:r>
      <w:r w:rsidRPr="003B6B9A">
        <w:rPr>
          <w:rFonts w:eastAsia="標楷體" w:hint="eastAsia"/>
          <w:sz w:val="28"/>
          <w:szCs w:val="28"/>
        </w:rPr>
        <w:t>以</w:t>
      </w:r>
      <w:r w:rsidRPr="003B6B9A">
        <w:rPr>
          <w:rFonts w:eastAsia="標楷體" w:hint="eastAsia"/>
          <w:sz w:val="28"/>
          <w:szCs w:val="28"/>
        </w:rPr>
        <w:t>2013-2014</w:t>
      </w:r>
      <w:r w:rsidRPr="003B6B9A">
        <w:rPr>
          <w:rFonts w:eastAsia="標楷體" w:hint="eastAsia"/>
          <w:sz w:val="28"/>
          <w:szCs w:val="28"/>
        </w:rPr>
        <w:t>年勞動與產品與市場指標，將歐元區主要國家依據</w:t>
      </w:r>
      <w:r w:rsidRPr="003B6B9A">
        <w:rPr>
          <w:rFonts w:eastAsia="標楷體" w:hint="eastAsia"/>
          <w:sz w:val="28"/>
          <w:szCs w:val="28"/>
        </w:rPr>
        <w:t>4</w:t>
      </w:r>
      <w:r w:rsidRPr="003B6B9A">
        <w:rPr>
          <w:rFonts w:eastAsia="標楷體" w:hint="eastAsia"/>
          <w:sz w:val="28"/>
          <w:szCs w:val="28"/>
        </w:rPr>
        <w:t>項指標，包括（</w:t>
      </w:r>
      <w:r w:rsidRPr="003B6B9A">
        <w:rPr>
          <w:rFonts w:eastAsia="標楷體" w:hint="eastAsia"/>
          <w:sz w:val="28"/>
          <w:szCs w:val="28"/>
        </w:rPr>
        <w:t>1</w:t>
      </w:r>
      <w:r w:rsidRPr="003B6B9A">
        <w:rPr>
          <w:rFonts w:eastAsia="標楷體" w:hint="eastAsia"/>
          <w:sz w:val="28"/>
          <w:szCs w:val="28"/>
        </w:rPr>
        <w:t>）結構彈性</w:t>
      </w:r>
      <w:r w:rsidRPr="003B6B9A">
        <w:rPr>
          <w:rFonts w:eastAsia="標楷體"/>
          <w:sz w:val="28"/>
          <w:szCs w:val="28"/>
        </w:rPr>
        <w:t>（勞動與產品市場的綜合彈性</w:t>
      </w:r>
      <w:r w:rsidRPr="003B6B9A">
        <w:rPr>
          <w:rFonts w:eastAsia="標楷體" w:hint="eastAsia"/>
          <w:sz w:val="28"/>
          <w:szCs w:val="28"/>
        </w:rPr>
        <w:t>, Structural Flexibility</w:t>
      </w:r>
      <w:r w:rsidRPr="003B6B9A">
        <w:rPr>
          <w:rFonts w:eastAsia="標楷體"/>
          <w:sz w:val="28"/>
          <w:szCs w:val="28"/>
        </w:rPr>
        <w:t>）</w:t>
      </w:r>
      <w:r w:rsidRPr="003B6B9A">
        <w:rPr>
          <w:rFonts w:eastAsia="標楷體" w:hint="eastAsia"/>
          <w:sz w:val="28"/>
          <w:szCs w:val="28"/>
        </w:rPr>
        <w:t>、（</w:t>
      </w:r>
      <w:r w:rsidRPr="003B6B9A">
        <w:rPr>
          <w:rFonts w:eastAsia="標楷體"/>
          <w:sz w:val="28"/>
          <w:szCs w:val="28"/>
        </w:rPr>
        <w:t>2</w:t>
      </w:r>
      <w:r w:rsidRPr="003B6B9A">
        <w:rPr>
          <w:rFonts w:eastAsia="標楷體" w:hint="eastAsia"/>
          <w:sz w:val="28"/>
          <w:szCs w:val="28"/>
        </w:rPr>
        <w:t>）</w:t>
      </w:r>
      <w:r w:rsidRPr="003B6B9A">
        <w:rPr>
          <w:rFonts w:eastAsia="標楷體"/>
          <w:sz w:val="28"/>
          <w:szCs w:val="28"/>
        </w:rPr>
        <w:t>2010</w:t>
      </w:r>
      <w:r w:rsidRPr="003B6B9A">
        <w:rPr>
          <w:rFonts w:eastAsia="標楷體"/>
          <w:sz w:val="28"/>
          <w:szCs w:val="28"/>
        </w:rPr>
        <w:t>年至</w:t>
      </w:r>
      <w:r w:rsidRPr="003B6B9A">
        <w:rPr>
          <w:rFonts w:eastAsia="標楷體"/>
          <w:sz w:val="28"/>
          <w:szCs w:val="28"/>
        </w:rPr>
        <w:t>2014</w:t>
      </w:r>
      <w:r w:rsidRPr="003B6B9A">
        <w:rPr>
          <w:rFonts w:eastAsia="標楷體"/>
          <w:sz w:val="28"/>
          <w:szCs w:val="28"/>
        </w:rPr>
        <w:t>年結構性改革進展（改革政策的刺激成效</w:t>
      </w:r>
      <w:r w:rsidRPr="003B6B9A">
        <w:rPr>
          <w:rFonts w:eastAsia="標楷體" w:hint="eastAsia"/>
          <w:sz w:val="28"/>
          <w:szCs w:val="28"/>
        </w:rPr>
        <w:t>, Structural Change</w:t>
      </w:r>
      <w:r w:rsidRPr="003B6B9A">
        <w:rPr>
          <w:rFonts w:eastAsia="標楷體"/>
          <w:sz w:val="28"/>
          <w:szCs w:val="28"/>
        </w:rPr>
        <w:t>）</w:t>
      </w:r>
      <w:r w:rsidRPr="003B6B9A">
        <w:rPr>
          <w:rFonts w:eastAsia="標楷體" w:hint="eastAsia"/>
          <w:sz w:val="28"/>
          <w:szCs w:val="28"/>
        </w:rPr>
        <w:t>、（</w:t>
      </w:r>
      <w:r w:rsidRPr="003B6B9A">
        <w:rPr>
          <w:rFonts w:eastAsia="標楷體"/>
          <w:sz w:val="28"/>
          <w:szCs w:val="28"/>
        </w:rPr>
        <w:t>3</w:t>
      </w:r>
      <w:r w:rsidRPr="003B6B9A">
        <w:rPr>
          <w:rFonts w:eastAsia="標楷體" w:hint="eastAsia"/>
          <w:sz w:val="28"/>
          <w:szCs w:val="28"/>
        </w:rPr>
        <w:t>）</w:t>
      </w:r>
      <w:r w:rsidRPr="003B6B9A">
        <w:rPr>
          <w:rFonts w:eastAsia="標楷體"/>
          <w:sz w:val="28"/>
          <w:szCs w:val="28"/>
        </w:rPr>
        <w:t>人口結構前景</w:t>
      </w:r>
      <w:r w:rsidRPr="003B6B9A">
        <w:rPr>
          <w:rFonts w:eastAsia="標楷體" w:hint="eastAsia"/>
          <w:sz w:val="28"/>
          <w:szCs w:val="28"/>
        </w:rPr>
        <w:t>（</w:t>
      </w:r>
      <w:r w:rsidRPr="003B6B9A">
        <w:rPr>
          <w:rFonts w:eastAsia="標楷體" w:hint="eastAsia"/>
          <w:sz w:val="28"/>
          <w:szCs w:val="28"/>
        </w:rPr>
        <w:t>Demographic Prospects</w:t>
      </w:r>
      <w:r w:rsidRPr="003B6B9A">
        <w:rPr>
          <w:rFonts w:eastAsia="標楷體" w:hint="eastAsia"/>
          <w:sz w:val="28"/>
          <w:szCs w:val="28"/>
        </w:rPr>
        <w:t>），以及（</w:t>
      </w:r>
      <w:r w:rsidRPr="003B6B9A">
        <w:rPr>
          <w:rFonts w:eastAsia="標楷體"/>
          <w:sz w:val="28"/>
          <w:szCs w:val="28"/>
        </w:rPr>
        <w:t>4</w:t>
      </w:r>
      <w:r w:rsidRPr="003B6B9A">
        <w:rPr>
          <w:rFonts w:eastAsia="標楷體" w:hint="eastAsia"/>
          <w:sz w:val="28"/>
          <w:szCs w:val="28"/>
        </w:rPr>
        <w:t>）</w:t>
      </w:r>
      <w:r w:rsidRPr="003B6B9A">
        <w:rPr>
          <w:rFonts w:eastAsia="標楷體"/>
          <w:sz w:val="28"/>
          <w:szCs w:val="28"/>
        </w:rPr>
        <w:t>勞動成本競爭力</w:t>
      </w:r>
      <w:r w:rsidRPr="003B6B9A">
        <w:rPr>
          <w:rFonts w:eastAsia="標楷體" w:hint="eastAsia"/>
          <w:sz w:val="28"/>
          <w:szCs w:val="28"/>
        </w:rPr>
        <w:t>（</w:t>
      </w:r>
      <w:r w:rsidRPr="003B6B9A">
        <w:rPr>
          <w:rFonts w:eastAsia="標楷體" w:hint="eastAsia"/>
          <w:sz w:val="28"/>
          <w:szCs w:val="28"/>
        </w:rPr>
        <w:t>Labor Cost Competitiveness</w:t>
      </w:r>
      <w:r w:rsidRPr="003B6B9A">
        <w:rPr>
          <w:rFonts w:eastAsia="標楷體" w:hint="eastAsia"/>
          <w:sz w:val="28"/>
          <w:szCs w:val="28"/>
        </w:rPr>
        <w:t>），</w:t>
      </w:r>
      <w:r w:rsidRPr="003B6B9A">
        <w:rPr>
          <w:rFonts w:eastAsia="標楷體"/>
          <w:sz w:val="28"/>
          <w:szCs w:val="28"/>
        </w:rPr>
        <w:t>評比各國長期經濟成長潛力</w:t>
      </w:r>
      <w:r w:rsidRPr="003B6B9A">
        <w:rPr>
          <w:rFonts w:eastAsia="標楷體" w:hint="eastAsia"/>
          <w:sz w:val="28"/>
          <w:szCs w:val="28"/>
        </w:rPr>
        <w:t>及改革成效，如</w:t>
      </w:r>
      <w:r w:rsidRPr="003B6B9A">
        <w:rPr>
          <w:rFonts w:eastAsia="標楷體"/>
          <w:sz w:val="28"/>
          <w:szCs w:val="28"/>
        </w:rPr>
        <w:t>表</w:t>
      </w:r>
      <w:r w:rsidRPr="003B6B9A">
        <w:rPr>
          <w:rFonts w:eastAsia="標楷體"/>
          <w:sz w:val="28"/>
          <w:szCs w:val="28"/>
        </w:rPr>
        <w:t>1</w:t>
      </w:r>
      <w:r w:rsidRPr="003B6B9A">
        <w:rPr>
          <w:rFonts w:eastAsia="標楷體" w:hint="eastAsia"/>
          <w:sz w:val="28"/>
          <w:szCs w:val="28"/>
        </w:rPr>
        <w:t>。</w:t>
      </w:r>
    </w:p>
    <w:p w:rsidR="004B772B" w:rsidRPr="003B6B9A" w:rsidRDefault="004B772B" w:rsidP="004B772B">
      <w:pPr>
        <w:spacing w:beforeLines="30" w:before="108" w:afterLines="30" w:after="108" w:line="500" w:lineRule="exact"/>
        <w:ind w:leftChars="200" w:left="480" w:firstLineChars="200" w:firstLine="560"/>
        <w:jc w:val="both"/>
        <w:rPr>
          <w:rFonts w:eastAsia="標楷體"/>
          <w:sz w:val="28"/>
          <w:szCs w:val="28"/>
        </w:rPr>
      </w:pPr>
    </w:p>
    <w:p w:rsidR="004B772B" w:rsidRPr="003B6B9A" w:rsidRDefault="004B772B" w:rsidP="004B772B">
      <w:pPr>
        <w:spacing w:beforeLines="30" w:before="108" w:afterLines="30" w:after="108" w:line="500" w:lineRule="exact"/>
        <w:ind w:leftChars="200" w:left="480" w:firstLineChars="200" w:firstLine="560"/>
        <w:jc w:val="both"/>
        <w:rPr>
          <w:rFonts w:eastAsia="標楷體"/>
          <w:sz w:val="28"/>
          <w:szCs w:val="28"/>
        </w:rPr>
      </w:pPr>
      <w:r w:rsidRPr="003B6B9A">
        <w:rPr>
          <w:rFonts w:eastAsia="標楷體" w:hint="eastAsia"/>
          <w:sz w:val="28"/>
          <w:szCs w:val="28"/>
        </w:rPr>
        <w:t>整體結構性改革評比結果，前</w:t>
      </w:r>
      <w:r w:rsidRPr="003B6B9A">
        <w:rPr>
          <w:rFonts w:eastAsia="標楷體" w:hint="eastAsia"/>
          <w:sz w:val="28"/>
          <w:szCs w:val="28"/>
        </w:rPr>
        <w:t>4</w:t>
      </w:r>
      <w:r w:rsidRPr="003B6B9A">
        <w:rPr>
          <w:rFonts w:eastAsia="標楷體" w:hint="eastAsia"/>
          <w:sz w:val="28"/>
          <w:szCs w:val="28"/>
        </w:rPr>
        <w:t>名分別為愛爾蘭、希臘、葡萄牙及西班牙，顯示歐元區周邊國家因接受國際貨幣基金組織（</w:t>
      </w:r>
      <w:r w:rsidRPr="003B6B9A">
        <w:rPr>
          <w:rFonts w:eastAsia="標楷體" w:hint="eastAsia"/>
          <w:sz w:val="28"/>
          <w:szCs w:val="28"/>
        </w:rPr>
        <w:t>IMF</w:t>
      </w:r>
      <w:r w:rsidRPr="003B6B9A">
        <w:rPr>
          <w:rFonts w:eastAsia="標楷體" w:hint="eastAsia"/>
          <w:sz w:val="28"/>
          <w:szCs w:val="28"/>
        </w:rPr>
        <w:t>）、歐洲央行（</w:t>
      </w:r>
      <w:r w:rsidRPr="003B6B9A">
        <w:rPr>
          <w:rFonts w:eastAsia="標楷體" w:hint="eastAsia"/>
          <w:sz w:val="28"/>
          <w:szCs w:val="28"/>
        </w:rPr>
        <w:t>ECB</w:t>
      </w:r>
      <w:r w:rsidRPr="003B6B9A">
        <w:rPr>
          <w:rFonts w:eastAsia="標楷體" w:hint="eastAsia"/>
          <w:sz w:val="28"/>
          <w:szCs w:val="28"/>
        </w:rPr>
        <w:t>）及歐盟（</w:t>
      </w:r>
      <w:r w:rsidRPr="003B6B9A">
        <w:rPr>
          <w:rFonts w:eastAsia="標楷體" w:hint="eastAsia"/>
          <w:sz w:val="28"/>
          <w:szCs w:val="28"/>
        </w:rPr>
        <w:t>EU</w:t>
      </w:r>
      <w:r w:rsidRPr="003B6B9A">
        <w:rPr>
          <w:rFonts w:eastAsia="標楷體" w:hint="eastAsia"/>
          <w:sz w:val="28"/>
          <w:szCs w:val="28"/>
        </w:rPr>
        <w:t>）的紓困計畫，被要求採取的改革性作為已顯現成效，而其中主要領先原因在於上述</w:t>
      </w:r>
      <w:r w:rsidRPr="003B6B9A">
        <w:rPr>
          <w:rFonts w:eastAsia="標楷體" w:hint="eastAsia"/>
          <w:sz w:val="28"/>
          <w:szCs w:val="28"/>
        </w:rPr>
        <w:t>4</w:t>
      </w:r>
      <w:r w:rsidRPr="003B6B9A">
        <w:rPr>
          <w:rFonts w:eastAsia="標楷體" w:hint="eastAsia"/>
          <w:sz w:val="28"/>
          <w:szCs w:val="28"/>
        </w:rPr>
        <w:t>國於單位勞動力成本持續下跌。舉例而言，自</w:t>
      </w:r>
      <w:r w:rsidRPr="003B6B9A">
        <w:rPr>
          <w:rFonts w:eastAsia="標楷體" w:hint="eastAsia"/>
          <w:sz w:val="28"/>
          <w:szCs w:val="28"/>
        </w:rPr>
        <w:t>2010</w:t>
      </w:r>
      <w:r w:rsidRPr="003B6B9A">
        <w:rPr>
          <w:rFonts w:eastAsia="標楷體" w:hint="eastAsia"/>
          <w:sz w:val="28"/>
          <w:szCs w:val="28"/>
        </w:rPr>
        <w:t>年起葡萄牙相對歐元區勞動成本下降</w:t>
      </w:r>
      <w:r w:rsidRPr="003B6B9A">
        <w:rPr>
          <w:rFonts w:eastAsia="標楷體" w:hint="eastAsia"/>
          <w:sz w:val="28"/>
          <w:szCs w:val="28"/>
        </w:rPr>
        <w:t>5.5</w:t>
      </w:r>
      <w:r w:rsidRPr="003B6B9A">
        <w:rPr>
          <w:rFonts w:eastAsia="標楷體" w:hint="eastAsia"/>
          <w:sz w:val="28"/>
          <w:szCs w:val="28"/>
        </w:rPr>
        <w:t>％，希臘則大幅下跌</w:t>
      </w:r>
      <w:r w:rsidRPr="003B6B9A">
        <w:rPr>
          <w:rFonts w:eastAsia="標楷體" w:hint="eastAsia"/>
          <w:sz w:val="28"/>
          <w:szCs w:val="28"/>
        </w:rPr>
        <w:t>19.4</w:t>
      </w:r>
      <w:r w:rsidRPr="003B6B9A">
        <w:rPr>
          <w:rFonts w:eastAsia="標楷體" w:hint="eastAsia"/>
          <w:sz w:val="28"/>
          <w:szCs w:val="28"/>
        </w:rPr>
        <w:t>％，而在勞動市場與商品市場所組成的結構彈性則仍有進步空間。</w:t>
      </w:r>
    </w:p>
    <w:p w:rsidR="004B772B" w:rsidRPr="003B6B9A" w:rsidRDefault="004B772B" w:rsidP="004B772B">
      <w:pPr>
        <w:spacing w:beforeLines="30" w:before="108" w:afterLines="30" w:after="108" w:line="500" w:lineRule="exact"/>
        <w:ind w:leftChars="200" w:left="480" w:firstLineChars="200" w:firstLine="560"/>
        <w:jc w:val="both"/>
        <w:rPr>
          <w:rFonts w:eastAsia="標楷體"/>
          <w:sz w:val="28"/>
          <w:szCs w:val="28"/>
        </w:rPr>
      </w:pPr>
      <w:r w:rsidRPr="003B6B9A">
        <w:rPr>
          <w:rFonts w:eastAsia="標楷體" w:hint="eastAsia"/>
          <w:sz w:val="28"/>
          <w:szCs w:val="28"/>
        </w:rPr>
        <w:t>相對而言，法國、比利時、芬蘭及義大利則分別排名</w:t>
      </w:r>
      <w:r w:rsidRPr="003B6B9A">
        <w:rPr>
          <w:rFonts w:eastAsia="標楷體" w:hint="eastAsia"/>
          <w:sz w:val="28"/>
          <w:szCs w:val="28"/>
        </w:rPr>
        <w:t>8</w:t>
      </w:r>
      <w:r w:rsidRPr="003B6B9A">
        <w:rPr>
          <w:rFonts w:eastAsia="標楷體" w:hint="eastAsia"/>
          <w:sz w:val="28"/>
          <w:szCs w:val="28"/>
        </w:rPr>
        <w:t>到</w:t>
      </w:r>
      <w:r w:rsidRPr="003B6B9A">
        <w:rPr>
          <w:rFonts w:eastAsia="標楷體" w:hint="eastAsia"/>
          <w:sz w:val="28"/>
          <w:szCs w:val="28"/>
        </w:rPr>
        <w:t>11</w:t>
      </w:r>
      <w:r w:rsidRPr="003B6B9A">
        <w:rPr>
          <w:rFonts w:eastAsia="標楷體" w:hint="eastAsia"/>
          <w:sz w:val="28"/>
          <w:szCs w:val="28"/>
        </w:rPr>
        <w:t>名，顯示在</w:t>
      </w:r>
      <w:r w:rsidRPr="003B6B9A">
        <w:rPr>
          <w:rFonts w:eastAsia="標楷體" w:hint="eastAsia"/>
          <w:sz w:val="28"/>
          <w:szCs w:val="28"/>
        </w:rPr>
        <w:t>2010</w:t>
      </w:r>
      <w:r w:rsidRPr="003B6B9A">
        <w:rPr>
          <w:rFonts w:eastAsia="標楷體" w:hint="eastAsia"/>
          <w:sz w:val="28"/>
          <w:szCs w:val="28"/>
        </w:rPr>
        <w:t>至</w:t>
      </w:r>
      <w:r w:rsidRPr="003B6B9A">
        <w:rPr>
          <w:rFonts w:eastAsia="標楷體" w:hint="eastAsia"/>
          <w:sz w:val="28"/>
          <w:szCs w:val="28"/>
        </w:rPr>
        <w:t>2014</w:t>
      </w:r>
      <w:r w:rsidRPr="003B6B9A">
        <w:rPr>
          <w:rFonts w:eastAsia="標楷體" w:hint="eastAsia"/>
          <w:sz w:val="28"/>
          <w:szCs w:val="28"/>
        </w:rPr>
        <w:t>年這段期間並未強化經濟成長潛力，結構性改革成效也不如受紓困的歐元區外圍國家。另一方面，德國排名第</w:t>
      </w:r>
      <w:r w:rsidRPr="003B6B9A">
        <w:rPr>
          <w:rFonts w:eastAsia="標楷體" w:hint="eastAsia"/>
          <w:sz w:val="28"/>
          <w:szCs w:val="28"/>
        </w:rPr>
        <w:t>7</w:t>
      </w:r>
      <w:r w:rsidRPr="003B6B9A">
        <w:rPr>
          <w:rFonts w:eastAsia="標楷體" w:hint="eastAsia"/>
          <w:sz w:val="28"/>
          <w:szCs w:val="28"/>
        </w:rPr>
        <w:t>名，顯示德國雖然在勞動市場相對其他歐元區國家具有競爭力，但在結構性改革進展及人口結構前景不佳，政府應提出相關新改革政策因應，以提升未來經濟成長力道。</w:t>
      </w:r>
    </w:p>
    <w:p w:rsidR="004B772B" w:rsidRPr="003B6B9A" w:rsidRDefault="004B772B" w:rsidP="004B772B">
      <w:pPr>
        <w:spacing w:beforeLines="30" w:before="108" w:afterLines="30" w:after="108" w:line="500" w:lineRule="exact"/>
        <w:ind w:leftChars="200" w:left="480" w:firstLineChars="200" w:firstLine="560"/>
        <w:jc w:val="both"/>
        <w:rPr>
          <w:rFonts w:eastAsia="標楷體"/>
          <w:sz w:val="28"/>
          <w:szCs w:val="28"/>
        </w:rPr>
      </w:pPr>
    </w:p>
    <w:p w:rsidR="004B772B" w:rsidRPr="003B6B9A" w:rsidRDefault="004B772B" w:rsidP="004B772B">
      <w:pPr>
        <w:spacing w:line="520" w:lineRule="exact"/>
        <w:jc w:val="center"/>
        <w:rPr>
          <w:rFonts w:ascii="標楷體" w:eastAsia="標楷體" w:hAnsi="標楷體"/>
          <w:b/>
          <w:noProof/>
          <w:sz w:val="28"/>
        </w:rPr>
      </w:pPr>
      <w:r w:rsidRPr="003B6B9A">
        <w:rPr>
          <w:rFonts w:ascii="標楷體" w:eastAsia="標楷體" w:hAnsi="標楷體"/>
          <w:b/>
          <w:noProof/>
          <w:sz w:val="28"/>
        </w:rPr>
        <w:t>表1</w:t>
      </w:r>
      <w:r w:rsidRPr="003B6B9A">
        <w:rPr>
          <w:rFonts w:ascii="標楷體" w:eastAsia="標楷體" w:hAnsi="標楷體" w:hint="eastAsia"/>
          <w:b/>
          <w:noProof/>
          <w:sz w:val="28"/>
        </w:rPr>
        <w:t xml:space="preserve">　</w:t>
      </w:r>
      <w:r w:rsidRPr="003B6B9A">
        <w:rPr>
          <w:rFonts w:ascii="標楷體" w:eastAsia="標楷體" w:hAnsi="標楷體"/>
          <w:b/>
          <w:noProof/>
          <w:sz w:val="28"/>
        </w:rPr>
        <w:t>歐元區主要國家結構改革評比</w:t>
      </w:r>
    </w:p>
    <w:p w:rsidR="004B772B" w:rsidRPr="003B6B9A" w:rsidRDefault="004B772B" w:rsidP="004B772B">
      <w:pPr>
        <w:adjustRightInd w:val="0"/>
        <w:snapToGrid w:val="0"/>
        <w:jc w:val="center"/>
        <w:rPr>
          <w:rFonts w:eastAsia="標楷體"/>
          <w:sz w:val="22"/>
          <w:szCs w:val="28"/>
        </w:rPr>
      </w:pPr>
      <w:r>
        <w:rPr>
          <w:noProof/>
        </w:rPr>
        <w:drawing>
          <wp:inline distT="0" distB="0" distL="0" distR="0" wp14:anchorId="7D361F8B" wp14:editId="206509B0">
            <wp:extent cx="5295900" cy="2990850"/>
            <wp:effectExtent l="0" t="0" r="0" b="0"/>
            <wp:docPr id="507" name="圖片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95900" cy="2990850"/>
                    </a:xfrm>
                    <a:prstGeom prst="rect">
                      <a:avLst/>
                    </a:prstGeom>
                    <a:noFill/>
                    <a:ln>
                      <a:noFill/>
                    </a:ln>
                  </pic:spPr>
                </pic:pic>
              </a:graphicData>
            </a:graphic>
          </wp:inline>
        </w:drawing>
      </w:r>
    </w:p>
    <w:p w:rsidR="004B772B" w:rsidRPr="003B6B9A" w:rsidRDefault="004B772B" w:rsidP="004B772B">
      <w:pPr>
        <w:adjustRightInd w:val="0"/>
        <w:snapToGrid w:val="0"/>
        <w:ind w:firstLineChars="65" w:firstLine="142"/>
        <w:jc w:val="both"/>
        <w:rPr>
          <w:rFonts w:eastAsia="標楷體"/>
          <w:spacing w:val="9"/>
          <w:sz w:val="20"/>
          <w:szCs w:val="20"/>
        </w:rPr>
      </w:pPr>
      <w:r w:rsidRPr="003B6B9A">
        <w:rPr>
          <w:rFonts w:eastAsia="標楷體"/>
          <w:spacing w:val="9"/>
          <w:sz w:val="20"/>
          <w:szCs w:val="20"/>
        </w:rPr>
        <w:t>資料來源：聯柏投資《結構性改革：歐元區欠缺的關鍵拼圖》</w:t>
      </w:r>
      <w:r w:rsidRPr="003B6B9A">
        <w:rPr>
          <w:rFonts w:eastAsia="標楷體"/>
          <w:spacing w:val="9"/>
          <w:sz w:val="20"/>
          <w:szCs w:val="20"/>
        </w:rPr>
        <w:t>,2014/11/21</w:t>
      </w:r>
      <w:r w:rsidRPr="003B6B9A">
        <w:rPr>
          <w:rFonts w:eastAsia="標楷體" w:hint="eastAsia"/>
          <w:spacing w:val="9"/>
          <w:sz w:val="20"/>
          <w:szCs w:val="20"/>
        </w:rPr>
        <w:t>。</w:t>
      </w:r>
    </w:p>
    <w:p w:rsidR="004B772B" w:rsidRPr="003B6B9A" w:rsidRDefault="004B772B" w:rsidP="004B772B">
      <w:pPr>
        <w:spacing w:line="500" w:lineRule="exact"/>
        <w:jc w:val="both"/>
        <w:rPr>
          <w:rFonts w:eastAsia="標楷體"/>
          <w:sz w:val="28"/>
          <w:szCs w:val="28"/>
        </w:rPr>
      </w:pPr>
    </w:p>
    <w:p w:rsidR="004B772B" w:rsidRPr="003B6B9A" w:rsidRDefault="004B772B" w:rsidP="004B772B">
      <w:pPr>
        <w:spacing w:line="500" w:lineRule="exact"/>
        <w:jc w:val="both"/>
        <w:rPr>
          <w:rFonts w:eastAsia="標楷體"/>
          <w:sz w:val="28"/>
          <w:szCs w:val="28"/>
        </w:rPr>
      </w:pPr>
    </w:p>
    <w:p w:rsidR="004B772B" w:rsidRPr="003B6B9A" w:rsidRDefault="004B772B" w:rsidP="004B772B">
      <w:pPr>
        <w:spacing w:line="520" w:lineRule="exact"/>
        <w:ind w:left="566" w:hangingChars="202" w:hanging="566"/>
        <w:rPr>
          <w:rFonts w:eastAsia="標楷體"/>
          <w:b/>
          <w:sz w:val="28"/>
          <w:szCs w:val="32"/>
        </w:rPr>
      </w:pPr>
      <w:r w:rsidRPr="003B6B9A">
        <w:rPr>
          <w:rFonts w:eastAsia="標楷體" w:hint="eastAsia"/>
          <w:b/>
          <w:sz w:val="28"/>
          <w:szCs w:val="32"/>
        </w:rPr>
        <w:t>三、經濟合作暨發展組織（</w:t>
      </w:r>
      <w:r w:rsidRPr="003B6B9A">
        <w:rPr>
          <w:rFonts w:eastAsia="標楷體" w:hint="eastAsia"/>
          <w:b/>
          <w:sz w:val="28"/>
          <w:szCs w:val="32"/>
        </w:rPr>
        <w:t>OECD</w:t>
      </w:r>
      <w:r w:rsidRPr="003B6B9A">
        <w:rPr>
          <w:rFonts w:eastAsia="標楷體" w:hint="eastAsia"/>
          <w:b/>
          <w:sz w:val="28"/>
          <w:szCs w:val="32"/>
        </w:rPr>
        <w:t>）─《跳脫成長停滯陷阱：對於歐元區與日本的政策選擇方案》</w:t>
      </w:r>
    </w:p>
    <w:p w:rsidR="004B772B" w:rsidRPr="003B6B9A" w:rsidRDefault="004B772B" w:rsidP="004B772B">
      <w:pPr>
        <w:spacing w:beforeLines="30" w:before="108" w:afterLines="30" w:after="108" w:line="500" w:lineRule="exact"/>
        <w:ind w:leftChars="200" w:left="480" w:firstLineChars="200" w:firstLine="560"/>
        <w:jc w:val="both"/>
        <w:rPr>
          <w:rFonts w:eastAsia="標楷體"/>
          <w:sz w:val="28"/>
          <w:szCs w:val="28"/>
          <w:lang w:eastAsia="ja-JP"/>
        </w:rPr>
      </w:pPr>
      <w:r w:rsidRPr="003B6B9A">
        <w:rPr>
          <w:rFonts w:eastAsia="標楷體" w:hint="eastAsia"/>
          <w:sz w:val="28"/>
          <w:szCs w:val="28"/>
        </w:rPr>
        <w:t>OECD</w:t>
      </w:r>
      <w:r w:rsidRPr="003B6B9A">
        <w:rPr>
          <w:rFonts w:eastAsia="標楷體" w:hint="eastAsia"/>
          <w:sz w:val="28"/>
          <w:szCs w:val="28"/>
        </w:rPr>
        <w:t>於</w:t>
      </w:r>
      <w:r w:rsidRPr="003B6B9A">
        <w:rPr>
          <w:rFonts w:eastAsia="標楷體" w:hint="eastAsia"/>
          <w:sz w:val="28"/>
          <w:szCs w:val="28"/>
        </w:rPr>
        <w:t>2015</w:t>
      </w:r>
      <w:r w:rsidRPr="003B6B9A">
        <w:rPr>
          <w:rFonts w:eastAsia="標楷體" w:hint="eastAsia"/>
          <w:sz w:val="28"/>
          <w:szCs w:val="28"/>
        </w:rPr>
        <w:t>年</w:t>
      </w:r>
      <w:r w:rsidRPr="003B6B9A">
        <w:rPr>
          <w:rFonts w:eastAsia="標楷體" w:hint="eastAsia"/>
          <w:sz w:val="28"/>
          <w:szCs w:val="28"/>
        </w:rPr>
        <w:t>1</w:t>
      </w:r>
      <w:r w:rsidRPr="003B6B9A">
        <w:rPr>
          <w:rFonts w:eastAsia="標楷體" w:hint="eastAsia"/>
          <w:sz w:val="28"/>
          <w:szCs w:val="28"/>
        </w:rPr>
        <w:t>月公布</w:t>
      </w:r>
      <w:r w:rsidRPr="003B6B9A">
        <w:rPr>
          <w:rFonts w:eastAsia="標楷體" w:hint="eastAsia"/>
          <w:sz w:val="28"/>
          <w:szCs w:val="32"/>
        </w:rPr>
        <w:t>《跳脫成長停滯陷阱：對於歐元區與日本的政策選擇方案》</w:t>
      </w:r>
      <w:r w:rsidRPr="003B6B9A">
        <w:rPr>
          <w:rFonts w:eastAsia="標楷體" w:hint="eastAsia"/>
          <w:sz w:val="28"/>
          <w:szCs w:val="28"/>
        </w:rPr>
        <w:t>報告指出，受歐債危機衝擊，預估歐元區人均所得在</w:t>
      </w:r>
      <w:r w:rsidRPr="003B6B9A">
        <w:rPr>
          <w:rFonts w:eastAsia="標楷體" w:hint="eastAsia"/>
          <w:sz w:val="28"/>
          <w:szCs w:val="28"/>
        </w:rPr>
        <w:t>2017</w:t>
      </w:r>
      <w:r w:rsidRPr="003B6B9A">
        <w:rPr>
          <w:rFonts w:eastAsia="標楷體" w:hint="eastAsia"/>
          <w:sz w:val="28"/>
          <w:szCs w:val="28"/>
        </w:rPr>
        <w:t>年以前無法回升至金融風暴前（</w:t>
      </w:r>
      <w:r w:rsidRPr="003B6B9A">
        <w:rPr>
          <w:rFonts w:eastAsia="標楷體" w:hint="eastAsia"/>
          <w:sz w:val="28"/>
          <w:szCs w:val="28"/>
        </w:rPr>
        <w:t>2007</w:t>
      </w:r>
      <w:r w:rsidRPr="003B6B9A">
        <w:rPr>
          <w:rFonts w:eastAsia="標楷體" w:hint="eastAsia"/>
          <w:sz w:val="28"/>
          <w:szCs w:val="28"/>
        </w:rPr>
        <w:t>年）之水準。當前歐元區資源與產能閒置情況嚴重且企業投資信心低落，進入所謂新平庸階段，僅就歐洲央行低利寬鬆政策來刺激經濟，力道略為不足，需透過更多結構性改革措施，同時擴大部分公共支出，以配合寬鬆貨幣政策，例如降低產品市場監管與就業保護、減少年長者工作的不利誘因、推出積極的勞動力市場措施，以及擴大育兒公共支出經費等。報告中，對歐元區經濟提出下列</w:t>
      </w:r>
      <w:r w:rsidRPr="003B6B9A">
        <w:rPr>
          <w:rFonts w:eastAsia="標楷體" w:hint="eastAsia"/>
          <w:sz w:val="28"/>
          <w:szCs w:val="28"/>
        </w:rPr>
        <w:t>10</w:t>
      </w:r>
      <w:r w:rsidRPr="003B6B9A">
        <w:rPr>
          <w:rFonts w:eastAsia="標楷體" w:hint="eastAsia"/>
          <w:sz w:val="28"/>
          <w:szCs w:val="28"/>
        </w:rPr>
        <w:t>項改革建議：</w:t>
      </w:r>
    </w:p>
    <w:p w:rsidR="004B772B" w:rsidRPr="003B6B9A" w:rsidRDefault="004B772B" w:rsidP="004B772B">
      <w:pPr>
        <w:numPr>
          <w:ilvl w:val="0"/>
          <w:numId w:val="14"/>
        </w:numPr>
        <w:spacing w:beforeLines="60" w:before="216" w:afterLines="60" w:after="216" w:line="480" w:lineRule="exact"/>
        <w:jc w:val="both"/>
        <w:rPr>
          <w:rFonts w:eastAsia="標楷體"/>
          <w:sz w:val="28"/>
          <w:szCs w:val="28"/>
        </w:rPr>
      </w:pPr>
      <w:r w:rsidRPr="003B6B9A">
        <w:rPr>
          <w:rFonts w:eastAsia="標楷體" w:hint="eastAsia"/>
          <w:b/>
          <w:sz w:val="28"/>
          <w:szCs w:val="32"/>
        </w:rPr>
        <w:t>促進投資：</w:t>
      </w:r>
      <w:r w:rsidRPr="003B6B9A">
        <w:rPr>
          <w:rFonts w:eastAsia="標楷體" w:hint="eastAsia"/>
          <w:sz w:val="28"/>
          <w:szCs w:val="28"/>
        </w:rPr>
        <w:t>歐盟執委會（</w:t>
      </w:r>
      <w:r w:rsidRPr="003B6B9A">
        <w:rPr>
          <w:rFonts w:eastAsia="標楷體"/>
          <w:sz w:val="28"/>
          <w:szCs w:val="28"/>
        </w:rPr>
        <w:t>European Commission</w:t>
      </w:r>
      <w:r w:rsidRPr="003B6B9A">
        <w:rPr>
          <w:rFonts w:eastAsia="標楷體" w:hint="eastAsia"/>
          <w:sz w:val="28"/>
          <w:szCs w:val="28"/>
        </w:rPr>
        <w:t>）主席容克（</w:t>
      </w:r>
      <w:r w:rsidRPr="003B6B9A">
        <w:rPr>
          <w:rFonts w:eastAsia="標楷體" w:hint="eastAsia"/>
          <w:sz w:val="28"/>
          <w:szCs w:val="28"/>
        </w:rPr>
        <w:t>Jean-Claude Juncker</w:t>
      </w:r>
      <w:r w:rsidRPr="003B6B9A">
        <w:rPr>
          <w:rFonts w:eastAsia="標楷體" w:hint="eastAsia"/>
          <w:sz w:val="28"/>
          <w:szCs w:val="28"/>
        </w:rPr>
        <w:t>）</w:t>
      </w:r>
      <w:r w:rsidRPr="003B6B9A">
        <w:rPr>
          <w:rFonts w:eastAsia="標楷體"/>
          <w:sz w:val="28"/>
          <w:szCs w:val="28"/>
        </w:rPr>
        <w:t>於</w:t>
      </w:r>
      <w:r w:rsidRPr="003B6B9A">
        <w:rPr>
          <w:rFonts w:eastAsia="標楷體"/>
          <w:sz w:val="28"/>
          <w:szCs w:val="28"/>
        </w:rPr>
        <w:t>2014</w:t>
      </w:r>
      <w:r w:rsidRPr="003B6B9A">
        <w:rPr>
          <w:rFonts w:eastAsia="標楷體"/>
          <w:sz w:val="28"/>
          <w:szCs w:val="28"/>
        </w:rPr>
        <w:t>年</w:t>
      </w:r>
      <w:r w:rsidRPr="003B6B9A">
        <w:rPr>
          <w:rFonts w:eastAsia="標楷體"/>
          <w:sz w:val="28"/>
          <w:szCs w:val="28"/>
        </w:rPr>
        <w:t>11</w:t>
      </w:r>
      <w:r w:rsidRPr="003B6B9A">
        <w:rPr>
          <w:rFonts w:eastAsia="標楷體"/>
          <w:sz w:val="28"/>
          <w:szCs w:val="28"/>
        </w:rPr>
        <w:t>月</w:t>
      </w:r>
      <w:r w:rsidRPr="003B6B9A">
        <w:rPr>
          <w:rFonts w:eastAsia="標楷體" w:hint="eastAsia"/>
          <w:sz w:val="28"/>
          <w:szCs w:val="28"/>
        </w:rPr>
        <w:t>提出「歐洲策略投資基金」</w:t>
      </w:r>
      <w:r w:rsidRPr="003B6B9A">
        <w:rPr>
          <w:rFonts w:eastAsia="標楷體"/>
          <w:sz w:val="28"/>
          <w:szCs w:val="28"/>
        </w:rPr>
        <w:t>（</w:t>
      </w:r>
      <w:r w:rsidRPr="003B6B9A">
        <w:rPr>
          <w:rFonts w:eastAsia="標楷體"/>
          <w:sz w:val="28"/>
          <w:szCs w:val="28"/>
        </w:rPr>
        <w:t>European Fund for Strategic Investment</w:t>
      </w:r>
      <w:r w:rsidRPr="003B6B9A">
        <w:rPr>
          <w:rFonts w:eastAsia="標楷體"/>
          <w:sz w:val="28"/>
          <w:szCs w:val="28"/>
        </w:rPr>
        <w:t>）</w:t>
      </w:r>
      <w:r w:rsidRPr="003B6B9A">
        <w:rPr>
          <w:rFonts w:eastAsia="標楷體" w:hint="eastAsia"/>
          <w:sz w:val="28"/>
          <w:szCs w:val="28"/>
        </w:rPr>
        <w:t>，</w:t>
      </w:r>
      <w:r w:rsidRPr="003B6B9A">
        <w:rPr>
          <w:rFonts w:eastAsia="標楷體"/>
          <w:sz w:val="28"/>
          <w:szCs w:val="28"/>
        </w:rPr>
        <w:t>該項計</w:t>
      </w:r>
      <w:r w:rsidRPr="003B6B9A">
        <w:rPr>
          <w:rFonts w:eastAsia="標楷體" w:hint="eastAsia"/>
          <w:sz w:val="28"/>
          <w:szCs w:val="28"/>
        </w:rPr>
        <w:t>畫是由</w:t>
      </w:r>
      <w:r w:rsidRPr="003B6B9A">
        <w:rPr>
          <w:rFonts w:eastAsia="標楷體"/>
          <w:sz w:val="28"/>
          <w:szCs w:val="28"/>
        </w:rPr>
        <w:t>歐洲投資銀行</w:t>
      </w:r>
      <w:r w:rsidRPr="003B6B9A">
        <w:rPr>
          <w:rFonts w:eastAsia="標楷體" w:hint="eastAsia"/>
          <w:sz w:val="28"/>
          <w:szCs w:val="28"/>
        </w:rPr>
        <w:t>（</w:t>
      </w:r>
      <w:r w:rsidRPr="003B6B9A">
        <w:rPr>
          <w:rFonts w:eastAsia="標楷體"/>
          <w:sz w:val="28"/>
          <w:szCs w:val="28"/>
        </w:rPr>
        <w:t xml:space="preserve">European </w:t>
      </w:r>
      <w:r w:rsidRPr="003B6B9A">
        <w:rPr>
          <w:rFonts w:eastAsia="標楷體" w:hint="eastAsia"/>
          <w:sz w:val="28"/>
          <w:szCs w:val="28"/>
        </w:rPr>
        <w:t>I</w:t>
      </w:r>
      <w:r w:rsidRPr="003B6B9A">
        <w:rPr>
          <w:rFonts w:eastAsia="標楷體"/>
          <w:sz w:val="28"/>
          <w:szCs w:val="28"/>
        </w:rPr>
        <w:t xml:space="preserve">nvestment </w:t>
      </w:r>
      <w:r w:rsidRPr="003B6B9A">
        <w:rPr>
          <w:rFonts w:eastAsia="標楷體" w:hint="eastAsia"/>
          <w:sz w:val="28"/>
          <w:szCs w:val="28"/>
        </w:rPr>
        <w:t>B</w:t>
      </w:r>
      <w:r w:rsidRPr="003B6B9A">
        <w:rPr>
          <w:rFonts w:eastAsia="標楷體"/>
          <w:sz w:val="28"/>
          <w:szCs w:val="28"/>
        </w:rPr>
        <w:t>ank</w:t>
      </w:r>
      <w:r w:rsidRPr="003B6B9A">
        <w:rPr>
          <w:rFonts w:eastAsia="標楷體" w:hint="eastAsia"/>
          <w:sz w:val="28"/>
          <w:szCs w:val="28"/>
        </w:rPr>
        <w:t>）</w:t>
      </w:r>
      <w:r w:rsidRPr="003B6B9A">
        <w:rPr>
          <w:rFonts w:eastAsia="標楷體"/>
          <w:sz w:val="28"/>
          <w:szCs w:val="28"/>
        </w:rPr>
        <w:t>管理歐洲基金戰略投資基金，預計募集</w:t>
      </w:r>
      <w:r w:rsidRPr="003B6B9A">
        <w:rPr>
          <w:rFonts w:eastAsia="標楷體"/>
          <w:sz w:val="28"/>
          <w:szCs w:val="28"/>
        </w:rPr>
        <w:t>3,150</w:t>
      </w:r>
      <w:r w:rsidRPr="003B6B9A">
        <w:rPr>
          <w:rFonts w:eastAsia="標楷體"/>
          <w:sz w:val="28"/>
          <w:szCs w:val="28"/>
        </w:rPr>
        <w:t>億歐元</w:t>
      </w:r>
      <w:r w:rsidRPr="003B6B9A">
        <w:rPr>
          <w:rFonts w:eastAsia="標楷體" w:hint="eastAsia"/>
          <w:sz w:val="28"/>
          <w:szCs w:val="28"/>
        </w:rPr>
        <w:t>，於</w:t>
      </w:r>
      <w:r w:rsidRPr="003B6B9A">
        <w:rPr>
          <w:rFonts w:eastAsia="標楷體" w:hint="eastAsia"/>
          <w:sz w:val="28"/>
          <w:szCs w:val="28"/>
        </w:rPr>
        <w:t>2015-2017</w:t>
      </w:r>
      <w:r w:rsidRPr="003B6B9A">
        <w:rPr>
          <w:rFonts w:eastAsia="標楷體" w:hint="eastAsia"/>
          <w:sz w:val="28"/>
          <w:szCs w:val="28"/>
        </w:rPr>
        <w:t>年期間維持運作。</w:t>
      </w:r>
      <w:r w:rsidRPr="003B6B9A">
        <w:rPr>
          <w:rFonts w:eastAsia="標楷體"/>
          <w:sz w:val="28"/>
          <w:szCs w:val="28"/>
        </w:rPr>
        <w:t>OECD</w:t>
      </w:r>
      <w:r w:rsidRPr="003B6B9A">
        <w:rPr>
          <w:rFonts w:eastAsia="標楷體"/>
          <w:sz w:val="28"/>
          <w:szCs w:val="28"/>
        </w:rPr>
        <w:t>肯定執委會的努力，並認為</w:t>
      </w:r>
      <w:r w:rsidRPr="003B6B9A">
        <w:rPr>
          <w:rFonts w:eastAsia="標楷體" w:hint="eastAsia"/>
          <w:sz w:val="28"/>
          <w:szCs w:val="28"/>
        </w:rPr>
        <w:t>歐洲應優先考慮持續刺激投資改革，確保該計畫能創造更多就業。</w:t>
      </w:r>
    </w:p>
    <w:p w:rsidR="004B772B" w:rsidRPr="003B6B9A" w:rsidRDefault="004B772B" w:rsidP="004B772B">
      <w:pPr>
        <w:numPr>
          <w:ilvl w:val="0"/>
          <w:numId w:val="14"/>
        </w:numPr>
        <w:spacing w:beforeLines="60" w:before="216" w:afterLines="60" w:after="216" w:line="480" w:lineRule="exact"/>
        <w:jc w:val="both"/>
        <w:rPr>
          <w:rFonts w:eastAsia="標楷體"/>
          <w:sz w:val="28"/>
          <w:szCs w:val="28"/>
        </w:rPr>
      </w:pPr>
      <w:r w:rsidRPr="003B6B9A">
        <w:rPr>
          <w:rFonts w:eastAsia="標楷體" w:hint="eastAsia"/>
          <w:b/>
          <w:sz w:val="28"/>
          <w:szCs w:val="32"/>
        </w:rPr>
        <w:t>改善投資環境</w:t>
      </w:r>
      <w:r w:rsidRPr="003B6B9A">
        <w:rPr>
          <w:rFonts w:eastAsia="標楷體" w:hint="eastAsia"/>
          <w:sz w:val="28"/>
          <w:szCs w:val="28"/>
        </w:rPr>
        <w:t>：</w:t>
      </w:r>
      <w:r w:rsidRPr="003B6B9A">
        <w:rPr>
          <w:rFonts w:eastAsia="標楷體"/>
          <w:sz w:val="28"/>
          <w:szCs w:val="28"/>
        </w:rPr>
        <w:t>OECD</w:t>
      </w:r>
      <w:r w:rsidRPr="003B6B9A">
        <w:rPr>
          <w:rFonts w:eastAsia="標楷體" w:hint="eastAsia"/>
          <w:sz w:val="28"/>
          <w:szCs w:val="28"/>
        </w:rPr>
        <w:t>認為</w:t>
      </w:r>
      <w:r w:rsidRPr="003B6B9A">
        <w:rPr>
          <w:rFonts w:eastAsia="標楷體"/>
          <w:sz w:val="28"/>
          <w:szCs w:val="28"/>
        </w:rPr>
        <w:t>刺激民間投資的改革</w:t>
      </w:r>
      <w:r w:rsidRPr="003B6B9A">
        <w:rPr>
          <w:rFonts w:eastAsia="標楷體" w:hint="eastAsia"/>
          <w:sz w:val="28"/>
          <w:szCs w:val="28"/>
        </w:rPr>
        <w:t>，</w:t>
      </w:r>
      <w:r w:rsidRPr="003B6B9A">
        <w:rPr>
          <w:rFonts w:eastAsia="標楷體"/>
          <w:sz w:val="28"/>
          <w:szCs w:val="28"/>
        </w:rPr>
        <w:t>有助於提高需求與潛在產出水</w:t>
      </w:r>
      <w:r w:rsidRPr="003B6B9A">
        <w:rPr>
          <w:rFonts w:eastAsia="標楷體" w:hint="eastAsia"/>
          <w:sz w:val="28"/>
          <w:szCs w:val="28"/>
        </w:rPr>
        <w:t>準。目前由於</w:t>
      </w:r>
      <w:r w:rsidRPr="003B6B9A">
        <w:rPr>
          <w:rFonts w:eastAsia="標楷體"/>
          <w:sz w:val="28"/>
          <w:szCs w:val="28"/>
        </w:rPr>
        <w:t>歐元區國家的投資率相仍然</w:t>
      </w:r>
      <w:r w:rsidRPr="003B6B9A">
        <w:rPr>
          <w:rFonts w:eastAsia="標楷體" w:hint="eastAsia"/>
          <w:sz w:val="28"/>
          <w:szCs w:val="28"/>
        </w:rPr>
        <w:t>相當</w:t>
      </w:r>
      <w:r w:rsidRPr="003B6B9A">
        <w:rPr>
          <w:rFonts w:eastAsia="標楷體"/>
          <w:sz w:val="28"/>
          <w:szCs w:val="28"/>
        </w:rPr>
        <w:t>低（</w:t>
      </w:r>
      <w:r w:rsidRPr="003B6B9A">
        <w:rPr>
          <w:rFonts w:eastAsia="標楷體" w:hint="eastAsia"/>
          <w:sz w:val="28"/>
          <w:szCs w:val="28"/>
        </w:rPr>
        <w:t>詳如</w:t>
      </w:r>
      <w:r w:rsidRPr="003B6B9A">
        <w:rPr>
          <w:rFonts w:eastAsia="標楷體"/>
          <w:sz w:val="28"/>
          <w:szCs w:val="28"/>
        </w:rPr>
        <w:t>圖</w:t>
      </w:r>
      <w:r w:rsidRPr="003B6B9A">
        <w:rPr>
          <w:rFonts w:eastAsia="標楷體" w:hint="eastAsia"/>
          <w:sz w:val="28"/>
          <w:szCs w:val="28"/>
        </w:rPr>
        <w:t>1</w:t>
      </w:r>
      <w:r w:rsidRPr="003B6B9A">
        <w:rPr>
          <w:rFonts w:eastAsia="標楷體"/>
          <w:sz w:val="28"/>
          <w:szCs w:val="28"/>
        </w:rPr>
        <w:t>）。</w:t>
      </w:r>
      <w:r w:rsidRPr="003B6B9A">
        <w:rPr>
          <w:rFonts w:eastAsia="標楷體" w:hint="eastAsia"/>
          <w:sz w:val="28"/>
          <w:szCs w:val="28"/>
        </w:rPr>
        <w:t>因此建議歐洲資本市場聯盟應改善總體投資環境，消除監管瓶頸以減少融資成本，提供中小企業多元化的長期融資計畫。</w:t>
      </w:r>
    </w:p>
    <w:p w:rsidR="004B772B" w:rsidRPr="003B6B9A" w:rsidRDefault="004B772B" w:rsidP="004B772B">
      <w:pPr>
        <w:numPr>
          <w:ilvl w:val="0"/>
          <w:numId w:val="14"/>
        </w:numPr>
        <w:spacing w:beforeLines="60" w:before="216" w:afterLines="60" w:after="216" w:line="480" w:lineRule="exact"/>
        <w:jc w:val="both"/>
        <w:rPr>
          <w:rFonts w:eastAsia="標楷體"/>
          <w:sz w:val="28"/>
          <w:szCs w:val="28"/>
        </w:rPr>
      </w:pPr>
      <w:r w:rsidRPr="003B6B9A">
        <w:rPr>
          <w:rFonts w:eastAsia="標楷體" w:hint="eastAsia"/>
          <w:b/>
          <w:sz w:val="28"/>
          <w:szCs w:val="32"/>
        </w:rPr>
        <w:t>改善整體經商環境</w:t>
      </w:r>
      <w:r w:rsidRPr="003B6B9A">
        <w:rPr>
          <w:rFonts w:eastAsia="標楷體" w:hint="eastAsia"/>
          <w:sz w:val="28"/>
          <w:szCs w:val="28"/>
        </w:rPr>
        <w:t>：雖然歐洲議會以及理事會已經採取多項政策減少行政負擔，但許多監管措施仍在國家層級實施，因此建議歐盟各成員國應設法降低監管不確定性，減少企業管理成本負擔，使企業得以擴展並創造新價值。</w:t>
      </w:r>
    </w:p>
    <w:p w:rsidR="004B772B" w:rsidRPr="003B6B9A" w:rsidRDefault="004B772B" w:rsidP="004B772B">
      <w:pPr>
        <w:adjustRightInd w:val="0"/>
        <w:snapToGrid w:val="0"/>
        <w:ind w:leftChars="236" w:left="1034" w:rightChars="176" w:right="422" w:hangingChars="195" w:hanging="468"/>
        <w:jc w:val="both"/>
        <w:rPr>
          <w:rFonts w:eastAsia="標楷體"/>
          <w:spacing w:val="9"/>
          <w:sz w:val="20"/>
          <w:szCs w:val="20"/>
        </w:rPr>
      </w:pPr>
      <w:r>
        <w:rPr>
          <w:noProof/>
        </w:rPr>
        <w:drawing>
          <wp:anchor distT="0" distB="0" distL="114300" distR="114300" simplePos="0" relativeHeight="252151296" behindDoc="1" locked="0" layoutInCell="1" allowOverlap="0" wp14:anchorId="540B4E42" wp14:editId="50C62B0B">
            <wp:simplePos x="0" y="0"/>
            <wp:positionH relativeFrom="column">
              <wp:posOffset>228600</wp:posOffset>
            </wp:positionH>
            <wp:positionV relativeFrom="paragraph">
              <wp:posOffset>114300</wp:posOffset>
            </wp:positionV>
            <wp:extent cx="5257800" cy="2446655"/>
            <wp:effectExtent l="0" t="0" r="0" b="0"/>
            <wp:wrapNone/>
            <wp:docPr id="508" name="圖片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57800" cy="24466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p>
    <w:p w:rsidR="004B772B" w:rsidRPr="003B6B9A" w:rsidRDefault="004B772B" w:rsidP="004B772B">
      <w:pPr>
        <w:adjustRightInd w:val="0"/>
        <w:snapToGrid w:val="0"/>
        <w:ind w:leftChars="236" w:left="991" w:rightChars="176" w:right="422" w:hangingChars="195" w:hanging="425"/>
        <w:jc w:val="both"/>
        <w:rPr>
          <w:rFonts w:eastAsia="標楷體"/>
          <w:spacing w:val="9"/>
          <w:sz w:val="20"/>
          <w:szCs w:val="20"/>
        </w:rPr>
      </w:pPr>
      <w:r w:rsidRPr="003B6B9A">
        <w:rPr>
          <w:rFonts w:eastAsia="標楷體"/>
          <w:spacing w:val="9"/>
          <w:sz w:val="20"/>
          <w:szCs w:val="20"/>
        </w:rPr>
        <w:t>註：按圖中順序，各國家代號說明如下：</w:t>
      </w:r>
      <w:r w:rsidRPr="003B6B9A">
        <w:rPr>
          <w:rFonts w:eastAsia="標楷體"/>
          <w:spacing w:val="9"/>
          <w:sz w:val="20"/>
          <w:szCs w:val="20"/>
        </w:rPr>
        <w:t>GRC</w:t>
      </w:r>
      <w:r w:rsidRPr="003B6B9A">
        <w:rPr>
          <w:rFonts w:eastAsia="標楷體"/>
          <w:spacing w:val="9"/>
          <w:sz w:val="20"/>
          <w:szCs w:val="20"/>
        </w:rPr>
        <w:t>（希臘）、</w:t>
      </w:r>
      <w:r w:rsidRPr="003B6B9A">
        <w:rPr>
          <w:rFonts w:eastAsia="標楷體"/>
          <w:spacing w:val="9"/>
          <w:sz w:val="20"/>
          <w:szCs w:val="20"/>
        </w:rPr>
        <w:t>IRL</w:t>
      </w:r>
      <w:r w:rsidRPr="003B6B9A">
        <w:rPr>
          <w:rFonts w:eastAsia="標楷體"/>
          <w:spacing w:val="9"/>
          <w:sz w:val="20"/>
          <w:szCs w:val="20"/>
        </w:rPr>
        <w:t>（愛爾蘭）、</w:t>
      </w:r>
      <w:r w:rsidRPr="003B6B9A">
        <w:rPr>
          <w:rFonts w:eastAsia="標楷體"/>
          <w:spacing w:val="9"/>
          <w:sz w:val="20"/>
          <w:szCs w:val="20"/>
        </w:rPr>
        <w:t>PRT</w:t>
      </w:r>
      <w:r w:rsidRPr="003B6B9A">
        <w:rPr>
          <w:rFonts w:eastAsia="標楷體"/>
          <w:spacing w:val="9"/>
          <w:sz w:val="20"/>
          <w:szCs w:val="20"/>
        </w:rPr>
        <w:t>（葡萄牙）、</w:t>
      </w:r>
      <w:r w:rsidRPr="003B6B9A">
        <w:rPr>
          <w:rFonts w:eastAsia="標楷體"/>
          <w:spacing w:val="9"/>
          <w:sz w:val="20"/>
          <w:szCs w:val="20"/>
        </w:rPr>
        <w:t>LUX</w:t>
      </w:r>
      <w:r w:rsidRPr="003B6B9A">
        <w:rPr>
          <w:rFonts w:eastAsia="標楷體"/>
          <w:spacing w:val="9"/>
          <w:sz w:val="20"/>
          <w:szCs w:val="20"/>
        </w:rPr>
        <w:t>（盧森堡）、</w:t>
      </w:r>
      <w:r w:rsidRPr="003B6B9A">
        <w:rPr>
          <w:rFonts w:eastAsia="標楷體"/>
          <w:spacing w:val="9"/>
          <w:sz w:val="20"/>
          <w:szCs w:val="20"/>
        </w:rPr>
        <w:t>ITA</w:t>
      </w:r>
      <w:r w:rsidRPr="003B6B9A">
        <w:rPr>
          <w:rFonts w:eastAsia="標楷體"/>
          <w:spacing w:val="9"/>
          <w:sz w:val="20"/>
          <w:szCs w:val="20"/>
        </w:rPr>
        <w:t>（義大利）、</w:t>
      </w:r>
      <w:r w:rsidRPr="003B6B9A">
        <w:rPr>
          <w:rFonts w:eastAsia="標楷體"/>
          <w:spacing w:val="9"/>
          <w:sz w:val="20"/>
          <w:szCs w:val="20"/>
        </w:rPr>
        <w:t>NLD</w:t>
      </w:r>
      <w:r w:rsidRPr="003B6B9A">
        <w:rPr>
          <w:rFonts w:eastAsia="標楷體"/>
          <w:spacing w:val="9"/>
          <w:sz w:val="20"/>
          <w:szCs w:val="20"/>
        </w:rPr>
        <w:t>（荷蘭）、</w:t>
      </w:r>
      <w:r w:rsidRPr="003B6B9A">
        <w:rPr>
          <w:rFonts w:eastAsia="標楷體"/>
          <w:spacing w:val="9"/>
          <w:sz w:val="20"/>
          <w:szCs w:val="20"/>
        </w:rPr>
        <w:t>ESP</w:t>
      </w:r>
      <w:r w:rsidRPr="003B6B9A">
        <w:rPr>
          <w:rFonts w:eastAsia="標楷體"/>
          <w:spacing w:val="9"/>
          <w:sz w:val="20"/>
          <w:szCs w:val="20"/>
        </w:rPr>
        <w:t>（西班牙）、</w:t>
      </w:r>
      <w:r w:rsidRPr="003B6B9A">
        <w:rPr>
          <w:rFonts w:eastAsia="標楷體"/>
          <w:spacing w:val="9"/>
          <w:sz w:val="20"/>
          <w:szCs w:val="20"/>
        </w:rPr>
        <w:t>USA</w:t>
      </w:r>
      <w:r w:rsidRPr="003B6B9A">
        <w:rPr>
          <w:rFonts w:eastAsia="標楷體"/>
          <w:spacing w:val="9"/>
          <w:sz w:val="20"/>
          <w:szCs w:val="20"/>
        </w:rPr>
        <w:t>（美國）、</w:t>
      </w:r>
      <w:r w:rsidRPr="003B6B9A">
        <w:rPr>
          <w:rFonts w:eastAsia="標楷體"/>
          <w:spacing w:val="9"/>
          <w:sz w:val="20"/>
          <w:szCs w:val="20"/>
        </w:rPr>
        <w:t>EA15</w:t>
      </w:r>
      <w:r w:rsidRPr="003B6B9A">
        <w:rPr>
          <w:rFonts w:eastAsia="標楷體"/>
          <w:spacing w:val="9"/>
          <w:sz w:val="20"/>
          <w:szCs w:val="20"/>
        </w:rPr>
        <w:t>（歐元區</w:t>
      </w:r>
      <w:r w:rsidRPr="003B6B9A">
        <w:rPr>
          <w:rFonts w:eastAsia="標楷體"/>
          <w:spacing w:val="9"/>
          <w:sz w:val="20"/>
          <w:szCs w:val="20"/>
        </w:rPr>
        <w:t>15</w:t>
      </w:r>
      <w:r w:rsidRPr="003B6B9A">
        <w:rPr>
          <w:rFonts w:eastAsia="標楷體"/>
          <w:spacing w:val="9"/>
          <w:sz w:val="20"/>
          <w:szCs w:val="20"/>
        </w:rPr>
        <w:t>國）、</w:t>
      </w:r>
      <w:r w:rsidRPr="003B6B9A">
        <w:rPr>
          <w:rFonts w:eastAsia="標楷體"/>
          <w:spacing w:val="9"/>
          <w:sz w:val="20"/>
          <w:szCs w:val="20"/>
        </w:rPr>
        <w:t>SVN</w:t>
      </w:r>
      <w:r w:rsidRPr="003B6B9A">
        <w:rPr>
          <w:rFonts w:eastAsia="標楷體"/>
          <w:spacing w:val="9"/>
          <w:sz w:val="20"/>
          <w:szCs w:val="20"/>
        </w:rPr>
        <w:t>（斯洛維尼亞）、</w:t>
      </w:r>
      <w:r w:rsidRPr="003B6B9A">
        <w:rPr>
          <w:rFonts w:eastAsia="標楷體"/>
          <w:spacing w:val="9"/>
          <w:sz w:val="20"/>
          <w:szCs w:val="20"/>
        </w:rPr>
        <w:t>DEU</w:t>
      </w:r>
      <w:r w:rsidRPr="003B6B9A">
        <w:rPr>
          <w:rFonts w:eastAsia="標楷體"/>
          <w:spacing w:val="9"/>
          <w:sz w:val="20"/>
          <w:szCs w:val="20"/>
        </w:rPr>
        <w:t>（德國）、</w:t>
      </w:r>
      <w:r w:rsidRPr="003B6B9A">
        <w:rPr>
          <w:rFonts w:eastAsia="標楷體"/>
          <w:spacing w:val="9"/>
          <w:sz w:val="20"/>
          <w:szCs w:val="20"/>
        </w:rPr>
        <w:t>SVK</w:t>
      </w:r>
      <w:r w:rsidRPr="003B6B9A">
        <w:rPr>
          <w:rFonts w:eastAsia="標楷體"/>
          <w:spacing w:val="9"/>
          <w:sz w:val="20"/>
          <w:szCs w:val="20"/>
        </w:rPr>
        <w:t>（斯洛伐克）、</w:t>
      </w:r>
      <w:r w:rsidRPr="003B6B9A">
        <w:rPr>
          <w:rFonts w:eastAsia="標楷體"/>
          <w:spacing w:val="9"/>
          <w:sz w:val="20"/>
          <w:szCs w:val="20"/>
        </w:rPr>
        <w:t>FIN</w:t>
      </w:r>
      <w:r w:rsidRPr="003B6B9A">
        <w:rPr>
          <w:rFonts w:eastAsia="標楷體"/>
          <w:spacing w:val="9"/>
          <w:sz w:val="20"/>
          <w:szCs w:val="20"/>
        </w:rPr>
        <w:t>（芬蘭）、</w:t>
      </w:r>
      <w:r w:rsidRPr="003B6B9A">
        <w:rPr>
          <w:rFonts w:eastAsia="標楷體"/>
          <w:spacing w:val="9"/>
          <w:sz w:val="20"/>
          <w:szCs w:val="20"/>
        </w:rPr>
        <w:t>JPN</w:t>
      </w:r>
      <w:r w:rsidRPr="003B6B9A">
        <w:rPr>
          <w:rFonts w:eastAsia="標楷體"/>
          <w:spacing w:val="9"/>
          <w:sz w:val="20"/>
          <w:szCs w:val="20"/>
        </w:rPr>
        <w:t>（日本）、</w:t>
      </w:r>
      <w:r w:rsidRPr="003B6B9A">
        <w:rPr>
          <w:rFonts w:eastAsia="標楷體"/>
          <w:spacing w:val="9"/>
          <w:sz w:val="20"/>
          <w:szCs w:val="20"/>
        </w:rPr>
        <w:t>FRA</w:t>
      </w:r>
      <w:r w:rsidRPr="003B6B9A">
        <w:rPr>
          <w:rFonts w:eastAsia="標楷體"/>
          <w:spacing w:val="9"/>
          <w:sz w:val="20"/>
          <w:szCs w:val="20"/>
        </w:rPr>
        <w:t>（法國）、</w:t>
      </w:r>
      <w:r w:rsidRPr="003B6B9A">
        <w:rPr>
          <w:rFonts w:eastAsia="標楷體"/>
          <w:spacing w:val="9"/>
          <w:sz w:val="20"/>
          <w:szCs w:val="20"/>
        </w:rPr>
        <w:t>AUT</w:t>
      </w:r>
      <w:r w:rsidRPr="003B6B9A">
        <w:rPr>
          <w:rFonts w:eastAsia="標楷體"/>
          <w:spacing w:val="9"/>
          <w:sz w:val="20"/>
          <w:szCs w:val="20"/>
        </w:rPr>
        <w:t>（奧地利）、</w:t>
      </w:r>
      <w:r w:rsidRPr="003B6B9A">
        <w:rPr>
          <w:rFonts w:eastAsia="標楷體"/>
          <w:spacing w:val="9"/>
          <w:sz w:val="20"/>
          <w:szCs w:val="20"/>
        </w:rPr>
        <w:t>BEL</w:t>
      </w:r>
      <w:r w:rsidRPr="003B6B9A">
        <w:rPr>
          <w:rFonts w:eastAsia="標楷體"/>
          <w:spacing w:val="9"/>
          <w:sz w:val="20"/>
          <w:szCs w:val="20"/>
        </w:rPr>
        <w:t>（比利時），以及</w:t>
      </w:r>
      <w:r w:rsidRPr="003B6B9A">
        <w:rPr>
          <w:rFonts w:eastAsia="標楷體"/>
          <w:spacing w:val="9"/>
          <w:sz w:val="20"/>
          <w:szCs w:val="20"/>
        </w:rPr>
        <w:t>EST</w:t>
      </w:r>
      <w:r w:rsidRPr="003B6B9A">
        <w:rPr>
          <w:rFonts w:eastAsia="標楷體"/>
          <w:spacing w:val="9"/>
          <w:sz w:val="20"/>
          <w:szCs w:val="20"/>
        </w:rPr>
        <w:t>（愛沙尼亞）。</w:t>
      </w:r>
    </w:p>
    <w:p w:rsidR="004B772B" w:rsidRPr="003B6B9A" w:rsidRDefault="004B772B" w:rsidP="004B772B">
      <w:pPr>
        <w:spacing w:beforeLines="30" w:before="108" w:afterLines="30" w:after="108" w:line="500" w:lineRule="exact"/>
        <w:jc w:val="center"/>
        <w:rPr>
          <w:rFonts w:eastAsia="標楷體"/>
          <w:b/>
          <w:noProof/>
          <w:sz w:val="28"/>
        </w:rPr>
      </w:pPr>
      <w:r w:rsidRPr="003B6B9A">
        <w:rPr>
          <w:rFonts w:eastAsia="標楷體"/>
          <w:b/>
          <w:noProof/>
          <w:sz w:val="28"/>
        </w:rPr>
        <w:t>圖</w:t>
      </w:r>
      <w:r w:rsidRPr="003B6B9A">
        <w:rPr>
          <w:rFonts w:eastAsia="標楷體" w:hint="eastAsia"/>
          <w:b/>
          <w:noProof/>
          <w:sz w:val="28"/>
        </w:rPr>
        <w:t>1</w:t>
      </w:r>
      <w:r w:rsidRPr="003B6B9A">
        <w:rPr>
          <w:rFonts w:eastAsia="標楷體" w:hint="eastAsia"/>
          <w:b/>
          <w:noProof/>
          <w:sz w:val="28"/>
        </w:rPr>
        <w:t xml:space="preserve">　</w:t>
      </w:r>
      <w:r w:rsidRPr="003B6B9A">
        <w:rPr>
          <w:rFonts w:eastAsia="標楷體"/>
          <w:b/>
          <w:noProof/>
          <w:sz w:val="28"/>
        </w:rPr>
        <w:t>美國、日本</w:t>
      </w:r>
      <w:r w:rsidRPr="003B6B9A">
        <w:rPr>
          <w:rFonts w:eastAsia="標楷體" w:hint="eastAsia"/>
          <w:b/>
          <w:noProof/>
          <w:sz w:val="28"/>
        </w:rPr>
        <w:t>及</w:t>
      </w:r>
      <w:r w:rsidRPr="003B6B9A">
        <w:rPr>
          <w:rFonts w:eastAsia="標楷體"/>
          <w:b/>
          <w:noProof/>
          <w:sz w:val="28"/>
        </w:rPr>
        <w:t>歐元區主要國家投資率的變化</w:t>
      </w:r>
    </w:p>
    <w:p w:rsidR="004B772B" w:rsidRPr="003B6B9A" w:rsidRDefault="004B772B" w:rsidP="004B772B">
      <w:pPr>
        <w:numPr>
          <w:ilvl w:val="0"/>
          <w:numId w:val="14"/>
        </w:numPr>
        <w:spacing w:beforeLines="60" w:before="216" w:afterLines="60" w:after="216" w:line="480" w:lineRule="exact"/>
        <w:jc w:val="both"/>
        <w:rPr>
          <w:rFonts w:eastAsia="標楷體"/>
          <w:sz w:val="28"/>
          <w:szCs w:val="28"/>
        </w:rPr>
      </w:pPr>
      <w:r w:rsidRPr="003B6B9A">
        <w:rPr>
          <w:rFonts w:eastAsia="標楷體" w:hint="eastAsia"/>
          <w:b/>
          <w:sz w:val="28"/>
          <w:szCs w:val="28"/>
        </w:rPr>
        <w:t>監管規則趨向一致</w:t>
      </w:r>
      <w:r w:rsidRPr="003B6B9A">
        <w:rPr>
          <w:rFonts w:eastAsia="標楷體" w:hint="eastAsia"/>
          <w:sz w:val="28"/>
          <w:szCs w:val="28"/>
        </w:rPr>
        <w:t>：</w:t>
      </w:r>
      <w:r w:rsidRPr="003B6B9A">
        <w:rPr>
          <w:rFonts w:eastAsia="標楷體" w:hint="eastAsia"/>
          <w:sz w:val="28"/>
          <w:szCs w:val="28"/>
        </w:rPr>
        <w:t>OECD</w:t>
      </w:r>
      <w:r w:rsidRPr="003B6B9A">
        <w:rPr>
          <w:rFonts w:eastAsia="標楷體" w:hint="eastAsia"/>
          <w:sz w:val="28"/>
          <w:szCs w:val="28"/>
        </w:rPr>
        <w:t>認為歐元區各成員國監管機構之間，應加強合作，邁向跨境監管。特別是在電信、能源等網絡部門仍在國家基礎上進行監管，應透過更加兼容法規提升效率。此外，各國政府應協調與簡化稅政，同時允許各國政府設立反應國家偏好的稅率。</w:t>
      </w:r>
    </w:p>
    <w:p w:rsidR="004B772B" w:rsidRPr="003B6B9A" w:rsidRDefault="004B772B" w:rsidP="004B772B">
      <w:pPr>
        <w:numPr>
          <w:ilvl w:val="0"/>
          <w:numId w:val="14"/>
        </w:numPr>
        <w:spacing w:beforeLines="60" w:before="216" w:afterLines="60" w:after="216" w:line="480" w:lineRule="exact"/>
        <w:jc w:val="both"/>
        <w:rPr>
          <w:rFonts w:eastAsia="標楷體"/>
          <w:sz w:val="28"/>
          <w:szCs w:val="28"/>
        </w:rPr>
      </w:pPr>
      <w:r w:rsidRPr="003B6B9A">
        <w:rPr>
          <w:rFonts w:eastAsia="標楷體" w:hint="eastAsia"/>
          <w:b/>
          <w:sz w:val="28"/>
          <w:szCs w:val="32"/>
        </w:rPr>
        <w:t>獲益於數位經濟（</w:t>
      </w:r>
      <w:r w:rsidRPr="003B6B9A">
        <w:rPr>
          <w:rFonts w:eastAsia="標楷體" w:hint="eastAsia"/>
          <w:b/>
          <w:sz w:val="28"/>
          <w:szCs w:val="32"/>
        </w:rPr>
        <w:t>Digital Economy</w:t>
      </w:r>
      <w:r w:rsidRPr="003B6B9A">
        <w:rPr>
          <w:rFonts w:eastAsia="標楷體" w:hint="eastAsia"/>
          <w:b/>
          <w:sz w:val="28"/>
          <w:szCs w:val="32"/>
        </w:rPr>
        <w:t>）</w:t>
      </w:r>
      <w:r w:rsidRPr="003B6B9A">
        <w:rPr>
          <w:rFonts w:eastAsia="標楷體" w:hint="eastAsia"/>
          <w:sz w:val="28"/>
          <w:szCs w:val="28"/>
        </w:rPr>
        <w:t>：根據調查，歐元區消費者缺乏跨境電子商務交易的信任。然而數位經濟提供單一市場新契機，因此歐元區應建立有效的監管架構，提供更有效的資料保護安全措施。此外，為確保公平競爭環境，監管當局需防止網路或平臺供應商濫用市場壟斷力。</w:t>
      </w:r>
    </w:p>
    <w:p w:rsidR="004B772B" w:rsidRDefault="004B772B" w:rsidP="004B772B">
      <w:pPr>
        <w:numPr>
          <w:ilvl w:val="0"/>
          <w:numId w:val="14"/>
        </w:numPr>
        <w:spacing w:beforeLines="60" w:before="216" w:afterLines="60" w:after="216" w:line="480" w:lineRule="exact"/>
        <w:jc w:val="both"/>
        <w:rPr>
          <w:rFonts w:eastAsia="標楷體"/>
          <w:sz w:val="28"/>
          <w:szCs w:val="28"/>
        </w:rPr>
      </w:pPr>
      <w:r w:rsidRPr="003B6B9A">
        <w:rPr>
          <w:rFonts w:eastAsia="標楷體" w:hint="eastAsia"/>
          <w:b/>
          <w:sz w:val="28"/>
          <w:szCs w:val="28"/>
        </w:rPr>
        <w:t>拓展新創企業的融資工具</w:t>
      </w:r>
      <w:r w:rsidRPr="003B6B9A">
        <w:rPr>
          <w:rFonts w:eastAsia="標楷體" w:hint="eastAsia"/>
          <w:sz w:val="28"/>
          <w:szCs w:val="28"/>
        </w:rPr>
        <w:t>：在歐元區銀行進行去槓桿化與降低風險資產的情況下，使信貸供應來源減少。</w:t>
      </w:r>
      <w:r w:rsidRPr="003B6B9A">
        <w:rPr>
          <w:rFonts w:eastAsia="標楷體" w:hint="eastAsia"/>
          <w:sz w:val="28"/>
          <w:szCs w:val="28"/>
        </w:rPr>
        <w:t>OECD</w:t>
      </w:r>
      <w:r w:rsidRPr="003B6B9A">
        <w:rPr>
          <w:rFonts w:eastAsia="標楷體" w:hint="eastAsia"/>
          <w:sz w:val="28"/>
          <w:szCs w:val="28"/>
        </w:rPr>
        <w:t>建議積極開展新融資模式，如迷你債券、權益工具等。另公部門應</w:t>
      </w:r>
      <w:r w:rsidR="00D4211F">
        <w:rPr>
          <w:rFonts w:eastAsia="標楷體" w:hint="eastAsia"/>
          <w:sz w:val="28"/>
          <w:szCs w:val="28"/>
        </w:rPr>
        <w:t>透</w:t>
      </w:r>
      <w:r w:rsidRPr="003B6B9A">
        <w:rPr>
          <w:rFonts w:eastAsia="標楷體" w:hint="eastAsia"/>
          <w:sz w:val="28"/>
          <w:szCs w:val="28"/>
        </w:rPr>
        <w:t>過對中小企業貸款的首次損失保證，強化其信用等級。</w:t>
      </w:r>
    </w:p>
    <w:p w:rsidR="004B772B" w:rsidRPr="003B6B9A" w:rsidRDefault="004B772B" w:rsidP="004B772B">
      <w:pPr>
        <w:spacing w:beforeLines="60" w:before="216" w:afterLines="60" w:after="216" w:line="480" w:lineRule="exact"/>
        <w:ind w:left="900"/>
        <w:jc w:val="both"/>
        <w:rPr>
          <w:rFonts w:eastAsia="標楷體"/>
          <w:sz w:val="28"/>
          <w:szCs w:val="28"/>
        </w:rPr>
      </w:pPr>
    </w:p>
    <w:p w:rsidR="004B772B" w:rsidRPr="003B6B9A" w:rsidRDefault="004B772B" w:rsidP="004B772B">
      <w:pPr>
        <w:numPr>
          <w:ilvl w:val="0"/>
          <w:numId w:val="14"/>
        </w:numPr>
        <w:spacing w:beforeLines="60" w:before="216" w:afterLines="60" w:after="216" w:line="480" w:lineRule="exact"/>
        <w:jc w:val="both"/>
        <w:rPr>
          <w:rFonts w:eastAsia="標楷體"/>
          <w:sz w:val="28"/>
          <w:szCs w:val="28"/>
        </w:rPr>
      </w:pPr>
      <w:r w:rsidRPr="003B6B9A">
        <w:rPr>
          <w:rFonts w:eastAsia="標楷體" w:hint="eastAsia"/>
          <w:b/>
          <w:sz w:val="28"/>
          <w:szCs w:val="28"/>
        </w:rPr>
        <w:t>培育創投資本</w:t>
      </w:r>
      <w:r w:rsidRPr="003B6B9A">
        <w:rPr>
          <w:rFonts w:eastAsia="標楷體" w:hint="eastAsia"/>
          <w:sz w:val="28"/>
          <w:szCs w:val="28"/>
        </w:rPr>
        <w:t>：新創企業具有高度風險，因此需要培育高成長小型股專用交易平臺並普及金融系統，協助中小企業股權融資的發展，並維持市場流通性。此外，促進私人退休金儲蓄及提供各國股權投資教育，也是激勵參與成長市場的模式。</w:t>
      </w:r>
    </w:p>
    <w:p w:rsidR="004B772B" w:rsidRPr="003B6B9A" w:rsidRDefault="004B772B" w:rsidP="004B772B">
      <w:pPr>
        <w:numPr>
          <w:ilvl w:val="0"/>
          <w:numId w:val="14"/>
        </w:numPr>
        <w:spacing w:beforeLines="60" w:before="216" w:afterLines="60" w:after="216" w:line="480" w:lineRule="exact"/>
        <w:jc w:val="both"/>
        <w:rPr>
          <w:rFonts w:eastAsia="標楷體"/>
          <w:sz w:val="28"/>
          <w:szCs w:val="28"/>
        </w:rPr>
      </w:pPr>
      <w:r w:rsidRPr="003B6B9A">
        <w:rPr>
          <w:rFonts w:eastAsia="標楷體" w:hint="eastAsia"/>
          <w:b/>
          <w:sz w:val="28"/>
          <w:szCs w:val="28"/>
        </w:rPr>
        <w:t>改造破產法：</w:t>
      </w:r>
      <w:r w:rsidRPr="003B6B9A">
        <w:rPr>
          <w:rFonts w:eastAsia="標楷體" w:hint="eastAsia"/>
          <w:sz w:val="28"/>
          <w:szCs w:val="28"/>
        </w:rPr>
        <w:t>歐元區政府需要修改破產法，減少對破產公司之懲罰，給予企業重整機會。如歐盟成員國必須加速實施歐盟小企業法案（</w:t>
      </w:r>
      <w:r w:rsidRPr="003B6B9A">
        <w:rPr>
          <w:rFonts w:eastAsia="標楷體" w:hint="eastAsia"/>
          <w:sz w:val="28"/>
          <w:szCs w:val="28"/>
        </w:rPr>
        <w:t>EU Small Business Act</w:t>
      </w:r>
      <w:r w:rsidRPr="003B6B9A">
        <w:rPr>
          <w:rFonts w:eastAsia="標楷體" w:hint="eastAsia"/>
          <w:sz w:val="28"/>
          <w:szCs w:val="28"/>
        </w:rPr>
        <w:t>），要求政府確保誠實企業面臨非欺詐破產危機能迅速獲得第二次機會。</w:t>
      </w:r>
    </w:p>
    <w:p w:rsidR="004B772B" w:rsidRPr="003B6B9A" w:rsidRDefault="004B772B" w:rsidP="004B772B">
      <w:pPr>
        <w:numPr>
          <w:ilvl w:val="0"/>
          <w:numId w:val="14"/>
        </w:numPr>
        <w:spacing w:beforeLines="60" w:before="216" w:afterLines="60" w:after="216" w:line="480" w:lineRule="exact"/>
        <w:jc w:val="both"/>
        <w:rPr>
          <w:rFonts w:eastAsia="標楷體"/>
          <w:sz w:val="28"/>
          <w:szCs w:val="28"/>
        </w:rPr>
      </w:pPr>
      <w:r>
        <w:rPr>
          <w:noProof/>
        </w:rPr>
        <w:drawing>
          <wp:anchor distT="0" distB="0" distL="114300" distR="114300" simplePos="0" relativeHeight="252152320" behindDoc="1" locked="0" layoutInCell="1" allowOverlap="0" wp14:anchorId="60C8B2B6" wp14:editId="0E7CD832">
            <wp:simplePos x="0" y="0"/>
            <wp:positionH relativeFrom="column">
              <wp:posOffset>228600</wp:posOffset>
            </wp:positionH>
            <wp:positionV relativeFrom="paragraph">
              <wp:posOffset>2506980</wp:posOffset>
            </wp:positionV>
            <wp:extent cx="5266055" cy="2582545"/>
            <wp:effectExtent l="0" t="0" r="0" b="8255"/>
            <wp:wrapNone/>
            <wp:docPr id="509" name="圖片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66055" cy="25825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B6B9A">
        <w:rPr>
          <w:rFonts w:eastAsia="標楷體" w:hint="eastAsia"/>
          <w:b/>
          <w:sz w:val="28"/>
          <w:szCs w:val="28"/>
        </w:rPr>
        <w:t>減少貿易障礙：</w:t>
      </w:r>
      <w:r w:rsidRPr="003B6B9A">
        <w:rPr>
          <w:rFonts w:eastAsia="標楷體" w:hint="eastAsia"/>
          <w:sz w:val="28"/>
          <w:szCs w:val="28"/>
        </w:rPr>
        <w:t>歐盟內部的專業服務貿易障礙非常嚴重，主要是歐盟規範證照要求，阻礙了跨境服務，應加強成員國於專業證照上的相互承認，進而減少歐盟內部貿易的交易成本。此外，亦需在專業服務進行改革與開放，提升區域間貿易帶動成長。根據</w:t>
      </w:r>
      <w:r w:rsidRPr="003B6B9A">
        <w:rPr>
          <w:rFonts w:eastAsia="標楷體" w:hint="eastAsia"/>
          <w:sz w:val="28"/>
          <w:szCs w:val="28"/>
        </w:rPr>
        <w:t>OECD</w:t>
      </w:r>
      <w:r w:rsidRPr="003B6B9A">
        <w:rPr>
          <w:rFonts w:eastAsia="標楷體" w:hint="eastAsia"/>
          <w:sz w:val="28"/>
          <w:szCs w:val="28"/>
        </w:rPr>
        <w:t>服務貿易限制指數（</w:t>
      </w:r>
      <w:r w:rsidRPr="003B6B9A">
        <w:rPr>
          <w:rFonts w:eastAsia="標楷體"/>
          <w:sz w:val="28"/>
          <w:szCs w:val="28"/>
        </w:rPr>
        <w:t>Services Trade Restrictiveness Index, STRI</w:t>
      </w:r>
      <w:r w:rsidRPr="003B6B9A">
        <w:rPr>
          <w:rFonts w:eastAsia="標楷體" w:hint="eastAsia"/>
          <w:sz w:val="28"/>
          <w:szCs w:val="28"/>
        </w:rPr>
        <w:t>），透過法規適度改革（如</w:t>
      </w:r>
      <w:r w:rsidRPr="003B6B9A">
        <w:rPr>
          <w:rFonts w:eastAsia="標楷體" w:hint="eastAsia"/>
          <w:sz w:val="28"/>
          <w:szCs w:val="28"/>
        </w:rPr>
        <w:t>STRI</w:t>
      </w:r>
      <w:r w:rsidRPr="003B6B9A">
        <w:rPr>
          <w:rFonts w:eastAsia="標楷體" w:hint="eastAsia"/>
          <w:sz w:val="28"/>
          <w:szCs w:val="28"/>
        </w:rPr>
        <w:t>減少</w:t>
      </w:r>
      <w:r w:rsidRPr="003B6B9A">
        <w:rPr>
          <w:rFonts w:eastAsia="標楷體" w:hint="eastAsia"/>
          <w:sz w:val="28"/>
          <w:szCs w:val="28"/>
        </w:rPr>
        <w:t>0.05</w:t>
      </w:r>
      <w:r w:rsidRPr="003B6B9A">
        <w:rPr>
          <w:rFonts w:eastAsia="標楷體" w:hint="eastAsia"/>
          <w:sz w:val="28"/>
          <w:szCs w:val="28"/>
        </w:rPr>
        <w:t>個百分點），商業銀行服務（</w:t>
      </w:r>
      <w:r w:rsidRPr="003B6B9A">
        <w:rPr>
          <w:rFonts w:eastAsia="標楷體" w:hint="eastAsia"/>
          <w:sz w:val="28"/>
          <w:szCs w:val="28"/>
        </w:rPr>
        <w:t>Banking</w:t>
      </w:r>
      <w:r w:rsidRPr="003B6B9A">
        <w:rPr>
          <w:rFonts w:eastAsia="標楷體" w:hint="eastAsia"/>
          <w:sz w:val="28"/>
          <w:szCs w:val="28"/>
        </w:rPr>
        <w:t>）可望提升歐元區國家</w:t>
      </w:r>
      <w:r w:rsidRPr="003B6B9A">
        <w:rPr>
          <w:rFonts w:eastAsia="標楷體" w:hint="eastAsia"/>
          <w:sz w:val="28"/>
          <w:szCs w:val="28"/>
        </w:rPr>
        <w:t>5.3</w:t>
      </w:r>
      <w:r w:rsidRPr="003B6B9A">
        <w:rPr>
          <w:rFonts w:eastAsia="標楷體" w:hint="eastAsia"/>
          <w:sz w:val="28"/>
          <w:szCs w:val="28"/>
        </w:rPr>
        <w:t>％的進口成長、</w:t>
      </w:r>
      <w:r w:rsidRPr="003B6B9A">
        <w:rPr>
          <w:rFonts w:eastAsia="標楷體" w:hint="eastAsia"/>
          <w:sz w:val="28"/>
          <w:szCs w:val="28"/>
        </w:rPr>
        <w:t>9</w:t>
      </w:r>
      <w:r w:rsidRPr="003B6B9A">
        <w:rPr>
          <w:rFonts w:eastAsia="標楷體" w:hint="eastAsia"/>
          <w:sz w:val="28"/>
          <w:szCs w:val="28"/>
        </w:rPr>
        <w:t>％的出口成長。（詳如圖</w:t>
      </w:r>
      <w:r w:rsidRPr="003B6B9A">
        <w:rPr>
          <w:rFonts w:eastAsia="標楷體" w:hint="eastAsia"/>
          <w:sz w:val="28"/>
          <w:szCs w:val="28"/>
        </w:rPr>
        <w:t>2</w:t>
      </w:r>
      <w:r w:rsidRPr="003B6B9A">
        <w:rPr>
          <w:rFonts w:eastAsia="標楷體" w:hint="eastAsia"/>
          <w:sz w:val="28"/>
          <w:szCs w:val="28"/>
        </w:rPr>
        <w:t>）</w:t>
      </w:r>
      <w:r w:rsidRPr="003B6B9A">
        <w:rPr>
          <w:rFonts w:eastAsia="標楷體"/>
          <w:sz w:val="28"/>
          <w:szCs w:val="28"/>
        </w:rPr>
        <w:br/>
      </w:r>
    </w:p>
    <w:p w:rsidR="004B772B" w:rsidRPr="003B6B9A" w:rsidRDefault="004B772B" w:rsidP="004B772B">
      <w:pPr>
        <w:spacing w:beforeLines="30" w:before="108" w:afterLines="30" w:after="108" w:line="500" w:lineRule="exact"/>
        <w:jc w:val="center"/>
        <w:rPr>
          <w:rFonts w:eastAsia="標楷體"/>
          <w:b/>
          <w:noProof/>
          <w:sz w:val="28"/>
        </w:rPr>
      </w:pPr>
    </w:p>
    <w:p w:rsidR="004B772B" w:rsidRPr="003B6B9A" w:rsidRDefault="004B772B" w:rsidP="004B772B">
      <w:pPr>
        <w:spacing w:beforeLines="30" w:before="108" w:afterLines="30" w:after="108" w:line="500" w:lineRule="exact"/>
        <w:jc w:val="center"/>
        <w:rPr>
          <w:rFonts w:eastAsia="標楷體"/>
          <w:b/>
          <w:noProof/>
          <w:sz w:val="28"/>
        </w:rPr>
      </w:pPr>
    </w:p>
    <w:p w:rsidR="004B772B" w:rsidRPr="003B6B9A" w:rsidRDefault="004B772B" w:rsidP="004B772B">
      <w:pPr>
        <w:spacing w:beforeLines="30" w:before="108" w:afterLines="30" w:after="108" w:line="500" w:lineRule="exact"/>
        <w:jc w:val="center"/>
        <w:rPr>
          <w:rFonts w:eastAsia="標楷體"/>
          <w:b/>
          <w:noProof/>
          <w:sz w:val="28"/>
        </w:rPr>
      </w:pPr>
    </w:p>
    <w:p w:rsidR="004B772B" w:rsidRPr="003B6B9A" w:rsidRDefault="004B772B" w:rsidP="004B772B">
      <w:pPr>
        <w:spacing w:beforeLines="30" w:before="108" w:afterLines="30" w:after="108" w:line="500" w:lineRule="exact"/>
        <w:jc w:val="center"/>
        <w:rPr>
          <w:rFonts w:eastAsia="標楷體"/>
          <w:b/>
          <w:noProof/>
          <w:sz w:val="28"/>
        </w:rPr>
      </w:pPr>
    </w:p>
    <w:p w:rsidR="004B772B" w:rsidRPr="003B6B9A" w:rsidRDefault="004B772B" w:rsidP="004B772B">
      <w:pPr>
        <w:spacing w:beforeLines="30" w:before="108" w:afterLines="30" w:after="108" w:line="500" w:lineRule="exact"/>
        <w:jc w:val="center"/>
        <w:rPr>
          <w:rFonts w:eastAsia="標楷體"/>
          <w:b/>
          <w:noProof/>
          <w:sz w:val="28"/>
        </w:rPr>
      </w:pPr>
    </w:p>
    <w:p w:rsidR="004B772B" w:rsidRPr="003B6B9A" w:rsidRDefault="004B772B" w:rsidP="004B772B">
      <w:pPr>
        <w:spacing w:beforeLines="30" w:before="108" w:afterLines="30" w:after="108" w:line="500" w:lineRule="exact"/>
        <w:jc w:val="center"/>
        <w:rPr>
          <w:rFonts w:eastAsia="標楷體"/>
          <w:b/>
          <w:noProof/>
          <w:sz w:val="28"/>
        </w:rPr>
      </w:pPr>
    </w:p>
    <w:p w:rsidR="004B772B" w:rsidRDefault="004B772B" w:rsidP="004B772B">
      <w:pPr>
        <w:spacing w:beforeLines="30" w:before="108" w:afterLines="30" w:after="108" w:line="500" w:lineRule="exact"/>
        <w:jc w:val="center"/>
        <w:rPr>
          <w:rFonts w:eastAsia="標楷體"/>
          <w:b/>
          <w:noProof/>
          <w:sz w:val="28"/>
        </w:rPr>
      </w:pPr>
      <w:r w:rsidRPr="003B6B9A">
        <w:rPr>
          <w:rFonts w:eastAsia="標楷體"/>
          <w:b/>
          <w:noProof/>
          <w:sz w:val="28"/>
        </w:rPr>
        <w:t>圖</w:t>
      </w:r>
      <w:r w:rsidRPr="003B6B9A">
        <w:rPr>
          <w:rFonts w:eastAsia="標楷體" w:hint="eastAsia"/>
          <w:b/>
          <w:noProof/>
          <w:sz w:val="28"/>
        </w:rPr>
        <w:t>2</w:t>
      </w:r>
      <w:r w:rsidRPr="003B6B9A">
        <w:rPr>
          <w:rFonts w:eastAsia="標楷體" w:hint="eastAsia"/>
          <w:b/>
          <w:noProof/>
          <w:sz w:val="28"/>
        </w:rPr>
        <w:t xml:space="preserve">　</w:t>
      </w:r>
      <w:r w:rsidRPr="003B6B9A">
        <w:rPr>
          <w:rFonts w:eastAsia="標楷體"/>
          <w:b/>
          <w:noProof/>
          <w:sz w:val="28"/>
        </w:rPr>
        <w:t>提升服務貿易自由化對貿易成長的貢獻程度</w:t>
      </w:r>
    </w:p>
    <w:p w:rsidR="004B772B" w:rsidRDefault="004B772B" w:rsidP="004B772B">
      <w:pPr>
        <w:spacing w:beforeLines="30" w:before="108" w:afterLines="30" w:after="108" w:line="500" w:lineRule="exact"/>
        <w:jc w:val="center"/>
        <w:rPr>
          <w:rFonts w:eastAsia="標楷體"/>
          <w:b/>
          <w:noProof/>
          <w:sz w:val="28"/>
        </w:rPr>
      </w:pPr>
    </w:p>
    <w:p w:rsidR="004B772B" w:rsidRPr="003B6B9A" w:rsidRDefault="004B772B" w:rsidP="004B772B">
      <w:pPr>
        <w:spacing w:beforeLines="30" w:before="108" w:afterLines="30" w:after="108" w:line="500" w:lineRule="exact"/>
        <w:jc w:val="center"/>
        <w:rPr>
          <w:rFonts w:eastAsia="標楷體"/>
          <w:b/>
          <w:noProof/>
          <w:sz w:val="28"/>
        </w:rPr>
      </w:pPr>
    </w:p>
    <w:p w:rsidR="004B772B" w:rsidRPr="003B6B9A" w:rsidRDefault="004B772B" w:rsidP="004B772B">
      <w:pPr>
        <w:numPr>
          <w:ilvl w:val="0"/>
          <w:numId w:val="14"/>
        </w:numPr>
        <w:spacing w:beforeLines="60" w:before="216" w:afterLines="60" w:after="216" w:line="480" w:lineRule="exact"/>
        <w:jc w:val="both"/>
        <w:rPr>
          <w:rFonts w:eastAsia="標楷體"/>
          <w:sz w:val="28"/>
          <w:szCs w:val="28"/>
        </w:rPr>
      </w:pPr>
      <w:r w:rsidRPr="003B6B9A">
        <w:rPr>
          <w:rFonts w:eastAsia="標楷體" w:hint="eastAsia"/>
          <w:b/>
          <w:sz w:val="28"/>
          <w:szCs w:val="28"/>
        </w:rPr>
        <w:t>改善就業市場環境：</w:t>
      </w:r>
      <w:r w:rsidRPr="003B6B9A">
        <w:rPr>
          <w:rFonts w:eastAsia="標楷體" w:hint="eastAsia"/>
          <w:sz w:val="28"/>
          <w:szCs w:val="28"/>
        </w:rPr>
        <w:t>歐元區存在許多就業障礙，如長期失業，婦女、移民者就業困難等。應持續進行相關改革，如培訓方案協助就職，建立良好約僱法律，提供年輕學徒與實習制度，提升勞動力市場效能，降低失業率。</w:t>
      </w:r>
    </w:p>
    <w:p w:rsidR="004B772B" w:rsidRPr="003B6B9A" w:rsidRDefault="004B772B" w:rsidP="004B772B">
      <w:pPr>
        <w:tabs>
          <w:tab w:val="right" w:pos="142"/>
        </w:tabs>
        <w:spacing w:line="520" w:lineRule="exact"/>
        <w:rPr>
          <w:rFonts w:eastAsia="標楷體"/>
          <w:b/>
          <w:sz w:val="28"/>
          <w:szCs w:val="32"/>
        </w:rPr>
      </w:pPr>
      <w:r w:rsidRPr="003B6B9A">
        <w:rPr>
          <w:rFonts w:eastAsia="標楷體" w:hint="eastAsia"/>
          <w:b/>
          <w:sz w:val="28"/>
          <w:szCs w:val="32"/>
        </w:rPr>
        <w:t>四、歐元區經濟現況及展望</w:t>
      </w:r>
    </w:p>
    <w:p w:rsidR="004B772B" w:rsidRPr="003B6B9A" w:rsidRDefault="004B772B" w:rsidP="004B772B">
      <w:pPr>
        <w:spacing w:beforeLines="30" w:before="108" w:afterLines="30" w:after="108" w:line="500" w:lineRule="exact"/>
        <w:ind w:leftChars="200" w:left="480" w:firstLineChars="200" w:firstLine="560"/>
        <w:jc w:val="both"/>
        <w:rPr>
          <w:rFonts w:eastAsia="標楷體"/>
          <w:sz w:val="28"/>
          <w:szCs w:val="28"/>
        </w:rPr>
      </w:pPr>
      <w:r w:rsidRPr="003B6B9A">
        <w:rPr>
          <w:rFonts w:eastAsia="標楷體" w:hint="eastAsia"/>
          <w:sz w:val="28"/>
          <w:szCs w:val="28"/>
        </w:rPr>
        <w:t>自歐債危機爆發以來，歐元區接受國際紓困的外圍國家，因採取結構性改革已逐步重塑經濟體質並脫離紓困，繼愛爾蘭於</w:t>
      </w:r>
      <w:r w:rsidRPr="003B6B9A">
        <w:rPr>
          <w:rFonts w:eastAsia="標楷體" w:hint="eastAsia"/>
          <w:sz w:val="28"/>
          <w:szCs w:val="28"/>
        </w:rPr>
        <w:t>2013</w:t>
      </w:r>
      <w:r w:rsidRPr="003B6B9A">
        <w:rPr>
          <w:rFonts w:eastAsia="標楷體" w:hint="eastAsia"/>
          <w:sz w:val="28"/>
          <w:szCs w:val="28"/>
        </w:rPr>
        <w:t>年</w:t>
      </w:r>
      <w:r w:rsidRPr="003B6B9A">
        <w:rPr>
          <w:rFonts w:eastAsia="標楷體" w:hint="eastAsia"/>
          <w:sz w:val="28"/>
          <w:szCs w:val="28"/>
        </w:rPr>
        <w:t>12</w:t>
      </w:r>
      <w:r w:rsidRPr="003B6B9A">
        <w:rPr>
          <w:rFonts w:eastAsia="標楷體" w:hint="eastAsia"/>
          <w:sz w:val="28"/>
          <w:szCs w:val="28"/>
        </w:rPr>
        <w:t>月</w:t>
      </w:r>
      <w:r w:rsidRPr="003B6B9A">
        <w:rPr>
          <w:rFonts w:eastAsia="標楷體" w:hint="eastAsia"/>
          <w:sz w:val="28"/>
          <w:szCs w:val="28"/>
        </w:rPr>
        <w:t>15</w:t>
      </w:r>
      <w:r w:rsidRPr="003B6B9A">
        <w:rPr>
          <w:rFonts w:eastAsia="標楷體" w:hint="eastAsia"/>
          <w:sz w:val="28"/>
          <w:szCs w:val="28"/>
        </w:rPr>
        <w:t>日脫離紓困後，葡萄牙亦於</w:t>
      </w:r>
      <w:r w:rsidRPr="003B6B9A">
        <w:rPr>
          <w:rFonts w:eastAsia="標楷體" w:hint="eastAsia"/>
          <w:sz w:val="28"/>
          <w:szCs w:val="28"/>
        </w:rPr>
        <w:t>2014</w:t>
      </w:r>
      <w:r w:rsidRPr="003B6B9A">
        <w:rPr>
          <w:rFonts w:eastAsia="標楷體" w:hint="eastAsia"/>
          <w:sz w:val="28"/>
          <w:szCs w:val="28"/>
        </w:rPr>
        <w:t>年</w:t>
      </w:r>
      <w:r w:rsidRPr="003B6B9A">
        <w:rPr>
          <w:rFonts w:eastAsia="標楷體" w:hint="eastAsia"/>
          <w:sz w:val="28"/>
          <w:szCs w:val="28"/>
        </w:rPr>
        <w:t>5</w:t>
      </w:r>
      <w:r w:rsidRPr="003B6B9A">
        <w:rPr>
          <w:rFonts w:eastAsia="標楷體" w:hint="eastAsia"/>
          <w:sz w:val="28"/>
          <w:szCs w:val="28"/>
        </w:rPr>
        <w:t>月</w:t>
      </w:r>
      <w:r w:rsidRPr="003B6B9A">
        <w:rPr>
          <w:rFonts w:eastAsia="標楷體" w:hint="eastAsia"/>
          <w:sz w:val="28"/>
          <w:szCs w:val="28"/>
        </w:rPr>
        <w:t>17</w:t>
      </w:r>
      <w:r w:rsidRPr="003B6B9A">
        <w:rPr>
          <w:rFonts w:eastAsia="標楷體" w:hint="eastAsia"/>
          <w:sz w:val="28"/>
          <w:szCs w:val="28"/>
        </w:rPr>
        <w:t>日脫離紓困行列，顯示歐元區多數國家財政體質已逐步回穩，加以歐洲央行持續維持低利寬鬆貨幣政策刺激經濟，整體顯現緩步復甦狀態。</w:t>
      </w:r>
    </w:p>
    <w:p w:rsidR="004B772B" w:rsidRPr="003B6B9A" w:rsidRDefault="004B772B" w:rsidP="004B772B">
      <w:pPr>
        <w:spacing w:beforeLines="30" w:before="108" w:afterLines="30" w:after="108" w:line="500" w:lineRule="exact"/>
        <w:ind w:leftChars="200" w:left="480" w:firstLineChars="200" w:firstLine="560"/>
        <w:jc w:val="both"/>
        <w:rPr>
          <w:rFonts w:eastAsia="標楷體"/>
          <w:sz w:val="28"/>
          <w:szCs w:val="28"/>
        </w:rPr>
      </w:pPr>
      <w:r w:rsidRPr="003B6B9A">
        <w:rPr>
          <w:rFonts w:eastAsia="標楷體" w:hint="eastAsia"/>
          <w:sz w:val="28"/>
          <w:szCs w:val="28"/>
        </w:rPr>
        <w:t>根據歐盟統計局</w:t>
      </w:r>
      <w:r w:rsidRPr="003B6B9A">
        <w:rPr>
          <w:rFonts w:eastAsia="標楷體" w:hint="eastAsia"/>
          <w:sz w:val="28"/>
          <w:szCs w:val="28"/>
        </w:rPr>
        <w:t>2015</w:t>
      </w:r>
      <w:r w:rsidRPr="003B6B9A">
        <w:rPr>
          <w:rFonts w:eastAsia="標楷體" w:hint="eastAsia"/>
          <w:sz w:val="28"/>
          <w:szCs w:val="28"/>
        </w:rPr>
        <w:t>年</w:t>
      </w:r>
      <w:r w:rsidRPr="003B6B9A">
        <w:rPr>
          <w:rFonts w:eastAsia="標楷體" w:hint="eastAsia"/>
          <w:sz w:val="28"/>
          <w:szCs w:val="28"/>
        </w:rPr>
        <w:t>5</w:t>
      </w:r>
      <w:r w:rsidRPr="003B6B9A">
        <w:rPr>
          <w:rFonts w:eastAsia="標楷體" w:hint="eastAsia"/>
          <w:sz w:val="28"/>
          <w:szCs w:val="28"/>
        </w:rPr>
        <w:t>月</w:t>
      </w:r>
      <w:r w:rsidRPr="003B6B9A">
        <w:rPr>
          <w:rFonts w:eastAsia="標楷體" w:hint="eastAsia"/>
          <w:sz w:val="28"/>
          <w:szCs w:val="28"/>
        </w:rPr>
        <w:t>13</w:t>
      </w:r>
      <w:r w:rsidRPr="003B6B9A">
        <w:rPr>
          <w:rFonts w:eastAsia="標楷體" w:hint="eastAsia"/>
          <w:sz w:val="28"/>
          <w:szCs w:val="28"/>
        </w:rPr>
        <w:t>日公布的</w:t>
      </w:r>
      <w:r w:rsidRPr="003B6B9A">
        <w:rPr>
          <w:rFonts w:eastAsia="標楷體" w:hint="eastAsia"/>
          <w:sz w:val="28"/>
          <w:szCs w:val="28"/>
        </w:rPr>
        <w:t>2015</w:t>
      </w:r>
      <w:r w:rsidRPr="003B6B9A">
        <w:rPr>
          <w:rFonts w:eastAsia="標楷體" w:hint="eastAsia"/>
          <w:sz w:val="28"/>
          <w:szCs w:val="28"/>
        </w:rPr>
        <w:t>年第</w:t>
      </w:r>
      <w:r w:rsidRPr="003B6B9A">
        <w:rPr>
          <w:rFonts w:eastAsia="標楷體" w:hint="eastAsia"/>
          <w:sz w:val="28"/>
          <w:szCs w:val="28"/>
        </w:rPr>
        <w:t>1</w:t>
      </w:r>
      <w:r w:rsidRPr="003B6B9A">
        <w:rPr>
          <w:rFonts w:eastAsia="標楷體" w:hint="eastAsia"/>
          <w:sz w:val="28"/>
          <w:szCs w:val="28"/>
        </w:rPr>
        <w:t>季</w:t>
      </w:r>
      <w:r w:rsidRPr="003B6B9A">
        <w:rPr>
          <w:rFonts w:eastAsia="標楷體" w:hint="eastAsia"/>
          <w:sz w:val="28"/>
          <w:szCs w:val="28"/>
        </w:rPr>
        <w:t>GDP</w:t>
      </w:r>
      <w:r w:rsidRPr="003B6B9A">
        <w:rPr>
          <w:rFonts w:eastAsia="標楷體" w:hint="eastAsia"/>
          <w:sz w:val="28"/>
          <w:szCs w:val="28"/>
        </w:rPr>
        <w:t>成長率顯示，歐元區較上季成長</w:t>
      </w:r>
      <w:r w:rsidRPr="003B6B9A">
        <w:rPr>
          <w:rFonts w:eastAsia="標楷體" w:hint="eastAsia"/>
          <w:sz w:val="28"/>
          <w:szCs w:val="28"/>
        </w:rPr>
        <w:t>0.4</w:t>
      </w:r>
      <w:r w:rsidRPr="003B6B9A">
        <w:rPr>
          <w:rFonts w:eastAsia="標楷體" w:hint="eastAsia"/>
          <w:sz w:val="28"/>
          <w:szCs w:val="28"/>
        </w:rPr>
        <w:t>％，高於英國及美國的</w:t>
      </w:r>
      <w:r w:rsidRPr="003B6B9A">
        <w:rPr>
          <w:rFonts w:eastAsia="標楷體" w:hint="eastAsia"/>
          <w:sz w:val="28"/>
          <w:szCs w:val="28"/>
        </w:rPr>
        <w:t>0.3</w:t>
      </w:r>
      <w:r w:rsidRPr="003B6B9A">
        <w:rPr>
          <w:rFonts w:eastAsia="標楷體" w:hint="eastAsia"/>
          <w:sz w:val="28"/>
          <w:szCs w:val="28"/>
        </w:rPr>
        <w:t>％及</w:t>
      </w:r>
      <w:r w:rsidRPr="003B6B9A">
        <w:rPr>
          <w:rFonts w:eastAsia="標楷體" w:hint="eastAsia"/>
          <w:sz w:val="28"/>
          <w:szCs w:val="28"/>
        </w:rPr>
        <w:t>0.1</w:t>
      </w:r>
      <w:r w:rsidRPr="003B6B9A">
        <w:rPr>
          <w:rFonts w:eastAsia="標楷體" w:hint="eastAsia"/>
          <w:sz w:val="28"/>
          <w:szCs w:val="28"/>
        </w:rPr>
        <w:t>％。主要國家當中，西班牙擺脫撙節，消費及投資獲得提振，成長速度最快，達</w:t>
      </w:r>
      <w:r w:rsidRPr="003B6B9A">
        <w:rPr>
          <w:rFonts w:eastAsia="標楷體" w:hint="eastAsia"/>
          <w:sz w:val="28"/>
          <w:szCs w:val="28"/>
        </w:rPr>
        <w:t>0.9</w:t>
      </w:r>
      <w:r w:rsidRPr="003B6B9A">
        <w:rPr>
          <w:rFonts w:eastAsia="標楷體" w:hint="eastAsia"/>
          <w:sz w:val="28"/>
          <w:szCs w:val="28"/>
        </w:rPr>
        <w:t>％；義大利曾於</w:t>
      </w:r>
      <w:r w:rsidRPr="003B6B9A">
        <w:rPr>
          <w:rFonts w:eastAsia="標楷體" w:hint="eastAsia"/>
          <w:sz w:val="28"/>
          <w:szCs w:val="28"/>
        </w:rPr>
        <w:t>2014</w:t>
      </w:r>
      <w:r w:rsidRPr="003B6B9A">
        <w:rPr>
          <w:rFonts w:eastAsia="標楷體" w:hint="eastAsia"/>
          <w:sz w:val="28"/>
          <w:szCs w:val="28"/>
        </w:rPr>
        <w:t>年第</w:t>
      </w:r>
      <w:r w:rsidRPr="003B6B9A">
        <w:rPr>
          <w:rFonts w:eastAsia="標楷體" w:hint="eastAsia"/>
          <w:sz w:val="28"/>
          <w:szCs w:val="28"/>
        </w:rPr>
        <w:t>1</w:t>
      </w:r>
      <w:r w:rsidRPr="003B6B9A">
        <w:rPr>
          <w:rFonts w:eastAsia="標楷體" w:hint="eastAsia"/>
          <w:sz w:val="28"/>
          <w:szCs w:val="28"/>
        </w:rPr>
        <w:t>、</w:t>
      </w:r>
      <w:r w:rsidRPr="003B6B9A">
        <w:rPr>
          <w:rFonts w:eastAsia="標楷體" w:hint="eastAsia"/>
          <w:sz w:val="28"/>
          <w:szCs w:val="28"/>
        </w:rPr>
        <w:t>2</w:t>
      </w:r>
      <w:r w:rsidRPr="003B6B9A">
        <w:rPr>
          <w:rFonts w:eastAsia="標楷體" w:hint="eastAsia"/>
          <w:sz w:val="28"/>
          <w:szCs w:val="28"/>
        </w:rPr>
        <w:t>季連續負成長，如今國內需求增加，擺脫衰退，成長</w:t>
      </w:r>
      <w:r w:rsidRPr="003B6B9A">
        <w:rPr>
          <w:rFonts w:eastAsia="標楷體" w:hint="eastAsia"/>
          <w:sz w:val="28"/>
          <w:szCs w:val="28"/>
        </w:rPr>
        <w:t>0.3</w:t>
      </w:r>
      <w:r w:rsidRPr="003B6B9A">
        <w:rPr>
          <w:rFonts w:eastAsia="標楷體" w:hint="eastAsia"/>
          <w:sz w:val="28"/>
          <w:szCs w:val="28"/>
        </w:rPr>
        <w:t>％；德國則因對中國大陸出口減緩，僅較上季成長</w:t>
      </w:r>
      <w:r w:rsidRPr="003B6B9A">
        <w:rPr>
          <w:rFonts w:eastAsia="標楷體" w:hint="eastAsia"/>
          <w:sz w:val="28"/>
          <w:szCs w:val="28"/>
        </w:rPr>
        <w:t>0.3</w:t>
      </w:r>
      <w:r w:rsidRPr="003B6B9A">
        <w:rPr>
          <w:rFonts w:eastAsia="標楷體" w:hint="eastAsia"/>
          <w:sz w:val="28"/>
          <w:szCs w:val="28"/>
        </w:rPr>
        <w:t>％（表</w:t>
      </w:r>
      <w:r w:rsidRPr="003B6B9A">
        <w:rPr>
          <w:rFonts w:eastAsia="標楷體" w:hint="eastAsia"/>
          <w:sz w:val="28"/>
          <w:szCs w:val="28"/>
        </w:rPr>
        <w:t>3</w:t>
      </w:r>
      <w:r w:rsidRPr="003B6B9A">
        <w:rPr>
          <w:rFonts w:eastAsia="標楷體" w:hint="eastAsia"/>
          <w:sz w:val="28"/>
          <w:szCs w:val="28"/>
        </w:rPr>
        <w:t>）。</w:t>
      </w:r>
    </w:p>
    <w:p w:rsidR="004B772B" w:rsidRPr="003B6B9A" w:rsidRDefault="004B772B" w:rsidP="004B772B">
      <w:pPr>
        <w:spacing w:beforeLines="30" w:before="108" w:afterLines="30" w:after="108" w:line="440" w:lineRule="exact"/>
        <w:ind w:firstLineChars="200" w:firstLine="561"/>
        <w:jc w:val="center"/>
        <w:rPr>
          <w:rFonts w:eastAsia="標楷體"/>
          <w:b/>
          <w:sz w:val="28"/>
          <w:szCs w:val="28"/>
        </w:rPr>
      </w:pPr>
      <w:r w:rsidRPr="003B6B9A">
        <w:rPr>
          <w:rFonts w:eastAsia="標楷體"/>
          <w:b/>
          <w:sz w:val="28"/>
          <w:szCs w:val="28"/>
        </w:rPr>
        <w:t>表</w:t>
      </w:r>
      <w:r w:rsidRPr="003B6B9A">
        <w:rPr>
          <w:rFonts w:eastAsia="標楷體" w:hint="eastAsia"/>
          <w:b/>
          <w:sz w:val="28"/>
          <w:szCs w:val="28"/>
        </w:rPr>
        <w:t>3</w:t>
      </w:r>
      <w:r w:rsidRPr="003B6B9A">
        <w:rPr>
          <w:rFonts w:eastAsia="標楷體" w:hint="eastAsia"/>
          <w:b/>
          <w:sz w:val="28"/>
          <w:szCs w:val="28"/>
        </w:rPr>
        <w:t xml:space="preserve">　歐元區及主要國家</w:t>
      </w:r>
      <w:r w:rsidRPr="003B6B9A">
        <w:rPr>
          <w:rFonts w:eastAsia="標楷體" w:hint="eastAsia"/>
          <w:b/>
          <w:sz w:val="28"/>
          <w:szCs w:val="28"/>
        </w:rPr>
        <w:t>2015</w:t>
      </w:r>
      <w:r w:rsidRPr="003B6B9A">
        <w:rPr>
          <w:rFonts w:eastAsia="標楷體" w:hint="eastAsia"/>
          <w:b/>
          <w:sz w:val="28"/>
          <w:szCs w:val="28"/>
        </w:rPr>
        <w:t>年第</w:t>
      </w:r>
      <w:r w:rsidRPr="003B6B9A">
        <w:rPr>
          <w:rFonts w:eastAsia="標楷體" w:hint="eastAsia"/>
          <w:b/>
          <w:sz w:val="28"/>
          <w:szCs w:val="28"/>
        </w:rPr>
        <w:t>1</w:t>
      </w:r>
      <w:r w:rsidRPr="003B6B9A">
        <w:rPr>
          <w:rFonts w:eastAsia="標楷體" w:hint="eastAsia"/>
          <w:b/>
          <w:sz w:val="28"/>
          <w:szCs w:val="28"/>
        </w:rPr>
        <w:t>季經濟成長率</w:t>
      </w:r>
    </w:p>
    <w:p w:rsidR="004B772B" w:rsidRPr="003B6B9A" w:rsidRDefault="004B772B" w:rsidP="004B772B">
      <w:pPr>
        <w:spacing w:beforeLines="30" w:before="108" w:afterLines="30" w:after="108" w:line="440" w:lineRule="exact"/>
        <w:ind w:right="720" w:firstLineChars="200" w:firstLine="360"/>
        <w:rPr>
          <w:rFonts w:eastAsia="標楷體"/>
          <w:sz w:val="20"/>
          <w:szCs w:val="28"/>
        </w:rPr>
      </w:pPr>
      <w:r w:rsidRPr="003B6B9A">
        <w:rPr>
          <w:rFonts w:eastAsia="標楷體" w:hint="eastAsia"/>
          <w:b/>
          <w:sz w:val="18"/>
          <w:szCs w:val="28"/>
        </w:rPr>
        <w:t xml:space="preserve">                                                                         </w:t>
      </w:r>
      <w:r w:rsidRPr="003B6B9A">
        <w:rPr>
          <w:rFonts w:eastAsia="標楷體" w:hint="eastAsia"/>
          <w:sz w:val="20"/>
          <w:szCs w:val="28"/>
        </w:rPr>
        <w:t>單位：％</w:t>
      </w:r>
    </w:p>
    <w:tbl>
      <w:tblPr>
        <w:tblW w:w="4064" w:type="pct"/>
        <w:jc w:val="center"/>
        <w:tblInd w:w="7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5"/>
        <w:gridCol w:w="2082"/>
        <w:gridCol w:w="2051"/>
      </w:tblGrid>
      <w:tr w:rsidR="004B772B" w:rsidRPr="003B6B9A" w:rsidTr="008F5F6F">
        <w:trPr>
          <w:trHeight w:val="667"/>
          <w:tblHeader/>
          <w:jc w:val="center"/>
        </w:trPr>
        <w:tc>
          <w:tcPr>
            <w:tcW w:w="2084" w:type="pct"/>
            <w:tcBorders>
              <w:top w:val="thinThickSmallGap" w:sz="24" w:space="0" w:color="auto"/>
              <w:bottom w:val="double" w:sz="4" w:space="0" w:color="auto"/>
            </w:tcBorders>
            <w:vAlign w:val="center"/>
          </w:tcPr>
          <w:p w:rsidR="004B772B" w:rsidRPr="003B6B9A" w:rsidRDefault="004B772B" w:rsidP="008F5F6F">
            <w:pPr>
              <w:snapToGrid w:val="0"/>
              <w:spacing w:line="360" w:lineRule="exact"/>
              <w:jc w:val="both"/>
              <w:rPr>
                <w:rFonts w:eastAsia="標楷體"/>
                <w:b/>
              </w:rPr>
            </w:pPr>
            <w:r w:rsidRPr="003B6B9A">
              <w:rPr>
                <w:rFonts w:eastAsia="標楷體" w:hint="eastAsia"/>
                <w:b/>
              </w:rPr>
              <w:t>國</w:t>
            </w:r>
            <w:r w:rsidRPr="003B6B9A">
              <w:rPr>
                <w:rFonts w:eastAsia="標楷體" w:hint="eastAsia"/>
                <w:b/>
              </w:rPr>
              <w:t xml:space="preserve">  </w:t>
            </w:r>
            <w:r w:rsidRPr="003B6B9A">
              <w:rPr>
                <w:rFonts w:eastAsia="標楷體" w:hint="eastAsia"/>
                <w:b/>
              </w:rPr>
              <w:t>家</w:t>
            </w:r>
          </w:p>
        </w:tc>
        <w:tc>
          <w:tcPr>
            <w:tcW w:w="1469" w:type="pct"/>
            <w:tcBorders>
              <w:top w:val="thinThickSmallGap" w:sz="24" w:space="0" w:color="auto"/>
              <w:bottom w:val="double" w:sz="4" w:space="0" w:color="auto"/>
            </w:tcBorders>
            <w:shd w:val="clear" w:color="auto" w:fill="D9D9D9"/>
            <w:vAlign w:val="center"/>
          </w:tcPr>
          <w:p w:rsidR="004B772B" w:rsidRPr="003B6B9A" w:rsidRDefault="004B772B" w:rsidP="008F5F6F">
            <w:pPr>
              <w:snapToGrid w:val="0"/>
              <w:spacing w:line="360" w:lineRule="exact"/>
              <w:jc w:val="center"/>
              <w:rPr>
                <w:rFonts w:eastAsia="標楷體"/>
                <w:b/>
              </w:rPr>
            </w:pPr>
            <w:r w:rsidRPr="003B6B9A">
              <w:rPr>
                <w:rFonts w:eastAsia="標楷體"/>
                <w:b/>
              </w:rPr>
              <w:t>2015</w:t>
            </w:r>
            <w:r w:rsidRPr="003B6B9A">
              <w:rPr>
                <w:rFonts w:eastAsia="標楷體" w:hint="eastAsia"/>
                <w:b/>
              </w:rPr>
              <w:t>Q1</w:t>
            </w:r>
          </w:p>
          <w:p w:rsidR="004B772B" w:rsidRPr="003B6B9A" w:rsidRDefault="004B772B" w:rsidP="008F5F6F">
            <w:pPr>
              <w:snapToGrid w:val="0"/>
              <w:spacing w:line="360" w:lineRule="exact"/>
              <w:jc w:val="center"/>
              <w:rPr>
                <w:rFonts w:eastAsia="標楷體"/>
                <w:b/>
              </w:rPr>
            </w:pPr>
            <w:r w:rsidRPr="003B6B9A">
              <w:rPr>
                <w:rFonts w:eastAsia="標楷體" w:hint="eastAsia"/>
                <w:b/>
              </w:rPr>
              <w:t>（較上季成長）</w:t>
            </w:r>
          </w:p>
        </w:tc>
        <w:tc>
          <w:tcPr>
            <w:tcW w:w="1448" w:type="pct"/>
            <w:tcBorders>
              <w:top w:val="thinThickSmallGap" w:sz="24" w:space="0" w:color="auto"/>
              <w:bottom w:val="double" w:sz="4" w:space="0" w:color="auto"/>
              <w:right w:val="single" w:sz="4" w:space="0" w:color="auto"/>
            </w:tcBorders>
            <w:shd w:val="clear" w:color="auto" w:fill="D9D9D9"/>
            <w:vAlign w:val="center"/>
          </w:tcPr>
          <w:p w:rsidR="004B772B" w:rsidRPr="003B6B9A" w:rsidRDefault="004B772B" w:rsidP="008F5F6F">
            <w:pPr>
              <w:snapToGrid w:val="0"/>
              <w:spacing w:line="360" w:lineRule="exact"/>
              <w:jc w:val="center"/>
              <w:rPr>
                <w:rFonts w:eastAsia="標楷體"/>
                <w:b/>
              </w:rPr>
            </w:pPr>
            <w:r w:rsidRPr="003B6B9A">
              <w:rPr>
                <w:rFonts w:eastAsia="標楷體"/>
                <w:b/>
              </w:rPr>
              <w:t>201</w:t>
            </w:r>
            <w:r w:rsidRPr="003B6B9A">
              <w:rPr>
                <w:rFonts w:eastAsia="標楷體" w:hint="eastAsia"/>
                <w:b/>
              </w:rPr>
              <w:t xml:space="preserve">5Q1 </w:t>
            </w:r>
          </w:p>
          <w:p w:rsidR="004B772B" w:rsidRPr="003B6B9A" w:rsidRDefault="004B772B" w:rsidP="008F5F6F">
            <w:pPr>
              <w:snapToGrid w:val="0"/>
              <w:spacing w:line="360" w:lineRule="exact"/>
              <w:jc w:val="center"/>
              <w:rPr>
                <w:rFonts w:eastAsia="標楷體"/>
                <w:b/>
              </w:rPr>
            </w:pPr>
            <w:r w:rsidRPr="003B6B9A">
              <w:rPr>
                <w:rFonts w:eastAsia="標楷體" w:hint="eastAsia"/>
                <w:b/>
              </w:rPr>
              <w:t>（較上年成長）</w:t>
            </w:r>
          </w:p>
        </w:tc>
      </w:tr>
      <w:tr w:rsidR="004B772B" w:rsidRPr="003B6B9A" w:rsidTr="008F5F6F">
        <w:trPr>
          <w:trHeight w:val="304"/>
          <w:jc w:val="center"/>
        </w:trPr>
        <w:tc>
          <w:tcPr>
            <w:tcW w:w="2084" w:type="pct"/>
            <w:tcBorders>
              <w:top w:val="double" w:sz="4" w:space="0" w:color="auto"/>
            </w:tcBorders>
          </w:tcPr>
          <w:p w:rsidR="004B772B" w:rsidRPr="003B6B9A" w:rsidRDefault="004B772B" w:rsidP="008F5F6F">
            <w:pPr>
              <w:snapToGrid w:val="0"/>
              <w:spacing w:line="360" w:lineRule="exact"/>
              <w:rPr>
                <w:rFonts w:eastAsia="標楷體"/>
                <w:b/>
              </w:rPr>
            </w:pPr>
            <w:r w:rsidRPr="003B6B9A">
              <w:rPr>
                <w:rFonts w:eastAsia="標楷體" w:hint="eastAsia"/>
                <w:b/>
              </w:rPr>
              <w:t>歐元區</w:t>
            </w:r>
            <w:r w:rsidRPr="003B6B9A">
              <w:rPr>
                <w:rFonts w:eastAsia="標楷體" w:hint="eastAsia"/>
                <w:b/>
              </w:rPr>
              <w:t>19</w:t>
            </w:r>
            <w:r w:rsidRPr="003B6B9A">
              <w:rPr>
                <w:rFonts w:eastAsia="標楷體" w:hint="eastAsia"/>
                <w:b/>
              </w:rPr>
              <w:t>國</w:t>
            </w:r>
          </w:p>
        </w:tc>
        <w:tc>
          <w:tcPr>
            <w:tcW w:w="1469" w:type="pct"/>
            <w:tcBorders>
              <w:top w:val="double" w:sz="4" w:space="0" w:color="auto"/>
            </w:tcBorders>
            <w:shd w:val="clear" w:color="auto" w:fill="D9D9D9"/>
            <w:vAlign w:val="bottom"/>
          </w:tcPr>
          <w:p w:rsidR="004B772B" w:rsidRPr="003B6B9A" w:rsidRDefault="004B772B" w:rsidP="008F5F6F">
            <w:pPr>
              <w:snapToGrid w:val="0"/>
              <w:spacing w:line="360" w:lineRule="exact"/>
              <w:jc w:val="center"/>
              <w:rPr>
                <w:rFonts w:eastAsia="標楷體"/>
                <w:szCs w:val="28"/>
              </w:rPr>
            </w:pPr>
            <w:r w:rsidRPr="003B6B9A">
              <w:rPr>
                <w:rFonts w:eastAsia="標楷體" w:hint="eastAsia"/>
                <w:szCs w:val="28"/>
              </w:rPr>
              <w:t>0.4</w:t>
            </w:r>
          </w:p>
        </w:tc>
        <w:tc>
          <w:tcPr>
            <w:tcW w:w="1448" w:type="pct"/>
            <w:tcBorders>
              <w:top w:val="double" w:sz="4" w:space="0" w:color="auto"/>
              <w:right w:val="single" w:sz="4" w:space="0" w:color="auto"/>
            </w:tcBorders>
            <w:shd w:val="clear" w:color="auto" w:fill="D9D9D9"/>
            <w:vAlign w:val="bottom"/>
          </w:tcPr>
          <w:p w:rsidR="004B772B" w:rsidRPr="003B6B9A" w:rsidRDefault="004B772B" w:rsidP="008F5F6F">
            <w:pPr>
              <w:snapToGrid w:val="0"/>
              <w:spacing w:line="360" w:lineRule="exact"/>
              <w:jc w:val="center"/>
              <w:rPr>
                <w:rFonts w:eastAsia="標楷體"/>
                <w:szCs w:val="28"/>
              </w:rPr>
            </w:pPr>
            <w:r w:rsidRPr="003B6B9A">
              <w:rPr>
                <w:rFonts w:eastAsia="標楷體" w:hint="eastAsia"/>
                <w:szCs w:val="28"/>
              </w:rPr>
              <w:t>1.0</w:t>
            </w:r>
          </w:p>
        </w:tc>
      </w:tr>
      <w:tr w:rsidR="004B772B" w:rsidRPr="003B6B9A" w:rsidTr="008F5F6F">
        <w:trPr>
          <w:trHeight w:val="304"/>
          <w:jc w:val="center"/>
        </w:trPr>
        <w:tc>
          <w:tcPr>
            <w:tcW w:w="2084" w:type="pct"/>
            <w:tcBorders>
              <w:bottom w:val="single" w:sz="12" w:space="0" w:color="auto"/>
            </w:tcBorders>
          </w:tcPr>
          <w:p w:rsidR="004B772B" w:rsidRPr="003B6B9A" w:rsidRDefault="004B772B" w:rsidP="008F5F6F">
            <w:pPr>
              <w:snapToGrid w:val="0"/>
              <w:spacing w:line="360" w:lineRule="exact"/>
              <w:rPr>
                <w:rFonts w:eastAsia="標楷體"/>
                <w:b/>
              </w:rPr>
            </w:pPr>
            <w:r w:rsidRPr="003B6B9A">
              <w:rPr>
                <w:rFonts w:eastAsia="標楷體" w:hint="eastAsia"/>
                <w:b/>
              </w:rPr>
              <w:t>歐</w:t>
            </w:r>
            <w:r w:rsidRPr="003B6B9A">
              <w:rPr>
                <w:rFonts w:eastAsia="標楷體" w:hint="eastAsia"/>
                <w:b/>
              </w:rPr>
              <w:t xml:space="preserve">  </w:t>
            </w:r>
            <w:r w:rsidRPr="003B6B9A">
              <w:rPr>
                <w:rFonts w:eastAsia="標楷體" w:hint="eastAsia"/>
                <w:b/>
              </w:rPr>
              <w:t>盟</w:t>
            </w:r>
            <w:r w:rsidRPr="003B6B9A">
              <w:rPr>
                <w:rFonts w:eastAsia="標楷體" w:hint="eastAsia"/>
                <w:b/>
              </w:rPr>
              <w:t>28</w:t>
            </w:r>
            <w:r w:rsidRPr="003B6B9A">
              <w:rPr>
                <w:rFonts w:eastAsia="標楷體" w:hint="eastAsia"/>
                <w:b/>
              </w:rPr>
              <w:t>國</w:t>
            </w:r>
          </w:p>
        </w:tc>
        <w:tc>
          <w:tcPr>
            <w:tcW w:w="1469" w:type="pct"/>
            <w:tcBorders>
              <w:bottom w:val="single" w:sz="12" w:space="0" w:color="auto"/>
            </w:tcBorders>
            <w:shd w:val="clear" w:color="auto" w:fill="D9D9D9"/>
            <w:vAlign w:val="bottom"/>
          </w:tcPr>
          <w:p w:rsidR="004B772B" w:rsidRPr="003B6B9A" w:rsidRDefault="004B772B" w:rsidP="008F5F6F">
            <w:pPr>
              <w:adjustRightInd w:val="0"/>
              <w:snapToGrid w:val="0"/>
              <w:spacing w:line="360" w:lineRule="exact"/>
              <w:jc w:val="center"/>
              <w:rPr>
                <w:rFonts w:eastAsia="標楷體"/>
                <w:color w:val="000000"/>
                <w:szCs w:val="28"/>
              </w:rPr>
            </w:pPr>
            <w:r w:rsidRPr="003B6B9A">
              <w:rPr>
                <w:rFonts w:eastAsia="標楷體" w:hint="eastAsia"/>
                <w:color w:val="000000"/>
                <w:szCs w:val="28"/>
              </w:rPr>
              <w:t>0.4</w:t>
            </w:r>
          </w:p>
        </w:tc>
        <w:tc>
          <w:tcPr>
            <w:tcW w:w="1448" w:type="pct"/>
            <w:tcBorders>
              <w:bottom w:val="single" w:sz="12" w:space="0" w:color="auto"/>
              <w:right w:val="single" w:sz="4" w:space="0" w:color="auto"/>
            </w:tcBorders>
            <w:shd w:val="clear" w:color="auto" w:fill="D9D9D9"/>
            <w:vAlign w:val="bottom"/>
          </w:tcPr>
          <w:p w:rsidR="004B772B" w:rsidRPr="003B6B9A" w:rsidRDefault="004B772B" w:rsidP="008F5F6F">
            <w:pPr>
              <w:adjustRightInd w:val="0"/>
              <w:snapToGrid w:val="0"/>
              <w:spacing w:line="360" w:lineRule="exact"/>
              <w:jc w:val="center"/>
              <w:rPr>
                <w:rFonts w:eastAsia="標楷體"/>
                <w:color w:val="000000"/>
                <w:szCs w:val="28"/>
              </w:rPr>
            </w:pPr>
            <w:r w:rsidRPr="003B6B9A">
              <w:rPr>
                <w:rFonts w:eastAsia="標楷體" w:hint="eastAsia"/>
                <w:color w:val="000000"/>
                <w:szCs w:val="28"/>
              </w:rPr>
              <w:t>1.4</w:t>
            </w:r>
          </w:p>
        </w:tc>
      </w:tr>
      <w:tr w:rsidR="004B772B" w:rsidRPr="003B6B9A" w:rsidTr="008F5F6F">
        <w:trPr>
          <w:trHeight w:val="318"/>
          <w:jc w:val="center"/>
        </w:trPr>
        <w:tc>
          <w:tcPr>
            <w:tcW w:w="2084" w:type="pct"/>
            <w:tcBorders>
              <w:top w:val="single" w:sz="12" w:space="0" w:color="auto"/>
            </w:tcBorders>
          </w:tcPr>
          <w:p w:rsidR="004B772B" w:rsidRPr="003B6B9A" w:rsidRDefault="004B772B" w:rsidP="008F5F6F">
            <w:pPr>
              <w:snapToGrid w:val="0"/>
              <w:spacing w:line="360" w:lineRule="exact"/>
              <w:rPr>
                <w:rFonts w:eastAsia="標楷體"/>
                <w:b/>
              </w:rPr>
            </w:pPr>
            <w:r w:rsidRPr="003B6B9A">
              <w:rPr>
                <w:rFonts w:eastAsia="標楷體" w:hint="eastAsia"/>
                <w:b/>
              </w:rPr>
              <w:t>德</w:t>
            </w:r>
            <w:r w:rsidRPr="003B6B9A">
              <w:rPr>
                <w:rFonts w:eastAsia="標楷體" w:hint="eastAsia"/>
                <w:b/>
              </w:rPr>
              <w:t xml:space="preserve">  </w:t>
            </w:r>
            <w:r w:rsidRPr="003B6B9A">
              <w:rPr>
                <w:rFonts w:eastAsia="標楷體" w:hint="eastAsia"/>
                <w:b/>
              </w:rPr>
              <w:t>國</w:t>
            </w:r>
          </w:p>
        </w:tc>
        <w:tc>
          <w:tcPr>
            <w:tcW w:w="1469" w:type="pct"/>
            <w:tcBorders>
              <w:top w:val="single" w:sz="12" w:space="0" w:color="auto"/>
            </w:tcBorders>
            <w:shd w:val="clear" w:color="auto" w:fill="D9D9D9"/>
            <w:vAlign w:val="bottom"/>
          </w:tcPr>
          <w:p w:rsidR="004B772B" w:rsidRPr="003B6B9A" w:rsidRDefault="004B772B" w:rsidP="008F5F6F">
            <w:pPr>
              <w:snapToGrid w:val="0"/>
              <w:spacing w:line="360" w:lineRule="exact"/>
              <w:jc w:val="center"/>
              <w:rPr>
                <w:rFonts w:eastAsia="標楷體"/>
                <w:szCs w:val="28"/>
              </w:rPr>
            </w:pPr>
            <w:r w:rsidRPr="003B6B9A">
              <w:rPr>
                <w:rFonts w:eastAsia="標楷體" w:hint="eastAsia"/>
                <w:szCs w:val="28"/>
              </w:rPr>
              <w:t>0.3</w:t>
            </w:r>
          </w:p>
        </w:tc>
        <w:tc>
          <w:tcPr>
            <w:tcW w:w="1448" w:type="pct"/>
            <w:tcBorders>
              <w:top w:val="single" w:sz="12" w:space="0" w:color="auto"/>
              <w:right w:val="single" w:sz="4" w:space="0" w:color="auto"/>
            </w:tcBorders>
            <w:shd w:val="clear" w:color="auto" w:fill="D9D9D9"/>
            <w:vAlign w:val="bottom"/>
          </w:tcPr>
          <w:p w:rsidR="004B772B" w:rsidRPr="003B6B9A" w:rsidRDefault="004B772B" w:rsidP="008F5F6F">
            <w:pPr>
              <w:snapToGrid w:val="0"/>
              <w:spacing w:line="360" w:lineRule="exact"/>
              <w:jc w:val="center"/>
              <w:rPr>
                <w:rFonts w:eastAsia="標楷體"/>
                <w:szCs w:val="28"/>
              </w:rPr>
            </w:pPr>
            <w:r w:rsidRPr="003B6B9A">
              <w:rPr>
                <w:rFonts w:eastAsia="標楷體" w:hint="eastAsia"/>
                <w:szCs w:val="28"/>
              </w:rPr>
              <w:t>1.0</w:t>
            </w:r>
          </w:p>
        </w:tc>
      </w:tr>
      <w:tr w:rsidR="004B772B" w:rsidRPr="003B6B9A" w:rsidTr="008F5F6F">
        <w:trPr>
          <w:trHeight w:val="304"/>
          <w:jc w:val="center"/>
        </w:trPr>
        <w:tc>
          <w:tcPr>
            <w:tcW w:w="2084" w:type="pct"/>
            <w:tcBorders>
              <w:bottom w:val="single" w:sz="4" w:space="0" w:color="auto"/>
            </w:tcBorders>
          </w:tcPr>
          <w:p w:rsidR="004B772B" w:rsidRPr="003B6B9A" w:rsidRDefault="004B772B" w:rsidP="008F5F6F">
            <w:pPr>
              <w:snapToGrid w:val="0"/>
              <w:spacing w:line="360" w:lineRule="exact"/>
              <w:rPr>
                <w:rFonts w:eastAsia="標楷體"/>
                <w:b/>
              </w:rPr>
            </w:pPr>
            <w:r w:rsidRPr="003B6B9A">
              <w:rPr>
                <w:rFonts w:eastAsia="標楷體" w:hint="eastAsia"/>
                <w:b/>
              </w:rPr>
              <w:t>法</w:t>
            </w:r>
            <w:r w:rsidRPr="003B6B9A">
              <w:rPr>
                <w:rFonts w:eastAsia="標楷體" w:hint="eastAsia"/>
                <w:b/>
              </w:rPr>
              <w:t xml:space="preserve">  </w:t>
            </w:r>
            <w:r w:rsidRPr="003B6B9A">
              <w:rPr>
                <w:rFonts w:eastAsia="標楷體" w:hint="eastAsia"/>
                <w:b/>
              </w:rPr>
              <w:t>國</w:t>
            </w:r>
          </w:p>
        </w:tc>
        <w:tc>
          <w:tcPr>
            <w:tcW w:w="1469" w:type="pct"/>
            <w:tcBorders>
              <w:bottom w:val="single" w:sz="4" w:space="0" w:color="auto"/>
            </w:tcBorders>
            <w:shd w:val="clear" w:color="auto" w:fill="D9D9D9"/>
          </w:tcPr>
          <w:p w:rsidR="004B772B" w:rsidRPr="003B6B9A" w:rsidRDefault="004B772B" w:rsidP="008F5F6F">
            <w:pPr>
              <w:snapToGrid w:val="0"/>
              <w:spacing w:line="360" w:lineRule="exact"/>
              <w:jc w:val="center"/>
              <w:rPr>
                <w:szCs w:val="28"/>
              </w:rPr>
            </w:pPr>
            <w:r w:rsidRPr="003B6B9A">
              <w:rPr>
                <w:rFonts w:hint="eastAsia"/>
                <w:szCs w:val="28"/>
              </w:rPr>
              <w:t>0.6</w:t>
            </w:r>
          </w:p>
        </w:tc>
        <w:tc>
          <w:tcPr>
            <w:tcW w:w="1448" w:type="pct"/>
            <w:tcBorders>
              <w:bottom w:val="single" w:sz="4" w:space="0" w:color="auto"/>
              <w:right w:val="single" w:sz="4" w:space="0" w:color="auto"/>
            </w:tcBorders>
            <w:shd w:val="clear" w:color="auto" w:fill="D9D9D9"/>
          </w:tcPr>
          <w:p w:rsidR="004B772B" w:rsidRPr="003B6B9A" w:rsidRDefault="004B772B" w:rsidP="008F5F6F">
            <w:pPr>
              <w:snapToGrid w:val="0"/>
              <w:spacing w:line="360" w:lineRule="exact"/>
              <w:jc w:val="center"/>
              <w:rPr>
                <w:szCs w:val="28"/>
              </w:rPr>
            </w:pPr>
            <w:r w:rsidRPr="003B6B9A">
              <w:rPr>
                <w:rFonts w:hint="eastAsia"/>
                <w:szCs w:val="28"/>
              </w:rPr>
              <w:t>0.7</w:t>
            </w:r>
          </w:p>
        </w:tc>
      </w:tr>
      <w:tr w:rsidR="004B772B" w:rsidRPr="003B6B9A" w:rsidTr="008F5F6F">
        <w:trPr>
          <w:trHeight w:val="318"/>
          <w:jc w:val="center"/>
        </w:trPr>
        <w:tc>
          <w:tcPr>
            <w:tcW w:w="2084" w:type="pct"/>
            <w:tcBorders>
              <w:bottom w:val="single" w:sz="4" w:space="0" w:color="auto"/>
            </w:tcBorders>
          </w:tcPr>
          <w:p w:rsidR="004B772B" w:rsidRPr="003B6B9A" w:rsidRDefault="004B772B" w:rsidP="008F5F6F">
            <w:pPr>
              <w:snapToGrid w:val="0"/>
              <w:spacing w:line="360" w:lineRule="exact"/>
              <w:rPr>
                <w:rFonts w:eastAsia="標楷體"/>
                <w:b/>
              </w:rPr>
            </w:pPr>
            <w:r w:rsidRPr="003B6B9A">
              <w:rPr>
                <w:rFonts w:eastAsia="標楷體" w:hint="eastAsia"/>
                <w:b/>
              </w:rPr>
              <w:t>義大利</w:t>
            </w:r>
          </w:p>
        </w:tc>
        <w:tc>
          <w:tcPr>
            <w:tcW w:w="1469" w:type="pct"/>
            <w:tcBorders>
              <w:bottom w:val="single" w:sz="4" w:space="0" w:color="auto"/>
            </w:tcBorders>
            <w:shd w:val="clear" w:color="auto" w:fill="D9D9D9"/>
            <w:vAlign w:val="bottom"/>
          </w:tcPr>
          <w:p w:rsidR="004B772B" w:rsidRPr="003B6B9A" w:rsidRDefault="004B772B" w:rsidP="008F5F6F">
            <w:pPr>
              <w:snapToGrid w:val="0"/>
              <w:spacing w:line="360" w:lineRule="exact"/>
              <w:jc w:val="center"/>
              <w:rPr>
                <w:rFonts w:eastAsia="標楷體"/>
                <w:szCs w:val="28"/>
              </w:rPr>
            </w:pPr>
            <w:r w:rsidRPr="003B6B9A">
              <w:rPr>
                <w:rFonts w:eastAsia="標楷體" w:hint="eastAsia"/>
                <w:szCs w:val="28"/>
              </w:rPr>
              <w:t>0.3</w:t>
            </w:r>
          </w:p>
        </w:tc>
        <w:tc>
          <w:tcPr>
            <w:tcW w:w="1448" w:type="pct"/>
            <w:tcBorders>
              <w:bottom w:val="single" w:sz="4" w:space="0" w:color="auto"/>
              <w:right w:val="single" w:sz="4" w:space="0" w:color="auto"/>
            </w:tcBorders>
            <w:shd w:val="clear" w:color="auto" w:fill="D9D9D9"/>
            <w:vAlign w:val="bottom"/>
          </w:tcPr>
          <w:p w:rsidR="004B772B" w:rsidRPr="003B6B9A" w:rsidRDefault="004B772B" w:rsidP="008F5F6F">
            <w:pPr>
              <w:snapToGrid w:val="0"/>
              <w:spacing w:line="360" w:lineRule="exact"/>
              <w:jc w:val="center"/>
              <w:rPr>
                <w:rFonts w:eastAsia="標楷體"/>
                <w:szCs w:val="28"/>
              </w:rPr>
            </w:pPr>
            <w:r w:rsidRPr="003B6B9A">
              <w:rPr>
                <w:rFonts w:eastAsia="標楷體" w:hint="eastAsia"/>
                <w:szCs w:val="28"/>
              </w:rPr>
              <w:t>0.0</w:t>
            </w:r>
          </w:p>
        </w:tc>
      </w:tr>
      <w:tr w:rsidR="004B772B" w:rsidRPr="003B6B9A" w:rsidTr="008F5F6F">
        <w:trPr>
          <w:trHeight w:val="318"/>
          <w:jc w:val="center"/>
        </w:trPr>
        <w:tc>
          <w:tcPr>
            <w:tcW w:w="2084" w:type="pct"/>
            <w:tcBorders>
              <w:top w:val="single" w:sz="4" w:space="0" w:color="auto"/>
              <w:bottom w:val="single" w:sz="4" w:space="0" w:color="auto"/>
            </w:tcBorders>
          </w:tcPr>
          <w:p w:rsidR="004B772B" w:rsidRPr="003B6B9A" w:rsidRDefault="004B772B" w:rsidP="008F5F6F">
            <w:pPr>
              <w:snapToGrid w:val="0"/>
              <w:spacing w:line="360" w:lineRule="exact"/>
              <w:rPr>
                <w:rFonts w:eastAsia="標楷體"/>
                <w:b/>
              </w:rPr>
            </w:pPr>
            <w:r w:rsidRPr="003B6B9A">
              <w:rPr>
                <w:rFonts w:eastAsia="標楷體" w:hint="eastAsia"/>
                <w:b/>
              </w:rPr>
              <w:t>西班牙</w:t>
            </w:r>
          </w:p>
        </w:tc>
        <w:tc>
          <w:tcPr>
            <w:tcW w:w="1469" w:type="pct"/>
            <w:tcBorders>
              <w:top w:val="single" w:sz="4" w:space="0" w:color="auto"/>
              <w:bottom w:val="single" w:sz="4" w:space="0" w:color="auto"/>
            </w:tcBorders>
            <w:shd w:val="clear" w:color="auto" w:fill="D9D9D9"/>
            <w:vAlign w:val="bottom"/>
          </w:tcPr>
          <w:p w:rsidR="004B772B" w:rsidRPr="003B6B9A" w:rsidRDefault="004B772B" w:rsidP="008F5F6F">
            <w:pPr>
              <w:snapToGrid w:val="0"/>
              <w:spacing w:line="360" w:lineRule="exact"/>
              <w:jc w:val="center"/>
              <w:rPr>
                <w:rFonts w:eastAsia="標楷體"/>
                <w:szCs w:val="28"/>
              </w:rPr>
            </w:pPr>
            <w:r w:rsidRPr="003B6B9A">
              <w:rPr>
                <w:rFonts w:eastAsia="標楷體" w:hint="eastAsia"/>
                <w:szCs w:val="28"/>
              </w:rPr>
              <w:t>0.9</w:t>
            </w:r>
          </w:p>
        </w:tc>
        <w:tc>
          <w:tcPr>
            <w:tcW w:w="1448" w:type="pct"/>
            <w:tcBorders>
              <w:top w:val="single" w:sz="4" w:space="0" w:color="auto"/>
              <w:bottom w:val="single" w:sz="4" w:space="0" w:color="auto"/>
              <w:right w:val="single" w:sz="4" w:space="0" w:color="auto"/>
            </w:tcBorders>
            <w:shd w:val="clear" w:color="auto" w:fill="D9D9D9"/>
            <w:vAlign w:val="bottom"/>
          </w:tcPr>
          <w:p w:rsidR="004B772B" w:rsidRPr="003B6B9A" w:rsidRDefault="004B772B" w:rsidP="008F5F6F">
            <w:pPr>
              <w:snapToGrid w:val="0"/>
              <w:spacing w:line="360" w:lineRule="exact"/>
              <w:jc w:val="center"/>
              <w:rPr>
                <w:rFonts w:eastAsia="標楷體"/>
                <w:szCs w:val="28"/>
              </w:rPr>
            </w:pPr>
            <w:r w:rsidRPr="003B6B9A">
              <w:rPr>
                <w:rFonts w:eastAsia="標楷體" w:hint="eastAsia"/>
                <w:szCs w:val="28"/>
              </w:rPr>
              <w:t>2.6</w:t>
            </w:r>
          </w:p>
        </w:tc>
      </w:tr>
      <w:tr w:rsidR="004B772B" w:rsidRPr="003B6B9A" w:rsidTr="008F5F6F">
        <w:trPr>
          <w:trHeight w:val="255"/>
          <w:jc w:val="center"/>
        </w:trPr>
        <w:tc>
          <w:tcPr>
            <w:tcW w:w="2084" w:type="pct"/>
            <w:tcBorders>
              <w:top w:val="single" w:sz="4" w:space="0" w:color="auto"/>
              <w:bottom w:val="single" w:sz="4" w:space="0" w:color="auto"/>
            </w:tcBorders>
          </w:tcPr>
          <w:p w:rsidR="004B772B" w:rsidRPr="003B6B9A" w:rsidRDefault="004B772B" w:rsidP="008F5F6F">
            <w:pPr>
              <w:snapToGrid w:val="0"/>
              <w:spacing w:line="360" w:lineRule="exact"/>
              <w:rPr>
                <w:rFonts w:eastAsia="標楷體"/>
                <w:b/>
              </w:rPr>
            </w:pPr>
            <w:r w:rsidRPr="003B6B9A">
              <w:rPr>
                <w:rFonts w:eastAsia="標楷體" w:hint="eastAsia"/>
                <w:b/>
              </w:rPr>
              <w:t>英</w:t>
            </w:r>
            <w:r w:rsidRPr="003B6B9A">
              <w:rPr>
                <w:rFonts w:eastAsia="標楷體" w:hint="eastAsia"/>
                <w:b/>
              </w:rPr>
              <w:t xml:space="preserve">  </w:t>
            </w:r>
            <w:r w:rsidRPr="003B6B9A">
              <w:rPr>
                <w:rFonts w:eastAsia="標楷體" w:hint="eastAsia"/>
                <w:b/>
              </w:rPr>
              <w:t>國</w:t>
            </w:r>
          </w:p>
        </w:tc>
        <w:tc>
          <w:tcPr>
            <w:tcW w:w="1469" w:type="pct"/>
            <w:tcBorders>
              <w:top w:val="single" w:sz="4" w:space="0" w:color="auto"/>
              <w:bottom w:val="single" w:sz="4" w:space="0" w:color="auto"/>
            </w:tcBorders>
            <w:shd w:val="clear" w:color="auto" w:fill="D9D9D9"/>
            <w:vAlign w:val="bottom"/>
          </w:tcPr>
          <w:p w:rsidR="004B772B" w:rsidRPr="003B6B9A" w:rsidRDefault="004B772B" w:rsidP="008F5F6F">
            <w:pPr>
              <w:snapToGrid w:val="0"/>
              <w:spacing w:line="360" w:lineRule="exact"/>
              <w:jc w:val="center"/>
              <w:rPr>
                <w:rFonts w:eastAsia="標楷體"/>
                <w:szCs w:val="28"/>
              </w:rPr>
            </w:pPr>
            <w:r w:rsidRPr="003B6B9A">
              <w:rPr>
                <w:rFonts w:eastAsia="標楷體" w:hint="eastAsia"/>
                <w:szCs w:val="28"/>
              </w:rPr>
              <w:t>0.3</w:t>
            </w:r>
          </w:p>
        </w:tc>
        <w:tc>
          <w:tcPr>
            <w:tcW w:w="1448" w:type="pct"/>
            <w:tcBorders>
              <w:top w:val="single" w:sz="4" w:space="0" w:color="auto"/>
              <w:bottom w:val="single" w:sz="4" w:space="0" w:color="auto"/>
              <w:right w:val="single" w:sz="4" w:space="0" w:color="auto"/>
            </w:tcBorders>
            <w:shd w:val="clear" w:color="auto" w:fill="D9D9D9"/>
            <w:vAlign w:val="bottom"/>
          </w:tcPr>
          <w:p w:rsidR="004B772B" w:rsidRPr="003B6B9A" w:rsidRDefault="004B772B" w:rsidP="008F5F6F">
            <w:pPr>
              <w:snapToGrid w:val="0"/>
              <w:spacing w:line="360" w:lineRule="exact"/>
              <w:jc w:val="center"/>
              <w:rPr>
                <w:rFonts w:eastAsia="標楷體"/>
                <w:szCs w:val="28"/>
              </w:rPr>
            </w:pPr>
            <w:r w:rsidRPr="003B6B9A">
              <w:rPr>
                <w:rFonts w:eastAsia="標楷體" w:hint="eastAsia"/>
                <w:szCs w:val="28"/>
              </w:rPr>
              <w:t>2.4</w:t>
            </w:r>
          </w:p>
        </w:tc>
      </w:tr>
      <w:tr w:rsidR="004B772B" w:rsidRPr="003B6B9A" w:rsidTr="008F5F6F">
        <w:trPr>
          <w:trHeight w:val="255"/>
          <w:jc w:val="center"/>
        </w:trPr>
        <w:tc>
          <w:tcPr>
            <w:tcW w:w="2084" w:type="pct"/>
            <w:tcBorders>
              <w:top w:val="single" w:sz="4" w:space="0" w:color="auto"/>
              <w:bottom w:val="thickThinSmallGap" w:sz="24" w:space="0" w:color="auto"/>
            </w:tcBorders>
          </w:tcPr>
          <w:p w:rsidR="004B772B" w:rsidRPr="003B6B9A" w:rsidRDefault="004B772B" w:rsidP="008F5F6F">
            <w:pPr>
              <w:snapToGrid w:val="0"/>
              <w:spacing w:line="360" w:lineRule="exact"/>
              <w:rPr>
                <w:rFonts w:eastAsia="標楷體"/>
                <w:b/>
              </w:rPr>
            </w:pPr>
            <w:r w:rsidRPr="003B6B9A">
              <w:rPr>
                <w:rFonts w:eastAsia="標楷體" w:hint="eastAsia"/>
                <w:b/>
              </w:rPr>
              <w:t>希</w:t>
            </w:r>
            <w:r w:rsidRPr="003B6B9A">
              <w:rPr>
                <w:rFonts w:eastAsia="標楷體" w:hint="eastAsia"/>
                <w:b/>
              </w:rPr>
              <w:t xml:space="preserve">  </w:t>
            </w:r>
            <w:r w:rsidRPr="003B6B9A">
              <w:rPr>
                <w:rFonts w:eastAsia="標楷體" w:hint="eastAsia"/>
                <w:b/>
              </w:rPr>
              <w:t>臘</w:t>
            </w:r>
          </w:p>
        </w:tc>
        <w:tc>
          <w:tcPr>
            <w:tcW w:w="1469" w:type="pct"/>
            <w:tcBorders>
              <w:top w:val="single" w:sz="4" w:space="0" w:color="auto"/>
              <w:bottom w:val="thickThinSmallGap" w:sz="24" w:space="0" w:color="auto"/>
            </w:tcBorders>
            <w:shd w:val="clear" w:color="auto" w:fill="D9D9D9"/>
            <w:vAlign w:val="bottom"/>
          </w:tcPr>
          <w:p w:rsidR="004B772B" w:rsidRPr="003B6B9A" w:rsidRDefault="004B772B" w:rsidP="008F5F6F">
            <w:pPr>
              <w:snapToGrid w:val="0"/>
              <w:spacing w:line="360" w:lineRule="exact"/>
              <w:jc w:val="center"/>
              <w:rPr>
                <w:rFonts w:eastAsia="標楷體"/>
                <w:szCs w:val="28"/>
              </w:rPr>
            </w:pPr>
            <w:r w:rsidRPr="003B6B9A">
              <w:rPr>
                <w:rFonts w:eastAsia="標楷體" w:hint="eastAsia"/>
                <w:szCs w:val="28"/>
              </w:rPr>
              <w:t>-0.2</w:t>
            </w:r>
          </w:p>
        </w:tc>
        <w:tc>
          <w:tcPr>
            <w:tcW w:w="1448" w:type="pct"/>
            <w:tcBorders>
              <w:top w:val="single" w:sz="4" w:space="0" w:color="auto"/>
              <w:bottom w:val="thickThinSmallGap" w:sz="24" w:space="0" w:color="auto"/>
              <w:right w:val="single" w:sz="4" w:space="0" w:color="auto"/>
            </w:tcBorders>
            <w:shd w:val="clear" w:color="auto" w:fill="D9D9D9"/>
            <w:vAlign w:val="bottom"/>
          </w:tcPr>
          <w:p w:rsidR="004B772B" w:rsidRPr="003B6B9A" w:rsidRDefault="004B772B" w:rsidP="008F5F6F">
            <w:pPr>
              <w:snapToGrid w:val="0"/>
              <w:spacing w:line="360" w:lineRule="exact"/>
              <w:jc w:val="center"/>
              <w:rPr>
                <w:rFonts w:eastAsia="標楷體"/>
                <w:szCs w:val="28"/>
              </w:rPr>
            </w:pPr>
            <w:r w:rsidRPr="003B6B9A">
              <w:rPr>
                <w:rFonts w:eastAsia="標楷體" w:hint="eastAsia"/>
                <w:szCs w:val="28"/>
              </w:rPr>
              <w:t>0.3</w:t>
            </w:r>
          </w:p>
        </w:tc>
      </w:tr>
    </w:tbl>
    <w:p w:rsidR="004B772B" w:rsidRDefault="004B772B" w:rsidP="004B772B">
      <w:pPr>
        <w:adjustRightInd w:val="0"/>
        <w:snapToGrid w:val="0"/>
        <w:spacing w:line="280" w:lineRule="exact"/>
        <w:ind w:left="1129" w:hangingChars="518" w:hanging="1129"/>
        <w:jc w:val="both"/>
        <w:rPr>
          <w:rFonts w:eastAsia="標楷體"/>
          <w:spacing w:val="9"/>
          <w:sz w:val="20"/>
          <w:szCs w:val="20"/>
        </w:rPr>
      </w:pPr>
      <w:r w:rsidRPr="003B6B9A">
        <w:rPr>
          <w:rFonts w:eastAsia="標楷體" w:hint="eastAsia"/>
          <w:spacing w:val="9"/>
          <w:sz w:val="20"/>
          <w:szCs w:val="20"/>
        </w:rPr>
        <w:t xml:space="preserve">      </w:t>
      </w:r>
      <w:r w:rsidRPr="003B6B9A">
        <w:rPr>
          <w:rFonts w:eastAsia="標楷體"/>
          <w:spacing w:val="9"/>
          <w:sz w:val="20"/>
          <w:szCs w:val="20"/>
        </w:rPr>
        <w:t>資料來源：</w:t>
      </w:r>
      <w:r w:rsidRPr="003B6B9A">
        <w:rPr>
          <w:rFonts w:eastAsia="標楷體" w:hint="eastAsia"/>
          <w:spacing w:val="9"/>
          <w:sz w:val="20"/>
          <w:szCs w:val="20"/>
        </w:rPr>
        <w:t>歐盟統計局</w:t>
      </w:r>
    </w:p>
    <w:p w:rsidR="004B772B" w:rsidRDefault="004B772B" w:rsidP="004B772B">
      <w:pPr>
        <w:adjustRightInd w:val="0"/>
        <w:snapToGrid w:val="0"/>
        <w:spacing w:line="280" w:lineRule="exact"/>
        <w:ind w:left="1129" w:hangingChars="518" w:hanging="1129"/>
        <w:jc w:val="both"/>
        <w:rPr>
          <w:rFonts w:eastAsia="標楷體"/>
          <w:spacing w:val="9"/>
          <w:sz w:val="20"/>
          <w:szCs w:val="20"/>
        </w:rPr>
      </w:pPr>
    </w:p>
    <w:p w:rsidR="004B772B" w:rsidRDefault="004B772B" w:rsidP="004B772B">
      <w:pPr>
        <w:spacing w:beforeLines="30" w:before="108" w:afterLines="30" w:after="108" w:line="500" w:lineRule="exact"/>
        <w:ind w:leftChars="200" w:left="480" w:firstLineChars="200" w:firstLine="560"/>
        <w:jc w:val="both"/>
        <w:rPr>
          <w:rFonts w:eastAsia="標楷體"/>
          <w:sz w:val="28"/>
          <w:szCs w:val="28"/>
        </w:rPr>
      </w:pPr>
      <w:r w:rsidRPr="003B6B9A">
        <w:rPr>
          <w:rFonts w:eastAsia="標楷體" w:hint="eastAsia"/>
          <w:sz w:val="28"/>
          <w:szCs w:val="28"/>
        </w:rPr>
        <w:t>2014</w:t>
      </w:r>
      <w:r w:rsidRPr="003B6B9A">
        <w:rPr>
          <w:rFonts w:eastAsia="標楷體" w:hint="eastAsia"/>
          <w:sz w:val="28"/>
          <w:szCs w:val="28"/>
        </w:rPr>
        <w:t>年歐元區雖因私人投資疲弱不振，僅成長</w:t>
      </w:r>
      <w:r w:rsidRPr="003B6B9A">
        <w:rPr>
          <w:rFonts w:eastAsia="標楷體" w:hint="eastAsia"/>
          <w:sz w:val="28"/>
          <w:szCs w:val="28"/>
        </w:rPr>
        <w:t>0.9</w:t>
      </w:r>
      <w:r w:rsidRPr="003B6B9A">
        <w:rPr>
          <w:rFonts w:eastAsia="標楷體" w:hint="eastAsia"/>
          <w:sz w:val="28"/>
          <w:szCs w:val="28"/>
        </w:rPr>
        <w:t>％，但受到油價、歐元匯率下跌，以及歐洲央行啟動大規模購債的寬鬆貨幣政策影響，經濟狀況可望持續好轉。目前各成員國推行財政改革已有所成效，接下來若採取較中性的財政政策態勢，可望加強經濟動能，歐盟執委會預估受益於經濟成長及低利率，</w:t>
      </w:r>
      <w:r w:rsidRPr="003B6B9A">
        <w:rPr>
          <w:rFonts w:eastAsia="標楷體" w:hint="eastAsia"/>
          <w:sz w:val="28"/>
          <w:szCs w:val="28"/>
        </w:rPr>
        <w:t>2016</w:t>
      </w:r>
      <w:r w:rsidRPr="003B6B9A">
        <w:rPr>
          <w:rFonts w:eastAsia="標楷體" w:hint="eastAsia"/>
          <w:sz w:val="28"/>
          <w:szCs w:val="28"/>
        </w:rPr>
        <w:t>年政府債務占</w:t>
      </w:r>
      <w:r w:rsidRPr="003B6B9A">
        <w:rPr>
          <w:rFonts w:eastAsia="標楷體" w:hint="eastAsia"/>
          <w:sz w:val="28"/>
          <w:szCs w:val="28"/>
        </w:rPr>
        <w:t>GDP</w:t>
      </w:r>
      <w:r w:rsidRPr="003B6B9A">
        <w:rPr>
          <w:rFonts w:eastAsia="標楷體" w:hint="eastAsia"/>
          <w:sz w:val="28"/>
          <w:szCs w:val="28"/>
        </w:rPr>
        <w:t>比率可望自</w:t>
      </w:r>
      <w:r w:rsidRPr="003B6B9A">
        <w:rPr>
          <w:rFonts w:eastAsia="標楷體" w:hint="eastAsia"/>
          <w:sz w:val="28"/>
          <w:szCs w:val="28"/>
        </w:rPr>
        <w:t>2014</w:t>
      </w:r>
      <w:r w:rsidRPr="003B6B9A">
        <w:rPr>
          <w:rFonts w:eastAsia="標楷體" w:hint="eastAsia"/>
          <w:sz w:val="28"/>
          <w:szCs w:val="28"/>
        </w:rPr>
        <w:t>年的</w:t>
      </w:r>
      <w:r w:rsidRPr="003B6B9A">
        <w:rPr>
          <w:rFonts w:eastAsia="標楷體" w:hint="eastAsia"/>
          <w:sz w:val="28"/>
          <w:szCs w:val="28"/>
        </w:rPr>
        <w:t>94.2</w:t>
      </w:r>
      <w:r w:rsidRPr="003B6B9A">
        <w:rPr>
          <w:rFonts w:eastAsia="標楷體" w:hint="eastAsia"/>
          <w:sz w:val="28"/>
          <w:szCs w:val="28"/>
        </w:rPr>
        <w:t>％降至</w:t>
      </w:r>
      <w:r w:rsidRPr="003B6B9A">
        <w:rPr>
          <w:rFonts w:eastAsia="標楷體" w:hint="eastAsia"/>
          <w:sz w:val="28"/>
          <w:szCs w:val="28"/>
        </w:rPr>
        <w:t>92.0</w:t>
      </w:r>
      <w:r w:rsidRPr="003B6B9A">
        <w:rPr>
          <w:rFonts w:eastAsia="標楷體" w:hint="eastAsia"/>
          <w:sz w:val="28"/>
          <w:szCs w:val="28"/>
        </w:rPr>
        <w:t>％。受到油價下跌影響，預估</w:t>
      </w:r>
      <w:r w:rsidRPr="003B6B9A">
        <w:rPr>
          <w:rFonts w:eastAsia="標楷體" w:hint="eastAsia"/>
          <w:sz w:val="28"/>
          <w:szCs w:val="28"/>
        </w:rPr>
        <w:t>2015</w:t>
      </w:r>
      <w:r w:rsidRPr="003B6B9A">
        <w:rPr>
          <w:rFonts w:eastAsia="標楷體" w:hint="eastAsia"/>
          <w:sz w:val="28"/>
          <w:szCs w:val="28"/>
        </w:rPr>
        <w:t>年歐元區通貨膨脹率僅</w:t>
      </w:r>
      <w:r w:rsidRPr="003B6B9A">
        <w:rPr>
          <w:rFonts w:eastAsia="標楷體" w:hint="eastAsia"/>
          <w:sz w:val="28"/>
          <w:szCs w:val="28"/>
        </w:rPr>
        <w:t>0.1</w:t>
      </w:r>
      <w:r w:rsidRPr="003B6B9A">
        <w:rPr>
          <w:rFonts w:eastAsia="標楷體" w:hint="eastAsia"/>
          <w:sz w:val="28"/>
          <w:szCs w:val="28"/>
        </w:rPr>
        <w:t>％，歐盟執委會認為需至</w:t>
      </w:r>
      <w:r w:rsidRPr="003B6B9A">
        <w:rPr>
          <w:rFonts w:eastAsia="標楷體" w:hint="eastAsia"/>
          <w:sz w:val="28"/>
          <w:szCs w:val="28"/>
        </w:rPr>
        <w:t>2016</w:t>
      </w:r>
      <w:r w:rsidRPr="003B6B9A">
        <w:rPr>
          <w:rFonts w:eastAsia="標楷體" w:hint="eastAsia"/>
          <w:sz w:val="28"/>
          <w:szCs w:val="28"/>
        </w:rPr>
        <w:t>年，經濟活動逐步轉強，大宗物價回溫時才可望回升到</w:t>
      </w:r>
      <w:r w:rsidRPr="003B6B9A">
        <w:rPr>
          <w:rFonts w:eastAsia="標楷體" w:hint="eastAsia"/>
          <w:sz w:val="28"/>
          <w:szCs w:val="28"/>
        </w:rPr>
        <w:t>1.5</w:t>
      </w:r>
      <w:r w:rsidRPr="003B6B9A">
        <w:rPr>
          <w:rFonts w:eastAsia="標楷體" w:hint="eastAsia"/>
          <w:sz w:val="28"/>
          <w:szCs w:val="28"/>
        </w:rPr>
        <w:t>％（圖</w:t>
      </w:r>
      <w:r w:rsidRPr="003B6B9A">
        <w:rPr>
          <w:rFonts w:eastAsia="標楷體" w:hint="eastAsia"/>
          <w:sz w:val="28"/>
          <w:szCs w:val="28"/>
        </w:rPr>
        <w:t>3</w:t>
      </w:r>
      <w:r w:rsidRPr="003B6B9A">
        <w:rPr>
          <w:rFonts w:eastAsia="標楷體" w:hint="eastAsia"/>
          <w:sz w:val="28"/>
          <w:szCs w:val="28"/>
        </w:rPr>
        <w:t>、</w:t>
      </w:r>
      <w:r w:rsidRPr="003B6B9A">
        <w:rPr>
          <w:rFonts w:eastAsia="標楷體" w:hint="eastAsia"/>
          <w:sz w:val="28"/>
          <w:szCs w:val="28"/>
        </w:rPr>
        <w:t>4</w:t>
      </w:r>
      <w:r w:rsidRPr="003B6B9A">
        <w:rPr>
          <w:rFonts w:eastAsia="標楷體" w:hint="eastAsia"/>
          <w:sz w:val="28"/>
          <w:szCs w:val="28"/>
        </w:rPr>
        <w:t>）。</w:t>
      </w:r>
    </w:p>
    <w:p w:rsidR="0073470B" w:rsidRDefault="0073470B" w:rsidP="004B772B">
      <w:pPr>
        <w:spacing w:beforeLines="30" w:before="108" w:afterLines="30" w:after="108" w:line="500" w:lineRule="exact"/>
        <w:ind w:leftChars="200" w:left="480" w:firstLineChars="200" w:firstLine="560"/>
        <w:jc w:val="both"/>
        <w:rPr>
          <w:rFonts w:eastAsia="標楷體"/>
          <w:sz w:val="28"/>
          <w:szCs w:val="28"/>
        </w:rPr>
      </w:pPr>
    </w:p>
    <w:p w:rsidR="0073470B" w:rsidRPr="003B6B9A" w:rsidRDefault="0073470B" w:rsidP="0073470B">
      <w:pPr>
        <w:spacing w:beforeLines="30" w:before="108" w:afterLines="30" w:after="108" w:line="440" w:lineRule="exact"/>
        <w:ind w:firstLineChars="200" w:firstLine="480"/>
        <w:jc w:val="center"/>
        <w:rPr>
          <w:rFonts w:eastAsia="標楷體"/>
          <w:b/>
          <w:sz w:val="28"/>
          <w:szCs w:val="28"/>
        </w:rPr>
      </w:pPr>
      <w:r>
        <w:rPr>
          <w:noProof/>
        </w:rPr>
        <w:drawing>
          <wp:anchor distT="0" distB="0" distL="114300" distR="114300" simplePos="0" relativeHeight="252158464" behindDoc="1" locked="0" layoutInCell="1" allowOverlap="1" wp14:anchorId="241CABC5" wp14:editId="7AF67A5B">
            <wp:simplePos x="0" y="0"/>
            <wp:positionH relativeFrom="column">
              <wp:posOffset>1139190</wp:posOffset>
            </wp:positionH>
            <wp:positionV relativeFrom="paragraph">
              <wp:posOffset>-114300</wp:posOffset>
            </wp:positionV>
            <wp:extent cx="3472180" cy="2263775"/>
            <wp:effectExtent l="0" t="0" r="0" b="3175"/>
            <wp:wrapNone/>
            <wp:docPr id="1" name="圖片 1" descr="forecast-spring-2015_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recast-spring-2015_en"/>
                    <pic:cNvPicPr>
                      <a:picLocks noChangeAspect="1" noChangeArrowheads="1"/>
                    </pic:cNvPicPr>
                  </pic:nvPicPr>
                  <pic:blipFill>
                    <a:blip r:embed="rId34">
                      <a:extLst>
                        <a:ext uri="{28A0092B-C50C-407E-A947-70E740481C1C}">
                          <a14:useLocalDpi xmlns:a14="http://schemas.microsoft.com/office/drawing/2010/main" val="0"/>
                        </a:ext>
                      </a:extLst>
                    </a:blip>
                    <a:srcRect t="75533" b="11530"/>
                    <a:stretch>
                      <a:fillRect/>
                    </a:stretch>
                  </pic:blipFill>
                  <pic:spPr bwMode="auto">
                    <a:xfrm>
                      <a:off x="0" y="0"/>
                      <a:ext cx="3472180" cy="2263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3470B" w:rsidRPr="003B6B9A" w:rsidRDefault="0073470B" w:rsidP="0073470B">
      <w:pPr>
        <w:spacing w:beforeLines="30" w:before="108" w:afterLines="30" w:after="108" w:line="440" w:lineRule="exact"/>
        <w:ind w:firstLineChars="200" w:firstLine="561"/>
        <w:jc w:val="center"/>
        <w:rPr>
          <w:rFonts w:eastAsia="標楷體"/>
          <w:b/>
          <w:sz w:val="28"/>
          <w:szCs w:val="28"/>
        </w:rPr>
      </w:pPr>
    </w:p>
    <w:p w:rsidR="0073470B" w:rsidRPr="003B6B9A" w:rsidRDefault="0073470B" w:rsidP="0073470B">
      <w:pPr>
        <w:spacing w:beforeLines="30" w:before="108" w:afterLines="30" w:after="108" w:line="440" w:lineRule="exact"/>
        <w:ind w:firstLineChars="200" w:firstLine="561"/>
        <w:jc w:val="center"/>
        <w:rPr>
          <w:rFonts w:eastAsia="標楷體"/>
          <w:b/>
          <w:sz w:val="28"/>
          <w:szCs w:val="28"/>
        </w:rPr>
      </w:pPr>
    </w:p>
    <w:p w:rsidR="0073470B" w:rsidRPr="003B6B9A" w:rsidRDefault="0073470B" w:rsidP="0073470B">
      <w:pPr>
        <w:spacing w:beforeLines="30" w:before="108" w:afterLines="30" w:after="108" w:line="440" w:lineRule="exact"/>
        <w:ind w:firstLineChars="200" w:firstLine="561"/>
        <w:jc w:val="center"/>
        <w:rPr>
          <w:rFonts w:eastAsia="標楷體"/>
          <w:b/>
          <w:sz w:val="28"/>
          <w:szCs w:val="28"/>
        </w:rPr>
      </w:pPr>
    </w:p>
    <w:p w:rsidR="0073470B" w:rsidRPr="003B6B9A" w:rsidRDefault="0073470B" w:rsidP="0073470B">
      <w:pPr>
        <w:spacing w:beforeLines="30" w:before="108" w:afterLines="30" w:after="108" w:line="440" w:lineRule="exact"/>
        <w:ind w:firstLineChars="200" w:firstLine="561"/>
        <w:jc w:val="center"/>
        <w:rPr>
          <w:rFonts w:eastAsia="標楷體"/>
          <w:b/>
          <w:sz w:val="28"/>
          <w:szCs w:val="28"/>
        </w:rPr>
      </w:pPr>
    </w:p>
    <w:p w:rsidR="0073470B" w:rsidRPr="003B6B9A" w:rsidRDefault="0073470B" w:rsidP="0073470B">
      <w:pPr>
        <w:spacing w:beforeLines="30" w:before="108" w:afterLines="30" w:after="108" w:line="440" w:lineRule="exact"/>
        <w:ind w:firstLineChars="200" w:firstLine="561"/>
        <w:jc w:val="center"/>
        <w:rPr>
          <w:rFonts w:eastAsia="標楷體"/>
          <w:b/>
          <w:sz w:val="28"/>
          <w:szCs w:val="28"/>
        </w:rPr>
      </w:pPr>
    </w:p>
    <w:p w:rsidR="0073470B" w:rsidRPr="003B6B9A" w:rsidRDefault="0073470B" w:rsidP="0073470B">
      <w:pPr>
        <w:spacing w:beforeLines="30" w:before="108" w:afterLines="30" w:after="108" w:line="400" w:lineRule="exact"/>
        <w:ind w:firstLineChars="200" w:firstLine="561"/>
        <w:rPr>
          <w:rFonts w:eastAsia="標楷體"/>
          <w:b/>
          <w:sz w:val="28"/>
          <w:szCs w:val="28"/>
        </w:rPr>
      </w:pPr>
      <w:r w:rsidRPr="003B6B9A">
        <w:rPr>
          <w:rFonts w:eastAsia="標楷體" w:hint="eastAsia"/>
          <w:b/>
          <w:sz w:val="28"/>
          <w:szCs w:val="28"/>
        </w:rPr>
        <w:t xml:space="preserve">        </w:t>
      </w:r>
      <w:r w:rsidRPr="003B6B9A">
        <w:rPr>
          <w:rFonts w:eastAsia="標楷體" w:hint="eastAsia"/>
          <w:sz w:val="20"/>
          <w:szCs w:val="28"/>
        </w:rPr>
        <w:t>資料來源：歐盟執委會</w:t>
      </w:r>
    </w:p>
    <w:p w:rsidR="0073470B" w:rsidRPr="003B6B9A" w:rsidRDefault="0073470B" w:rsidP="0073470B">
      <w:pPr>
        <w:spacing w:beforeLines="30" w:before="108" w:afterLines="30" w:after="108" w:line="400" w:lineRule="exact"/>
        <w:ind w:firstLineChars="200" w:firstLine="561"/>
        <w:jc w:val="center"/>
        <w:rPr>
          <w:rFonts w:eastAsia="標楷體"/>
          <w:b/>
          <w:sz w:val="28"/>
          <w:szCs w:val="28"/>
        </w:rPr>
      </w:pPr>
      <w:r w:rsidRPr="003B6B9A">
        <w:rPr>
          <w:rFonts w:eastAsia="標楷體" w:hint="eastAsia"/>
          <w:b/>
          <w:sz w:val="28"/>
          <w:szCs w:val="28"/>
        </w:rPr>
        <w:t>圖</w:t>
      </w:r>
      <w:r w:rsidRPr="003B6B9A">
        <w:rPr>
          <w:rFonts w:eastAsia="標楷體" w:hint="eastAsia"/>
          <w:b/>
          <w:sz w:val="28"/>
          <w:szCs w:val="28"/>
        </w:rPr>
        <w:t xml:space="preserve">3  </w:t>
      </w:r>
      <w:r w:rsidRPr="003B6B9A">
        <w:rPr>
          <w:rFonts w:eastAsia="標楷體" w:hint="eastAsia"/>
          <w:b/>
          <w:sz w:val="28"/>
          <w:szCs w:val="28"/>
        </w:rPr>
        <w:t>歐盟及歐元區政府債務及赤字占</w:t>
      </w:r>
      <w:r w:rsidRPr="003B6B9A">
        <w:rPr>
          <w:rFonts w:eastAsia="標楷體" w:hint="eastAsia"/>
          <w:b/>
          <w:sz w:val="28"/>
          <w:szCs w:val="28"/>
        </w:rPr>
        <w:t>GDP</w:t>
      </w:r>
      <w:r w:rsidRPr="003B6B9A">
        <w:rPr>
          <w:rFonts w:eastAsia="標楷體" w:hint="eastAsia"/>
          <w:b/>
          <w:sz w:val="28"/>
          <w:szCs w:val="28"/>
        </w:rPr>
        <w:t>比率</w:t>
      </w:r>
    </w:p>
    <w:p w:rsidR="0073470B" w:rsidRDefault="0073470B" w:rsidP="0073470B">
      <w:pPr>
        <w:spacing w:beforeLines="30" w:before="108" w:afterLines="30" w:after="108" w:line="500" w:lineRule="exact"/>
        <w:ind w:leftChars="200" w:left="480" w:firstLineChars="200" w:firstLine="480"/>
        <w:jc w:val="both"/>
        <w:rPr>
          <w:rFonts w:eastAsia="標楷體"/>
          <w:sz w:val="28"/>
          <w:szCs w:val="28"/>
        </w:rPr>
      </w:pPr>
      <w:r>
        <w:rPr>
          <w:noProof/>
        </w:rPr>
        <w:drawing>
          <wp:anchor distT="0" distB="0" distL="114300" distR="114300" simplePos="0" relativeHeight="252160512" behindDoc="1" locked="0" layoutInCell="1" allowOverlap="1" wp14:anchorId="02085AD1" wp14:editId="1590C2F2">
            <wp:simplePos x="0" y="0"/>
            <wp:positionH relativeFrom="column">
              <wp:posOffset>1119505</wp:posOffset>
            </wp:positionH>
            <wp:positionV relativeFrom="paragraph">
              <wp:posOffset>50800</wp:posOffset>
            </wp:positionV>
            <wp:extent cx="3506470" cy="1937385"/>
            <wp:effectExtent l="0" t="0" r="0" b="5715"/>
            <wp:wrapNone/>
            <wp:docPr id="2" name="圖片 2" descr="forecast-spring-2015_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orecast-spring-2015_en"/>
                    <pic:cNvPicPr>
                      <a:picLocks noChangeAspect="1" noChangeArrowheads="1"/>
                    </pic:cNvPicPr>
                  </pic:nvPicPr>
                  <pic:blipFill>
                    <a:blip r:embed="rId34">
                      <a:extLst>
                        <a:ext uri="{28A0092B-C50C-407E-A947-70E740481C1C}">
                          <a14:useLocalDpi xmlns:a14="http://schemas.microsoft.com/office/drawing/2010/main" val="0"/>
                        </a:ext>
                      </a:extLst>
                    </a:blip>
                    <a:srcRect l="-273" t="59975" b="29030"/>
                    <a:stretch>
                      <a:fillRect/>
                    </a:stretch>
                  </pic:blipFill>
                  <pic:spPr bwMode="auto">
                    <a:xfrm>
                      <a:off x="0" y="0"/>
                      <a:ext cx="3506470" cy="19373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3470B" w:rsidRDefault="0073470B" w:rsidP="0073470B">
      <w:pPr>
        <w:spacing w:beforeLines="30" w:before="108" w:afterLines="30" w:after="108" w:line="500" w:lineRule="exact"/>
        <w:ind w:leftChars="200" w:left="480" w:firstLineChars="200" w:firstLine="560"/>
        <w:jc w:val="both"/>
        <w:rPr>
          <w:rFonts w:eastAsia="標楷體"/>
          <w:sz w:val="28"/>
          <w:szCs w:val="28"/>
        </w:rPr>
      </w:pPr>
    </w:p>
    <w:p w:rsidR="0073470B" w:rsidRDefault="0073470B" w:rsidP="0073470B">
      <w:pPr>
        <w:spacing w:beforeLines="30" w:before="108" w:afterLines="30" w:after="108" w:line="500" w:lineRule="exact"/>
        <w:ind w:leftChars="200" w:left="480" w:firstLineChars="200" w:firstLine="560"/>
        <w:jc w:val="both"/>
        <w:rPr>
          <w:rFonts w:eastAsia="標楷體"/>
          <w:sz w:val="28"/>
          <w:szCs w:val="28"/>
        </w:rPr>
      </w:pPr>
    </w:p>
    <w:p w:rsidR="0073470B" w:rsidRDefault="0073470B" w:rsidP="0073470B">
      <w:pPr>
        <w:spacing w:beforeLines="30" w:before="108" w:afterLines="30" w:after="108" w:line="500" w:lineRule="exact"/>
        <w:ind w:leftChars="200" w:left="480" w:firstLineChars="200" w:firstLine="560"/>
        <w:jc w:val="both"/>
        <w:rPr>
          <w:rFonts w:eastAsia="標楷體"/>
          <w:sz w:val="28"/>
          <w:szCs w:val="28"/>
        </w:rPr>
      </w:pPr>
    </w:p>
    <w:p w:rsidR="0073470B" w:rsidRDefault="0073470B" w:rsidP="0073470B">
      <w:pPr>
        <w:spacing w:beforeLines="30" w:before="108" w:afterLines="30" w:after="108" w:line="500" w:lineRule="exact"/>
        <w:ind w:leftChars="200" w:left="480" w:firstLineChars="200" w:firstLine="560"/>
        <w:jc w:val="both"/>
        <w:rPr>
          <w:rFonts w:eastAsia="標楷體"/>
          <w:sz w:val="28"/>
          <w:szCs w:val="28"/>
        </w:rPr>
      </w:pPr>
    </w:p>
    <w:p w:rsidR="0073470B" w:rsidRPr="003B6B9A" w:rsidRDefault="0073470B" w:rsidP="0073470B">
      <w:pPr>
        <w:spacing w:beforeLines="30" w:before="108" w:afterLines="30" w:after="108" w:line="400" w:lineRule="exact"/>
        <w:ind w:firstLineChars="800" w:firstLine="1600"/>
        <w:rPr>
          <w:rFonts w:eastAsia="標楷體"/>
          <w:sz w:val="20"/>
          <w:szCs w:val="28"/>
        </w:rPr>
      </w:pPr>
      <w:r>
        <w:rPr>
          <w:rFonts w:eastAsia="標楷體" w:hint="eastAsia"/>
          <w:sz w:val="20"/>
          <w:szCs w:val="28"/>
        </w:rPr>
        <w:t xml:space="preserve">  </w:t>
      </w:r>
      <w:r w:rsidRPr="003B6B9A">
        <w:rPr>
          <w:rFonts w:eastAsia="標楷體" w:hint="eastAsia"/>
          <w:sz w:val="20"/>
          <w:szCs w:val="28"/>
        </w:rPr>
        <w:t>資料來源：歐盟執委會</w:t>
      </w:r>
    </w:p>
    <w:p w:rsidR="0073470B" w:rsidRDefault="0073470B" w:rsidP="0073470B">
      <w:pPr>
        <w:spacing w:beforeLines="30" w:before="108" w:afterLines="30" w:after="108" w:line="500" w:lineRule="exact"/>
        <w:ind w:leftChars="200" w:left="480" w:firstLineChars="200" w:firstLine="561"/>
        <w:jc w:val="both"/>
        <w:rPr>
          <w:rFonts w:eastAsia="標楷體"/>
          <w:b/>
          <w:sz w:val="28"/>
          <w:szCs w:val="28"/>
        </w:rPr>
      </w:pPr>
      <w:r>
        <w:rPr>
          <w:rFonts w:eastAsia="標楷體" w:hint="eastAsia"/>
          <w:b/>
          <w:sz w:val="28"/>
          <w:szCs w:val="28"/>
        </w:rPr>
        <w:t xml:space="preserve">          </w:t>
      </w:r>
      <w:r w:rsidRPr="003B6B9A">
        <w:rPr>
          <w:rFonts w:eastAsia="標楷體" w:hint="eastAsia"/>
          <w:b/>
          <w:sz w:val="28"/>
          <w:szCs w:val="28"/>
        </w:rPr>
        <w:t>圖</w:t>
      </w:r>
      <w:r w:rsidRPr="003B6B9A">
        <w:rPr>
          <w:rFonts w:eastAsia="標楷體" w:hint="eastAsia"/>
          <w:b/>
          <w:sz w:val="28"/>
          <w:szCs w:val="28"/>
        </w:rPr>
        <w:t xml:space="preserve">4  </w:t>
      </w:r>
      <w:r w:rsidRPr="003B6B9A">
        <w:rPr>
          <w:rFonts w:eastAsia="標楷體" w:hint="eastAsia"/>
          <w:b/>
          <w:sz w:val="28"/>
          <w:szCs w:val="28"/>
        </w:rPr>
        <w:t>歐盟及歐元區通貨膨脹率</w:t>
      </w:r>
    </w:p>
    <w:p w:rsidR="00275A7D" w:rsidRDefault="00275A7D" w:rsidP="00275A7D">
      <w:pPr>
        <w:spacing w:beforeLines="30" w:before="108" w:afterLines="30" w:after="108" w:line="500" w:lineRule="exact"/>
        <w:ind w:leftChars="200" w:left="480" w:firstLineChars="200" w:firstLine="560"/>
        <w:jc w:val="both"/>
        <w:rPr>
          <w:rFonts w:eastAsia="標楷體"/>
          <w:sz w:val="28"/>
          <w:szCs w:val="28"/>
        </w:rPr>
      </w:pPr>
    </w:p>
    <w:p w:rsidR="004B772B" w:rsidRPr="003B6B9A" w:rsidRDefault="004B772B" w:rsidP="004B772B">
      <w:pPr>
        <w:spacing w:beforeLines="30" w:before="108" w:afterLines="30" w:after="108" w:line="500" w:lineRule="exact"/>
        <w:ind w:leftChars="200" w:left="480" w:firstLineChars="200" w:firstLine="560"/>
        <w:jc w:val="both"/>
        <w:rPr>
          <w:rFonts w:eastAsia="標楷體"/>
          <w:sz w:val="28"/>
          <w:szCs w:val="28"/>
        </w:rPr>
      </w:pPr>
      <w:r w:rsidRPr="003B6B9A">
        <w:rPr>
          <w:rFonts w:eastAsia="標楷體" w:hint="eastAsia"/>
          <w:sz w:val="28"/>
          <w:szCs w:val="28"/>
        </w:rPr>
        <w:t>另因歐元區金融體系目前仍較為脆弱，人口結構轉變及總要素生產力成長趨緩，使得失業率仍維持在高點，過去一年以來的下降幅度也不如美國（如圖</w:t>
      </w:r>
      <w:r w:rsidRPr="003B6B9A">
        <w:rPr>
          <w:rFonts w:eastAsia="標楷體" w:hint="eastAsia"/>
          <w:sz w:val="28"/>
          <w:szCs w:val="28"/>
        </w:rPr>
        <w:t>5</w:t>
      </w:r>
      <w:r w:rsidRPr="003B6B9A">
        <w:rPr>
          <w:rFonts w:eastAsia="標楷體" w:hint="eastAsia"/>
          <w:sz w:val="28"/>
          <w:szCs w:val="28"/>
        </w:rPr>
        <w:t>）。如何強化中小企業借貸，鼓勵投資並創造就業，是歐元區各國政府未來的重要課題。歐盟執委會表示，多數國家皆已執行勞動力結構改革措施，然而結構性改革多無法於短時間內大幅改善現況，但相信改革後應可緩步解決目前高失業問題，預估</w:t>
      </w:r>
      <w:r w:rsidRPr="003B6B9A">
        <w:rPr>
          <w:rFonts w:eastAsia="標楷體" w:hint="eastAsia"/>
          <w:sz w:val="28"/>
          <w:szCs w:val="28"/>
        </w:rPr>
        <w:t>2015</w:t>
      </w:r>
      <w:r w:rsidRPr="003B6B9A">
        <w:rPr>
          <w:rFonts w:eastAsia="標楷體" w:hint="eastAsia"/>
          <w:sz w:val="28"/>
          <w:szCs w:val="28"/>
        </w:rPr>
        <w:t>年失業率將為</w:t>
      </w:r>
      <w:r w:rsidRPr="003B6B9A">
        <w:rPr>
          <w:rFonts w:eastAsia="標楷體" w:hint="eastAsia"/>
          <w:sz w:val="28"/>
          <w:szCs w:val="28"/>
        </w:rPr>
        <w:t>11.0</w:t>
      </w:r>
      <w:r w:rsidRPr="003B6B9A">
        <w:rPr>
          <w:rFonts w:eastAsia="標楷體" w:hint="eastAsia"/>
          <w:sz w:val="28"/>
          <w:szCs w:val="28"/>
        </w:rPr>
        <w:t>％，</w:t>
      </w:r>
      <w:r w:rsidRPr="003B6B9A">
        <w:rPr>
          <w:rFonts w:eastAsia="標楷體" w:hint="eastAsia"/>
          <w:sz w:val="28"/>
          <w:szCs w:val="28"/>
        </w:rPr>
        <w:t>2016</w:t>
      </w:r>
      <w:r w:rsidRPr="003B6B9A">
        <w:rPr>
          <w:rFonts w:eastAsia="標楷體" w:hint="eastAsia"/>
          <w:sz w:val="28"/>
          <w:szCs w:val="28"/>
        </w:rPr>
        <w:t>年降至</w:t>
      </w:r>
      <w:r w:rsidRPr="003B6B9A">
        <w:rPr>
          <w:rFonts w:eastAsia="標楷體" w:hint="eastAsia"/>
          <w:sz w:val="28"/>
          <w:szCs w:val="28"/>
        </w:rPr>
        <w:t>10.5</w:t>
      </w:r>
      <w:r w:rsidRPr="003B6B9A">
        <w:rPr>
          <w:rFonts w:eastAsia="標楷體" w:hint="eastAsia"/>
          <w:sz w:val="28"/>
          <w:szCs w:val="28"/>
        </w:rPr>
        <w:t>％。</w:t>
      </w:r>
    </w:p>
    <w:p w:rsidR="004B772B" w:rsidRDefault="0073470B" w:rsidP="0073470B">
      <w:pPr>
        <w:spacing w:beforeLines="30" w:before="108" w:afterLines="30" w:after="108" w:line="500" w:lineRule="exact"/>
        <w:ind w:leftChars="200" w:left="480" w:firstLineChars="200" w:firstLine="480"/>
        <w:jc w:val="both"/>
        <w:rPr>
          <w:rFonts w:eastAsia="標楷體"/>
          <w:sz w:val="28"/>
          <w:szCs w:val="28"/>
        </w:rPr>
      </w:pPr>
      <w:r>
        <w:rPr>
          <w:noProof/>
        </w:rPr>
        <w:drawing>
          <wp:anchor distT="0" distB="0" distL="114300" distR="114300" simplePos="0" relativeHeight="252156416" behindDoc="1" locked="0" layoutInCell="1" allowOverlap="1" wp14:anchorId="0FB06D70" wp14:editId="7E630C05">
            <wp:simplePos x="0" y="0"/>
            <wp:positionH relativeFrom="column">
              <wp:posOffset>253365</wp:posOffset>
            </wp:positionH>
            <wp:positionV relativeFrom="paragraph">
              <wp:posOffset>3237865</wp:posOffset>
            </wp:positionV>
            <wp:extent cx="5543550" cy="2886075"/>
            <wp:effectExtent l="0" t="0" r="0" b="0"/>
            <wp:wrapNone/>
            <wp:docPr id="288" name="圖片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547360" cy="2888059"/>
                    </a:xfrm>
                    <a:prstGeom prst="rect">
                      <a:avLst/>
                    </a:prstGeom>
                    <a:noFill/>
                    <a:ln>
                      <a:noFill/>
                    </a:ln>
                  </pic:spPr>
                </pic:pic>
              </a:graphicData>
            </a:graphic>
            <wp14:sizeRelH relativeFrom="page">
              <wp14:pctWidth>0</wp14:pctWidth>
            </wp14:sizeRelH>
            <wp14:sizeRelV relativeFrom="page">
              <wp14:pctHeight>0</wp14:pctHeight>
            </wp14:sizeRelV>
          </wp:anchor>
        </w:drawing>
      </w:r>
      <w:r w:rsidR="004B772B" w:rsidRPr="003B6B9A">
        <w:rPr>
          <w:rFonts w:eastAsia="標楷體" w:hint="eastAsia"/>
          <w:sz w:val="28"/>
          <w:szCs w:val="28"/>
        </w:rPr>
        <w:t>主要預測機構對歐元區未來經濟展望大致樂觀，包括</w:t>
      </w:r>
      <w:r w:rsidR="004B772B" w:rsidRPr="003B6B9A">
        <w:rPr>
          <w:rFonts w:eastAsia="標楷體" w:hint="eastAsia"/>
          <w:sz w:val="28"/>
          <w:szCs w:val="28"/>
        </w:rPr>
        <w:t>IMF</w:t>
      </w:r>
      <w:r w:rsidR="004B772B" w:rsidRPr="003B6B9A">
        <w:rPr>
          <w:rFonts w:eastAsia="標楷體" w:hint="eastAsia"/>
          <w:sz w:val="28"/>
          <w:szCs w:val="28"/>
        </w:rPr>
        <w:t>、歐盟執委會以及歐洲央行，近期皆上修對於歐元區</w:t>
      </w:r>
      <w:r w:rsidR="004B772B" w:rsidRPr="003B6B9A">
        <w:rPr>
          <w:rFonts w:eastAsia="標楷體" w:hint="eastAsia"/>
          <w:sz w:val="28"/>
          <w:szCs w:val="28"/>
        </w:rPr>
        <w:t>2015</w:t>
      </w:r>
      <w:r w:rsidR="004B772B" w:rsidRPr="003B6B9A">
        <w:rPr>
          <w:rFonts w:eastAsia="標楷體" w:hint="eastAsia"/>
          <w:sz w:val="28"/>
          <w:szCs w:val="28"/>
        </w:rPr>
        <w:t>年經濟成長率預估值。整體而言，</w:t>
      </w:r>
      <w:r w:rsidR="004B772B" w:rsidRPr="003B6B9A">
        <w:rPr>
          <w:rFonts w:eastAsia="標楷體" w:hint="eastAsia"/>
          <w:sz w:val="28"/>
          <w:szCs w:val="28"/>
        </w:rPr>
        <w:t>2015</w:t>
      </w:r>
      <w:r w:rsidR="004B772B" w:rsidRPr="003B6B9A">
        <w:rPr>
          <w:rFonts w:eastAsia="標楷體" w:hint="eastAsia"/>
          <w:sz w:val="28"/>
          <w:szCs w:val="28"/>
        </w:rPr>
        <w:t>年歐元區經濟成長率預估落在</w:t>
      </w:r>
      <w:r w:rsidR="004B772B" w:rsidRPr="003B6B9A">
        <w:rPr>
          <w:rFonts w:eastAsia="標楷體" w:hint="eastAsia"/>
          <w:sz w:val="28"/>
          <w:szCs w:val="28"/>
        </w:rPr>
        <w:t>1.1</w:t>
      </w:r>
      <w:r w:rsidR="004B772B" w:rsidRPr="003B6B9A">
        <w:rPr>
          <w:rFonts w:eastAsia="標楷體" w:hint="eastAsia"/>
          <w:sz w:val="28"/>
          <w:szCs w:val="28"/>
        </w:rPr>
        <w:t>％至</w:t>
      </w:r>
      <w:r w:rsidR="004B772B" w:rsidRPr="003B6B9A">
        <w:rPr>
          <w:rFonts w:eastAsia="標楷體" w:hint="eastAsia"/>
          <w:sz w:val="28"/>
          <w:szCs w:val="28"/>
        </w:rPr>
        <w:t>1.5</w:t>
      </w:r>
      <w:r w:rsidR="004B772B" w:rsidRPr="003B6B9A">
        <w:rPr>
          <w:rFonts w:eastAsia="標楷體" w:hint="eastAsia"/>
          <w:sz w:val="28"/>
          <w:szCs w:val="28"/>
        </w:rPr>
        <w:t>％，</w:t>
      </w:r>
      <w:r w:rsidR="004B772B" w:rsidRPr="003B6B9A">
        <w:rPr>
          <w:rFonts w:eastAsia="標楷體" w:hint="eastAsia"/>
          <w:sz w:val="28"/>
          <w:szCs w:val="28"/>
        </w:rPr>
        <w:t>2016</w:t>
      </w:r>
      <w:r w:rsidR="004B772B" w:rsidRPr="003B6B9A">
        <w:rPr>
          <w:rFonts w:eastAsia="標楷體" w:hint="eastAsia"/>
          <w:sz w:val="28"/>
          <w:szCs w:val="28"/>
        </w:rPr>
        <w:t>則可望達</w:t>
      </w:r>
      <w:r w:rsidR="004B772B" w:rsidRPr="003B6B9A">
        <w:rPr>
          <w:rFonts w:eastAsia="標楷體" w:hint="eastAsia"/>
          <w:sz w:val="28"/>
          <w:szCs w:val="28"/>
        </w:rPr>
        <w:t>1.6</w:t>
      </w:r>
      <w:r w:rsidR="004B772B" w:rsidRPr="003B6B9A">
        <w:rPr>
          <w:rFonts w:eastAsia="標楷體" w:hint="eastAsia"/>
          <w:sz w:val="28"/>
          <w:szCs w:val="28"/>
        </w:rPr>
        <w:t>％至</w:t>
      </w:r>
      <w:r w:rsidR="004B772B" w:rsidRPr="003B6B9A">
        <w:rPr>
          <w:rFonts w:eastAsia="標楷體" w:hint="eastAsia"/>
          <w:sz w:val="28"/>
          <w:szCs w:val="28"/>
        </w:rPr>
        <w:t>2.0</w:t>
      </w:r>
      <w:r w:rsidR="004B772B" w:rsidRPr="003B6B9A">
        <w:rPr>
          <w:rFonts w:eastAsia="標楷體" w:hint="eastAsia"/>
          <w:sz w:val="28"/>
          <w:szCs w:val="28"/>
        </w:rPr>
        <w:t>％之間（詳如表</w:t>
      </w:r>
      <w:r w:rsidR="004B772B" w:rsidRPr="003B6B9A">
        <w:rPr>
          <w:rFonts w:eastAsia="標楷體" w:hint="eastAsia"/>
          <w:sz w:val="28"/>
          <w:szCs w:val="28"/>
        </w:rPr>
        <w:t>2</w:t>
      </w:r>
      <w:r w:rsidR="004B772B" w:rsidRPr="003B6B9A">
        <w:rPr>
          <w:rFonts w:eastAsia="標楷體" w:hint="eastAsia"/>
          <w:sz w:val="28"/>
          <w:szCs w:val="28"/>
        </w:rPr>
        <w:t>）。上修原因主要仍是認為，低油價可望降低企業成本、提高利潤並擴大相關產業投資，而家計單位實質可支配所得也將因低通膨增加，帶動個人需求及消費成長。此外，歐洲央行於</w:t>
      </w:r>
      <w:r w:rsidR="004B772B" w:rsidRPr="003B6B9A">
        <w:rPr>
          <w:rFonts w:eastAsia="標楷體" w:hint="eastAsia"/>
          <w:sz w:val="28"/>
          <w:szCs w:val="28"/>
        </w:rPr>
        <w:t>2015</w:t>
      </w:r>
      <w:r w:rsidR="004B772B" w:rsidRPr="003B6B9A">
        <w:rPr>
          <w:rFonts w:eastAsia="標楷體" w:hint="eastAsia"/>
          <w:sz w:val="28"/>
          <w:szCs w:val="28"/>
        </w:rPr>
        <w:t>年</w:t>
      </w:r>
      <w:r w:rsidR="004B772B" w:rsidRPr="003B6B9A">
        <w:rPr>
          <w:rFonts w:eastAsia="標楷體" w:hint="eastAsia"/>
          <w:sz w:val="28"/>
          <w:szCs w:val="28"/>
        </w:rPr>
        <w:t>3</w:t>
      </w:r>
      <w:r w:rsidR="004B772B" w:rsidRPr="003B6B9A">
        <w:rPr>
          <w:rFonts w:eastAsia="標楷體" w:hint="eastAsia"/>
          <w:sz w:val="28"/>
          <w:szCs w:val="28"/>
        </w:rPr>
        <w:t>月啟動大規模量化寬鬆（</w:t>
      </w:r>
      <w:r w:rsidR="004B772B" w:rsidRPr="003B6B9A">
        <w:rPr>
          <w:rFonts w:eastAsia="標楷體" w:hint="eastAsia"/>
          <w:sz w:val="28"/>
          <w:szCs w:val="28"/>
        </w:rPr>
        <w:t>QE</w:t>
      </w:r>
      <w:r w:rsidR="004B772B" w:rsidRPr="003B6B9A">
        <w:rPr>
          <w:rFonts w:eastAsia="標楷體" w:hint="eastAsia"/>
          <w:sz w:val="28"/>
          <w:szCs w:val="28"/>
        </w:rPr>
        <w:t>）政策，預計每月將購買</w:t>
      </w:r>
      <w:r w:rsidR="004B772B" w:rsidRPr="003B6B9A">
        <w:rPr>
          <w:rFonts w:eastAsia="標楷體" w:hint="eastAsia"/>
          <w:sz w:val="28"/>
          <w:szCs w:val="28"/>
        </w:rPr>
        <w:t>600</w:t>
      </w:r>
      <w:r w:rsidR="004B772B" w:rsidRPr="003B6B9A">
        <w:rPr>
          <w:rFonts w:eastAsia="標楷體" w:hint="eastAsia"/>
          <w:sz w:val="28"/>
          <w:szCs w:val="28"/>
        </w:rPr>
        <w:t>億歐元債券至</w:t>
      </w:r>
      <w:r w:rsidR="004B772B" w:rsidRPr="003B6B9A">
        <w:rPr>
          <w:rFonts w:eastAsia="標楷體" w:hint="eastAsia"/>
          <w:sz w:val="28"/>
          <w:szCs w:val="28"/>
        </w:rPr>
        <w:t>2016</w:t>
      </w:r>
      <w:r w:rsidR="004B772B" w:rsidRPr="003B6B9A">
        <w:rPr>
          <w:rFonts w:eastAsia="標楷體" w:hint="eastAsia"/>
          <w:sz w:val="28"/>
          <w:szCs w:val="28"/>
        </w:rPr>
        <w:t>年</w:t>
      </w:r>
      <w:r w:rsidR="004B772B" w:rsidRPr="003B6B9A">
        <w:rPr>
          <w:rFonts w:eastAsia="標楷體" w:hint="eastAsia"/>
          <w:sz w:val="28"/>
          <w:szCs w:val="28"/>
        </w:rPr>
        <w:t>9</w:t>
      </w:r>
      <w:r w:rsidR="004B772B" w:rsidRPr="003B6B9A">
        <w:rPr>
          <w:rFonts w:eastAsia="標楷體" w:hint="eastAsia"/>
          <w:sz w:val="28"/>
          <w:szCs w:val="28"/>
        </w:rPr>
        <w:t>月，除已改善歐元區家計及企業貸款條件，也帶動歐元貶值，有助於提升歐元區國家對外出口。</w:t>
      </w:r>
    </w:p>
    <w:p w:rsidR="0073470B" w:rsidRPr="003B6B9A" w:rsidRDefault="0073470B" w:rsidP="0073470B">
      <w:pPr>
        <w:spacing w:beforeLines="30" w:before="108" w:afterLines="30" w:after="108" w:line="500" w:lineRule="exact"/>
        <w:ind w:leftChars="200" w:left="480" w:firstLineChars="200" w:firstLine="560"/>
        <w:jc w:val="both"/>
        <w:rPr>
          <w:rFonts w:eastAsia="標楷體"/>
          <w:sz w:val="28"/>
          <w:szCs w:val="28"/>
        </w:rPr>
      </w:pPr>
    </w:p>
    <w:p w:rsidR="004B772B" w:rsidRPr="003B6B9A" w:rsidRDefault="004B772B" w:rsidP="0073470B">
      <w:pPr>
        <w:spacing w:beforeLines="30" w:before="108" w:afterLines="30" w:after="108" w:line="400" w:lineRule="exact"/>
        <w:ind w:firstLineChars="200" w:firstLine="561"/>
        <w:jc w:val="center"/>
        <w:rPr>
          <w:rFonts w:eastAsia="標楷體"/>
          <w:b/>
          <w:sz w:val="28"/>
          <w:szCs w:val="28"/>
        </w:rPr>
      </w:pPr>
    </w:p>
    <w:p w:rsidR="004B772B" w:rsidRPr="003B6B9A" w:rsidRDefault="004B772B" w:rsidP="004B772B">
      <w:pPr>
        <w:spacing w:beforeLines="30" w:before="108" w:afterLines="30" w:after="108" w:line="400" w:lineRule="exact"/>
        <w:ind w:firstLineChars="200" w:firstLine="561"/>
        <w:jc w:val="center"/>
        <w:rPr>
          <w:rFonts w:eastAsia="標楷體"/>
          <w:b/>
          <w:sz w:val="28"/>
          <w:szCs w:val="28"/>
        </w:rPr>
      </w:pPr>
    </w:p>
    <w:p w:rsidR="004B772B" w:rsidRPr="003B6B9A" w:rsidRDefault="004B772B" w:rsidP="004B772B">
      <w:pPr>
        <w:spacing w:beforeLines="30" w:before="108" w:afterLines="30" w:after="108" w:line="400" w:lineRule="exact"/>
        <w:ind w:firstLineChars="200" w:firstLine="561"/>
        <w:jc w:val="center"/>
        <w:rPr>
          <w:rFonts w:eastAsia="標楷體"/>
          <w:b/>
          <w:sz w:val="28"/>
          <w:szCs w:val="28"/>
        </w:rPr>
      </w:pPr>
    </w:p>
    <w:p w:rsidR="004B772B" w:rsidRPr="003B6B9A" w:rsidRDefault="004B772B" w:rsidP="004B772B">
      <w:pPr>
        <w:spacing w:beforeLines="30" w:before="108" w:afterLines="30" w:after="108" w:line="400" w:lineRule="exact"/>
        <w:ind w:firstLineChars="200" w:firstLine="561"/>
        <w:jc w:val="center"/>
        <w:rPr>
          <w:rFonts w:eastAsia="標楷體"/>
          <w:b/>
          <w:sz w:val="28"/>
          <w:szCs w:val="28"/>
        </w:rPr>
      </w:pPr>
    </w:p>
    <w:p w:rsidR="004B772B" w:rsidRPr="003B6B9A" w:rsidRDefault="004B772B" w:rsidP="004B772B">
      <w:pPr>
        <w:spacing w:beforeLines="30" w:before="108" w:afterLines="30" w:after="108" w:line="400" w:lineRule="exact"/>
        <w:ind w:firstLineChars="200" w:firstLine="561"/>
        <w:jc w:val="center"/>
        <w:rPr>
          <w:rFonts w:eastAsia="標楷體"/>
          <w:b/>
          <w:sz w:val="28"/>
          <w:szCs w:val="28"/>
        </w:rPr>
      </w:pPr>
    </w:p>
    <w:p w:rsidR="004B772B" w:rsidRPr="003B6B9A" w:rsidRDefault="004B772B" w:rsidP="004B772B">
      <w:pPr>
        <w:spacing w:beforeLines="30" w:before="108" w:afterLines="30" w:after="108" w:line="400" w:lineRule="exact"/>
        <w:ind w:firstLineChars="550" w:firstLine="1542"/>
        <w:rPr>
          <w:rFonts w:eastAsia="標楷體"/>
          <w:b/>
          <w:sz w:val="28"/>
          <w:szCs w:val="28"/>
        </w:rPr>
      </w:pPr>
    </w:p>
    <w:p w:rsidR="004B772B" w:rsidRPr="003B6B9A" w:rsidRDefault="004B772B" w:rsidP="0073470B">
      <w:pPr>
        <w:spacing w:beforeLines="30" w:before="108" w:afterLines="30" w:after="108" w:line="400" w:lineRule="exact"/>
        <w:ind w:firstLineChars="200" w:firstLine="561"/>
        <w:jc w:val="center"/>
        <w:rPr>
          <w:rFonts w:eastAsia="標楷體"/>
          <w:b/>
          <w:sz w:val="28"/>
          <w:szCs w:val="28"/>
        </w:rPr>
      </w:pPr>
    </w:p>
    <w:p w:rsidR="004B772B" w:rsidRPr="003B6B9A" w:rsidRDefault="004B772B" w:rsidP="004B772B">
      <w:pPr>
        <w:spacing w:beforeLines="30" w:before="108" w:afterLines="30" w:after="108" w:line="400" w:lineRule="exact"/>
        <w:ind w:firstLineChars="200" w:firstLine="560"/>
        <w:jc w:val="center"/>
        <w:rPr>
          <w:rFonts w:eastAsia="標楷體"/>
          <w:sz w:val="28"/>
          <w:szCs w:val="28"/>
        </w:rPr>
      </w:pPr>
    </w:p>
    <w:p w:rsidR="004B772B" w:rsidRPr="003B6B9A" w:rsidRDefault="0073470B" w:rsidP="0073470B">
      <w:pPr>
        <w:spacing w:line="320" w:lineRule="exact"/>
        <w:ind w:firstLineChars="150" w:firstLine="300"/>
        <w:rPr>
          <w:rFonts w:eastAsia="標楷體"/>
          <w:sz w:val="20"/>
          <w:szCs w:val="28"/>
        </w:rPr>
      </w:pPr>
      <w:r>
        <w:rPr>
          <w:rFonts w:eastAsia="標楷體" w:hint="eastAsia"/>
          <w:sz w:val="20"/>
          <w:szCs w:val="28"/>
        </w:rPr>
        <w:t xml:space="preserve"> </w:t>
      </w:r>
      <w:r w:rsidR="004B772B" w:rsidRPr="003B6B9A">
        <w:rPr>
          <w:rFonts w:eastAsia="標楷體" w:hint="eastAsia"/>
          <w:sz w:val="20"/>
          <w:szCs w:val="28"/>
        </w:rPr>
        <w:t>資料來源：歐盟統計局，美國勞工部</w:t>
      </w:r>
    </w:p>
    <w:p w:rsidR="004B772B" w:rsidRPr="003B6B9A" w:rsidRDefault="004B772B" w:rsidP="004B772B">
      <w:pPr>
        <w:spacing w:beforeLines="30" w:before="108" w:afterLines="30" w:after="108" w:line="400" w:lineRule="exact"/>
        <w:ind w:firstLineChars="200" w:firstLine="561"/>
        <w:jc w:val="center"/>
        <w:rPr>
          <w:rFonts w:eastAsia="標楷體"/>
          <w:b/>
          <w:sz w:val="28"/>
          <w:szCs w:val="28"/>
        </w:rPr>
      </w:pPr>
      <w:r w:rsidRPr="003B6B9A">
        <w:rPr>
          <w:rFonts w:eastAsia="標楷體" w:hint="eastAsia"/>
          <w:b/>
          <w:sz w:val="28"/>
          <w:szCs w:val="28"/>
        </w:rPr>
        <w:t>圖</w:t>
      </w:r>
      <w:r w:rsidRPr="003B6B9A">
        <w:rPr>
          <w:rFonts w:eastAsia="標楷體" w:hint="eastAsia"/>
          <w:b/>
          <w:sz w:val="28"/>
          <w:szCs w:val="28"/>
        </w:rPr>
        <w:t xml:space="preserve">5  </w:t>
      </w:r>
      <w:r w:rsidRPr="003B6B9A">
        <w:rPr>
          <w:rFonts w:eastAsia="標楷體" w:hint="eastAsia"/>
          <w:b/>
          <w:sz w:val="28"/>
          <w:szCs w:val="28"/>
        </w:rPr>
        <w:t>歐元區及美國失業率趨勢圖</w:t>
      </w:r>
    </w:p>
    <w:p w:rsidR="004B772B" w:rsidRPr="003B6B9A" w:rsidRDefault="004B772B" w:rsidP="004B772B">
      <w:pPr>
        <w:spacing w:beforeLines="30" w:before="108" w:afterLines="30" w:after="108" w:line="500" w:lineRule="exact"/>
        <w:ind w:firstLineChars="200" w:firstLine="561"/>
        <w:jc w:val="center"/>
        <w:rPr>
          <w:rFonts w:eastAsia="標楷體"/>
          <w:b/>
          <w:sz w:val="28"/>
          <w:szCs w:val="28"/>
        </w:rPr>
      </w:pPr>
      <w:r w:rsidRPr="003B6B9A">
        <w:rPr>
          <w:rFonts w:eastAsia="標楷體"/>
          <w:b/>
          <w:sz w:val="28"/>
          <w:szCs w:val="28"/>
        </w:rPr>
        <w:t>表</w:t>
      </w:r>
      <w:r w:rsidRPr="003B6B9A">
        <w:rPr>
          <w:rFonts w:eastAsia="標楷體"/>
          <w:b/>
          <w:sz w:val="28"/>
          <w:szCs w:val="28"/>
        </w:rPr>
        <w:t>2</w:t>
      </w:r>
      <w:r w:rsidRPr="003B6B9A">
        <w:rPr>
          <w:rFonts w:eastAsia="標楷體" w:hint="eastAsia"/>
          <w:b/>
          <w:sz w:val="28"/>
          <w:szCs w:val="28"/>
        </w:rPr>
        <w:t xml:space="preserve">　</w:t>
      </w:r>
      <w:r w:rsidRPr="003B6B9A">
        <w:rPr>
          <w:rFonts w:eastAsia="標楷體"/>
          <w:b/>
          <w:sz w:val="28"/>
          <w:szCs w:val="28"/>
        </w:rPr>
        <w:t>主要預測機構預估歐元區經濟成長率</w:t>
      </w:r>
      <w:r w:rsidRPr="003B6B9A">
        <w:rPr>
          <w:rFonts w:eastAsia="標楷體" w:hint="eastAsia"/>
          <w:b/>
          <w:sz w:val="28"/>
          <w:szCs w:val="28"/>
        </w:rPr>
        <w:t>（</w:t>
      </w:r>
      <w:r w:rsidRPr="003B6B9A">
        <w:rPr>
          <w:rFonts w:eastAsia="標楷體"/>
          <w:b/>
          <w:sz w:val="28"/>
          <w:szCs w:val="28"/>
        </w:rPr>
        <w:t>2015-16</w:t>
      </w:r>
      <w:r w:rsidRPr="003B6B9A">
        <w:rPr>
          <w:rFonts w:eastAsia="標楷體"/>
          <w:b/>
          <w:sz w:val="28"/>
          <w:szCs w:val="28"/>
        </w:rPr>
        <w:t>年</w:t>
      </w:r>
      <w:r w:rsidRPr="003B6B9A">
        <w:rPr>
          <w:rFonts w:eastAsia="標楷體" w:hint="eastAsia"/>
          <w:b/>
          <w:sz w:val="28"/>
          <w:szCs w:val="28"/>
        </w:rPr>
        <w:t>）</w:t>
      </w:r>
    </w:p>
    <w:tbl>
      <w:tblPr>
        <w:tblW w:w="4748" w:type="pct"/>
        <w:jc w:val="center"/>
        <w:tblInd w:w="-8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9"/>
        <w:gridCol w:w="1833"/>
        <w:gridCol w:w="1819"/>
      </w:tblGrid>
      <w:tr w:rsidR="004B772B" w:rsidRPr="003B6B9A" w:rsidTr="008F5F6F">
        <w:trPr>
          <w:trHeight w:val="667"/>
          <w:tblHeader/>
          <w:jc w:val="center"/>
        </w:trPr>
        <w:tc>
          <w:tcPr>
            <w:tcW w:w="2795" w:type="pct"/>
            <w:tcBorders>
              <w:top w:val="thinThickSmallGap" w:sz="24" w:space="0" w:color="auto"/>
              <w:bottom w:val="double" w:sz="4" w:space="0" w:color="auto"/>
            </w:tcBorders>
            <w:vAlign w:val="center"/>
          </w:tcPr>
          <w:p w:rsidR="004B772B" w:rsidRPr="003B6B9A" w:rsidRDefault="004B772B" w:rsidP="008F5F6F">
            <w:pPr>
              <w:snapToGrid w:val="0"/>
              <w:spacing w:line="300" w:lineRule="exact"/>
              <w:jc w:val="both"/>
              <w:rPr>
                <w:rFonts w:eastAsia="標楷體"/>
              </w:rPr>
            </w:pPr>
            <w:r w:rsidRPr="003B6B9A">
              <w:rPr>
                <w:rFonts w:eastAsia="標楷體"/>
              </w:rPr>
              <w:t>預測機構</w:t>
            </w:r>
          </w:p>
        </w:tc>
        <w:tc>
          <w:tcPr>
            <w:tcW w:w="1107" w:type="pct"/>
            <w:tcBorders>
              <w:top w:val="thinThickSmallGap" w:sz="24" w:space="0" w:color="auto"/>
              <w:bottom w:val="double" w:sz="4" w:space="0" w:color="auto"/>
            </w:tcBorders>
            <w:shd w:val="clear" w:color="auto" w:fill="D9D9D9"/>
            <w:vAlign w:val="center"/>
          </w:tcPr>
          <w:p w:rsidR="004B772B" w:rsidRPr="003B6B9A" w:rsidRDefault="004B772B" w:rsidP="008F5F6F">
            <w:pPr>
              <w:snapToGrid w:val="0"/>
              <w:spacing w:line="300" w:lineRule="exact"/>
              <w:jc w:val="center"/>
              <w:rPr>
                <w:rFonts w:eastAsia="標楷體"/>
              </w:rPr>
            </w:pPr>
            <w:r w:rsidRPr="003B6B9A">
              <w:rPr>
                <w:rFonts w:eastAsia="標楷體"/>
              </w:rPr>
              <w:t>2015</w:t>
            </w:r>
          </w:p>
        </w:tc>
        <w:tc>
          <w:tcPr>
            <w:tcW w:w="1098" w:type="pct"/>
            <w:tcBorders>
              <w:top w:val="thinThickSmallGap" w:sz="24" w:space="0" w:color="auto"/>
              <w:bottom w:val="double" w:sz="4" w:space="0" w:color="auto"/>
              <w:right w:val="single" w:sz="12" w:space="0" w:color="auto"/>
            </w:tcBorders>
            <w:shd w:val="clear" w:color="auto" w:fill="D9D9D9"/>
            <w:vAlign w:val="center"/>
          </w:tcPr>
          <w:p w:rsidR="004B772B" w:rsidRPr="003B6B9A" w:rsidRDefault="004B772B" w:rsidP="008F5F6F">
            <w:pPr>
              <w:snapToGrid w:val="0"/>
              <w:spacing w:line="300" w:lineRule="exact"/>
              <w:jc w:val="center"/>
              <w:rPr>
                <w:rFonts w:eastAsia="標楷體"/>
              </w:rPr>
            </w:pPr>
            <w:r w:rsidRPr="003B6B9A">
              <w:rPr>
                <w:rFonts w:eastAsia="標楷體"/>
              </w:rPr>
              <w:t>2016</w:t>
            </w:r>
          </w:p>
        </w:tc>
      </w:tr>
      <w:tr w:rsidR="004B772B" w:rsidRPr="003B6B9A" w:rsidTr="008F5F6F">
        <w:trPr>
          <w:trHeight w:val="304"/>
          <w:jc w:val="center"/>
        </w:trPr>
        <w:tc>
          <w:tcPr>
            <w:tcW w:w="2795" w:type="pct"/>
          </w:tcPr>
          <w:p w:rsidR="004B772B" w:rsidRPr="003B6B9A" w:rsidRDefault="004B772B" w:rsidP="008F5F6F">
            <w:pPr>
              <w:snapToGrid w:val="0"/>
              <w:spacing w:line="300" w:lineRule="exact"/>
              <w:rPr>
                <w:rFonts w:eastAsia="標楷體"/>
              </w:rPr>
            </w:pPr>
            <w:r w:rsidRPr="003B6B9A">
              <w:rPr>
                <w:rFonts w:eastAsia="標楷體"/>
              </w:rPr>
              <w:t>IMF</w:t>
            </w:r>
          </w:p>
        </w:tc>
        <w:tc>
          <w:tcPr>
            <w:tcW w:w="1107" w:type="pct"/>
            <w:shd w:val="clear" w:color="auto" w:fill="D9D9D9"/>
            <w:vAlign w:val="bottom"/>
          </w:tcPr>
          <w:p w:rsidR="004B772B" w:rsidRPr="003B6B9A" w:rsidRDefault="004B772B" w:rsidP="008F5F6F">
            <w:pPr>
              <w:snapToGrid w:val="0"/>
              <w:spacing w:line="300" w:lineRule="exact"/>
              <w:jc w:val="center"/>
              <w:rPr>
                <w:rFonts w:eastAsia="標楷體"/>
              </w:rPr>
            </w:pPr>
            <w:r w:rsidRPr="003B6B9A">
              <w:rPr>
                <w:rFonts w:eastAsia="標楷體"/>
              </w:rPr>
              <w:t>1.</w:t>
            </w:r>
            <w:r w:rsidRPr="003B6B9A">
              <w:rPr>
                <w:rFonts w:eastAsia="標楷體" w:hint="eastAsia"/>
              </w:rPr>
              <w:t>5</w:t>
            </w:r>
          </w:p>
        </w:tc>
        <w:tc>
          <w:tcPr>
            <w:tcW w:w="1098" w:type="pct"/>
            <w:tcBorders>
              <w:right w:val="single" w:sz="12" w:space="0" w:color="auto"/>
            </w:tcBorders>
            <w:shd w:val="clear" w:color="auto" w:fill="D9D9D9"/>
            <w:vAlign w:val="bottom"/>
          </w:tcPr>
          <w:p w:rsidR="004B772B" w:rsidRPr="003B6B9A" w:rsidRDefault="004B772B" w:rsidP="008F5F6F">
            <w:pPr>
              <w:snapToGrid w:val="0"/>
              <w:spacing w:line="300" w:lineRule="exact"/>
              <w:jc w:val="center"/>
              <w:rPr>
                <w:rFonts w:eastAsia="標楷體"/>
              </w:rPr>
            </w:pPr>
            <w:r w:rsidRPr="003B6B9A">
              <w:rPr>
                <w:rFonts w:eastAsia="標楷體"/>
              </w:rPr>
              <w:t>1.</w:t>
            </w:r>
            <w:r w:rsidRPr="003B6B9A">
              <w:rPr>
                <w:rFonts w:eastAsia="標楷體" w:hint="eastAsia"/>
              </w:rPr>
              <w:t>9</w:t>
            </w:r>
          </w:p>
        </w:tc>
      </w:tr>
      <w:tr w:rsidR="004B772B" w:rsidRPr="003B6B9A" w:rsidTr="008F5F6F">
        <w:trPr>
          <w:trHeight w:val="304"/>
          <w:jc w:val="center"/>
        </w:trPr>
        <w:tc>
          <w:tcPr>
            <w:tcW w:w="2795" w:type="pct"/>
          </w:tcPr>
          <w:p w:rsidR="004B772B" w:rsidRPr="003B6B9A" w:rsidRDefault="004B772B" w:rsidP="008F5F6F">
            <w:pPr>
              <w:snapToGrid w:val="0"/>
              <w:spacing w:line="300" w:lineRule="exact"/>
              <w:rPr>
                <w:rFonts w:eastAsia="標楷體"/>
              </w:rPr>
            </w:pPr>
            <w:r w:rsidRPr="003B6B9A">
              <w:rPr>
                <w:rFonts w:eastAsia="標楷體"/>
              </w:rPr>
              <w:t>World Bank</w:t>
            </w:r>
          </w:p>
        </w:tc>
        <w:tc>
          <w:tcPr>
            <w:tcW w:w="1107" w:type="pct"/>
            <w:shd w:val="clear" w:color="auto" w:fill="D9D9D9"/>
            <w:vAlign w:val="bottom"/>
          </w:tcPr>
          <w:p w:rsidR="004B772B" w:rsidRPr="003B6B9A" w:rsidRDefault="004B772B" w:rsidP="008F5F6F">
            <w:pPr>
              <w:adjustRightInd w:val="0"/>
              <w:snapToGrid w:val="0"/>
              <w:spacing w:line="300" w:lineRule="exact"/>
              <w:jc w:val="center"/>
              <w:rPr>
                <w:rFonts w:eastAsia="標楷體"/>
                <w:color w:val="000000"/>
                <w:szCs w:val="28"/>
              </w:rPr>
            </w:pPr>
            <w:r w:rsidRPr="003B6B9A">
              <w:rPr>
                <w:rFonts w:eastAsia="標楷體"/>
                <w:color w:val="000000"/>
                <w:szCs w:val="28"/>
              </w:rPr>
              <w:t>1.1</w:t>
            </w:r>
          </w:p>
        </w:tc>
        <w:tc>
          <w:tcPr>
            <w:tcW w:w="1098" w:type="pct"/>
            <w:tcBorders>
              <w:right w:val="single" w:sz="12" w:space="0" w:color="auto"/>
            </w:tcBorders>
            <w:shd w:val="clear" w:color="auto" w:fill="D9D9D9"/>
            <w:vAlign w:val="bottom"/>
          </w:tcPr>
          <w:p w:rsidR="004B772B" w:rsidRPr="003B6B9A" w:rsidRDefault="004B772B" w:rsidP="008F5F6F">
            <w:pPr>
              <w:adjustRightInd w:val="0"/>
              <w:snapToGrid w:val="0"/>
              <w:spacing w:line="300" w:lineRule="exact"/>
              <w:jc w:val="center"/>
              <w:rPr>
                <w:rFonts w:eastAsia="標楷體"/>
                <w:color w:val="000000"/>
                <w:szCs w:val="28"/>
              </w:rPr>
            </w:pPr>
            <w:r w:rsidRPr="003B6B9A">
              <w:rPr>
                <w:rFonts w:eastAsia="標楷體"/>
                <w:color w:val="000000"/>
                <w:szCs w:val="28"/>
              </w:rPr>
              <w:t>1.6</w:t>
            </w:r>
          </w:p>
        </w:tc>
      </w:tr>
      <w:tr w:rsidR="004B772B" w:rsidRPr="003B6B9A" w:rsidTr="008F5F6F">
        <w:trPr>
          <w:trHeight w:val="318"/>
          <w:jc w:val="center"/>
        </w:trPr>
        <w:tc>
          <w:tcPr>
            <w:tcW w:w="2795" w:type="pct"/>
          </w:tcPr>
          <w:p w:rsidR="004B772B" w:rsidRPr="003B6B9A" w:rsidRDefault="004B772B" w:rsidP="008F5F6F">
            <w:pPr>
              <w:snapToGrid w:val="0"/>
              <w:spacing w:line="300" w:lineRule="exact"/>
              <w:rPr>
                <w:rFonts w:eastAsia="標楷體"/>
              </w:rPr>
            </w:pPr>
            <w:r w:rsidRPr="003B6B9A">
              <w:rPr>
                <w:rFonts w:eastAsia="標楷體"/>
              </w:rPr>
              <w:t>Global Insight</w:t>
            </w:r>
          </w:p>
        </w:tc>
        <w:tc>
          <w:tcPr>
            <w:tcW w:w="1107" w:type="pct"/>
            <w:shd w:val="clear" w:color="auto" w:fill="D9D9D9"/>
            <w:vAlign w:val="bottom"/>
          </w:tcPr>
          <w:p w:rsidR="004B772B" w:rsidRPr="003B6B9A" w:rsidRDefault="004B772B" w:rsidP="008F5F6F">
            <w:pPr>
              <w:snapToGrid w:val="0"/>
              <w:spacing w:line="300" w:lineRule="exact"/>
              <w:jc w:val="center"/>
              <w:rPr>
                <w:rFonts w:eastAsia="標楷體"/>
              </w:rPr>
            </w:pPr>
            <w:r w:rsidRPr="003B6B9A">
              <w:rPr>
                <w:rFonts w:eastAsia="標楷體"/>
              </w:rPr>
              <w:t>1.</w:t>
            </w:r>
            <w:r w:rsidRPr="003B6B9A">
              <w:rPr>
                <w:rFonts w:eastAsia="標楷體" w:hint="eastAsia"/>
              </w:rPr>
              <w:t>5</w:t>
            </w:r>
          </w:p>
        </w:tc>
        <w:tc>
          <w:tcPr>
            <w:tcW w:w="1098" w:type="pct"/>
            <w:tcBorders>
              <w:right w:val="single" w:sz="12" w:space="0" w:color="auto"/>
            </w:tcBorders>
            <w:shd w:val="clear" w:color="auto" w:fill="D9D9D9"/>
            <w:vAlign w:val="bottom"/>
          </w:tcPr>
          <w:p w:rsidR="004B772B" w:rsidRPr="003B6B9A" w:rsidRDefault="004B772B" w:rsidP="008F5F6F">
            <w:pPr>
              <w:snapToGrid w:val="0"/>
              <w:spacing w:line="300" w:lineRule="exact"/>
              <w:jc w:val="center"/>
              <w:rPr>
                <w:rFonts w:eastAsia="標楷體"/>
              </w:rPr>
            </w:pPr>
            <w:r w:rsidRPr="003B6B9A">
              <w:rPr>
                <w:rFonts w:eastAsia="標楷體"/>
              </w:rPr>
              <w:t>1.9</w:t>
            </w:r>
          </w:p>
        </w:tc>
      </w:tr>
      <w:tr w:rsidR="004B772B" w:rsidRPr="003B6B9A" w:rsidTr="008F5F6F">
        <w:trPr>
          <w:trHeight w:val="304"/>
          <w:jc w:val="center"/>
        </w:trPr>
        <w:tc>
          <w:tcPr>
            <w:tcW w:w="2795" w:type="pct"/>
            <w:tcBorders>
              <w:bottom w:val="single" w:sz="4" w:space="0" w:color="auto"/>
            </w:tcBorders>
          </w:tcPr>
          <w:p w:rsidR="004B772B" w:rsidRPr="003B6B9A" w:rsidRDefault="004B772B" w:rsidP="008F5F6F">
            <w:pPr>
              <w:snapToGrid w:val="0"/>
              <w:spacing w:line="300" w:lineRule="exact"/>
              <w:rPr>
                <w:rFonts w:eastAsia="標楷體"/>
              </w:rPr>
            </w:pPr>
            <w:r w:rsidRPr="003B6B9A">
              <w:rPr>
                <w:rFonts w:eastAsia="標楷體"/>
              </w:rPr>
              <w:t>Consensus Forecast</w:t>
            </w:r>
          </w:p>
        </w:tc>
        <w:tc>
          <w:tcPr>
            <w:tcW w:w="1107" w:type="pct"/>
            <w:tcBorders>
              <w:bottom w:val="single" w:sz="4" w:space="0" w:color="auto"/>
            </w:tcBorders>
            <w:shd w:val="clear" w:color="auto" w:fill="D9D9D9"/>
          </w:tcPr>
          <w:p w:rsidR="004B772B" w:rsidRPr="003B6B9A" w:rsidRDefault="004B772B" w:rsidP="008F5F6F">
            <w:pPr>
              <w:snapToGrid w:val="0"/>
              <w:spacing w:line="300" w:lineRule="exact"/>
              <w:jc w:val="center"/>
            </w:pPr>
            <w:r w:rsidRPr="003B6B9A">
              <w:t>1.2</w:t>
            </w:r>
          </w:p>
        </w:tc>
        <w:tc>
          <w:tcPr>
            <w:tcW w:w="1098" w:type="pct"/>
            <w:tcBorders>
              <w:bottom w:val="single" w:sz="4" w:space="0" w:color="auto"/>
              <w:right w:val="single" w:sz="12" w:space="0" w:color="auto"/>
            </w:tcBorders>
            <w:shd w:val="clear" w:color="auto" w:fill="D9D9D9"/>
          </w:tcPr>
          <w:p w:rsidR="004B772B" w:rsidRPr="003B6B9A" w:rsidRDefault="004B772B" w:rsidP="008F5F6F">
            <w:pPr>
              <w:snapToGrid w:val="0"/>
              <w:spacing w:line="300" w:lineRule="exact"/>
              <w:jc w:val="center"/>
            </w:pPr>
            <w:r w:rsidRPr="003B6B9A">
              <w:t>1.6</w:t>
            </w:r>
          </w:p>
        </w:tc>
      </w:tr>
      <w:tr w:rsidR="004B772B" w:rsidRPr="003B6B9A" w:rsidTr="008F5F6F">
        <w:trPr>
          <w:trHeight w:val="318"/>
          <w:jc w:val="center"/>
        </w:trPr>
        <w:tc>
          <w:tcPr>
            <w:tcW w:w="2795" w:type="pct"/>
            <w:tcBorders>
              <w:bottom w:val="single" w:sz="4" w:space="0" w:color="auto"/>
            </w:tcBorders>
          </w:tcPr>
          <w:p w:rsidR="004B772B" w:rsidRPr="003B6B9A" w:rsidRDefault="004B772B" w:rsidP="008F5F6F">
            <w:pPr>
              <w:snapToGrid w:val="0"/>
              <w:spacing w:line="300" w:lineRule="exact"/>
              <w:rPr>
                <w:rFonts w:eastAsia="標楷體"/>
              </w:rPr>
            </w:pPr>
            <w:r w:rsidRPr="003B6B9A">
              <w:rPr>
                <w:rFonts w:eastAsia="標楷體"/>
              </w:rPr>
              <w:t>European commission</w:t>
            </w:r>
          </w:p>
        </w:tc>
        <w:tc>
          <w:tcPr>
            <w:tcW w:w="1107" w:type="pct"/>
            <w:tcBorders>
              <w:bottom w:val="single" w:sz="4" w:space="0" w:color="auto"/>
            </w:tcBorders>
            <w:shd w:val="clear" w:color="auto" w:fill="D9D9D9"/>
            <w:vAlign w:val="bottom"/>
          </w:tcPr>
          <w:p w:rsidR="004B772B" w:rsidRPr="003B6B9A" w:rsidRDefault="004B772B" w:rsidP="008F5F6F">
            <w:pPr>
              <w:snapToGrid w:val="0"/>
              <w:spacing w:line="300" w:lineRule="exact"/>
              <w:jc w:val="center"/>
              <w:rPr>
                <w:rFonts w:eastAsia="標楷體"/>
              </w:rPr>
            </w:pPr>
            <w:r w:rsidRPr="003B6B9A">
              <w:rPr>
                <w:rFonts w:eastAsia="標楷體"/>
              </w:rPr>
              <w:t>1.</w:t>
            </w:r>
            <w:r w:rsidRPr="003B6B9A">
              <w:rPr>
                <w:rFonts w:eastAsia="標楷體" w:hint="eastAsia"/>
              </w:rPr>
              <w:t>5</w:t>
            </w:r>
          </w:p>
        </w:tc>
        <w:tc>
          <w:tcPr>
            <w:tcW w:w="1098" w:type="pct"/>
            <w:tcBorders>
              <w:bottom w:val="single" w:sz="4" w:space="0" w:color="auto"/>
              <w:right w:val="single" w:sz="12" w:space="0" w:color="auto"/>
            </w:tcBorders>
            <w:shd w:val="clear" w:color="auto" w:fill="D9D9D9"/>
            <w:vAlign w:val="bottom"/>
          </w:tcPr>
          <w:p w:rsidR="004B772B" w:rsidRPr="003B6B9A" w:rsidRDefault="004B772B" w:rsidP="008F5F6F">
            <w:pPr>
              <w:snapToGrid w:val="0"/>
              <w:spacing w:line="300" w:lineRule="exact"/>
              <w:jc w:val="center"/>
              <w:rPr>
                <w:rFonts w:eastAsia="標楷體"/>
              </w:rPr>
            </w:pPr>
            <w:r w:rsidRPr="003B6B9A">
              <w:rPr>
                <w:rFonts w:eastAsia="標楷體"/>
              </w:rPr>
              <w:t>1.9</w:t>
            </w:r>
          </w:p>
        </w:tc>
      </w:tr>
      <w:tr w:rsidR="004B772B" w:rsidRPr="003B6B9A" w:rsidTr="008F5F6F">
        <w:trPr>
          <w:trHeight w:val="318"/>
          <w:jc w:val="center"/>
        </w:trPr>
        <w:tc>
          <w:tcPr>
            <w:tcW w:w="2795" w:type="pct"/>
            <w:tcBorders>
              <w:top w:val="single" w:sz="4" w:space="0" w:color="auto"/>
              <w:bottom w:val="single" w:sz="4" w:space="0" w:color="auto"/>
            </w:tcBorders>
          </w:tcPr>
          <w:p w:rsidR="004B772B" w:rsidRPr="003B6B9A" w:rsidRDefault="004B772B" w:rsidP="008F5F6F">
            <w:pPr>
              <w:snapToGrid w:val="0"/>
              <w:spacing w:line="300" w:lineRule="exact"/>
              <w:rPr>
                <w:rFonts w:eastAsia="標楷體"/>
              </w:rPr>
            </w:pPr>
            <w:r w:rsidRPr="003B6B9A">
              <w:rPr>
                <w:rFonts w:eastAsia="標楷體"/>
              </w:rPr>
              <w:t xml:space="preserve">ECB    </w:t>
            </w:r>
          </w:p>
        </w:tc>
        <w:tc>
          <w:tcPr>
            <w:tcW w:w="1107" w:type="pct"/>
            <w:tcBorders>
              <w:top w:val="single" w:sz="4" w:space="0" w:color="auto"/>
              <w:bottom w:val="single" w:sz="4" w:space="0" w:color="auto"/>
            </w:tcBorders>
            <w:shd w:val="clear" w:color="auto" w:fill="D9D9D9"/>
            <w:vAlign w:val="bottom"/>
          </w:tcPr>
          <w:p w:rsidR="004B772B" w:rsidRPr="003B6B9A" w:rsidRDefault="004B772B" w:rsidP="008F5F6F">
            <w:pPr>
              <w:snapToGrid w:val="0"/>
              <w:spacing w:line="300" w:lineRule="exact"/>
              <w:jc w:val="center"/>
              <w:rPr>
                <w:rFonts w:eastAsia="標楷體"/>
              </w:rPr>
            </w:pPr>
            <w:r w:rsidRPr="003B6B9A">
              <w:rPr>
                <w:rFonts w:eastAsia="標楷體"/>
              </w:rPr>
              <w:t>1.5</w:t>
            </w:r>
          </w:p>
        </w:tc>
        <w:tc>
          <w:tcPr>
            <w:tcW w:w="1098" w:type="pct"/>
            <w:tcBorders>
              <w:top w:val="single" w:sz="4" w:space="0" w:color="auto"/>
              <w:bottom w:val="single" w:sz="4" w:space="0" w:color="auto"/>
              <w:right w:val="single" w:sz="12" w:space="0" w:color="auto"/>
            </w:tcBorders>
            <w:shd w:val="clear" w:color="auto" w:fill="D9D9D9"/>
            <w:vAlign w:val="bottom"/>
          </w:tcPr>
          <w:p w:rsidR="004B772B" w:rsidRPr="003B6B9A" w:rsidRDefault="004B772B" w:rsidP="008F5F6F">
            <w:pPr>
              <w:snapToGrid w:val="0"/>
              <w:spacing w:line="300" w:lineRule="exact"/>
              <w:jc w:val="center"/>
              <w:rPr>
                <w:rFonts w:eastAsia="標楷體"/>
              </w:rPr>
            </w:pPr>
            <w:r w:rsidRPr="003B6B9A">
              <w:rPr>
                <w:rFonts w:eastAsia="標楷體"/>
              </w:rPr>
              <w:t>1.9</w:t>
            </w:r>
          </w:p>
        </w:tc>
      </w:tr>
      <w:tr w:rsidR="004B772B" w:rsidRPr="003B6B9A" w:rsidTr="008F5F6F">
        <w:trPr>
          <w:trHeight w:val="255"/>
          <w:jc w:val="center"/>
        </w:trPr>
        <w:tc>
          <w:tcPr>
            <w:tcW w:w="2795" w:type="pct"/>
            <w:tcBorders>
              <w:top w:val="single" w:sz="4" w:space="0" w:color="auto"/>
              <w:bottom w:val="thickThinSmallGap" w:sz="24" w:space="0" w:color="auto"/>
            </w:tcBorders>
          </w:tcPr>
          <w:p w:rsidR="004B772B" w:rsidRPr="003B6B9A" w:rsidRDefault="004B772B" w:rsidP="008F5F6F">
            <w:pPr>
              <w:snapToGrid w:val="0"/>
              <w:spacing w:line="300" w:lineRule="exact"/>
              <w:rPr>
                <w:rFonts w:eastAsia="標楷體"/>
              </w:rPr>
            </w:pPr>
            <w:r w:rsidRPr="003B6B9A">
              <w:rPr>
                <w:rFonts w:eastAsia="標楷體"/>
              </w:rPr>
              <w:t>OECD</w:t>
            </w:r>
          </w:p>
        </w:tc>
        <w:tc>
          <w:tcPr>
            <w:tcW w:w="1107" w:type="pct"/>
            <w:tcBorders>
              <w:top w:val="single" w:sz="4" w:space="0" w:color="auto"/>
              <w:bottom w:val="thickThinSmallGap" w:sz="24" w:space="0" w:color="auto"/>
            </w:tcBorders>
            <w:shd w:val="clear" w:color="auto" w:fill="D9D9D9"/>
            <w:vAlign w:val="bottom"/>
          </w:tcPr>
          <w:p w:rsidR="004B772B" w:rsidRPr="003B6B9A" w:rsidRDefault="004B772B" w:rsidP="008F5F6F">
            <w:pPr>
              <w:snapToGrid w:val="0"/>
              <w:spacing w:line="300" w:lineRule="exact"/>
              <w:jc w:val="center"/>
              <w:rPr>
                <w:rFonts w:eastAsia="標楷體"/>
              </w:rPr>
            </w:pPr>
            <w:r w:rsidRPr="003B6B9A">
              <w:rPr>
                <w:rFonts w:eastAsia="標楷體"/>
              </w:rPr>
              <w:t>1.4</w:t>
            </w:r>
          </w:p>
        </w:tc>
        <w:tc>
          <w:tcPr>
            <w:tcW w:w="1098" w:type="pct"/>
            <w:tcBorders>
              <w:top w:val="single" w:sz="4" w:space="0" w:color="auto"/>
              <w:bottom w:val="thickThinSmallGap" w:sz="24" w:space="0" w:color="auto"/>
              <w:right w:val="single" w:sz="12" w:space="0" w:color="auto"/>
            </w:tcBorders>
            <w:shd w:val="clear" w:color="auto" w:fill="D9D9D9"/>
            <w:vAlign w:val="bottom"/>
          </w:tcPr>
          <w:p w:rsidR="004B772B" w:rsidRPr="003B6B9A" w:rsidRDefault="004B772B" w:rsidP="008F5F6F">
            <w:pPr>
              <w:snapToGrid w:val="0"/>
              <w:spacing w:line="300" w:lineRule="exact"/>
              <w:jc w:val="center"/>
              <w:rPr>
                <w:rFonts w:eastAsia="標楷體"/>
              </w:rPr>
            </w:pPr>
            <w:r w:rsidRPr="003B6B9A">
              <w:rPr>
                <w:rFonts w:eastAsia="標楷體"/>
              </w:rPr>
              <w:t>2.0</w:t>
            </w:r>
          </w:p>
        </w:tc>
      </w:tr>
    </w:tbl>
    <w:p w:rsidR="004B772B" w:rsidRPr="003B6B9A" w:rsidRDefault="004B772B" w:rsidP="004B772B">
      <w:pPr>
        <w:adjustRightInd w:val="0"/>
        <w:snapToGrid w:val="0"/>
        <w:spacing w:line="280" w:lineRule="exact"/>
        <w:ind w:left="1129" w:hangingChars="518" w:hanging="1129"/>
        <w:jc w:val="both"/>
        <w:rPr>
          <w:rFonts w:eastAsia="標楷體"/>
          <w:spacing w:val="9"/>
          <w:sz w:val="20"/>
          <w:szCs w:val="20"/>
        </w:rPr>
      </w:pPr>
      <w:r w:rsidRPr="003B6B9A">
        <w:rPr>
          <w:rFonts w:eastAsia="標楷體"/>
          <w:spacing w:val="9"/>
          <w:sz w:val="20"/>
          <w:szCs w:val="20"/>
        </w:rPr>
        <w:t>資料來源：</w:t>
      </w:r>
      <w:r w:rsidRPr="003B6B9A">
        <w:rPr>
          <w:rFonts w:eastAsia="標楷體" w:hint="eastAsia"/>
          <w:spacing w:val="9"/>
          <w:sz w:val="20"/>
          <w:szCs w:val="20"/>
        </w:rPr>
        <w:t>（</w:t>
      </w:r>
      <w:r w:rsidRPr="003B6B9A">
        <w:rPr>
          <w:rFonts w:eastAsia="標楷體"/>
          <w:spacing w:val="9"/>
          <w:sz w:val="20"/>
          <w:szCs w:val="20"/>
        </w:rPr>
        <w:t>1</w:t>
      </w:r>
      <w:r w:rsidRPr="003B6B9A">
        <w:rPr>
          <w:rFonts w:eastAsia="標楷體" w:hint="eastAsia"/>
          <w:spacing w:val="9"/>
          <w:sz w:val="20"/>
          <w:szCs w:val="20"/>
        </w:rPr>
        <w:t>）《</w:t>
      </w:r>
      <w:r w:rsidRPr="003B6B9A">
        <w:rPr>
          <w:rFonts w:eastAsia="標楷體"/>
          <w:spacing w:val="9"/>
          <w:sz w:val="20"/>
          <w:szCs w:val="20"/>
        </w:rPr>
        <w:t>World Economic Outlook Update</w:t>
      </w:r>
      <w:r w:rsidRPr="003B6B9A">
        <w:rPr>
          <w:rFonts w:eastAsia="標楷體" w:hint="eastAsia"/>
          <w:spacing w:val="9"/>
          <w:sz w:val="20"/>
          <w:szCs w:val="20"/>
        </w:rPr>
        <w:t>》</w:t>
      </w:r>
      <w:r w:rsidRPr="003B6B9A">
        <w:rPr>
          <w:rFonts w:eastAsia="標楷體"/>
          <w:spacing w:val="9"/>
          <w:sz w:val="20"/>
          <w:szCs w:val="20"/>
        </w:rPr>
        <w:t xml:space="preserve">, IMF, </w:t>
      </w:r>
      <w:r w:rsidRPr="003B6B9A">
        <w:rPr>
          <w:rFonts w:eastAsia="標楷體" w:hint="eastAsia"/>
          <w:spacing w:val="9"/>
          <w:sz w:val="20"/>
          <w:szCs w:val="20"/>
        </w:rPr>
        <w:t>14</w:t>
      </w:r>
      <w:r w:rsidRPr="003B6B9A">
        <w:rPr>
          <w:rFonts w:eastAsia="標楷體"/>
          <w:spacing w:val="9"/>
          <w:sz w:val="20"/>
          <w:szCs w:val="20"/>
        </w:rPr>
        <w:t xml:space="preserve"> </w:t>
      </w:r>
      <w:r w:rsidRPr="003B6B9A">
        <w:rPr>
          <w:rFonts w:eastAsia="標楷體" w:hint="eastAsia"/>
          <w:spacing w:val="9"/>
          <w:sz w:val="20"/>
          <w:szCs w:val="20"/>
        </w:rPr>
        <w:t>Apr</w:t>
      </w:r>
      <w:r w:rsidRPr="003B6B9A">
        <w:rPr>
          <w:rFonts w:eastAsia="標楷體"/>
          <w:spacing w:val="9"/>
          <w:sz w:val="20"/>
          <w:szCs w:val="20"/>
        </w:rPr>
        <w:t xml:space="preserve"> 2015.</w:t>
      </w:r>
    </w:p>
    <w:p w:rsidR="004B772B" w:rsidRPr="003B6B9A" w:rsidRDefault="004B772B" w:rsidP="004B772B">
      <w:pPr>
        <w:adjustRightInd w:val="0"/>
        <w:snapToGrid w:val="0"/>
        <w:spacing w:line="280" w:lineRule="exact"/>
        <w:ind w:leftChars="400" w:left="1217" w:hangingChars="118" w:hanging="257"/>
        <w:jc w:val="both"/>
        <w:rPr>
          <w:rFonts w:eastAsia="標楷體"/>
          <w:spacing w:val="9"/>
          <w:sz w:val="20"/>
          <w:szCs w:val="20"/>
        </w:rPr>
      </w:pPr>
      <w:r w:rsidRPr="003B6B9A">
        <w:rPr>
          <w:rFonts w:eastAsia="標楷體" w:hint="eastAsia"/>
          <w:spacing w:val="9"/>
          <w:sz w:val="20"/>
          <w:szCs w:val="20"/>
        </w:rPr>
        <w:t>（</w:t>
      </w:r>
      <w:r w:rsidRPr="003B6B9A">
        <w:rPr>
          <w:rFonts w:eastAsia="標楷體"/>
          <w:spacing w:val="9"/>
          <w:sz w:val="20"/>
          <w:szCs w:val="20"/>
        </w:rPr>
        <w:t>2</w:t>
      </w:r>
      <w:r w:rsidRPr="003B6B9A">
        <w:rPr>
          <w:rFonts w:eastAsia="標楷體" w:hint="eastAsia"/>
          <w:spacing w:val="9"/>
          <w:sz w:val="20"/>
          <w:szCs w:val="20"/>
        </w:rPr>
        <w:t>）《</w:t>
      </w:r>
      <w:r w:rsidRPr="003B6B9A">
        <w:rPr>
          <w:rFonts w:eastAsia="標楷體"/>
          <w:spacing w:val="9"/>
          <w:sz w:val="20"/>
          <w:szCs w:val="20"/>
        </w:rPr>
        <w:t>Global Economic Prospects</w:t>
      </w:r>
      <w:r w:rsidRPr="003B6B9A">
        <w:rPr>
          <w:rFonts w:eastAsia="標楷體" w:hint="eastAsia"/>
          <w:spacing w:val="9"/>
          <w:sz w:val="20"/>
          <w:szCs w:val="20"/>
        </w:rPr>
        <w:t>》</w:t>
      </w:r>
      <w:r w:rsidRPr="003B6B9A">
        <w:rPr>
          <w:rFonts w:eastAsia="標楷體"/>
          <w:spacing w:val="9"/>
          <w:sz w:val="20"/>
          <w:szCs w:val="20"/>
        </w:rPr>
        <w:t>, World Bank, 13 Jan 2015.</w:t>
      </w:r>
    </w:p>
    <w:p w:rsidR="004B772B" w:rsidRPr="003B6B9A" w:rsidRDefault="004B772B" w:rsidP="004B772B">
      <w:pPr>
        <w:adjustRightInd w:val="0"/>
        <w:snapToGrid w:val="0"/>
        <w:spacing w:line="280" w:lineRule="exact"/>
        <w:ind w:leftChars="400" w:left="1217" w:hangingChars="118" w:hanging="257"/>
        <w:jc w:val="both"/>
        <w:rPr>
          <w:rFonts w:eastAsia="標楷體"/>
          <w:spacing w:val="9"/>
          <w:sz w:val="20"/>
          <w:szCs w:val="20"/>
        </w:rPr>
      </w:pPr>
      <w:r w:rsidRPr="003B6B9A">
        <w:rPr>
          <w:rFonts w:eastAsia="標楷體" w:hint="eastAsia"/>
          <w:spacing w:val="9"/>
          <w:sz w:val="20"/>
          <w:szCs w:val="20"/>
        </w:rPr>
        <w:t>（</w:t>
      </w:r>
      <w:r w:rsidRPr="003B6B9A">
        <w:rPr>
          <w:rFonts w:eastAsia="標楷體"/>
          <w:spacing w:val="9"/>
          <w:sz w:val="20"/>
          <w:szCs w:val="20"/>
        </w:rPr>
        <w:t>3</w:t>
      </w:r>
      <w:r w:rsidRPr="003B6B9A">
        <w:rPr>
          <w:rFonts w:eastAsia="標楷體" w:hint="eastAsia"/>
          <w:spacing w:val="9"/>
          <w:sz w:val="20"/>
          <w:szCs w:val="20"/>
        </w:rPr>
        <w:t>）</w:t>
      </w:r>
      <w:r w:rsidRPr="003B6B9A">
        <w:rPr>
          <w:rFonts w:eastAsia="標楷體"/>
          <w:spacing w:val="9"/>
          <w:sz w:val="20"/>
          <w:szCs w:val="20"/>
        </w:rPr>
        <w:t>Global Insight, Ma</w:t>
      </w:r>
      <w:r w:rsidRPr="003B6B9A">
        <w:rPr>
          <w:rFonts w:eastAsia="標楷體" w:hint="eastAsia"/>
          <w:spacing w:val="9"/>
          <w:sz w:val="20"/>
          <w:szCs w:val="20"/>
        </w:rPr>
        <w:t>y</w:t>
      </w:r>
      <w:r w:rsidRPr="003B6B9A">
        <w:rPr>
          <w:rFonts w:eastAsia="標楷體"/>
          <w:spacing w:val="9"/>
          <w:sz w:val="20"/>
          <w:szCs w:val="20"/>
        </w:rPr>
        <w:t xml:space="preserve"> 2015.</w:t>
      </w:r>
    </w:p>
    <w:p w:rsidR="004B772B" w:rsidRPr="003B6B9A" w:rsidRDefault="004B772B" w:rsidP="004B772B">
      <w:pPr>
        <w:adjustRightInd w:val="0"/>
        <w:snapToGrid w:val="0"/>
        <w:spacing w:line="280" w:lineRule="exact"/>
        <w:ind w:leftChars="400" w:left="1217" w:hangingChars="118" w:hanging="257"/>
        <w:jc w:val="both"/>
        <w:rPr>
          <w:rFonts w:eastAsia="標楷體"/>
          <w:spacing w:val="9"/>
          <w:sz w:val="20"/>
          <w:szCs w:val="20"/>
        </w:rPr>
      </w:pPr>
      <w:r w:rsidRPr="003B6B9A">
        <w:rPr>
          <w:rFonts w:eastAsia="標楷體" w:hint="eastAsia"/>
          <w:spacing w:val="9"/>
          <w:sz w:val="20"/>
          <w:szCs w:val="20"/>
        </w:rPr>
        <w:t>（</w:t>
      </w:r>
      <w:r w:rsidRPr="003B6B9A">
        <w:rPr>
          <w:rFonts w:eastAsia="標楷體"/>
          <w:spacing w:val="9"/>
          <w:sz w:val="20"/>
          <w:szCs w:val="20"/>
        </w:rPr>
        <w:t>4</w:t>
      </w:r>
      <w:r w:rsidRPr="003B6B9A">
        <w:rPr>
          <w:rFonts w:eastAsia="標楷體" w:hint="eastAsia"/>
          <w:spacing w:val="9"/>
          <w:sz w:val="20"/>
          <w:szCs w:val="20"/>
        </w:rPr>
        <w:t>）</w:t>
      </w:r>
      <w:r w:rsidRPr="003B6B9A">
        <w:rPr>
          <w:rFonts w:eastAsia="標楷體"/>
          <w:spacing w:val="9"/>
          <w:sz w:val="20"/>
          <w:szCs w:val="20"/>
        </w:rPr>
        <w:t>Consensus Forecast, 9 Feb 2015</w:t>
      </w:r>
      <w:r w:rsidRPr="003B6B9A">
        <w:rPr>
          <w:rFonts w:eastAsia="標楷體" w:hint="eastAsia"/>
          <w:spacing w:val="9"/>
          <w:sz w:val="20"/>
          <w:szCs w:val="20"/>
        </w:rPr>
        <w:t>.</w:t>
      </w:r>
    </w:p>
    <w:p w:rsidR="004B772B" w:rsidRPr="003B6B9A" w:rsidRDefault="004B772B" w:rsidP="004B772B">
      <w:pPr>
        <w:adjustRightInd w:val="0"/>
        <w:snapToGrid w:val="0"/>
        <w:spacing w:line="280" w:lineRule="exact"/>
        <w:ind w:leftChars="400" w:left="1217" w:hangingChars="118" w:hanging="257"/>
        <w:jc w:val="both"/>
        <w:rPr>
          <w:rFonts w:eastAsia="標楷體"/>
          <w:spacing w:val="9"/>
          <w:sz w:val="20"/>
          <w:szCs w:val="20"/>
        </w:rPr>
      </w:pPr>
      <w:r w:rsidRPr="003B6B9A">
        <w:rPr>
          <w:rFonts w:eastAsia="標楷體" w:hint="eastAsia"/>
          <w:spacing w:val="9"/>
          <w:sz w:val="20"/>
          <w:szCs w:val="20"/>
        </w:rPr>
        <w:t>（</w:t>
      </w:r>
      <w:r w:rsidRPr="003B6B9A">
        <w:rPr>
          <w:rFonts w:eastAsia="標楷體"/>
          <w:spacing w:val="9"/>
          <w:sz w:val="20"/>
          <w:szCs w:val="20"/>
        </w:rPr>
        <w:t>5</w:t>
      </w:r>
      <w:r w:rsidRPr="003B6B9A">
        <w:rPr>
          <w:rFonts w:eastAsia="標楷體" w:hint="eastAsia"/>
          <w:spacing w:val="9"/>
          <w:sz w:val="20"/>
          <w:szCs w:val="20"/>
        </w:rPr>
        <w:t>）《</w:t>
      </w:r>
      <w:r w:rsidRPr="003B6B9A">
        <w:rPr>
          <w:rFonts w:eastAsia="標楷體"/>
          <w:spacing w:val="9"/>
          <w:sz w:val="20"/>
          <w:szCs w:val="20"/>
        </w:rPr>
        <w:t xml:space="preserve">European Economic Forecast </w:t>
      </w:r>
      <w:r w:rsidRPr="003B6B9A">
        <w:rPr>
          <w:rFonts w:eastAsia="標楷體" w:hint="eastAsia"/>
          <w:spacing w:val="9"/>
          <w:sz w:val="20"/>
          <w:szCs w:val="20"/>
        </w:rPr>
        <w:t xml:space="preserve">spring </w:t>
      </w:r>
      <w:r w:rsidRPr="003B6B9A">
        <w:rPr>
          <w:rFonts w:eastAsia="標楷體"/>
          <w:spacing w:val="9"/>
          <w:sz w:val="20"/>
          <w:szCs w:val="20"/>
        </w:rPr>
        <w:t>2015</w:t>
      </w:r>
      <w:r w:rsidRPr="003B6B9A">
        <w:rPr>
          <w:rFonts w:eastAsia="標楷體" w:hint="eastAsia"/>
          <w:spacing w:val="9"/>
          <w:sz w:val="20"/>
          <w:szCs w:val="20"/>
        </w:rPr>
        <w:t>》</w:t>
      </w:r>
      <w:r w:rsidRPr="003B6B9A">
        <w:rPr>
          <w:rFonts w:eastAsia="標楷體" w:hint="eastAsia"/>
          <w:spacing w:val="9"/>
          <w:sz w:val="20"/>
          <w:szCs w:val="20"/>
        </w:rPr>
        <w:t>,</w:t>
      </w:r>
      <w:r w:rsidRPr="003B6B9A">
        <w:rPr>
          <w:rFonts w:eastAsia="標楷體"/>
          <w:sz w:val="20"/>
          <w:szCs w:val="20"/>
        </w:rPr>
        <w:t xml:space="preserve"> European commission</w:t>
      </w:r>
      <w:r w:rsidRPr="003B6B9A">
        <w:rPr>
          <w:rFonts w:eastAsia="標楷體"/>
          <w:spacing w:val="9"/>
          <w:sz w:val="20"/>
          <w:szCs w:val="20"/>
        </w:rPr>
        <w:t xml:space="preserve">, </w:t>
      </w:r>
      <w:r w:rsidRPr="003B6B9A">
        <w:rPr>
          <w:rFonts w:eastAsia="標楷體" w:hint="eastAsia"/>
          <w:spacing w:val="9"/>
          <w:sz w:val="20"/>
          <w:szCs w:val="20"/>
        </w:rPr>
        <w:t>11</w:t>
      </w:r>
      <w:r w:rsidRPr="003B6B9A">
        <w:rPr>
          <w:rFonts w:eastAsia="標楷體"/>
          <w:spacing w:val="9"/>
          <w:sz w:val="20"/>
          <w:szCs w:val="20"/>
        </w:rPr>
        <w:t xml:space="preserve"> </w:t>
      </w:r>
      <w:r w:rsidRPr="003B6B9A">
        <w:rPr>
          <w:rFonts w:eastAsia="標楷體" w:hint="eastAsia"/>
          <w:spacing w:val="9"/>
          <w:sz w:val="20"/>
          <w:szCs w:val="20"/>
        </w:rPr>
        <w:t>May</w:t>
      </w:r>
      <w:r w:rsidRPr="003B6B9A">
        <w:rPr>
          <w:rFonts w:eastAsia="標楷體"/>
          <w:spacing w:val="9"/>
          <w:sz w:val="20"/>
          <w:szCs w:val="20"/>
        </w:rPr>
        <w:t xml:space="preserve"> 2015.</w:t>
      </w:r>
    </w:p>
    <w:p w:rsidR="004B772B" w:rsidRPr="003B6B9A" w:rsidRDefault="004B772B" w:rsidP="004B772B">
      <w:pPr>
        <w:adjustRightInd w:val="0"/>
        <w:snapToGrid w:val="0"/>
        <w:spacing w:line="280" w:lineRule="exact"/>
        <w:ind w:leftChars="400" w:left="1217" w:hangingChars="118" w:hanging="257"/>
        <w:jc w:val="both"/>
        <w:rPr>
          <w:rFonts w:eastAsia="標楷體"/>
          <w:spacing w:val="9"/>
          <w:sz w:val="20"/>
          <w:szCs w:val="20"/>
        </w:rPr>
      </w:pPr>
      <w:r w:rsidRPr="003B6B9A">
        <w:rPr>
          <w:rFonts w:eastAsia="標楷體" w:hint="eastAsia"/>
          <w:spacing w:val="9"/>
          <w:sz w:val="20"/>
          <w:szCs w:val="20"/>
        </w:rPr>
        <w:t>（</w:t>
      </w:r>
      <w:r w:rsidRPr="003B6B9A">
        <w:rPr>
          <w:rFonts w:eastAsia="標楷體"/>
          <w:spacing w:val="9"/>
          <w:sz w:val="20"/>
          <w:szCs w:val="20"/>
        </w:rPr>
        <w:t>6</w:t>
      </w:r>
      <w:r w:rsidRPr="003B6B9A">
        <w:rPr>
          <w:rFonts w:eastAsia="標楷體" w:hint="eastAsia"/>
          <w:spacing w:val="9"/>
          <w:sz w:val="20"/>
          <w:szCs w:val="20"/>
        </w:rPr>
        <w:t>）</w:t>
      </w:r>
      <w:r w:rsidRPr="003B6B9A">
        <w:rPr>
          <w:rFonts w:eastAsia="標楷體"/>
          <w:spacing w:val="9"/>
          <w:sz w:val="20"/>
          <w:szCs w:val="20"/>
        </w:rPr>
        <w:t>European Central Bank, 5 Mar 2015.</w:t>
      </w:r>
    </w:p>
    <w:p w:rsidR="004B772B" w:rsidRPr="003B6B9A" w:rsidRDefault="004B772B" w:rsidP="004B772B">
      <w:pPr>
        <w:adjustRightInd w:val="0"/>
        <w:snapToGrid w:val="0"/>
        <w:spacing w:line="280" w:lineRule="exact"/>
        <w:ind w:leftChars="400" w:left="1217" w:hangingChars="118" w:hanging="257"/>
        <w:jc w:val="both"/>
        <w:rPr>
          <w:rFonts w:eastAsia="標楷體"/>
          <w:spacing w:val="9"/>
          <w:sz w:val="20"/>
          <w:szCs w:val="20"/>
        </w:rPr>
      </w:pPr>
      <w:r w:rsidRPr="003B6B9A">
        <w:rPr>
          <w:rFonts w:eastAsia="標楷體" w:hint="eastAsia"/>
          <w:spacing w:val="9"/>
          <w:sz w:val="20"/>
          <w:szCs w:val="20"/>
        </w:rPr>
        <w:t>（</w:t>
      </w:r>
      <w:r w:rsidRPr="003B6B9A">
        <w:rPr>
          <w:rFonts w:eastAsia="標楷體"/>
          <w:spacing w:val="9"/>
          <w:sz w:val="20"/>
          <w:szCs w:val="20"/>
        </w:rPr>
        <w:t>7</w:t>
      </w:r>
      <w:r w:rsidRPr="003B6B9A">
        <w:rPr>
          <w:rFonts w:eastAsia="標楷體" w:hint="eastAsia"/>
          <w:spacing w:val="9"/>
          <w:sz w:val="20"/>
          <w:szCs w:val="20"/>
        </w:rPr>
        <w:t>）《</w:t>
      </w:r>
      <w:r w:rsidRPr="003B6B9A">
        <w:rPr>
          <w:rFonts w:eastAsia="標楷體"/>
          <w:spacing w:val="9"/>
          <w:sz w:val="20"/>
          <w:szCs w:val="20"/>
        </w:rPr>
        <w:t>Economic Outlook and Interim Global Economic Assessment</w:t>
      </w:r>
      <w:r w:rsidRPr="003B6B9A">
        <w:rPr>
          <w:rFonts w:eastAsia="標楷體" w:hint="eastAsia"/>
          <w:spacing w:val="9"/>
          <w:sz w:val="20"/>
          <w:szCs w:val="20"/>
        </w:rPr>
        <w:t>》</w:t>
      </w:r>
      <w:r w:rsidRPr="003B6B9A">
        <w:rPr>
          <w:rFonts w:eastAsia="標楷體" w:hint="eastAsia"/>
          <w:spacing w:val="9"/>
          <w:sz w:val="20"/>
          <w:szCs w:val="20"/>
        </w:rPr>
        <w:t>,OECD</w:t>
      </w:r>
      <w:r w:rsidRPr="003B6B9A">
        <w:rPr>
          <w:rFonts w:eastAsia="標楷體"/>
          <w:spacing w:val="9"/>
          <w:sz w:val="20"/>
          <w:szCs w:val="20"/>
        </w:rPr>
        <w:t xml:space="preserve">, 18 Mar, </w:t>
      </w:r>
      <w:r w:rsidRPr="003B6B9A">
        <w:rPr>
          <w:rFonts w:eastAsia="標楷體" w:hint="eastAsia"/>
          <w:spacing w:val="9"/>
          <w:sz w:val="20"/>
          <w:szCs w:val="20"/>
        </w:rPr>
        <w:t xml:space="preserve">　　</w:t>
      </w:r>
      <w:r w:rsidRPr="003B6B9A">
        <w:rPr>
          <w:rFonts w:eastAsia="標楷體" w:hint="eastAsia"/>
          <w:spacing w:val="9"/>
          <w:sz w:val="20"/>
          <w:szCs w:val="20"/>
        </w:rPr>
        <w:br/>
      </w:r>
      <w:r w:rsidRPr="003B6B9A">
        <w:rPr>
          <w:rFonts w:eastAsia="標楷體" w:hint="eastAsia"/>
          <w:spacing w:val="9"/>
          <w:sz w:val="20"/>
          <w:szCs w:val="20"/>
        </w:rPr>
        <w:t xml:space="preserve">　</w:t>
      </w:r>
      <w:r w:rsidRPr="003B6B9A">
        <w:rPr>
          <w:rFonts w:eastAsia="標楷體"/>
          <w:spacing w:val="9"/>
          <w:sz w:val="20"/>
          <w:szCs w:val="20"/>
        </w:rPr>
        <w:t>2015.</w:t>
      </w:r>
    </w:p>
    <w:p w:rsidR="004B772B" w:rsidRPr="003B6B9A" w:rsidRDefault="004B772B" w:rsidP="004B772B">
      <w:pPr>
        <w:adjustRightInd w:val="0"/>
        <w:snapToGrid w:val="0"/>
        <w:spacing w:line="280" w:lineRule="exact"/>
        <w:ind w:leftChars="400" w:left="1217" w:hangingChars="118" w:hanging="257"/>
        <w:jc w:val="both"/>
        <w:rPr>
          <w:rFonts w:eastAsia="標楷體"/>
          <w:spacing w:val="9"/>
          <w:sz w:val="20"/>
          <w:szCs w:val="20"/>
        </w:rPr>
      </w:pPr>
    </w:p>
    <w:p w:rsidR="004B772B" w:rsidRPr="003B6B9A" w:rsidRDefault="004B772B" w:rsidP="004B772B">
      <w:pPr>
        <w:tabs>
          <w:tab w:val="right" w:pos="142"/>
        </w:tabs>
        <w:spacing w:line="520" w:lineRule="exact"/>
        <w:rPr>
          <w:rFonts w:eastAsia="標楷體"/>
          <w:b/>
          <w:sz w:val="28"/>
          <w:szCs w:val="32"/>
        </w:rPr>
      </w:pPr>
      <w:r w:rsidRPr="003B6B9A">
        <w:rPr>
          <w:rFonts w:eastAsia="標楷體" w:hint="eastAsia"/>
          <w:b/>
          <w:sz w:val="28"/>
          <w:szCs w:val="32"/>
        </w:rPr>
        <w:t>五、歐洲潛在經濟風險</w:t>
      </w:r>
    </w:p>
    <w:p w:rsidR="004B772B" w:rsidRPr="003B6B9A" w:rsidRDefault="004B772B" w:rsidP="004B772B">
      <w:pPr>
        <w:numPr>
          <w:ilvl w:val="0"/>
          <w:numId w:val="15"/>
        </w:numPr>
        <w:spacing w:beforeLines="30" w:before="108" w:afterLines="30" w:after="108" w:line="500" w:lineRule="exact"/>
        <w:ind w:left="1134" w:hanging="567"/>
        <w:jc w:val="both"/>
        <w:rPr>
          <w:rFonts w:eastAsia="標楷體"/>
          <w:sz w:val="28"/>
          <w:szCs w:val="28"/>
        </w:rPr>
      </w:pPr>
      <w:r w:rsidRPr="003B6B9A">
        <w:rPr>
          <w:rFonts w:eastAsia="標楷體" w:hint="eastAsia"/>
          <w:b/>
          <w:sz w:val="28"/>
          <w:szCs w:val="28"/>
        </w:rPr>
        <w:t>希臘債務問題</w:t>
      </w:r>
      <w:r w:rsidRPr="003B6B9A">
        <w:rPr>
          <w:rFonts w:eastAsia="標楷體" w:hint="eastAsia"/>
          <w:sz w:val="28"/>
          <w:szCs w:val="28"/>
        </w:rPr>
        <w:t>：希臘</w:t>
      </w:r>
      <w:r w:rsidRPr="003B6B9A">
        <w:rPr>
          <w:rFonts w:eastAsia="標楷體" w:hint="eastAsia"/>
          <w:sz w:val="28"/>
          <w:szCs w:val="28"/>
        </w:rPr>
        <w:t>2014</w:t>
      </w:r>
      <w:r w:rsidRPr="003B6B9A">
        <w:rPr>
          <w:rFonts w:eastAsia="標楷體" w:hint="eastAsia"/>
          <w:sz w:val="28"/>
          <w:szCs w:val="28"/>
        </w:rPr>
        <w:t>年累計債務占</w:t>
      </w:r>
      <w:r w:rsidRPr="003B6B9A">
        <w:rPr>
          <w:rFonts w:eastAsia="標楷體" w:hint="eastAsia"/>
          <w:sz w:val="28"/>
          <w:szCs w:val="28"/>
        </w:rPr>
        <w:t>GDP</w:t>
      </w:r>
      <w:r w:rsidRPr="003B6B9A">
        <w:rPr>
          <w:rFonts w:eastAsia="標楷體" w:hint="eastAsia"/>
          <w:sz w:val="28"/>
          <w:szCs w:val="28"/>
        </w:rPr>
        <w:t>比率高達</w:t>
      </w:r>
      <w:r w:rsidRPr="003B6B9A">
        <w:rPr>
          <w:rFonts w:eastAsia="標楷體" w:hint="eastAsia"/>
          <w:sz w:val="28"/>
          <w:szCs w:val="28"/>
        </w:rPr>
        <w:t>177.1</w:t>
      </w:r>
      <w:r w:rsidRPr="003B6B9A">
        <w:rPr>
          <w:rFonts w:eastAsia="標楷體" w:hint="eastAsia"/>
          <w:sz w:val="28"/>
          <w:szCs w:val="28"/>
        </w:rPr>
        <w:t>％，另根據統計，當中有近</w:t>
      </w:r>
      <w:r w:rsidRPr="003B6B9A">
        <w:rPr>
          <w:rFonts w:eastAsia="標楷體" w:hint="eastAsia"/>
          <w:sz w:val="28"/>
          <w:szCs w:val="28"/>
        </w:rPr>
        <w:t>80</w:t>
      </w:r>
      <w:r w:rsidRPr="003B6B9A">
        <w:rPr>
          <w:rFonts w:eastAsia="標楷體" w:hint="eastAsia"/>
          <w:sz w:val="28"/>
          <w:szCs w:val="28"/>
        </w:rPr>
        <w:t>％債務係由</w:t>
      </w:r>
      <w:r w:rsidRPr="003B6B9A">
        <w:rPr>
          <w:rFonts w:eastAsia="標楷體" w:hint="eastAsia"/>
          <w:sz w:val="28"/>
          <w:szCs w:val="28"/>
        </w:rPr>
        <w:t>IMF</w:t>
      </w:r>
      <w:r w:rsidRPr="003B6B9A">
        <w:rPr>
          <w:rFonts w:eastAsia="標楷體" w:hint="eastAsia"/>
          <w:sz w:val="28"/>
          <w:szCs w:val="28"/>
        </w:rPr>
        <w:t>、歐盟、歐洲央行及歐洲穩定機制（</w:t>
      </w:r>
      <w:r w:rsidRPr="003B6B9A">
        <w:rPr>
          <w:rFonts w:eastAsia="標楷體" w:hint="eastAsia"/>
          <w:sz w:val="28"/>
          <w:szCs w:val="28"/>
        </w:rPr>
        <w:t>ESM</w:t>
      </w:r>
      <w:r w:rsidRPr="003B6B9A">
        <w:rPr>
          <w:rFonts w:eastAsia="標楷體" w:hint="eastAsia"/>
          <w:sz w:val="28"/>
          <w:szCs w:val="28"/>
        </w:rPr>
        <w:t>）所持有。然而希臘因拒絕進一步刪減公家單位薪資和退休金預算，而遲遲未能與相關單位達成談判共識，取得下一階段的紓困金。希臘政府雖透過徵集國有單位現金儲備方式應急，順利歸還</w:t>
      </w:r>
      <w:r w:rsidRPr="003B6B9A">
        <w:rPr>
          <w:rFonts w:eastAsia="標楷體" w:hint="eastAsia"/>
          <w:sz w:val="28"/>
          <w:szCs w:val="28"/>
        </w:rPr>
        <w:t>2015</w:t>
      </w:r>
      <w:r w:rsidRPr="003B6B9A">
        <w:rPr>
          <w:rFonts w:eastAsia="標楷體" w:hint="eastAsia"/>
          <w:sz w:val="28"/>
          <w:szCs w:val="28"/>
        </w:rPr>
        <w:t>年</w:t>
      </w:r>
      <w:r w:rsidRPr="003B6B9A">
        <w:rPr>
          <w:rFonts w:eastAsia="標楷體" w:hint="eastAsia"/>
          <w:sz w:val="28"/>
          <w:szCs w:val="28"/>
        </w:rPr>
        <w:t>5</w:t>
      </w:r>
      <w:r w:rsidRPr="003B6B9A">
        <w:rPr>
          <w:rFonts w:eastAsia="標楷體" w:hint="eastAsia"/>
          <w:sz w:val="28"/>
          <w:szCs w:val="28"/>
        </w:rPr>
        <w:t>月</w:t>
      </w:r>
      <w:r w:rsidRPr="003B6B9A">
        <w:rPr>
          <w:rFonts w:eastAsia="標楷體" w:hint="eastAsia"/>
          <w:sz w:val="28"/>
          <w:szCs w:val="28"/>
        </w:rPr>
        <w:t>12</w:t>
      </w:r>
      <w:r w:rsidRPr="003B6B9A">
        <w:rPr>
          <w:rFonts w:eastAsia="標楷體" w:hint="eastAsia"/>
          <w:sz w:val="28"/>
          <w:szCs w:val="28"/>
        </w:rPr>
        <w:t>日到期的</w:t>
      </w:r>
      <w:r w:rsidRPr="003B6B9A">
        <w:rPr>
          <w:rFonts w:eastAsia="標楷體" w:hint="eastAsia"/>
          <w:sz w:val="28"/>
          <w:szCs w:val="28"/>
        </w:rPr>
        <w:t>7.5</w:t>
      </w:r>
      <w:r w:rsidRPr="003B6B9A">
        <w:rPr>
          <w:rFonts w:eastAsia="標楷體" w:hint="eastAsia"/>
          <w:sz w:val="28"/>
          <w:szCs w:val="28"/>
        </w:rPr>
        <w:t>億歐元</w:t>
      </w:r>
      <w:r w:rsidRPr="003B6B9A">
        <w:rPr>
          <w:rFonts w:eastAsia="標楷體" w:hint="eastAsia"/>
          <w:sz w:val="28"/>
          <w:szCs w:val="28"/>
        </w:rPr>
        <w:t>IMF</w:t>
      </w:r>
      <w:r w:rsidRPr="003B6B9A">
        <w:rPr>
          <w:rFonts w:eastAsia="標楷體" w:hint="eastAsia"/>
          <w:sz w:val="28"/>
          <w:szCs w:val="28"/>
        </w:rPr>
        <w:t>欠款，但</w:t>
      </w:r>
      <w:r w:rsidRPr="003B6B9A">
        <w:rPr>
          <w:rFonts w:eastAsia="標楷體" w:hint="eastAsia"/>
          <w:sz w:val="28"/>
          <w:szCs w:val="28"/>
        </w:rPr>
        <w:t>6</w:t>
      </w:r>
      <w:r w:rsidRPr="003B6B9A">
        <w:rPr>
          <w:rFonts w:eastAsia="標楷體" w:hint="eastAsia"/>
          <w:sz w:val="28"/>
          <w:szCs w:val="28"/>
        </w:rPr>
        <w:t>月</w:t>
      </w:r>
      <w:r w:rsidRPr="003B6B9A">
        <w:rPr>
          <w:rFonts w:eastAsia="標楷體" w:hint="eastAsia"/>
          <w:sz w:val="28"/>
          <w:szCs w:val="28"/>
        </w:rPr>
        <w:t>5</w:t>
      </w:r>
      <w:r w:rsidRPr="003B6B9A">
        <w:rPr>
          <w:rFonts w:eastAsia="標楷體" w:hint="eastAsia"/>
          <w:sz w:val="28"/>
          <w:szCs w:val="28"/>
        </w:rPr>
        <w:t>日將有另一筆</w:t>
      </w:r>
      <w:r w:rsidRPr="003B6B9A">
        <w:rPr>
          <w:rFonts w:eastAsia="標楷體" w:hint="eastAsia"/>
          <w:sz w:val="28"/>
          <w:szCs w:val="28"/>
        </w:rPr>
        <w:t>16</w:t>
      </w:r>
      <w:r w:rsidRPr="003B6B9A">
        <w:rPr>
          <w:rFonts w:eastAsia="標楷體" w:hint="eastAsia"/>
          <w:sz w:val="28"/>
          <w:szCs w:val="28"/>
        </w:rPr>
        <w:t>億歐元債務到期。屆時希臘若違約將嚴重影響歐元區金融市場，對歐元區及全球經濟造成衝擊。</w:t>
      </w:r>
    </w:p>
    <w:p w:rsidR="004B772B" w:rsidRPr="003B6B9A" w:rsidRDefault="004B772B" w:rsidP="004B772B">
      <w:pPr>
        <w:numPr>
          <w:ilvl w:val="0"/>
          <w:numId w:val="15"/>
        </w:numPr>
        <w:spacing w:beforeLines="30" w:before="108" w:afterLines="30" w:after="108" w:line="500" w:lineRule="exact"/>
        <w:ind w:left="1134" w:hanging="567"/>
        <w:jc w:val="both"/>
        <w:rPr>
          <w:rFonts w:eastAsia="標楷體"/>
          <w:sz w:val="28"/>
          <w:szCs w:val="28"/>
        </w:rPr>
      </w:pPr>
      <w:r w:rsidRPr="003B6B9A">
        <w:rPr>
          <w:rFonts w:eastAsia="標楷體" w:hint="eastAsia"/>
          <w:b/>
          <w:sz w:val="28"/>
          <w:szCs w:val="28"/>
        </w:rPr>
        <w:t>英國退出歐盟問題</w:t>
      </w:r>
      <w:r w:rsidRPr="003B6B9A">
        <w:rPr>
          <w:rFonts w:eastAsia="標楷體" w:hint="eastAsia"/>
          <w:sz w:val="28"/>
          <w:szCs w:val="28"/>
        </w:rPr>
        <w:t>：英國於</w:t>
      </w:r>
      <w:r w:rsidRPr="003B6B9A">
        <w:rPr>
          <w:rFonts w:eastAsia="標楷體" w:hint="eastAsia"/>
          <w:sz w:val="28"/>
          <w:szCs w:val="28"/>
        </w:rPr>
        <w:t>2015</w:t>
      </w:r>
      <w:r w:rsidRPr="003B6B9A">
        <w:rPr>
          <w:rFonts w:eastAsia="標楷體" w:hint="eastAsia"/>
          <w:sz w:val="28"/>
          <w:szCs w:val="28"/>
        </w:rPr>
        <w:t>年</w:t>
      </w:r>
      <w:r w:rsidRPr="003B6B9A">
        <w:rPr>
          <w:rFonts w:eastAsia="標楷體" w:hint="eastAsia"/>
          <w:sz w:val="28"/>
          <w:szCs w:val="28"/>
        </w:rPr>
        <w:t>5</w:t>
      </w:r>
      <w:r w:rsidRPr="003B6B9A">
        <w:rPr>
          <w:rFonts w:eastAsia="標楷體" w:hint="eastAsia"/>
          <w:sz w:val="28"/>
          <w:szCs w:val="28"/>
        </w:rPr>
        <w:t>月</w:t>
      </w:r>
      <w:r w:rsidRPr="003B6B9A">
        <w:rPr>
          <w:rFonts w:eastAsia="標楷體" w:hint="eastAsia"/>
          <w:sz w:val="28"/>
          <w:szCs w:val="28"/>
        </w:rPr>
        <w:t>7</w:t>
      </w:r>
      <w:r w:rsidRPr="003B6B9A">
        <w:rPr>
          <w:rFonts w:eastAsia="標楷體" w:hint="eastAsia"/>
          <w:sz w:val="28"/>
          <w:szCs w:val="28"/>
        </w:rPr>
        <w:t>日舉行國會大選，現任首相卡麥隆（</w:t>
      </w:r>
      <w:r w:rsidRPr="003B6B9A">
        <w:rPr>
          <w:rFonts w:eastAsia="標楷體"/>
          <w:sz w:val="28"/>
          <w:szCs w:val="28"/>
        </w:rPr>
        <w:t>David Cameron</w:t>
      </w:r>
      <w:r w:rsidRPr="003B6B9A">
        <w:rPr>
          <w:rFonts w:eastAsia="標楷體" w:hint="eastAsia"/>
          <w:sz w:val="28"/>
          <w:szCs w:val="28"/>
        </w:rPr>
        <w:t>）所領導的保守黨，獲得過半數席次再次執政。由於卡麥隆曾對選民承諾若能勝選將於</w:t>
      </w:r>
      <w:r w:rsidRPr="003B6B9A">
        <w:rPr>
          <w:rFonts w:eastAsia="標楷體" w:hint="eastAsia"/>
          <w:sz w:val="28"/>
          <w:szCs w:val="28"/>
        </w:rPr>
        <w:t>2017</w:t>
      </w:r>
      <w:r w:rsidRPr="003B6B9A">
        <w:rPr>
          <w:rFonts w:eastAsia="標楷體" w:hint="eastAsia"/>
          <w:sz w:val="28"/>
          <w:szCs w:val="28"/>
        </w:rPr>
        <w:t>年前舉辦英國退出歐盟的全國公投，目前雖尚未公布公投相關時程，但執政黨對外表示將確實提交退歐公投法案。倘若英國退出歐盟，恐影響雙邊企業投資、觀光及貿易往來。加上英國為主要的金融交易中心，可能會對金融市場及相關產業造成衝擊，間接影響區域經濟成長及全球發展。</w:t>
      </w:r>
    </w:p>
    <w:p w:rsidR="004B772B" w:rsidRPr="003B6B9A" w:rsidRDefault="004B772B" w:rsidP="004B772B">
      <w:pPr>
        <w:numPr>
          <w:ilvl w:val="0"/>
          <w:numId w:val="15"/>
        </w:numPr>
        <w:spacing w:beforeLines="30" w:before="108" w:afterLines="30" w:after="108" w:line="500" w:lineRule="exact"/>
        <w:ind w:left="1134" w:hanging="567"/>
        <w:jc w:val="both"/>
        <w:rPr>
          <w:rFonts w:eastAsia="標楷體"/>
          <w:sz w:val="28"/>
          <w:szCs w:val="28"/>
        </w:rPr>
      </w:pPr>
      <w:r w:rsidRPr="003B6B9A">
        <w:rPr>
          <w:rFonts w:eastAsia="標楷體" w:hint="eastAsia"/>
          <w:b/>
          <w:sz w:val="28"/>
          <w:szCs w:val="28"/>
        </w:rPr>
        <w:t>烏俄問題</w:t>
      </w:r>
      <w:r w:rsidRPr="003B6B9A">
        <w:rPr>
          <w:rFonts w:eastAsia="標楷體" w:hint="eastAsia"/>
          <w:sz w:val="28"/>
          <w:szCs w:val="28"/>
        </w:rPr>
        <w:t>：儘管烏、俄、德、法於</w:t>
      </w:r>
      <w:r w:rsidRPr="003B6B9A">
        <w:rPr>
          <w:rFonts w:eastAsia="標楷體" w:hint="eastAsia"/>
          <w:sz w:val="28"/>
          <w:szCs w:val="28"/>
        </w:rPr>
        <w:t>2015</w:t>
      </w:r>
      <w:r w:rsidRPr="003B6B9A">
        <w:rPr>
          <w:rFonts w:eastAsia="標楷體" w:hint="eastAsia"/>
          <w:sz w:val="28"/>
          <w:szCs w:val="28"/>
        </w:rPr>
        <w:t>年</w:t>
      </w:r>
      <w:r w:rsidRPr="003B6B9A">
        <w:rPr>
          <w:rFonts w:eastAsia="標楷體" w:hint="eastAsia"/>
          <w:sz w:val="28"/>
          <w:szCs w:val="28"/>
        </w:rPr>
        <w:t>2</w:t>
      </w:r>
      <w:r w:rsidRPr="003B6B9A">
        <w:rPr>
          <w:rFonts w:eastAsia="標楷體" w:hint="eastAsia"/>
          <w:sz w:val="28"/>
          <w:szCs w:val="28"/>
        </w:rPr>
        <w:t>月簽署了停火協議，然而雙方皆未能遵守協議，導致烏克蘭東部地區的武裝衝突仍持續延燒。歐盟更於</w:t>
      </w:r>
      <w:r w:rsidRPr="003B6B9A">
        <w:rPr>
          <w:rFonts w:eastAsia="標楷體" w:hint="eastAsia"/>
          <w:sz w:val="28"/>
          <w:szCs w:val="28"/>
        </w:rPr>
        <w:t>2015</w:t>
      </w:r>
      <w:r w:rsidRPr="003B6B9A">
        <w:rPr>
          <w:rFonts w:eastAsia="標楷體" w:hint="eastAsia"/>
          <w:sz w:val="28"/>
          <w:szCs w:val="28"/>
        </w:rPr>
        <w:t>年</w:t>
      </w:r>
      <w:r w:rsidRPr="003B6B9A">
        <w:rPr>
          <w:rFonts w:eastAsia="標楷體" w:hint="eastAsia"/>
          <w:sz w:val="28"/>
          <w:szCs w:val="28"/>
        </w:rPr>
        <w:t>5</w:t>
      </w:r>
      <w:r w:rsidRPr="003B6B9A">
        <w:rPr>
          <w:rFonts w:eastAsia="標楷體" w:hint="eastAsia"/>
          <w:sz w:val="28"/>
          <w:szCs w:val="28"/>
        </w:rPr>
        <w:t>月</w:t>
      </w:r>
      <w:r w:rsidRPr="003B6B9A">
        <w:rPr>
          <w:rFonts w:eastAsia="標楷體" w:hint="eastAsia"/>
          <w:sz w:val="28"/>
          <w:szCs w:val="28"/>
        </w:rPr>
        <w:t>22</w:t>
      </w:r>
      <w:r w:rsidRPr="003B6B9A">
        <w:rPr>
          <w:rFonts w:eastAsia="標楷體" w:hint="eastAsia"/>
          <w:sz w:val="28"/>
          <w:szCs w:val="28"/>
        </w:rPr>
        <w:t>日與烏克蘭簽署協議提供</w:t>
      </w:r>
      <w:r w:rsidRPr="003B6B9A">
        <w:rPr>
          <w:rFonts w:eastAsia="標楷體" w:hint="eastAsia"/>
          <w:sz w:val="28"/>
          <w:szCs w:val="28"/>
        </w:rPr>
        <w:t>18</w:t>
      </w:r>
      <w:r w:rsidRPr="003B6B9A">
        <w:rPr>
          <w:rFonts w:eastAsia="標楷體" w:hint="eastAsia"/>
          <w:sz w:val="28"/>
          <w:szCs w:val="28"/>
        </w:rPr>
        <w:t>億歐元援助金，協助烏克蘭政府解決資金不足問題。此外，歐盟對俄羅斯的經濟制裁及俄羅斯對歐盟國家實行的貿易管制（包括蔬果農產品及加工食品）至今皆尚未解除。根據歐盟統計局</w:t>
      </w:r>
      <w:r w:rsidRPr="003B6B9A">
        <w:rPr>
          <w:rFonts w:eastAsia="標楷體" w:hint="eastAsia"/>
          <w:sz w:val="28"/>
          <w:szCs w:val="28"/>
        </w:rPr>
        <w:t>5</w:t>
      </w:r>
      <w:r w:rsidRPr="003B6B9A">
        <w:rPr>
          <w:rFonts w:eastAsia="標楷體" w:hint="eastAsia"/>
          <w:sz w:val="28"/>
          <w:szCs w:val="28"/>
        </w:rPr>
        <w:t>月</w:t>
      </w:r>
      <w:r w:rsidRPr="003B6B9A">
        <w:rPr>
          <w:rFonts w:eastAsia="標楷體" w:hint="eastAsia"/>
          <w:sz w:val="28"/>
          <w:szCs w:val="28"/>
        </w:rPr>
        <w:t>19</w:t>
      </w:r>
      <w:r w:rsidRPr="003B6B9A">
        <w:rPr>
          <w:rFonts w:eastAsia="標楷體" w:hint="eastAsia"/>
          <w:sz w:val="28"/>
          <w:szCs w:val="28"/>
        </w:rPr>
        <w:t>日公布的貿易數據顯示，歐盟</w:t>
      </w:r>
      <w:r w:rsidRPr="003B6B9A">
        <w:rPr>
          <w:rFonts w:eastAsia="標楷體" w:hint="eastAsia"/>
          <w:sz w:val="28"/>
          <w:szCs w:val="28"/>
        </w:rPr>
        <w:t>28</w:t>
      </w:r>
      <w:r w:rsidRPr="003B6B9A">
        <w:rPr>
          <w:rFonts w:eastAsia="標楷體" w:hint="eastAsia"/>
          <w:sz w:val="28"/>
          <w:szCs w:val="28"/>
        </w:rPr>
        <w:t>國對俄出口</w:t>
      </w:r>
      <w:r w:rsidRPr="003B6B9A">
        <w:rPr>
          <w:rFonts w:eastAsia="標楷體" w:hint="eastAsia"/>
          <w:sz w:val="28"/>
          <w:szCs w:val="28"/>
        </w:rPr>
        <w:t>2015</w:t>
      </w:r>
      <w:r w:rsidRPr="003B6B9A">
        <w:rPr>
          <w:rFonts w:eastAsia="標楷體" w:hint="eastAsia"/>
          <w:sz w:val="28"/>
          <w:szCs w:val="28"/>
        </w:rPr>
        <w:t>年第</w:t>
      </w:r>
      <w:r w:rsidRPr="003B6B9A">
        <w:rPr>
          <w:rFonts w:eastAsia="標楷體" w:hint="eastAsia"/>
          <w:sz w:val="28"/>
          <w:szCs w:val="28"/>
        </w:rPr>
        <w:t>1</w:t>
      </w:r>
      <w:r w:rsidRPr="003B6B9A">
        <w:rPr>
          <w:rFonts w:eastAsia="標楷體" w:hint="eastAsia"/>
          <w:sz w:val="28"/>
          <w:szCs w:val="28"/>
        </w:rPr>
        <w:t>季較上年同期減少</w:t>
      </w:r>
      <w:r w:rsidRPr="003B6B9A">
        <w:rPr>
          <w:rFonts w:eastAsia="標楷體" w:hint="eastAsia"/>
          <w:sz w:val="28"/>
          <w:szCs w:val="28"/>
        </w:rPr>
        <w:t>34</w:t>
      </w:r>
      <w:r w:rsidRPr="003B6B9A">
        <w:rPr>
          <w:rFonts w:eastAsia="標楷體" w:hint="eastAsia"/>
          <w:sz w:val="28"/>
          <w:szCs w:val="28"/>
        </w:rPr>
        <w:t>％，進口則減少</w:t>
      </w:r>
      <w:r w:rsidRPr="003B6B9A">
        <w:rPr>
          <w:rFonts w:eastAsia="標楷體" w:hint="eastAsia"/>
          <w:sz w:val="28"/>
          <w:szCs w:val="28"/>
        </w:rPr>
        <w:t>31</w:t>
      </w:r>
      <w:r w:rsidRPr="003B6B9A">
        <w:rPr>
          <w:rFonts w:eastAsia="標楷體" w:hint="eastAsia"/>
          <w:sz w:val="28"/>
          <w:szCs w:val="28"/>
        </w:rPr>
        <w:t>％，顯示雙邊經濟往來因烏俄事件受到相當大的影響。（表</w:t>
      </w:r>
      <w:r w:rsidRPr="003B6B9A">
        <w:rPr>
          <w:rFonts w:eastAsia="標楷體" w:hint="eastAsia"/>
          <w:sz w:val="28"/>
          <w:szCs w:val="28"/>
        </w:rPr>
        <w:t>3</w:t>
      </w:r>
      <w:r w:rsidRPr="003B6B9A">
        <w:rPr>
          <w:rFonts w:eastAsia="標楷體" w:hint="eastAsia"/>
          <w:sz w:val="28"/>
          <w:szCs w:val="28"/>
        </w:rPr>
        <w:t>）</w:t>
      </w:r>
    </w:p>
    <w:p w:rsidR="004B772B" w:rsidRPr="003B6B9A" w:rsidRDefault="004B772B" w:rsidP="004B772B">
      <w:pPr>
        <w:spacing w:beforeLines="30" w:before="108" w:afterLines="30" w:after="108" w:line="420" w:lineRule="exact"/>
        <w:jc w:val="center"/>
        <w:rPr>
          <w:rFonts w:eastAsia="標楷體"/>
          <w:b/>
          <w:sz w:val="28"/>
          <w:szCs w:val="28"/>
        </w:rPr>
      </w:pPr>
      <w:r w:rsidRPr="003B6B9A">
        <w:rPr>
          <w:rFonts w:eastAsia="標楷體"/>
          <w:b/>
          <w:sz w:val="28"/>
          <w:szCs w:val="28"/>
        </w:rPr>
        <w:t>表</w:t>
      </w:r>
      <w:r w:rsidRPr="003B6B9A">
        <w:rPr>
          <w:rFonts w:eastAsia="標楷體" w:hint="eastAsia"/>
          <w:b/>
          <w:sz w:val="28"/>
          <w:szCs w:val="28"/>
        </w:rPr>
        <w:t>3</w:t>
      </w:r>
      <w:r w:rsidRPr="003B6B9A">
        <w:rPr>
          <w:rFonts w:eastAsia="標楷體" w:hint="eastAsia"/>
          <w:b/>
          <w:sz w:val="28"/>
          <w:szCs w:val="28"/>
        </w:rPr>
        <w:t xml:space="preserve">　歐盟</w:t>
      </w:r>
      <w:r w:rsidRPr="003B6B9A">
        <w:rPr>
          <w:rFonts w:eastAsia="標楷體" w:hint="eastAsia"/>
          <w:b/>
          <w:sz w:val="28"/>
          <w:szCs w:val="28"/>
        </w:rPr>
        <w:t>28</w:t>
      </w:r>
      <w:r w:rsidRPr="003B6B9A">
        <w:rPr>
          <w:rFonts w:eastAsia="標楷體" w:hint="eastAsia"/>
          <w:b/>
          <w:sz w:val="28"/>
          <w:szCs w:val="28"/>
        </w:rPr>
        <w:t>國與主要貿易國家進出口額</w:t>
      </w:r>
    </w:p>
    <w:p w:rsidR="004B772B" w:rsidRPr="003B6B9A" w:rsidRDefault="004B772B" w:rsidP="004B772B">
      <w:pPr>
        <w:spacing w:beforeLines="30" w:before="108" w:afterLines="30" w:after="108" w:line="420" w:lineRule="exact"/>
        <w:jc w:val="right"/>
        <w:rPr>
          <w:noProof/>
          <w:sz w:val="18"/>
        </w:rPr>
      </w:pPr>
      <w:r w:rsidRPr="003B6B9A">
        <w:rPr>
          <w:rFonts w:eastAsia="標楷體" w:hint="eastAsia"/>
          <w:sz w:val="20"/>
          <w:szCs w:val="28"/>
        </w:rPr>
        <w:t>單位：億歐元</w:t>
      </w:r>
    </w:p>
    <w:p w:rsidR="004B772B" w:rsidRPr="003B6B9A" w:rsidRDefault="004B772B" w:rsidP="004B772B">
      <w:pPr>
        <w:spacing w:beforeLines="30" w:before="108" w:afterLines="30" w:after="108" w:line="500" w:lineRule="exact"/>
        <w:ind w:left="1134"/>
        <w:rPr>
          <w:noProof/>
        </w:rPr>
      </w:pPr>
      <w:r>
        <w:rPr>
          <w:noProof/>
        </w:rPr>
        <w:drawing>
          <wp:anchor distT="0" distB="0" distL="114300" distR="114300" simplePos="0" relativeHeight="252155392" behindDoc="1" locked="0" layoutInCell="1" allowOverlap="1" wp14:anchorId="2017F40A" wp14:editId="51F9E4E5">
            <wp:simplePos x="0" y="0"/>
            <wp:positionH relativeFrom="column">
              <wp:posOffset>-28575</wp:posOffset>
            </wp:positionH>
            <wp:positionV relativeFrom="paragraph">
              <wp:posOffset>22860</wp:posOffset>
            </wp:positionV>
            <wp:extent cx="5547360" cy="2322830"/>
            <wp:effectExtent l="0" t="0" r="0" b="1270"/>
            <wp:wrapNone/>
            <wp:docPr id="289" name="圖片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r="21721"/>
                    <a:stretch>
                      <a:fillRect/>
                    </a:stretch>
                  </pic:blipFill>
                  <pic:spPr bwMode="auto">
                    <a:xfrm>
                      <a:off x="0" y="0"/>
                      <a:ext cx="5547360" cy="23228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772B" w:rsidRPr="003B6B9A" w:rsidRDefault="004B772B" w:rsidP="004B772B">
      <w:pPr>
        <w:spacing w:beforeLines="30" w:before="108" w:afterLines="30" w:after="108" w:line="500" w:lineRule="exact"/>
        <w:ind w:left="1134"/>
        <w:rPr>
          <w:noProof/>
        </w:rPr>
      </w:pPr>
    </w:p>
    <w:p w:rsidR="004B772B" w:rsidRPr="003B6B9A" w:rsidRDefault="004B772B" w:rsidP="004B772B">
      <w:pPr>
        <w:spacing w:beforeLines="30" w:before="108" w:afterLines="30" w:after="108" w:line="500" w:lineRule="exact"/>
        <w:ind w:left="1134"/>
        <w:rPr>
          <w:noProof/>
        </w:rPr>
      </w:pPr>
    </w:p>
    <w:p w:rsidR="004B772B" w:rsidRPr="003B6B9A" w:rsidRDefault="004B772B" w:rsidP="004B772B">
      <w:pPr>
        <w:spacing w:beforeLines="30" w:before="108" w:afterLines="30" w:after="108" w:line="500" w:lineRule="exact"/>
        <w:ind w:left="1134"/>
        <w:rPr>
          <w:noProof/>
        </w:rPr>
      </w:pPr>
    </w:p>
    <w:p w:rsidR="004B772B" w:rsidRPr="003B6B9A" w:rsidRDefault="004B772B" w:rsidP="004B772B">
      <w:pPr>
        <w:spacing w:beforeLines="30" w:before="108" w:afterLines="30" w:after="108" w:line="500" w:lineRule="exact"/>
        <w:ind w:left="1134"/>
        <w:rPr>
          <w:noProof/>
        </w:rPr>
      </w:pPr>
    </w:p>
    <w:p w:rsidR="004B772B" w:rsidRPr="003B6B9A" w:rsidRDefault="004B772B" w:rsidP="004B772B">
      <w:pPr>
        <w:spacing w:beforeLines="30" w:before="108" w:afterLines="30" w:after="108" w:line="500" w:lineRule="exact"/>
        <w:rPr>
          <w:noProof/>
        </w:rPr>
      </w:pPr>
    </w:p>
    <w:p w:rsidR="004B772B" w:rsidRPr="003B6B9A" w:rsidRDefault="004B772B" w:rsidP="004B772B">
      <w:pPr>
        <w:spacing w:beforeLines="30" w:before="108" w:afterLines="30" w:after="108" w:line="500" w:lineRule="exact"/>
        <w:ind w:firstLineChars="150" w:firstLine="327"/>
        <w:rPr>
          <w:noProof/>
        </w:rPr>
      </w:pPr>
      <w:r w:rsidRPr="003B6B9A">
        <w:rPr>
          <w:rFonts w:eastAsia="標楷體"/>
          <w:spacing w:val="9"/>
          <w:sz w:val="20"/>
          <w:szCs w:val="20"/>
        </w:rPr>
        <w:t>資料來源：</w:t>
      </w:r>
      <w:r w:rsidRPr="003B6B9A">
        <w:rPr>
          <w:rFonts w:eastAsia="標楷體" w:hint="eastAsia"/>
          <w:spacing w:val="9"/>
          <w:sz w:val="20"/>
          <w:szCs w:val="20"/>
        </w:rPr>
        <w:t>歐盟統計局</w:t>
      </w:r>
    </w:p>
    <w:p w:rsidR="004B772B" w:rsidRPr="003B6B9A" w:rsidRDefault="004B772B" w:rsidP="004B772B">
      <w:pPr>
        <w:adjustRightInd w:val="0"/>
        <w:snapToGrid w:val="0"/>
        <w:spacing w:line="280" w:lineRule="exact"/>
        <w:jc w:val="both"/>
        <w:rPr>
          <w:rFonts w:eastAsia="標楷體"/>
          <w:spacing w:val="9"/>
          <w:sz w:val="20"/>
          <w:szCs w:val="20"/>
        </w:rPr>
      </w:pPr>
    </w:p>
    <w:p w:rsidR="004B772B" w:rsidRPr="003B6B9A" w:rsidRDefault="004B2DB2" w:rsidP="004B772B">
      <w:pPr>
        <w:tabs>
          <w:tab w:val="right" w:pos="142"/>
        </w:tabs>
        <w:spacing w:line="520" w:lineRule="exact"/>
        <w:rPr>
          <w:rFonts w:eastAsia="標楷體"/>
          <w:b/>
          <w:sz w:val="28"/>
          <w:szCs w:val="32"/>
        </w:rPr>
      </w:pPr>
      <w:r>
        <w:rPr>
          <w:rFonts w:eastAsia="標楷體" w:hint="eastAsia"/>
          <w:b/>
          <w:sz w:val="28"/>
          <w:szCs w:val="32"/>
        </w:rPr>
        <w:t>六</w:t>
      </w:r>
      <w:r w:rsidR="004B772B" w:rsidRPr="003B6B9A">
        <w:rPr>
          <w:rFonts w:eastAsia="標楷體" w:hint="eastAsia"/>
          <w:b/>
          <w:sz w:val="28"/>
          <w:szCs w:val="32"/>
        </w:rPr>
        <w:t>、結語</w:t>
      </w:r>
    </w:p>
    <w:p w:rsidR="004B772B" w:rsidRPr="003B6B9A" w:rsidRDefault="004B772B" w:rsidP="004B772B">
      <w:pPr>
        <w:spacing w:beforeLines="30" w:before="108" w:afterLines="30" w:after="108" w:line="500" w:lineRule="exact"/>
        <w:ind w:leftChars="200" w:left="480" w:firstLineChars="200" w:firstLine="560"/>
        <w:jc w:val="both"/>
        <w:rPr>
          <w:rFonts w:eastAsia="標楷體"/>
          <w:sz w:val="28"/>
          <w:szCs w:val="28"/>
        </w:rPr>
      </w:pPr>
      <w:r w:rsidRPr="003B6B9A">
        <w:rPr>
          <w:rFonts w:eastAsia="標楷體" w:hint="eastAsia"/>
          <w:sz w:val="28"/>
          <w:szCs w:val="28"/>
        </w:rPr>
        <w:t>雖然歐元區及歐盟</w:t>
      </w:r>
      <w:r w:rsidRPr="003B6B9A">
        <w:rPr>
          <w:rFonts w:eastAsia="標楷體" w:hint="eastAsia"/>
          <w:sz w:val="28"/>
          <w:szCs w:val="28"/>
        </w:rPr>
        <w:t>2015</w:t>
      </w:r>
      <w:r w:rsidRPr="003B6B9A">
        <w:rPr>
          <w:rFonts w:eastAsia="標楷體" w:hint="eastAsia"/>
          <w:sz w:val="28"/>
          <w:szCs w:val="28"/>
        </w:rPr>
        <w:t>年第</w:t>
      </w:r>
      <w:r w:rsidRPr="003B6B9A">
        <w:rPr>
          <w:rFonts w:eastAsia="標楷體" w:hint="eastAsia"/>
          <w:sz w:val="28"/>
          <w:szCs w:val="28"/>
        </w:rPr>
        <w:t>1</w:t>
      </w:r>
      <w:r w:rsidRPr="003B6B9A">
        <w:rPr>
          <w:rFonts w:eastAsia="標楷體" w:hint="eastAsia"/>
          <w:sz w:val="28"/>
          <w:szCs w:val="28"/>
        </w:rPr>
        <w:t>季經濟成長率表現亮眼，經濟動能出現止跌回溫的現象，外圍受紓困國家財政及結構性改革多已顯現成效，但整體失業率及青年失業率仍舊偏高，且各國政府現階段並未展現進一步深化改革的意願。再者，歐洲央行持續採取刺激性的寬鬆貨幣政策，雖然改善了貸款條件並提升了歐元區出口競爭力，但卻可能惡化貧富差距問題或造成資產泡沫，影響未來成長動能。除了勞動市場結構待解決外，歐元區及歐盟內部還有相當多地緣政治問題存在，未來是否衝擊歐洲區域整合及全球經濟發展，仍需密切觀察。</w:t>
      </w:r>
    </w:p>
    <w:p w:rsidR="004A5FB6" w:rsidRPr="004B772B" w:rsidRDefault="004A5FB6" w:rsidP="004B772B">
      <w:pPr>
        <w:widowControl/>
        <w:spacing w:afterLines="50" w:after="180"/>
        <w:jc w:val="center"/>
        <w:rPr>
          <w:rFonts w:eastAsia="標楷體"/>
          <w:color w:val="FF0000"/>
          <w:sz w:val="32"/>
        </w:rPr>
      </w:pPr>
    </w:p>
    <w:sectPr w:rsidR="004A5FB6" w:rsidRPr="004B772B" w:rsidSect="002750F7">
      <w:footnotePr>
        <w:numRestart w:val="eachSect"/>
      </w:footnotePr>
      <w:endnotePr>
        <w:numFmt w:val="decimal"/>
        <w:numRestart w:val="eachSect"/>
      </w:endnotePr>
      <w:pgSz w:w="11906" w:h="16838" w:code="9"/>
      <w:pgMar w:top="1418" w:right="1701" w:bottom="1134" w:left="1701" w:header="851" w:footer="567"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95184" w:rsidRDefault="00A95184">
      <w:r>
        <w:separator/>
      </w:r>
    </w:p>
  </w:endnote>
  <w:endnote w:type="continuationSeparator" w:id="0">
    <w:p w:rsidR="00A95184" w:rsidRDefault="00A951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00000003" w:usb1="080E0000" w:usb2="00000016" w:usb3="00000000" w:csb0="00100001"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細明體">
    <w:altName w:val="MingLiU"/>
    <w:panose1 w:val="02020509000000000000"/>
    <w:charset w:val="88"/>
    <w:family w:val="modern"/>
    <w:pitch w:val="fixed"/>
    <w:sig w:usb0="00000003" w:usb1="080E0000"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華康粗圓體">
    <w:charset w:val="00"/>
    <w:family w:val="modern"/>
    <w:pitch w:val="fixed"/>
  </w:font>
  <w:font w:name="華康楷書體W5">
    <w:altName w:val="MS Gothic"/>
    <w:charset w:val="00"/>
    <w:family w:val="modern"/>
    <w:pitch w:val="fixed"/>
  </w:font>
  <w:font w:name="Courier New">
    <w:panose1 w:val="02070309020205020404"/>
    <w:charset w:val="00"/>
    <w:family w:val="modern"/>
    <w:pitch w:val="fixed"/>
    <w:sig w:usb0="E0002AFF" w:usb1="C0007843" w:usb2="00000009" w:usb3="00000000" w:csb0="000001FF" w:csb1="00000000"/>
  </w:font>
  <w:font w:name="華康楷書體W6">
    <w:altName w:val="新細明體"/>
    <w:panose1 w:val="00000000000000000000"/>
    <w:charset w:val="88"/>
    <w:family w:val="modern"/>
    <w:notTrueType/>
    <w:pitch w:val="fixed"/>
    <w:sig w:usb0="00000001" w:usb1="08080000" w:usb2="00000010" w:usb3="00000000" w:csb0="00100000"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KaiTi_GB2312">
    <w:panose1 w:val="02010609060101010101"/>
    <w:charset w:val="00"/>
    <w:family w:val="modern"/>
    <w:pitch w:val="fixed"/>
  </w:font>
  <w:font w:name="NSimSun">
    <w:panose1 w:val="02010609030101010101"/>
    <w:charset w:val="86"/>
    <w:family w:val="modern"/>
    <w:pitch w:val="fixed"/>
    <w:sig w:usb0="00000003" w:usb1="288F0000" w:usb2="00000016" w:usb3="00000000" w:csb0="00040001" w:csb1="00000000"/>
  </w:font>
  <w:font w:name="ө">
    <w:charset w:val="00"/>
    <w:family w:val="roman"/>
    <w:pitch w:val="default"/>
  </w:font>
  <w:font w:name="文鼎中楷">
    <w:charset w:val="00"/>
    <w:family w:val="modern"/>
    <w:pitch w:val="fixed"/>
  </w:font>
  <w:font w:name="華康細明體">
    <w:charset w:val="00"/>
    <w:family w:val="modern"/>
    <w:pitch w:val="fixed"/>
  </w:font>
  <w:font w:name="華康圓體 Std W5">
    <w:charset w:val="00"/>
    <w:family w:val="modern"/>
    <w:pitch w:val="variable"/>
  </w:font>
  <w:font w:name="華康圓體 Std W7">
    <w:altName w:val="Arial Unicode MS"/>
    <w:panose1 w:val="00000000000000000000"/>
    <w:charset w:val="88"/>
    <w:family w:val="modern"/>
    <w:notTrueType/>
    <w:pitch w:val="variable"/>
    <w:sig w:usb0="00000001" w:usb1="08080000" w:usb2="00000010" w:usb3="00000000" w:csb0="00100000" w:csb1="00000000"/>
  </w:font>
  <w:font w:name="華康明體 Std W5">
    <w:charset w:val="00"/>
    <w:family w:val="roman"/>
    <w:pitch w:val="variable"/>
  </w:font>
  <w:font w:name="Clarendon Condensed">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з">
    <w:altName w:val="Times New Roman"/>
    <w:panose1 w:val="00000000000000000000"/>
    <w:charset w:val="00"/>
    <w:family w:val="roman"/>
    <w:notTrueType/>
    <w:pitch w:val="default"/>
  </w:font>
  <w:font w:name="Times">
    <w:panose1 w:val="02020603050405020304"/>
    <w:charset w:val="00"/>
    <w:family w:val="roman"/>
    <w:pitch w:val="variable"/>
  </w:font>
  <w:font w:name="華康中楷體">
    <w:charset w:val="00"/>
    <w:family w:val="modern"/>
    <w:pitch w:val="fixed"/>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文鼎特明">
    <w:charset w:val="00"/>
    <w:family w:val="modern"/>
    <w:pitch w:val="fixed"/>
  </w:font>
  <w:font w:name="文鼎粗魏碑">
    <w:charset w:val="00"/>
    <w:family w:val="modern"/>
    <w:pitch w:val="fixed"/>
  </w:font>
  <w:font w:name="華康新儷中黑">
    <w:charset w:val="00"/>
    <w:family w:val="auto"/>
    <w:pitch w:val="variable"/>
  </w:font>
  <w:font w:name="Arial Narrow">
    <w:panose1 w:val="020B0606020202030204"/>
    <w:charset w:val="00"/>
    <w:family w:val="swiss"/>
    <w:pitch w:val="variable"/>
    <w:sig w:usb0="00000287" w:usb1="00000800" w:usb2="00000000" w:usb3="00000000" w:csb0="0000009F" w:csb1="00000000"/>
  </w:font>
  <w:font w:name="微軟正黑體">
    <w:panose1 w:val="020B0604030504040204"/>
    <w:charset w:val="88"/>
    <w:family w:val="swiss"/>
    <w:pitch w:val="variable"/>
    <w:sig w:usb0="00000087" w:usb1="288F4000" w:usb2="00000016" w:usb3="00000000" w:csb0="00100009" w:csb1="00000000"/>
  </w:font>
  <w:font w:name="HelveticaNeueLT Pro 45 Lt">
    <w:charset w:val="00"/>
    <w:family w:val="swiss"/>
    <w:pitch w:val="default"/>
  </w:font>
  <w:font w:name="sөũ">
    <w:charset w:val="00"/>
    <w:family w:val="roman"/>
    <w:pitch w:val="default"/>
  </w:font>
  <w:font w:name="華康中明體">
    <w:charset w:val="00"/>
    <w:family w:val="modern"/>
    <w:pitch w:val="fixed"/>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D7B" w:rsidRDefault="00C20D7B">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4452EC">
      <w:rPr>
        <w:rStyle w:val="a7"/>
        <w:noProof/>
      </w:rPr>
      <w:t>64</w:t>
    </w:r>
    <w:r>
      <w:rPr>
        <w:rStyle w:val="a7"/>
      </w:rPr>
      <w:fldChar w:fldCharType="end"/>
    </w:r>
  </w:p>
  <w:p w:rsidR="00C20D7B" w:rsidRDefault="00C20D7B">
    <w:pPr>
      <w:pStyle w:val="a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D7B" w:rsidRDefault="00C20D7B">
    <w:pPr>
      <w:pStyle w:val="a6"/>
      <w:ind w:right="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D7B" w:rsidRDefault="00C20D7B">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AF372B">
      <w:rPr>
        <w:rStyle w:val="a7"/>
        <w:noProof/>
      </w:rPr>
      <w:t>I</w:t>
    </w:r>
    <w:r>
      <w:rPr>
        <w:rStyle w:val="a7"/>
      </w:rPr>
      <w:fldChar w:fldCharType="end"/>
    </w:r>
    <w:bookmarkStart w:id="1" w:name="_Toc187823722"/>
    <w:bookmarkStart w:id="2" w:name="_Toc190847402"/>
    <w:bookmarkStart w:id="3" w:name="_Toc279048481"/>
    <w:bookmarkStart w:id="4" w:name="_Toc349916586"/>
  </w:p>
  <w:p w:rsidR="00C20D7B" w:rsidRDefault="00C20D7B">
    <w:pPr>
      <w:pStyle w:val="a6"/>
      <w:ind w:right="360"/>
      <w:jc w:val="right"/>
    </w:pPr>
    <w:bookmarkStart w:id="5" w:name="_Toc196014052"/>
    <w:bookmarkStart w:id="6" w:name="_Toc196122061"/>
    <w:bookmarkStart w:id="7" w:name="_Toc196215322"/>
    <w:bookmarkStart w:id="8" w:name="_Toc196540347"/>
    <w:bookmarkStart w:id="9" w:name="_Toc198464526"/>
    <w:bookmarkStart w:id="10" w:name="_Toc230064817"/>
    <w:bookmarkStart w:id="11" w:name="_Toc279048460"/>
    <w:bookmarkStart w:id="12" w:name="_Toc349916572"/>
    <w:bookmarkEnd w:id="1"/>
    <w:bookmarkEnd w:id="2"/>
    <w:bookmarkEnd w:id="3"/>
    <w:bookmarkEnd w:id="4"/>
    <w:bookmarkEnd w:id="5"/>
    <w:bookmarkEnd w:id="6"/>
    <w:bookmarkEnd w:id="7"/>
    <w:bookmarkEnd w:id="8"/>
    <w:bookmarkEnd w:id="9"/>
    <w:bookmarkEnd w:id="10"/>
    <w:bookmarkEnd w:id="11"/>
    <w:bookmarkEnd w:id="12"/>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95184" w:rsidRDefault="00A95184">
      <w:r>
        <w:separator/>
      </w:r>
    </w:p>
  </w:footnote>
  <w:footnote w:type="continuationSeparator" w:id="0">
    <w:p w:rsidR="00A95184" w:rsidRDefault="00A95184">
      <w:r>
        <w:continuationSeparator/>
      </w:r>
    </w:p>
  </w:footnote>
  <w:footnote w:id="1">
    <w:p w:rsidR="00C20D7B" w:rsidRPr="0086752D" w:rsidRDefault="00C20D7B" w:rsidP="004B772B">
      <w:pPr>
        <w:pStyle w:val="af4"/>
      </w:pPr>
      <w:r w:rsidRPr="0086752D">
        <w:rPr>
          <w:rStyle w:val="aff6"/>
        </w:rPr>
        <w:footnoteRef/>
      </w:r>
      <w:r w:rsidRPr="0086752D">
        <w:rPr>
          <w:rFonts w:eastAsia="標楷體" w:hAnsi="標楷體" w:hint="eastAsia"/>
        </w:rPr>
        <w:t xml:space="preserve"> </w:t>
      </w:r>
      <w:r w:rsidRPr="0086752D">
        <w:rPr>
          <w:rFonts w:eastAsia="標楷體" w:hAnsi="標楷體" w:hint="eastAsia"/>
        </w:rPr>
        <w:t>本文係屬個人研究心得，不代表經濟部立場。</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5B2AAA8"/>
    <w:lvl w:ilvl="0">
      <w:start w:val="1"/>
      <w:numFmt w:val="bullet"/>
      <w:pStyle w:val="a"/>
      <w:lvlText w:val=""/>
      <w:lvlJc w:val="left"/>
      <w:pPr>
        <w:tabs>
          <w:tab w:val="num" w:pos="-599"/>
        </w:tabs>
        <w:ind w:leftChars="200" w:left="-599" w:hangingChars="200" w:hanging="360"/>
      </w:pPr>
      <w:rPr>
        <w:rFonts w:ascii="Wingdings" w:hAnsi="Wingdings" w:hint="default"/>
      </w:rPr>
    </w:lvl>
  </w:abstractNum>
  <w:abstractNum w:abstractNumId="1">
    <w:nsid w:val="02FA7288"/>
    <w:multiLevelType w:val="hybridMultilevel"/>
    <w:tmpl w:val="F8AA4CF4"/>
    <w:lvl w:ilvl="0" w:tplc="AF2E0ACC">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A883DA4"/>
    <w:multiLevelType w:val="hybridMultilevel"/>
    <w:tmpl w:val="DDC6A7F0"/>
    <w:lvl w:ilvl="0" w:tplc="1C02C01E">
      <w:start w:val="1"/>
      <w:numFmt w:val="decimal"/>
      <w:lvlText w:val="(%1)"/>
      <w:lvlJc w:val="left"/>
      <w:pPr>
        <w:ind w:left="838" w:hanging="360"/>
      </w:pPr>
      <w:rPr>
        <w:rFonts w:hint="default"/>
      </w:rPr>
    </w:lvl>
    <w:lvl w:ilvl="1" w:tplc="04090019" w:tentative="1">
      <w:start w:val="1"/>
      <w:numFmt w:val="ideographTraditional"/>
      <w:lvlText w:val="%2、"/>
      <w:lvlJc w:val="left"/>
      <w:pPr>
        <w:ind w:left="1438" w:hanging="480"/>
      </w:pPr>
    </w:lvl>
    <w:lvl w:ilvl="2" w:tplc="0409001B" w:tentative="1">
      <w:start w:val="1"/>
      <w:numFmt w:val="lowerRoman"/>
      <w:lvlText w:val="%3."/>
      <w:lvlJc w:val="right"/>
      <w:pPr>
        <w:ind w:left="1918" w:hanging="480"/>
      </w:pPr>
    </w:lvl>
    <w:lvl w:ilvl="3" w:tplc="0409000F" w:tentative="1">
      <w:start w:val="1"/>
      <w:numFmt w:val="decimal"/>
      <w:lvlText w:val="%4."/>
      <w:lvlJc w:val="left"/>
      <w:pPr>
        <w:ind w:left="2398" w:hanging="480"/>
      </w:pPr>
    </w:lvl>
    <w:lvl w:ilvl="4" w:tplc="04090019" w:tentative="1">
      <w:start w:val="1"/>
      <w:numFmt w:val="ideographTraditional"/>
      <w:lvlText w:val="%5、"/>
      <w:lvlJc w:val="left"/>
      <w:pPr>
        <w:ind w:left="2878" w:hanging="480"/>
      </w:pPr>
    </w:lvl>
    <w:lvl w:ilvl="5" w:tplc="0409001B" w:tentative="1">
      <w:start w:val="1"/>
      <w:numFmt w:val="lowerRoman"/>
      <w:lvlText w:val="%6."/>
      <w:lvlJc w:val="right"/>
      <w:pPr>
        <w:ind w:left="3358" w:hanging="480"/>
      </w:pPr>
    </w:lvl>
    <w:lvl w:ilvl="6" w:tplc="0409000F" w:tentative="1">
      <w:start w:val="1"/>
      <w:numFmt w:val="decimal"/>
      <w:lvlText w:val="%7."/>
      <w:lvlJc w:val="left"/>
      <w:pPr>
        <w:ind w:left="3838" w:hanging="480"/>
      </w:pPr>
    </w:lvl>
    <w:lvl w:ilvl="7" w:tplc="04090019" w:tentative="1">
      <w:start w:val="1"/>
      <w:numFmt w:val="ideographTraditional"/>
      <w:lvlText w:val="%8、"/>
      <w:lvlJc w:val="left"/>
      <w:pPr>
        <w:ind w:left="4318" w:hanging="480"/>
      </w:pPr>
    </w:lvl>
    <w:lvl w:ilvl="8" w:tplc="0409001B" w:tentative="1">
      <w:start w:val="1"/>
      <w:numFmt w:val="lowerRoman"/>
      <w:lvlText w:val="%9."/>
      <w:lvlJc w:val="right"/>
      <w:pPr>
        <w:ind w:left="4798" w:hanging="480"/>
      </w:pPr>
    </w:lvl>
  </w:abstractNum>
  <w:abstractNum w:abstractNumId="3">
    <w:nsid w:val="0D151B53"/>
    <w:multiLevelType w:val="hybridMultilevel"/>
    <w:tmpl w:val="CCF68620"/>
    <w:lvl w:ilvl="0" w:tplc="BFF8360C">
      <w:start w:val="1"/>
      <w:numFmt w:val="japaneseCounting"/>
      <w:lvlText w:val="（%1）"/>
      <w:lvlJc w:val="left"/>
      <w:pPr>
        <w:ind w:left="900" w:hanging="900"/>
      </w:pPr>
      <w:rPr>
        <w:rFonts w:hint="eastAsia"/>
      </w:rPr>
    </w:lvl>
    <w:lvl w:ilvl="1" w:tplc="04090019" w:tentative="1">
      <w:start w:val="1"/>
      <w:numFmt w:val="ideographTraditional"/>
      <w:lvlText w:val="%2、"/>
      <w:lvlJc w:val="left"/>
      <w:pPr>
        <w:ind w:left="960" w:hanging="480"/>
      </w:pPr>
      <w:rPr>
        <w:rFonts w:ascii="新細明體" w:eastAsia="新細明體" w:hAnsi="新細明體" w:hint="eastAsia"/>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rPr>
        <w:rFonts w:ascii="新細明體" w:eastAsia="新細明體" w:hAnsi="新細明體" w:hint="eastAsia"/>
      </w:r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rPr>
        <w:rFonts w:ascii="新細明體" w:eastAsia="新細明體" w:hAnsi="新細明體" w:hint="eastAsia"/>
      </w:rPr>
    </w:lvl>
    <w:lvl w:ilvl="8" w:tplc="0409001B" w:tentative="1">
      <w:start w:val="1"/>
      <w:numFmt w:val="lowerRoman"/>
      <w:lvlText w:val="%9."/>
      <w:lvlJc w:val="right"/>
      <w:pPr>
        <w:ind w:left="4320" w:hanging="480"/>
      </w:pPr>
    </w:lvl>
  </w:abstractNum>
  <w:abstractNum w:abstractNumId="4">
    <w:nsid w:val="1F17760C"/>
    <w:multiLevelType w:val="hybridMultilevel"/>
    <w:tmpl w:val="AF46842A"/>
    <w:lvl w:ilvl="0" w:tplc="E322136C">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2FC55B42"/>
    <w:multiLevelType w:val="hybridMultilevel"/>
    <w:tmpl w:val="591287A6"/>
    <w:lvl w:ilvl="0" w:tplc="4FDE6B3A">
      <w:start w:val="1"/>
      <w:numFmt w:val="taiwaneseCountingThousand"/>
      <w:lvlText w:val="(%1)"/>
      <w:lvlJc w:val="left"/>
      <w:pPr>
        <w:ind w:left="1520" w:hanging="480"/>
      </w:pPr>
      <w:rPr>
        <w:rFonts w:hint="eastAsia"/>
      </w:rPr>
    </w:lvl>
    <w:lvl w:ilvl="1" w:tplc="04090019" w:tentative="1">
      <w:start w:val="1"/>
      <w:numFmt w:val="ideographTraditional"/>
      <w:lvlText w:val="%2、"/>
      <w:lvlJc w:val="left"/>
      <w:pPr>
        <w:ind w:left="2000" w:hanging="480"/>
      </w:pPr>
    </w:lvl>
    <w:lvl w:ilvl="2" w:tplc="0409001B" w:tentative="1">
      <w:start w:val="1"/>
      <w:numFmt w:val="lowerRoman"/>
      <w:lvlText w:val="%3."/>
      <w:lvlJc w:val="right"/>
      <w:pPr>
        <w:ind w:left="2480" w:hanging="480"/>
      </w:pPr>
    </w:lvl>
    <w:lvl w:ilvl="3" w:tplc="0409000F" w:tentative="1">
      <w:start w:val="1"/>
      <w:numFmt w:val="decimal"/>
      <w:lvlText w:val="%4."/>
      <w:lvlJc w:val="left"/>
      <w:pPr>
        <w:ind w:left="2960" w:hanging="480"/>
      </w:pPr>
    </w:lvl>
    <w:lvl w:ilvl="4" w:tplc="04090019" w:tentative="1">
      <w:start w:val="1"/>
      <w:numFmt w:val="ideographTraditional"/>
      <w:lvlText w:val="%5、"/>
      <w:lvlJc w:val="left"/>
      <w:pPr>
        <w:ind w:left="3440" w:hanging="480"/>
      </w:pPr>
    </w:lvl>
    <w:lvl w:ilvl="5" w:tplc="0409001B" w:tentative="1">
      <w:start w:val="1"/>
      <w:numFmt w:val="lowerRoman"/>
      <w:lvlText w:val="%6."/>
      <w:lvlJc w:val="right"/>
      <w:pPr>
        <w:ind w:left="3920" w:hanging="480"/>
      </w:pPr>
    </w:lvl>
    <w:lvl w:ilvl="6" w:tplc="0409000F" w:tentative="1">
      <w:start w:val="1"/>
      <w:numFmt w:val="decimal"/>
      <w:lvlText w:val="%7."/>
      <w:lvlJc w:val="left"/>
      <w:pPr>
        <w:ind w:left="4400" w:hanging="480"/>
      </w:pPr>
    </w:lvl>
    <w:lvl w:ilvl="7" w:tplc="04090019" w:tentative="1">
      <w:start w:val="1"/>
      <w:numFmt w:val="ideographTraditional"/>
      <w:lvlText w:val="%8、"/>
      <w:lvlJc w:val="left"/>
      <w:pPr>
        <w:ind w:left="4880" w:hanging="480"/>
      </w:pPr>
    </w:lvl>
    <w:lvl w:ilvl="8" w:tplc="0409001B" w:tentative="1">
      <w:start w:val="1"/>
      <w:numFmt w:val="lowerRoman"/>
      <w:lvlText w:val="%9."/>
      <w:lvlJc w:val="right"/>
      <w:pPr>
        <w:ind w:left="5360" w:hanging="480"/>
      </w:pPr>
    </w:lvl>
  </w:abstractNum>
  <w:abstractNum w:abstractNumId="6">
    <w:nsid w:val="328C709C"/>
    <w:multiLevelType w:val="hybridMultilevel"/>
    <w:tmpl w:val="D77ADEF8"/>
    <w:lvl w:ilvl="0" w:tplc="53009C64">
      <w:start w:val="1"/>
      <w:numFmt w:val="decimal"/>
      <w:lvlText w:val="(%1)"/>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36C43BCE"/>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39437B3C"/>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4B5D639E"/>
    <w:multiLevelType w:val="hybridMultilevel"/>
    <w:tmpl w:val="F13C364A"/>
    <w:lvl w:ilvl="0" w:tplc="6212BB1E">
      <w:start w:val="4"/>
      <w:numFmt w:val="decimalFullWidth"/>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4D057FFB"/>
    <w:multiLevelType w:val="hybridMultilevel"/>
    <w:tmpl w:val="59F22CF0"/>
    <w:lvl w:ilvl="0" w:tplc="AC1EAA5A">
      <w:start w:val="1"/>
      <w:numFmt w:val="bullet"/>
      <w:pStyle w:val="a0"/>
      <w:lvlText w:val=""/>
      <w:lvlJc w:val="left"/>
      <w:pPr>
        <w:tabs>
          <w:tab w:val="num" w:pos="480"/>
        </w:tabs>
        <w:ind w:left="480" w:hanging="480"/>
      </w:pPr>
      <w:rPr>
        <w:rFonts w:ascii="Wingdings" w:hAnsi="Wingdings" w:hint="default"/>
        <w:sz w:val="22"/>
        <w:szCs w:val="22"/>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1">
    <w:nsid w:val="5847606D"/>
    <w:multiLevelType w:val="multilevel"/>
    <w:tmpl w:val="BFFCA23C"/>
    <w:lvl w:ilvl="0">
      <w:start w:val="1"/>
      <w:numFmt w:val="taiwaneseCountingThousand"/>
      <w:pStyle w:val="a1"/>
      <w:suff w:val="nothing"/>
      <w:lvlText w:val="%1、"/>
      <w:lvlJc w:val="left"/>
      <w:pPr>
        <w:ind w:left="953"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taiwaneseCountingThousand"/>
      <w:suff w:val="nothing"/>
      <w:lvlText w:val="(%2)"/>
      <w:lvlJc w:val="left"/>
      <w:pPr>
        <w:ind w:left="1276" w:hanging="539"/>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FullWidth"/>
      <w:suff w:val="nothing"/>
      <w:lvlText w:val="%3、"/>
      <w:lvlJc w:val="left"/>
      <w:pPr>
        <w:ind w:left="1605"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FullWidth"/>
      <w:suff w:val="nothing"/>
      <w:lvlText w:val="(%4)"/>
      <w:lvlJc w:val="left"/>
      <w:pPr>
        <w:ind w:left="1928" w:hanging="545"/>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ideographTraditional"/>
      <w:suff w:val="nothing"/>
      <w:lvlText w:val="%5、"/>
      <w:lvlJc w:val="left"/>
      <w:pPr>
        <w:ind w:left="2240" w:hanging="635"/>
      </w:pPr>
      <w:rPr>
        <w:rFonts w:ascii="Times New Roman" w:eastAsia="標楷體" w:hAnsi="Times New Roman" w:hint="default"/>
        <w:b w:val="0"/>
        <w:i w:val="0"/>
        <w:color w:val="auto"/>
        <w:sz w:val="32"/>
        <w:u w:val="none"/>
        <w:em w:val="none"/>
      </w:rPr>
    </w:lvl>
    <w:lvl w:ilvl="5">
      <w:start w:val="1"/>
      <w:numFmt w:val="none"/>
      <w:lvlText w:val=""/>
      <w:lvlJc w:val="left"/>
      <w:pPr>
        <w:tabs>
          <w:tab w:val="num" w:pos="3260"/>
        </w:tabs>
        <w:ind w:left="3260" w:hanging="1134"/>
      </w:pPr>
      <w:rPr>
        <w:rFonts w:hint="eastAsia"/>
      </w:rPr>
    </w:lvl>
    <w:lvl w:ilvl="6">
      <w:start w:val="1"/>
      <w:numFmt w:val="none"/>
      <w:lvlText w:val=""/>
      <w:lvlJc w:val="left"/>
      <w:pPr>
        <w:tabs>
          <w:tab w:val="num" w:pos="3827"/>
        </w:tabs>
        <w:ind w:left="3827" w:hanging="1276"/>
      </w:pPr>
      <w:rPr>
        <w:rFonts w:hint="eastAsia"/>
      </w:rPr>
    </w:lvl>
    <w:lvl w:ilvl="7">
      <w:start w:val="1"/>
      <w:numFmt w:val="none"/>
      <w:lvlText w:val=""/>
      <w:lvlJc w:val="left"/>
      <w:pPr>
        <w:tabs>
          <w:tab w:val="num" w:pos="4394"/>
        </w:tabs>
        <w:ind w:left="4394" w:hanging="1418"/>
      </w:pPr>
      <w:rPr>
        <w:rFonts w:hint="eastAsia"/>
      </w:rPr>
    </w:lvl>
    <w:lvl w:ilvl="8">
      <w:start w:val="1"/>
      <w:numFmt w:val="none"/>
      <w:lvlText w:val=""/>
      <w:lvlJc w:val="left"/>
      <w:pPr>
        <w:tabs>
          <w:tab w:val="num" w:pos="5102"/>
        </w:tabs>
        <w:ind w:left="5102" w:hanging="1700"/>
      </w:pPr>
      <w:rPr>
        <w:rFonts w:hint="eastAsia"/>
      </w:rPr>
    </w:lvl>
  </w:abstractNum>
  <w:abstractNum w:abstractNumId="12">
    <w:nsid w:val="5BD658BB"/>
    <w:multiLevelType w:val="hybridMultilevel"/>
    <w:tmpl w:val="A114FE84"/>
    <w:lvl w:ilvl="0" w:tplc="B666F48C">
      <w:start w:val="1"/>
      <w:numFmt w:val="decimal"/>
      <w:lvlText w:val="(%1)"/>
      <w:lvlJc w:val="left"/>
      <w:pPr>
        <w:ind w:left="502" w:hanging="360"/>
      </w:pPr>
      <w:rPr>
        <w:rFonts w:ascii="Times New Roman" w:hAnsi="Times New Roman" w:cs="Times New Roman" w:hint="default"/>
        <w:color w:val="auto"/>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13">
    <w:nsid w:val="5DE56EF1"/>
    <w:multiLevelType w:val="hybridMultilevel"/>
    <w:tmpl w:val="0D2232CC"/>
    <w:lvl w:ilvl="0" w:tplc="20328E4A">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6F3B0442"/>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1"/>
  </w:num>
  <w:num w:numId="2">
    <w:abstractNumId w:val="13"/>
  </w:num>
  <w:num w:numId="3">
    <w:abstractNumId w:val="12"/>
  </w:num>
  <w:num w:numId="4">
    <w:abstractNumId w:val="14"/>
  </w:num>
  <w:num w:numId="5">
    <w:abstractNumId w:val="1"/>
  </w:num>
  <w:num w:numId="6">
    <w:abstractNumId w:val="6"/>
  </w:num>
  <w:num w:numId="7">
    <w:abstractNumId w:val="4"/>
  </w:num>
  <w:num w:numId="8">
    <w:abstractNumId w:val="0"/>
  </w:num>
  <w:num w:numId="9">
    <w:abstractNumId w:val="10"/>
  </w:num>
  <w:num w:numId="10">
    <w:abstractNumId w:val="7"/>
  </w:num>
  <w:num w:numId="11">
    <w:abstractNumId w:val="9"/>
  </w:num>
  <w:num w:numId="12">
    <w:abstractNumId w:val="8"/>
  </w:num>
  <w:num w:numId="13">
    <w:abstractNumId w:val="2"/>
  </w:num>
  <w:num w:numId="14">
    <w:abstractNumId w:val="3"/>
  </w:num>
  <w:num w:numId="15">
    <w:abstractNumId w:val="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bordersDoNotSurroundHeader/>
  <w:bordersDoNotSurroundFooter/>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40"/>
  <w:evenAndOddHeaders/>
  <w:drawingGridHorizontalSpacing w:val="120"/>
  <w:displayHorizontalDrawingGridEvery w:val="0"/>
  <w:displayVerticalDrawingGridEvery w:val="2"/>
  <w:characterSpacingControl w:val="compressPunctuation"/>
  <w:hdrShapeDefaults>
    <o:shapedefaults v:ext="edit" spidmax="2049" style="mso-position-vertical-relative:page" fillcolor="#ff9" stroke="f">
      <v:fill color="#ff9"/>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3CAD"/>
    <w:rsid w:val="000003F3"/>
    <w:rsid w:val="000005E1"/>
    <w:rsid w:val="000007A3"/>
    <w:rsid w:val="000009F2"/>
    <w:rsid w:val="00000A0F"/>
    <w:rsid w:val="00000B02"/>
    <w:rsid w:val="00000BFB"/>
    <w:rsid w:val="000011EF"/>
    <w:rsid w:val="00002020"/>
    <w:rsid w:val="00002451"/>
    <w:rsid w:val="00002548"/>
    <w:rsid w:val="00002859"/>
    <w:rsid w:val="0000291C"/>
    <w:rsid w:val="00002BFE"/>
    <w:rsid w:val="00002C6C"/>
    <w:rsid w:val="00002DAD"/>
    <w:rsid w:val="00002E5C"/>
    <w:rsid w:val="00003E14"/>
    <w:rsid w:val="00003E38"/>
    <w:rsid w:val="00004F96"/>
    <w:rsid w:val="000053C6"/>
    <w:rsid w:val="00005907"/>
    <w:rsid w:val="000059C1"/>
    <w:rsid w:val="00006A7A"/>
    <w:rsid w:val="00006CB4"/>
    <w:rsid w:val="0000718A"/>
    <w:rsid w:val="00007DFB"/>
    <w:rsid w:val="00010156"/>
    <w:rsid w:val="00010615"/>
    <w:rsid w:val="00010889"/>
    <w:rsid w:val="00010B73"/>
    <w:rsid w:val="00010E5C"/>
    <w:rsid w:val="00010F74"/>
    <w:rsid w:val="0001100E"/>
    <w:rsid w:val="00011991"/>
    <w:rsid w:val="00011EBA"/>
    <w:rsid w:val="000124E1"/>
    <w:rsid w:val="00012577"/>
    <w:rsid w:val="00012585"/>
    <w:rsid w:val="000125EA"/>
    <w:rsid w:val="00012A8F"/>
    <w:rsid w:val="00012D5E"/>
    <w:rsid w:val="00013ACF"/>
    <w:rsid w:val="00013C2C"/>
    <w:rsid w:val="000140A8"/>
    <w:rsid w:val="000143BC"/>
    <w:rsid w:val="00014577"/>
    <w:rsid w:val="00014665"/>
    <w:rsid w:val="00014ADA"/>
    <w:rsid w:val="00014B70"/>
    <w:rsid w:val="00014D5E"/>
    <w:rsid w:val="0001528C"/>
    <w:rsid w:val="00015853"/>
    <w:rsid w:val="00015A61"/>
    <w:rsid w:val="00015DC7"/>
    <w:rsid w:val="00015EAD"/>
    <w:rsid w:val="00015F4C"/>
    <w:rsid w:val="0001630D"/>
    <w:rsid w:val="000164A0"/>
    <w:rsid w:val="00017C82"/>
    <w:rsid w:val="00017DB3"/>
    <w:rsid w:val="00020192"/>
    <w:rsid w:val="000205BB"/>
    <w:rsid w:val="00020999"/>
    <w:rsid w:val="000213A4"/>
    <w:rsid w:val="000213AF"/>
    <w:rsid w:val="000223C5"/>
    <w:rsid w:val="00022697"/>
    <w:rsid w:val="000229C3"/>
    <w:rsid w:val="00022AFF"/>
    <w:rsid w:val="000234E7"/>
    <w:rsid w:val="00023581"/>
    <w:rsid w:val="000239FF"/>
    <w:rsid w:val="00023D3F"/>
    <w:rsid w:val="00024232"/>
    <w:rsid w:val="000243EB"/>
    <w:rsid w:val="00024482"/>
    <w:rsid w:val="000246D6"/>
    <w:rsid w:val="00024A9E"/>
    <w:rsid w:val="00024AA9"/>
    <w:rsid w:val="00024FDD"/>
    <w:rsid w:val="00025052"/>
    <w:rsid w:val="00025CA9"/>
    <w:rsid w:val="00025CFF"/>
    <w:rsid w:val="0002627A"/>
    <w:rsid w:val="00026872"/>
    <w:rsid w:val="0002718C"/>
    <w:rsid w:val="0002743D"/>
    <w:rsid w:val="00027911"/>
    <w:rsid w:val="00027BB1"/>
    <w:rsid w:val="00030084"/>
    <w:rsid w:val="00030508"/>
    <w:rsid w:val="000308B3"/>
    <w:rsid w:val="00030C69"/>
    <w:rsid w:val="00031901"/>
    <w:rsid w:val="00031AAB"/>
    <w:rsid w:val="00032EBF"/>
    <w:rsid w:val="00033660"/>
    <w:rsid w:val="000341D9"/>
    <w:rsid w:val="0003422D"/>
    <w:rsid w:val="00035048"/>
    <w:rsid w:val="000353DE"/>
    <w:rsid w:val="0003592B"/>
    <w:rsid w:val="00035A26"/>
    <w:rsid w:val="00036447"/>
    <w:rsid w:val="00036CE8"/>
    <w:rsid w:val="00036E6C"/>
    <w:rsid w:val="00037305"/>
    <w:rsid w:val="00037C30"/>
    <w:rsid w:val="00037C73"/>
    <w:rsid w:val="00037E2E"/>
    <w:rsid w:val="0004066C"/>
    <w:rsid w:val="00040CA3"/>
    <w:rsid w:val="00040F9E"/>
    <w:rsid w:val="00040FE0"/>
    <w:rsid w:val="000412C2"/>
    <w:rsid w:val="00041818"/>
    <w:rsid w:val="000424BA"/>
    <w:rsid w:val="00042B26"/>
    <w:rsid w:val="00043226"/>
    <w:rsid w:val="000432CD"/>
    <w:rsid w:val="00043376"/>
    <w:rsid w:val="000435AC"/>
    <w:rsid w:val="000441CA"/>
    <w:rsid w:val="0004469E"/>
    <w:rsid w:val="00044C00"/>
    <w:rsid w:val="00044C88"/>
    <w:rsid w:val="000456F1"/>
    <w:rsid w:val="00045861"/>
    <w:rsid w:val="00047ECB"/>
    <w:rsid w:val="00047EEF"/>
    <w:rsid w:val="0005018C"/>
    <w:rsid w:val="000504A0"/>
    <w:rsid w:val="00050BCF"/>
    <w:rsid w:val="0005128D"/>
    <w:rsid w:val="000516FB"/>
    <w:rsid w:val="0005182B"/>
    <w:rsid w:val="0005285C"/>
    <w:rsid w:val="000530D2"/>
    <w:rsid w:val="000537A8"/>
    <w:rsid w:val="000539D4"/>
    <w:rsid w:val="00053D86"/>
    <w:rsid w:val="00055F32"/>
    <w:rsid w:val="000560DD"/>
    <w:rsid w:val="000563C7"/>
    <w:rsid w:val="0005642C"/>
    <w:rsid w:val="0005695F"/>
    <w:rsid w:val="00056D47"/>
    <w:rsid w:val="00056FAD"/>
    <w:rsid w:val="00057416"/>
    <w:rsid w:val="00057D17"/>
    <w:rsid w:val="00057E12"/>
    <w:rsid w:val="00057FD8"/>
    <w:rsid w:val="000600B0"/>
    <w:rsid w:val="00060487"/>
    <w:rsid w:val="000607C9"/>
    <w:rsid w:val="000609A0"/>
    <w:rsid w:val="00061745"/>
    <w:rsid w:val="000618AA"/>
    <w:rsid w:val="0006194D"/>
    <w:rsid w:val="00061A4F"/>
    <w:rsid w:val="00061AB3"/>
    <w:rsid w:val="00062154"/>
    <w:rsid w:val="0006275C"/>
    <w:rsid w:val="00062DA7"/>
    <w:rsid w:val="00063828"/>
    <w:rsid w:val="00064766"/>
    <w:rsid w:val="00064D61"/>
    <w:rsid w:val="00065078"/>
    <w:rsid w:val="0006514F"/>
    <w:rsid w:val="00065193"/>
    <w:rsid w:val="000659E3"/>
    <w:rsid w:val="0006648A"/>
    <w:rsid w:val="00066600"/>
    <w:rsid w:val="0006695E"/>
    <w:rsid w:val="00066DCE"/>
    <w:rsid w:val="00066E44"/>
    <w:rsid w:val="00067D64"/>
    <w:rsid w:val="0007016B"/>
    <w:rsid w:val="0007033D"/>
    <w:rsid w:val="0007033F"/>
    <w:rsid w:val="00070520"/>
    <w:rsid w:val="00070B8A"/>
    <w:rsid w:val="00070D9D"/>
    <w:rsid w:val="00070FB3"/>
    <w:rsid w:val="000711C2"/>
    <w:rsid w:val="000717AD"/>
    <w:rsid w:val="000717E2"/>
    <w:rsid w:val="00071E02"/>
    <w:rsid w:val="0007212F"/>
    <w:rsid w:val="00072A39"/>
    <w:rsid w:val="00072EE1"/>
    <w:rsid w:val="00073076"/>
    <w:rsid w:val="000730EA"/>
    <w:rsid w:val="00073376"/>
    <w:rsid w:val="00073E9E"/>
    <w:rsid w:val="00073FBC"/>
    <w:rsid w:val="0007440F"/>
    <w:rsid w:val="000747F7"/>
    <w:rsid w:val="00075201"/>
    <w:rsid w:val="00075275"/>
    <w:rsid w:val="0007531C"/>
    <w:rsid w:val="000753B8"/>
    <w:rsid w:val="0007571B"/>
    <w:rsid w:val="00075A63"/>
    <w:rsid w:val="00075D84"/>
    <w:rsid w:val="00075F3E"/>
    <w:rsid w:val="00076456"/>
    <w:rsid w:val="00076782"/>
    <w:rsid w:val="00076A6E"/>
    <w:rsid w:val="00076E1C"/>
    <w:rsid w:val="0007715A"/>
    <w:rsid w:val="00077486"/>
    <w:rsid w:val="000776A4"/>
    <w:rsid w:val="00077B1A"/>
    <w:rsid w:val="00077D23"/>
    <w:rsid w:val="00077F9D"/>
    <w:rsid w:val="000809A3"/>
    <w:rsid w:val="00080BEA"/>
    <w:rsid w:val="00081241"/>
    <w:rsid w:val="00081336"/>
    <w:rsid w:val="000816B7"/>
    <w:rsid w:val="00081896"/>
    <w:rsid w:val="00081D17"/>
    <w:rsid w:val="00082044"/>
    <w:rsid w:val="000823E2"/>
    <w:rsid w:val="0008253F"/>
    <w:rsid w:val="0008257F"/>
    <w:rsid w:val="00082A04"/>
    <w:rsid w:val="0008325E"/>
    <w:rsid w:val="00083B8D"/>
    <w:rsid w:val="00084A82"/>
    <w:rsid w:val="00084AC3"/>
    <w:rsid w:val="00084C1D"/>
    <w:rsid w:val="00084E72"/>
    <w:rsid w:val="00085029"/>
    <w:rsid w:val="000850C3"/>
    <w:rsid w:val="00085258"/>
    <w:rsid w:val="00085463"/>
    <w:rsid w:val="00085E5B"/>
    <w:rsid w:val="00085F56"/>
    <w:rsid w:val="0008616D"/>
    <w:rsid w:val="00086247"/>
    <w:rsid w:val="00086C60"/>
    <w:rsid w:val="00086F10"/>
    <w:rsid w:val="000876E7"/>
    <w:rsid w:val="0009006B"/>
    <w:rsid w:val="00090132"/>
    <w:rsid w:val="0009017C"/>
    <w:rsid w:val="00090594"/>
    <w:rsid w:val="000905C6"/>
    <w:rsid w:val="00091033"/>
    <w:rsid w:val="00091254"/>
    <w:rsid w:val="0009162D"/>
    <w:rsid w:val="000919B4"/>
    <w:rsid w:val="00091C5D"/>
    <w:rsid w:val="00092152"/>
    <w:rsid w:val="000921A5"/>
    <w:rsid w:val="00092407"/>
    <w:rsid w:val="0009248A"/>
    <w:rsid w:val="00093574"/>
    <w:rsid w:val="00093EBD"/>
    <w:rsid w:val="0009462E"/>
    <w:rsid w:val="00094B49"/>
    <w:rsid w:val="00094DAF"/>
    <w:rsid w:val="000956E2"/>
    <w:rsid w:val="00095C5A"/>
    <w:rsid w:val="00095D8E"/>
    <w:rsid w:val="00096306"/>
    <w:rsid w:val="000965A5"/>
    <w:rsid w:val="0009669D"/>
    <w:rsid w:val="0009675B"/>
    <w:rsid w:val="00096A9C"/>
    <w:rsid w:val="00096D81"/>
    <w:rsid w:val="000970FB"/>
    <w:rsid w:val="00097173"/>
    <w:rsid w:val="00097E32"/>
    <w:rsid w:val="00097E5C"/>
    <w:rsid w:val="000A0380"/>
    <w:rsid w:val="000A0683"/>
    <w:rsid w:val="000A0D70"/>
    <w:rsid w:val="000A0DD2"/>
    <w:rsid w:val="000A0DDC"/>
    <w:rsid w:val="000A0EE7"/>
    <w:rsid w:val="000A11C6"/>
    <w:rsid w:val="000A1C3A"/>
    <w:rsid w:val="000A1DE2"/>
    <w:rsid w:val="000A25FB"/>
    <w:rsid w:val="000A2D59"/>
    <w:rsid w:val="000A31A6"/>
    <w:rsid w:val="000A3390"/>
    <w:rsid w:val="000A3A8A"/>
    <w:rsid w:val="000A41A1"/>
    <w:rsid w:val="000A4380"/>
    <w:rsid w:val="000A44B2"/>
    <w:rsid w:val="000A560E"/>
    <w:rsid w:val="000A58B1"/>
    <w:rsid w:val="000A5CCE"/>
    <w:rsid w:val="000A5D2D"/>
    <w:rsid w:val="000A5D8B"/>
    <w:rsid w:val="000A5EE6"/>
    <w:rsid w:val="000A5F8C"/>
    <w:rsid w:val="000A6650"/>
    <w:rsid w:val="000A6E70"/>
    <w:rsid w:val="000A7376"/>
    <w:rsid w:val="000A73BB"/>
    <w:rsid w:val="000A788B"/>
    <w:rsid w:val="000A7AB8"/>
    <w:rsid w:val="000A7DB0"/>
    <w:rsid w:val="000A7F1F"/>
    <w:rsid w:val="000B0370"/>
    <w:rsid w:val="000B03F6"/>
    <w:rsid w:val="000B047B"/>
    <w:rsid w:val="000B1079"/>
    <w:rsid w:val="000B1833"/>
    <w:rsid w:val="000B1939"/>
    <w:rsid w:val="000B22C5"/>
    <w:rsid w:val="000B2552"/>
    <w:rsid w:val="000B2CE7"/>
    <w:rsid w:val="000B2E02"/>
    <w:rsid w:val="000B373C"/>
    <w:rsid w:val="000B38F2"/>
    <w:rsid w:val="000B3C2C"/>
    <w:rsid w:val="000B3C63"/>
    <w:rsid w:val="000B3C72"/>
    <w:rsid w:val="000B3D15"/>
    <w:rsid w:val="000B3EA0"/>
    <w:rsid w:val="000B486B"/>
    <w:rsid w:val="000B49D8"/>
    <w:rsid w:val="000B4CC7"/>
    <w:rsid w:val="000B4FD9"/>
    <w:rsid w:val="000B569B"/>
    <w:rsid w:val="000B5AF2"/>
    <w:rsid w:val="000B5F48"/>
    <w:rsid w:val="000B6682"/>
    <w:rsid w:val="000B6769"/>
    <w:rsid w:val="000B6A6C"/>
    <w:rsid w:val="000B6B76"/>
    <w:rsid w:val="000B6BED"/>
    <w:rsid w:val="000B7119"/>
    <w:rsid w:val="000B7159"/>
    <w:rsid w:val="000B764B"/>
    <w:rsid w:val="000B7A0C"/>
    <w:rsid w:val="000B7AE1"/>
    <w:rsid w:val="000B7C68"/>
    <w:rsid w:val="000C053D"/>
    <w:rsid w:val="000C0FAB"/>
    <w:rsid w:val="000C1243"/>
    <w:rsid w:val="000C232E"/>
    <w:rsid w:val="000C23C4"/>
    <w:rsid w:val="000C297C"/>
    <w:rsid w:val="000C29CA"/>
    <w:rsid w:val="000C2A5E"/>
    <w:rsid w:val="000C2C4B"/>
    <w:rsid w:val="000C4364"/>
    <w:rsid w:val="000C44B9"/>
    <w:rsid w:val="000C523F"/>
    <w:rsid w:val="000C53D5"/>
    <w:rsid w:val="000C540D"/>
    <w:rsid w:val="000C5418"/>
    <w:rsid w:val="000C56F7"/>
    <w:rsid w:val="000C5DEC"/>
    <w:rsid w:val="000C5E08"/>
    <w:rsid w:val="000C5FD3"/>
    <w:rsid w:val="000C6680"/>
    <w:rsid w:val="000C67D5"/>
    <w:rsid w:val="000C6A72"/>
    <w:rsid w:val="000C73EC"/>
    <w:rsid w:val="000C7BA9"/>
    <w:rsid w:val="000C7CFC"/>
    <w:rsid w:val="000D01BF"/>
    <w:rsid w:val="000D06B9"/>
    <w:rsid w:val="000D0C41"/>
    <w:rsid w:val="000D0E70"/>
    <w:rsid w:val="000D0FC2"/>
    <w:rsid w:val="000D127B"/>
    <w:rsid w:val="000D1563"/>
    <w:rsid w:val="000D183D"/>
    <w:rsid w:val="000D188D"/>
    <w:rsid w:val="000D1CA7"/>
    <w:rsid w:val="000D1CD4"/>
    <w:rsid w:val="000D1E18"/>
    <w:rsid w:val="000D28CE"/>
    <w:rsid w:val="000D308A"/>
    <w:rsid w:val="000D3610"/>
    <w:rsid w:val="000D3D89"/>
    <w:rsid w:val="000D3F81"/>
    <w:rsid w:val="000D42C6"/>
    <w:rsid w:val="000D4AC8"/>
    <w:rsid w:val="000D4B43"/>
    <w:rsid w:val="000D4FD6"/>
    <w:rsid w:val="000D58FD"/>
    <w:rsid w:val="000D60FA"/>
    <w:rsid w:val="000D6142"/>
    <w:rsid w:val="000D640E"/>
    <w:rsid w:val="000D65F8"/>
    <w:rsid w:val="000D6623"/>
    <w:rsid w:val="000D663F"/>
    <w:rsid w:val="000D6779"/>
    <w:rsid w:val="000D69AC"/>
    <w:rsid w:val="000D6E3E"/>
    <w:rsid w:val="000D78AD"/>
    <w:rsid w:val="000E08E8"/>
    <w:rsid w:val="000E09B7"/>
    <w:rsid w:val="000E1D28"/>
    <w:rsid w:val="000E1DD9"/>
    <w:rsid w:val="000E2063"/>
    <w:rsid w:val="000E2251"/>
    <w:rsid w:val="000E25B1"/>
    <w:rsid w:val="000E2A9D"/>
    <w:rsid w:val="000E2B96"/>
    <w:rsid w:val="000E2F1F"/>
    <w:rsid w:val="000E375A"/>
    <w:rsid w:val="000E3DD6"/>
    <w:rsid w:val="000E3F9E"/>
    <w:rsid w:val="000E47FB"/>
    <w:rsid w:val="000E49A4"/>
    <w:rsid w:val="000E4A7E"/>
    <w:rsid w:val="000E4BAE"/>
    <w:rsid w:val="000E55B4"/>
    <w:rsid w:val="000E5791"/>
    <w:rsid w:val="000E5822"/>
    <w:rsid w:val="000E658C"/>
    <w:rsid w:val="000E6CE7"/>
    <w:rsid w:val="000E6D86"/>
    <w:rsid w:val="000E70C3"/>
    <w:rsid w:val="000E74AA"/>
    <w:rsid w:val="000E78D5"/>
    <w:rsid w:val="000E7B17"/>
    <w:rsid w:val="000E7BF8"/>
    <w:rsid w:val="000F050D"/>
    <w:rsid w:val="000F07A1"/>
    <w:rsid w:val="000F0AD2"/>
    <w:rsid w:val="000F0BA1"/>
    <w:rsid w:val="000F0D28"/>
    <w:rsid w:val="000F0E96"/>
    <w:rsid w:val="000F1AF8"/>
    <w:rsid w:val="000F1B70"/>
    <w:rsid w:val="000F1D9D"/>
    <w:rsid w:val="000F2778"/>
    <w:rsid w:val="000F2915"/>
    <w:rsid w:val="000F2983"/>
    <w:rsid w:val="000F2AD1"/>
    <w:rsid w:val="000F2E66"/>
    <w:rsid w:val="000F31D3"/>
    <w:rsid w:val="000F332D"/>
    <w:rsid w:val="000F334F"/>
    <w:rsid w:val="000F370A"/>
    <w:rsid w:val="000F3836"/>
    <w:rsid w:val="000F386F"/>
    <w:rsid w:val="000F4E66"/>
    <w:rsid w:val="000F4F28"/>
    <w:rsid w:val="000F5160"/>
    <w:rsid w:val="000F52A5"/>
    <w:rsid w:val="000F5496"/>
    <w:rsid w:val="000F5573"/>
    <w:rsid w:val="000F5593"/>
    <w:rsid w:val="000F5C19"/>
    <w:rsid w:val="000F61B0"/>
    <w:rsid w:val="000F67B6"/>
    <w:rsid w:val="000F7155"/>
    <w:rsid w:val="000F7CE6"/>
    <w:rsid w:val="000F7E0A"/>
    <w:rsid w:val="000F7E84"/>
    <w:rsid w:val="00100154"/>
    <w:rsid w:val="0010066E"/>
    <w:rsid w:val="00100D0F"/>
    <w:rsid w:val="0010173C"/>
    <w:rsid w:val="001017A7"/>
    <w:rsid w:val="001018B5"/>
    <w:rsid w:val="001018DF"/>
    <w:rsid w:val="00101AC0"/>
    <w:rsid w:val="00101CD7"/>
    <w:rsid w:val="00101E87"/>
    <w:rsid w:val="001022DD"/>
    <w:rsid w:val="001026CE"/>
    <w:rsid w:val="00102812"/>
    <w:rsid w:val="001028E5"/>
    <w:rsid w:val="001030C5"/>
    <w:rsid w:val="001033D2"/>
    <w:rsid w:val="0010365D"/>
    <w:rsid w:val="001040FB"/>
    <w:rsid w:val="0010444F"/>
    <w:rsid w:val="00104451"/>
    <w:rsid w:val="001044FF"/>
    <w:rsid w:val="00104511"/>
    <w:rsid w:val="0010458F"/>
    <w:rsid w:val="00104C01"/>
    <w:rsid w:val="00104D8E"/>
    <w:rsid w:val="00105270"/>
    <w:rsid w:val="001057CE"/>
    <w:rsid w:val="001057FA"/>
    <w:rsid w:val="00105BDE"/>
    <w:rsid w:val="00106798"/>
    <w:rsid w:val="00106D77"/>
    <w:rsid w:val="00106E3F"/>
    <w:rsid w:val="001073F7"/>
    <w:rsid w:val="00110762"/>
    <w:rsid w:val="00110EB3"/>
    <w:rsid w:val="00111036"/>
    <w:rsid w:val="0011131D"/>
    <w:rsid w:val="00111566"/>
    <w:rsid w:val="00111CFA"/>
    <w:rsid w:val="0011224B"/>
    <w:rsid w:val="001124D5"/>
    <w:rsid w:val="00112CC2"/>
    <w:rsid w:val="00113073"/>
    <w:rsid w:val="001131BC"/>
    <w:rsid w:val="00113433"/>
    <w:rsid w:val="001136DA"/>
    <w:rsid w:val="00113751"/>
    <w:rsid w:val="00113EC9"/>
    <w:rsid w:val="00113FD6"/>
    <w:rsid w:val="0011403E"/>
    <w:rsid w:val="001146D1"/>
    <w:rsid w:val="00114A5E"/>
    <w:rsid w:val="00114A68"/>
    <w:rsid w:val="00114ABD"/>
    <w:rsid w:val="001152BC"/>
    <w:rsid w:val="001153EB"/>
    <w:rsid w:val="001158D8"/>
    <w:rsid w:val="00115A12"/>
    <w:rsid w:val="00115CCD"/>
    <w:rsid w:val="0011656D"/>
    <w:rsid w:val="00116708"/>
    <w:rsid w:val="0011683B"/>
    <w:rsid w:val="00116B04"/>
    <w:rsid w:val="00117557"/>
    <w:rsid w:val="00117C9B"/>
    <w:rsid w:val="001203F0"/>
    <w:rsid w:val="0012051A"/>
    <w:rsid w:val="00121C75"/>
    <w:rsid w:val="00121CFB"/>
    <w:rsid w:val="00121D23"/>
    <w:rsid w:val="00121D58"/>
    <w:rsid w:val="00121DCD"/>
    <w:rsid w:val="00122A2A"/>
    <w:rsid w:val="00122D68"/>
    <w:rsid w:val="00122DE7"/>
    <w:rsid w:val="001237D4"/>
    <w:rsid w:val="00123DF3"/>
    <w:rsid w:val="00124480"/>
    <w:rsid w:val="00124563"/>
    <w:rsid w:val="00124794"/>
    <w:rsid w:val="00124831"/>
    <w:rsid w:val="00125428"/>
    <w:rsid w:val="00125A95"/>
    <w:rsid w:val="00125C52"/>
    <w:rsid w:val="00125C6C"/>
    <w:rsid w:val="00125DF2"/>
    <w:rsid w:val="0012644D"/>
    <w:rsid w:val="00126BC8"/>
    <w:rsid w:val="00126ED9"/>
    <w:rsid w:val="00127327"/>
    <w:rsid w:val="001273AE"/>
    <w:rsid w:val="00127512"/>
    <w:rsid w:val="00127A77"/>
    <w:rsid w:val="00127AAA"/>
    <w:rsid w:val="00127CCA"/>
    <w:rsid w:val="00127F92"/>
    <w:rsid w:val="0013009C"/>
    <w:rsid w:val="00130823"/>
    <w:rsid w:val="00130A5E"/>
    <w:rsid w:val="00130C4A"/>
    <w:rsid w:val="00130E58"/>
    <w:rsid w:val="00131CEA"/>
    <w:rsid w:val="00132117"/>
    <w:rsid w:val="00132CE3"/>
    <w:rsid w:val="00132F4A"/>
    <w:rsid w:val="00132F8D"/>
    <w:rsid w:val="001330E3"/>
    <w:rsid w:val="00134102"/>
    <w:rsid w:val="001341CA"/>
    <w:rsid w:val="001344E2"/>
    <w:rsid w:val="00134656"/>
    <w:rsid w:val="00134C5E"/>
    <w:rsid w:val="0013508F"/>
    <w:rsid w:val="001351C0"/>
    <w:rsid w:val="001355F9"/>
    <w:rsid w:val="00135C45"/>
    <w:rsid w:val="00135F97"/>
    <w:rsid w:val="00135FAA"/>
    <w:rsid w:val="00136261"/>
    <w:rsid w:val="0013629A"/>
    <w:rsid w:val="001364A5"/>
    <w:rsid w:val="001364B0"/>
    <w:rsid w:val="0013700E"/>
    <w:rsid w:val="00137475"/>
    <w:rsid w:val="00137E3E"/>
    <w:rsid w:val="00140551"/>
    <w:rsid w:val="00140666"/>
    <w:rsid w:val="00140D90"/>
    <w:rsid w:val="00140E81"/>
    <w:rsid w:val="00141CD2"/>
    <w:rsid w:val="001421D9"/>
    <w:rsid w:val="00142710"/>
    <w:rsid w:val="00142DF6"/>
    <w:rsid w:val="00142F22"/>
    <w:rsid w:val="00143337"/>
    <w:rsid w:val="0014419A"/>
    <w:rsid w:val="00144382"/>
    <w:rsid w:val="001446E4"/>
    <w:rsid w:val="0014473C"/>
    <w:rsid w:val="00144872"/>
    <w:rsid w:val="00144CDD"/>
    <w:rsid w:val="00144FFC"/>
    <w:rsid w:val="00145370"/>
    <w:rsid w:val="00145672"/>
    <w:rsid w:val="00145927"/>
    <w:rsid w:val="00145C03"/>
    <w:rsid w:val="00145C89"/>
    <w:rsid w:val="0014629B"/>
    <w:rsid w:val="00146A65"/>
    <w:rsid w:val="00146E24"/>
    <w:rsid w:val="0014763B"/>
    <w:rsid w:val="00147E3B"/>
    <w:rsid w:val="00147FB1"/>
    <w:rsid w:val="00150115"/>
    <w:rsid w:val="0015056B"/>
    <w:rsid w:val="001506DA"/>
    <w:rsid w:val="001508C5"/>
    <w:rsid w:val="00150F32"/>
    <w:rsid w:val="00151176"/>
    <w:rsid w:val="00151C06"/>
    <w:rsid w:val="00151CA6"/>
    <w:rsid w:val="00152078"/>
    <w:rsid w:val="0015220C"/>
    <w:rsid w:val="00152643"/>
    <w:rsid w:val="00152898"/>
    <w:rsid w:val="00152C96"/>
    <w:rsid w:val="00152F49"/>
    <w:rsid w:val="00152F86"/>
    <w:rsid w:val="00152FEA"/>
    <w:rsid w:val="001532C9"/>
    <w:rsid w:val="00153505"/>
    <w:rsid w:val="00153507"/>
    <w:rsid w:val="0015376C"/>
    <w:rsid w:val="00153AC2"/>
    <w:rsid w:val="00153C77"/>
    <w:rsid w:val="00153D78"/>
    <w:rsid w:val="00153E1C"/>
    <w:rsid w:val="00153EA4"/>
    <w:rsid w:val="00154477"/>
    <w:rsid w:val="001545E7"/>
    <w:rsid w:val="001556D2"/>
    <w:rsid w:val="00155A53"/>
    <w:rsid w:val="00155A54"/>
    <w:rsid w:val="00155B64"/>
    <w:rsid w:val="00155C75"/>
    <w:rsid w:val="001560C5"/>
    <w:rsid w:val="001560E0"/>
    <w:rsid w:val="001561B2"/>
    <w:rsid w:val="001567BF"/>
    <w:rsid w:val="00156830"/>
    <w:rsid w:val="00156945"/>
    <w:rsid w:val="0015726F"/>
    <w:rsid w:val="0015769A"/>
    <w:rsid w:val="001577DC"/>
    <w:rsid w:val="00157C18"/>
    <w:rsid w:val="00157DC0"/>
    <w:rsid w:val="0016014A"/>
    <w:rsid w:val="001605EA"/>
    <w:rsid w:val="00160627"/>
    <w:rsid w:val="001606FD"/>
    <w:rsid w:val="001609E8"/>
    <w:rsid w:val="00160E01"/>
    <w:rsid w:val="001619E5"/>
    <w:rsid w:val="001620BC"/>
    <w:rsid w:val="0016270A"/>
    <w:rsid w:val="0016285B"/>
    <w:rsid w:val="00162C87"/>
    <w:rsid w:val="0016327D"/>
    <w:rsid w:val="00163756"/>
    <w:rsid w:val="00163921"/>
    <w:rsid w:val="00163CC3"/>
    <w:rsid w:val="00163EC8"/>
    <w:rsid w:val="0016411F"/>
    <w:rsid w:val="00164349"/>
    <w:rsid w:val="00164436"/>
    <w:rsid w:val="0016501D"/>
    <w:rsid w:val="00165967"/>
    <w:rsid w:val="00165A83"/>
    <w:rsid w:val="001660B1"/>
    <w:rsid w:val="0016638F"/>
    <w:rsid w:val="00166484"/>
    <w:rsid w:val="001664F7"/>
    <w:rsid w:val="001667B7"/>
    <w:rsid w:val="00166C1B"/>
    <w:rsid w:val="00166D08"/>
    <w:rsid w:val="00166FE0"/>
    <w:rsid w:val="0016714A"/>
    <w:rsid w:val="00167618"/>
    <w:rsid w:val="0016762A"/>
    <w:rsid w:val="00167841"/>
    <w:rsid w:val="00167E11"/>
    <w:rsid w:val="00167EB4"/>
    <w:rsid w:val="00167EB7"/>
    <w:rsid w:val="00170211"/>
    <w:rsid w:val="00170C41"/>
    <w:rsid w:val="00170E67"/>
    <w:rsid w:val="00170F90"/>
    <w:rsid w:val="0017104B"/>
    <w:rsid w:val="00171436"/>
    <w:rsid w:val="00172163"/>
    <w:rsid w:val="0017251E"/>
    <w:rsid w:val="0017299B"/>
    <w:rsid w:val="001735C6"/>
    <w:rsid w:val="001738CB"/>
    <w:rsid w:val="00173F9D"/>
    <w:rsid w:val="00174597"/>
    <w:rsid w:val="00174C0C"/>
    <w:rsid w:val="00174E2C"/>
    <w:rsid w:val="00175041"/>
    <w:rsid w:val="001751A0"/>
    <w:rsid w:val="001754E4"/>
    <w:rsid w:val="00175A0F"/>
    <w:rsid w:val="001761E9"/>
    <w:rsid w:val="0017635F"/>
    <w:rsid w:val="001769A7"/>
    <w:rsid w:val="001769D8"/>
    <w:rsid w:val="00176BB2"/>
    <w:rsid w:val="00177177"/>
    <w:rsid w:val="0017724E"/>
    <w:rsid w:val="001772EC"/>
    <w:rsid w:val="0017747C"/>
    <w:rsid w:val="00177667"/>
    <w:rsid w:val="00177DBC"/>
    <w:rsid w:val="0018011D"/>
    <w:rsid w:val="001801B3"/>
    <w:rsid w:val="001803AB"/>
    <w:rsid w:val="00180413"/>
    <w:rsid w:val="00180961"/>
    <w:rsid w:val="00180C70"/>
    <w:rsid w:val="00180FB9"/>
    <w:rsid w:val="001811AB"/>
    <w:rsid w:val="001814C0"/>
    <w:rsid w:val="0018175E"/>
    <w:rsid w:val="001817D7"/>
    <w:rsid w:val="00181A73"/>
    <w:rsid w:val="00181B7F"/>
    <w:rsid w:val="00181EC8"/>
    <w:rsid w:val="00181F72"/>
    <w:rsid w:val="001830A4"/>
    <w:rsid w:val="001832C1"/>
    <w:rsid w:val="00183321"/>
    <w:rsid w:val="0018383A"/>
    <w:rsid w:val="00183AD5"/>
    <w:rsid w:val="00183BE6"/>
    <w:rsid w:val="00183C31"/>
    <w:rsid w:val="00183D8B"/>
    <w:rsid w:val="00183FBC"/>
    <w:rsid w:val="00183FCD"/>
    <w:rsid w:val="0018425F"/>
    <w:rsid w:val="00184F1B"/>
    <w:rsid w:val="00184F9D"/>
    <w:rsid w:val="00184FF6"/>
    <w:rsid w:val="0018581F"/>
    <w:rsid w:val="001859AC"/>
    <w:rsid w:val="00185D47"/>
    <w:rsid w:val="00185FC9"/>
    <w:rsid w:val="00186538"/>
    <w:rsid w:val="001868A9"/>
    <w:rsid w:val="00186A9F"/>
    <w:rsid w:val="00187126"/>
    <w:rsid w:val="001872F9"/>
    <w:rsid w:val="0018730A"/>
    <w:rsid w:val="00187443"/>
    <w:rsid w:val="0018769F"/>
    <w:rsid w:val="001878E1"/>
    <w:rsid w:val="00187900"/>
    <w:rsid w:val="00187984"/>
    <w:rsid w:val="00187C50"/>
    <w:rsid w:val="00187D66"/>
    <w:rsid w:val="00187F97"/>
    <w:rsid w:val="00190569"/>
    <w:rsid w:val="0019070A"/>
    <w:rsid w:val="00190E85"/>
    <w:rsid w:val="001910F0"/>
    <w:rsid w:val="001912A3"/>
    <w:rsid w:val="001919FE"/>
    <w:rsid w:val="0019230A"/>
    <w:rsid w:val="001928E3"/>
    <w:rsid w:val="00192DA5"/>
    <w:rsid w:val="0019308D"/>
    <w:rsid w:val="00193B4B"/>
    <w:rsid w:val="00193F56"/>
    <w:rsid w:val="001944B7"/>
    <w:rsid w:val="0019457B"/>
    <w:rsid w:val="00194597"/>
    <w:rsid w:val="00194707"/>
    <w:rsid w:val="00194A6B"/>
    <w:rsid w:val="00194F07"/>
    <w:rsid w:val="00196878"/>
    <w:rsid w:val="00196CF5"/>
    <w:rsid w:val="00196D57"/>
    <w:rsid w:val="00197232"/>
    <w:rsid w:val="001978A0"/>
    <w:rsid w:val="00197BBB"/>
    <w:rsid w:val="00197DAD"/>
    <w:rsid w:val="00197E76"/>
    <w:rsid w:val="00197EE9"/>
    <w:rsid w:val="001A0C51"/>
    <w:rsid w:val="001A0EE2"/>
    <w:rsid w:val="001A0FAF"/>
    <w:rsid w:val="001A226E"/>
    <w:rsid w:val="001A2294"/>
    <w:rsid w:val="001A29AE"/>
    <w:rsid w:val="001A2D73"/>
    <w:rsid w:val="001A3077"/>
    <w:rsid w:val="001A37F4"/>
    <w:rsid w:val="001A3E61"/>
    <w:rsid w:val="001A3F14"/>
    <w:rsid w:val="001A425D"/>
    <w:rsid w:val="001A46A1"/>
    <w:rsid w:val="001A4E4F"/>
    <w:rsid w:val="001A50A9"/>
    <w:rsid w:val="001A55FB"/>
    <w:rsid w:val="001A571A"/>
    <w:rsid w:val="001A5A2E"/>
    <w:rsid w:val="001A5C20"/>
    <w:rsid w:val="001A5CA1"/>
    <w:rsid w:val="001A6346"/>
    <w:rsid w:val="001A659F"/>
    <w:rsid w:val="001A6809"/>
    <w:rsid w:val="001A69AB"/>
    <w:rsid w:val="001A6D6E"/>
    <w:rsid w:val="001A75B6"/>
    <w:rsid w:val="001A7A53"/>
    <w:rsid w:val="001B02A9"/>
    <w:rsid w:val="001B06AC"/>
    <w:rsid w:val="001B0822"/>
    <w:rsid w:val="001B0E21"/>
    <w:rsid w:val="001B1936"/>
    <w:rsid w:val="001B1D63"/>
    <w:rsid w:val="001B1E72"/>
    <w:rsid w:val="001B1F03"/>
    <w:rsid w:val="001B238E"/>
    <w:rsid w:val="001B26C8"/>
    <w:rsid w:val="001B2D61"/>
    <w:rsid w:val="001B31CB"/>
    <w:rsid w:val="001B3561"/>
    <w:rsid w:val="001B3667"/>
    <w:rsid w:val="001B36FD"/>
    <w:rsid w:val="001B3A52"/>
    <w:rsid w:val="001B4279"/>
    <w:rsid w:val="001B42EE"/>
    <w:rsid w:val="001B4C48"/>
    <w:rsid w:val="001B5037"/>
    <w:rsid w:val="001B5B0C"/>
    <w:rsid w:val="001B5EF1"/>
    <w:rsid w:val="001B6842"/>
    <w:rsid w:val="001B696D"/>
    <w:rsid w:val="001B7105"/>
    <w:rsid w:val="001B72E2"/>
    <w:rsid w:val="001B7869"/>
    <w:rsid w:val="001B7952"/>
    <w:rsid w:val="001B7E64"/>
    <w:rsid w:val="001C0047"/>
    <w:rsid w:val="001C013C"/>
    <w:rsid w:val="001C13DC"/>
    <w:rsid w:val="001C1525"/>
    <w:rsid w:val="001C1554"/>
    <w:rsid w:val="001C17E1"/>
    <w:rsid w:val="001C1B09"/>
    <w:rsid w:val="001C1B7E"/>
    <w:rsid w:val="001C1DE0"/>
    <w:rsid w:val="001C1F67"/>
    <w:rsid w:val="001C2871"/>
    <w:rsid w:val="001C2FA5"/>
    <w:rsid w:val="001C3A44"/>
    <w:rsid w:val="001C3B24"/>
    <w:rsid w:val="001C3F09"/>
    <w:rsid w:val="001C4286"/>
    <w:rsid w:val="001C456D"/>
    <w:rsid w:val="001C45AF"/>
    <w:rsid w:val="001C4DE9"/>
    <w:rsid w:val="001C54A2"/>
    <w:rsid w:val="001C54C4"/>
    <w:rsid w:val="001C54E2"/>
    <w:rsid w:val="001C55B1"/>
    <w:rsid w:val="001C55B7"/>
    <w:rsid w:val="001C5749"/>
    <w:rsid w:val="001C57CF"/>
    <w:rsid w:val="001C5CE5"/>
    <w:rsid w:val="001C6752"/>
    <w:rsid w:val="001C6755"/>
    <w:rsid w:val="001C734E"/>
    <w:rsid w:val="001C739A"/>
    <w:rsid w:val="001C7A20"/>
    <w:rsid w:val="001C7A78"/>
    <w:rsid w:val="001D0515"/>
    <w:rsid w:val="001D0540"/>
    <w:rsid w:val="001D064A"/>
    <w:rsid w:val="001D08EF"/>
    <w:rsid w:val="001D0F87"/>
    <w:rsid w:val="001D10FA"/>
    <w:rsid w:val="001D1D7E"/>
    <w:rsid w:val="001D1FE5"/>
    <w:rsid w:val="001D3146"/>
    <w:rsid w:val="001D3932"/>
    <w:rsid w:val="001D3965"/>
    <w:rsid w:val="001D3F2A"/>
    <w:rsid w:val="001D461A"/>
    <w:rsid w:val="001D48E2"/>
    <w:rsid w:val="001D499E"/>
    <w:rsid w:val="001D4CA9"/>
    <w:rsid w:val="001D4E50"/>
    <w:rsid w:val="001D5182"/>
    <w:rsid w:val="001D55DC"/>
    <w:rsid w:val="001D59CB"/>
    <w:rsid w:val="001D5B11"/>
    <w:rsid w:val="001D5E52"/>
    <w:rsid w:val="001D6422"/>
    <w:rsid w:val="001D6741"/>
    <w:rsid w:val="001D6FB6"/>
    <w:rsid w:val="001D7A6B"/>
    <w:rsid w:val="001D7DCD"/>
    <w:rsid w:val="001E0985"/>
    <w:rsid w:val="001E1102"/>
    <w:rsid w:val="001E1D21"/>
    <w:rsid w:val="001E1F40"/>
    <w:rsid w:val="001E280D"/>
    <w:rsid w:val="001E2A3F"/>
    <w:rsid w:val="001E2C03"/>
    <w:rsid w:val="001E2CA5"/>
    <w:rsid w:val="001E30C8"/>
    <w:rsid w:val="001E3E5C"/>
    <w:rsid w:val="001E3FC5"/>
    <w:rsid w:val="001E40B0"/>
    <w:rsid w:val="001E43AD"/>
    <w:rsid w:val="001E4520"/>
    <w:rsid w:val="001E4861"/>
    <w:rsid w:val="001E4A48"/>
    <w:rsid w:val="001E4AAE"/>
    <w:rsid w:val="001E4C1B"/>
    <w:rsid w:val="001E4E07"/>
    <w:rsid w:val="001E4FAF"/>
    <w:rsid w:val="001E5852"/>
    <w:rsid w:val="001E62D3"/>
    <w:rsid w:val="001E69C0"/>
    <w:rsid w:val="001E69E7"/>
    <w:rsid w:val="001E6C49"/>
    <w:rsid w:val="001E6E43"/>
    <w:rsid w:val="001E719E"/>
    <w:rsid w:val="001E7571"/>
    <w:rsid w:val="001E75E6"/>
    <w:rsid w:val="001E7722"/>
    <w:rsid w:val="001E7927"/>
    <w:rsid w:val="001E7D19"/>
    <w:rsid w:val="001E7F20"/>
    <w:rsid w:val="001F03C8"/>
    <w:rsid w:val="001F03CA"/>
    <w:rsid w:val="001F08C8"/>
    <w:rsid w:val="001F0BD0"/>
    <w:rsid w:val="001F0BFC"/>
    <w:rsid w:val="001F0CF5"/>
    <w:rsid w:val="001F0DAB"/>
    <w:rsid w:val="001F124B"/>
    <w:rsid w:val="001F1290"/>
    <w:rsid w:val="001F197B"/>
    <w:rsid w:val="001F1B61"/>
    <w:rsid w:val="001F1DF1"/>
    <w:rsid w:val="001F1E4D"/>
    <w:rsid w:val="001F218C"/>
    <w:rsid w:val="001F22FB"/>
    <w:rsid w:val="001F253A"/>
    <w:rsid w:val="001F25A0"/>
    <w:rsid w:val="001F328C"/>
    <w:rsid w:val="001F3542"/>
    <w:rsid w:val="001F3868"/>
    <w:rsid w:val="001F39AE"/>
    <w:rsid w:val="001F3A4F"/>
    <w:rsid w:val="001F3EA8"/>
    <w:rsid w:val="001F3FA2"/>
    <w:rsid w:val="001F497F"/>
    <w:rsid w:val="001F4C28"/>
    <w:rsid w:val="001F55E4"/>
    <w:rsid w:val="001F5ABD"/>
    <w:rsid w:val="001F660D"/>
    <w:rsid w:val="001F67F2"/>
    <w:rsid w:val="001F68F8"/>
    <w:rsid w:val="001F6F86"/>
    <w:rsid w:val="001F7689"/>
    <w:rsid w:val="001F77B8"/>
    <w:rsid w:val="001F7D5F"/>
    <w:rsid w:val="0020053F"/>
    <w:rsid w:val="00200ABF"/>
    <w:rsid w:val="002015A5"/>
    <w:rsid w:val="00201C71"/>
    <w:rsid w:val="00201E92"/>
    <w:rsid w:val="00201FAD"/>
    <w:rsid w:val="002025B1"/>
    <w:rsid w:val="00202C54"/>
    <w:rsid w:val="00202DAC"/>
    <w:rsid w:val="0020398B"/>
    <w:rsid w:val="002039F8"/>
    <w:rsid w:val="00203E60"/>
    <w:rsid w:val="00204487"/>
    <w:rsid w:val="00204C6D"/>
    <w:rsid w:val="002050A4"/>
    <w:rsid w:val="00205273"/>
    <w:rsid w:val="00205613"/>
    <w:rsid w:val="00205624"/>
    <w:rsid w:val="002058D9"/>
    <w:rsid w:val="00205987"/>
    <w:rsid w:val="00205C72"/>
    <w:rsid w:val="00205F1A"/>
    <w:rsid w:val="00206664"/>
    <w:rsid w:val="00206FEF"/>
    <w:rsid w:val="002076AC"/>
    <w:rsid w:val="00207C57"/>
    <w:rsid w:val="00207DDC"/>
    <w:rsid w:val="002104D6"/>
    <w:rsid w:val="00210821"/>
    <w:rsid w:val="00210988"/>
    <w:rsid w:val="00210D36"/>
    <w:rsid w:val="00210DC2"/>
    <w:rsid w:val="00211345"/>
    <w:rsid w:val="00211C6F"/>
    <w:rsid w:val="00211D7E"/>
    <w:rsid w:val="00212476"/>
    <w:rsid w:val="00212A0C"/>
    <w:rsid w:val="00213583"/>
    <w:rsid w:val="002136F2"/>
    <w:rsid w:val="00213A96"/>
    <w:rsid w:val="002147AE"/>
    <w:rsid w:val="002149F4"/>
    <w:rsid w:val="00214B84"/>
    <w:rsid w:val="00215473"/>
    <w:rsid w:val="00215B15"/>
    <w:rsid w:val="00215F01"/>
    <w:rsid w:val="00216102"/>
    <w:rsid w:val="00216321"/>
    <w:rsid w:val="0021648C"/>
    <w:rsid w:val="00216A24"/>
    <w:rsid w:val="00216CF3"/>
    <w:rsid w:val="00216F7C"/>
    <w:rsid w:val="00217689"/>
    <w:rsid w:val="00217783"/>
    <w:rsid w:val="002178E4"/>
    <w:rsid w:val="00217AC2"/>
    <w:rsid w:val="00217ACB"/>
    <w:rsid w:val="002201C5"/>
    <w:rsid w:val="002206FB"/>
    <w:rsid w:val="00221128"/>
    <w:rsid w:val="00221133"/>
    <w:rsid w:val="00221148"/>
    <w:rsid w:val="00221445"/>
    <w:rsid w:val="0022170C"/>
    <w:rsid w:val="0022192C"/>
    <w:rsid w:val="0022193F"/>
    <w:rsid w:val="00221CE0"/>
    <w:rsid w:val="00222799"/>
    <w:rsid w:val="00222A82"/>
    <w:rsid w:val="00222A88"/>
    <w:rsid w:val="00223060"/>
    <w:rsid w:val="0022316F"/>
    <w:rsid w:val="002231E1"/>
    <w:rsid w:val="0022395F"/>
    <w:rsid w:val="00223D76"/>
    <w:rsid w:val="00224130"/>
    <w:rsid w:val="00224441"/>
    <w:rsid w:val="002247C8"/>
    <w:rsid w:val="00224843"/>
    <w:rsid w:val="00224F06"/>
    <w:rsid w:val="00225062"/>
    <w:rsid w:val="0022509C"/>
    <w:rsid w:val="002251A7"/>
    <w:rsid w:val="00225B54"/>
    <w:rsid w:val="0022676C"/>
    <w:rsid w:val="00227125"/>
    <w:rsid w:val="0022757F"/>
    <w:rsid w:val="00227731"/>
    <w:rsid w:val="00230035"/>
    <w:rsid w:val="00230587"/>
    <w:rsid w:val="00230FAD"/>
    <w:rsid w:val="00231080"/>
    <w:rsid w:val="002312D6"/>
    <w:rsid w:val="00231390"/>
    <w:rsid w:val="002316F3"/>
    <w:rsid w:val="00231780"/>
    <w:rsid w:val="002318F2"/>
    <w:rsid w:val="00232089"/>
    <w:rsid w:val="00232439"/>
    <w:rsid w:val="002329F3"/>
    <w:rsid w:val="0023335E"/>
    <w:rsid w:val="00233645"/>
    <w:rsid w:val="002337A8"/>
    <w:rsid w:val="00233B25"/>
    <w:rsid w:val="00233F7D"/>
    <w:rsid w:val="002342D0"/>
    <w:rsid w:val="00234763"/>
    <w:rsid w:val="00234BDD"/>
    <w:rsid w:val="00234C02"/>
    <w:rsid w:val="00234C07"/>
    <w:rsid w:val="002354B2"/>
    <w:rsid w:val="002358A5"/>
    <w:rsid w:val="00235B82"/>
    <w:rsid w:val="00235FAF"/>
    <w:rsid w:val="00236685"/>
    <w:rsid w:val="002369C3"/>
    <w:rsid w:val="00236BB3"/>
    <w:rsid w:val="00236D62"/>
    <w:rsid w:val="00236E47"/>
    <w:rsid w:val="00236F57"/>
    <w:rsid w:val="00237381"/>
    <w:rsid w:val="002375FB"/>
    <w:rsid w:val="00237827"/>
    <w:rsid w:val="002379B8"/>
    <w:rsid w:val="00237C8B"/>
    <w:rsid w:val="00237E0D"/>
    <w:rsid w:val="00240007"/>
    <w:rsid w:val="0024006D"/>
    <w:rsid w:val="0024057C"/>
    <w:rsid w:val="002407AA"/>
    <w:rsid w:val="002409C4"/>
    <w:rsid w:val="00240CFF"/>
    <w:rsid w:val="00240E36"/>
    <w:rsid w:val="002415F6"/>
    <w:rsid w:val="00241DB9"/>
    <w:rsid w:val="00242DB0"/>
    <w:rsid w:val="00242F02"/>
    <w:rsid w:val="0024333E"/>
    <w:rsid w:val="00243366"/>
    <w:rsid w:val="002434A0"/>
    <w:rsid w:val="00243AEE"/>
    <w:rsid w:val="00243CD7"/>
    <w:rsid w:val="00244210"/>
    <w:rsid w:val="0024452D"/>
    <w:rsid w:val="0024472D"/>
    <w:rsid w:val="00244B15"/>
    <w:rsid w:val="0024500B"/>
    <w:rsid w:val="00245430"/>
    <w:rsid w:val="00245449"/>
    <w:rsid w:val="002464CB"/>
    <w:rsid w:val="00246859"/>
    <w:rsid w:val="00246DE3"/>
    <w:rsid w:val="00247010"/>
    <w:rsid w:val="002473D7"/>
    <w:rsid w:val="002476D6"/>
    <w:rsid w:val="00247777"/>
    <w:rsid w:val="002478F0"/>
    <w:rsid w:val="00247936"/>
    <w:rsid w:val="002503F3"/>
    <w:rsid w:val="0025040E"/>
    <w:rsid w:val="00250734"/>
    <w:rsid w:val="002507A0"/>
    <w:rsid w:val="00250C9E"/>
    <w:rsid w:val="00251091"/>
    <w:rsid w:val="00251463"/>
    <w:rsid w:val="002516F6"/>
    <w:rsid w:val="00251A22"/>
    <w:rsid w:val="00251B55"/>
    <w:rsid w:val="0025231D"/>
    <w:rsid w:val="0025249E"/>
    <w:rsid w:val="002525D7"/>
    <w:rsid w:val="00252B0E"/>
    <w:rsid w:val="00252F44"/>
    <w:rsid w:val="0025370E"/>
    <w:rsid w:val="00253AA7"/>
    <w:rsid w:val="00254D27"/>
    <w:rsid w:val="00254EAB"/>
    <w:rsid w:val="00254FDC"/>
    <w:rsid w:val="0025507E"/>
    <w:rsid w:val="002556C5"/>
    <w:rsid w:val="002557CD"/>
    <w:rsid w:val="0025606C"/>
    <w:rsid w:val="00256230"/>
    <w:rsid w:val="00256511"/>
    <w:rsid w:val="00256898"/>
    <w:rsid w:val="00256AAA"/>
    <w:rsid w:val="00256B32"/>
    <w:rsid w:val="0025700E"/>
    <w:rsid w:val="002574D3"/>
    <w:rsid w:val="0025796E"/>
    <w:rsid w:val="002600D3"/>
    <w:rsid w:val="00260B0A"/>
    <w:rsid w:val="00261281"/>
    <w:rsid w:val="00261591"/>
    <w:rsid w:val="00261BCC"/>
    <w:rsid w:val="00261E56"/>
    <w:rsid w:val="00261E91"/>
    <w:rsid w:val="00261E9B"/>
    <w:rsid w:val="0026201A"/>
    <w:rsid w:val="002626DD"/>
    <w:rsid w:val="00262745"/>
    <w:rsid w:val="00262EB4"/>
    <w:rsid w:val="00262FBC"/>
    <w:rsid w:val="002639CB"/>
    <w:rsid w:val="002640A0"/>
    <w:rsid w:val="0026417D"/>
    <w:rsid w:val="00264DEA"/>
    <w:rsid w:val="00264DF8"/>
    <w:rsid w:val="002650B3"/>
    <w:rsid w:val="002652F8"/>
    <w:rsid w:val="00265511"/>
    <w:rsid w:val="00265644"/>
    <w:rsid w:val="00265C55"/>
    <w:rsid w:val="00265E9D"/>
    <w:rsid w:val="00265FBA"/>
    <w:rsid w:val="00266ED4"/>
    <w:rsid w:val="00266FA5"/>
    <w:rsid w:val="00267013"/>
    <w:rsid w:val="00267035"/>
    <w:rsid w:val="00267795"/>
    <w:rsid w:val="00267B57"/>
    <w:rsid w:val="00270B97"/>
    <w:rsid w:val="00271367"/>
    <w:rsid w:val="002716A3"/>
    <w:rsid w:val="00271ACE"/>
    <w:rsid w:val="00271CFC"/>
    <w:rsid w:val="00272223"/>
    <w:rsid w:val="002724CF"/>
    <w:rsid w:val="00272546"/>
    <w:rsid w:val="00272790"/>
    <w:rsid w:val="00272EEA"/>
    <w:rsid w:val="00273144"/>
    <w:rsid w:val="00273A7F"/>
    <w:rsid w:val="00274543"/>
    <w:rsid w:val="00274970"/>
    <w:rsid w:val="00274BD6"/>
    <w:rsid w:val="00274C40"/>
    <w:rsid w:val="00274F49"/>
    <w:rsid w:val="002750F7"/>
    <w:rsid w:val="0027514E"/>
    <w:rsid w:val="00275537"/>
    <w:rsid w:val="00275A7D"/>
    <w:rsid w:val="00275E4B"/>
    <w:rsid w:val="00275F02"/>
    <w:rsid w:val="00275FD9"/>
    <w:rsid w:val="00276119"/>
    <w:rsid w:val="002766C7"/>
    <w:rsid w:val="002768B7"/>
    <w:rsid w:val="00276ADA"/>
    <w:rsid w:val="00276BD8"/>
    <w:rsid w:val="00276D6E"/>
    <w:rsid w:val="002774EE"/>
    <w:rsid w:val="002776C0"/>
    <w:rsid w:val="00277A20"/>
    <w:rsid w:val="00280267"/>
    <w:rsid w:val="00280ACC"/>
    <w:rsid w:val="002812E9"/>
    <w:rsid w:val="0028165F"/>
    <w:rsid w:val="00281CF8"/>
    <w:rsid w:val="00281D65"/>
    <w:rsid w:val="00282110"/>
    <w:rsid w:val="00282191"/>
    <w:rsid w:val="00282252"/>
    <w:rsid w:val="00282CDE"/>
    <w:rsid w:val="002830E9"/>
    <w:rsid w:val="00283366"/>
    <w:rsid w:val="002840AB"/>
    <w:rsid w:val="002840F2"/>
    <w:rsid w:val="00284168"/>
    <w:rsid w:val="002843FF"/>
    <w:rsid w:val="002848D3"/>
    <w:rsid w:val="00284977"/>
    <w:rsid w:val="00284AE4"/>
    <w:rsid w:val="002858AF"/>
    <w:rsid w:val="00285B14"/>
    <w:rsid w:val="00285E14"/>
    <w:rsid w:val="00286196"/>
    <w:rsid w:val="002870ED"/>
    <w:rsid w:val="002871D0"/>
    <w:rsid w:val="00287C3C"/>
    <w:rsid w:val="00287D0E"/>
    <w:rsid w:val="00287D9F"/>
    <w:rsid w:val="00287F4D"/>
    <w:rsid w:val="002901F7"/>
    <w:rsid w:val="002908BC"/>
    <w:rsid w:val="00290979"/>
    <w:rsid w:val="0029119E"/>
    <w:rsid w:val="002913B9"/>
    <w:rsid w:val="002914BB"/>
    <w:rsid w:val="00292990"/>
    <w:rsid w:val="00292BA7"/>
    <w:rsid w:val="00292D6C"/>
    <w:rsid w:val="00292DA2"/>
    <w:rsid w:val="00293408"/>
    <w:rsid w:val="00293B4D"/>
    <w:rsid w:val="00294651"/>
    <w:rsid w:val="0029516F"/>
    <w:rsid w:val="002952FA"/>
    <w:rsid w:val="002953B5"/>
    <w:rsid w:val="00295B2B"/>
    <w:rsid w:val="0029703A"/>
    <w:rsid w:val="0029719D"/>
    <w:rsid w:val="0029744F"/>
    <w:rsid w:val="002A094E"/>
    <w:rsid w:val="002A0BA2"/>
    <w:rsid w:val="002A138B"/>
    <w:rsid w:val="002A2CD8"/>
    <w:rsid w:val="002A2E38"/>
    <w:rsid w:val="002A2F23"/>
    <w:rsid w:val="002A30B7"/>
    <w:rsid w:val="002A369D"/>
    <w:rsid w:val="002A4656"/>
    <w:rsid w:val="002A47D9"/>
    <w:rsid w:val="002A4A14"/>
    <w:rsid w:val="002A4C5F"/>
    <w:rsid w:val="002A50C2"/>
    <w:rsid w:val="002A5162"/>
    <w:rsid w:val="002A5AB4"/>
    <w:rsid w:val="002A644C"/>
    <w:rsid w:val="002A64FE"/>
    <w:rsid w:val="002A6F75"/>
    <w:rsid w:val="002A75E1"/>
    <w:rsid w:val="002A7635"/>
    <w:rsid w:val="002A7810"/>
    <w:rsid w:val="002B06C6"/>
    <w:rsid w:val="002B093E"/>
    <w:rsid w:val="002B0B28"/>
    <w:rsid w:val="002B1115"/>
    <w:rsid w:val="002B1C94"/>
    <w:rsid w:val="002B22FE"/>
    <w:rsid w:val="002B2AA2"/>
    <w:rsid w:val="002B2AA3"/>
    <w:rsid w:val="002B2D60"/>
    <w:rsid w:val="002B2F81"/>
    <w:rsid w:val="002B3016"/>
    <w:rsid w:val="002B3498"/>
    <w:rsid w:val="002B3965"/>
    <w:rsid w:val="002B3A69"/>
    <w:rsid w:val="002B43EC"/>
    <w:rsid w:val="002B4958"/>
    <w:rsid w:val="002B4B21"/>
    <w:rsid w:val="002B4CD8"/>
    <w:rsid w:val="002B4D72"/>
    <w:rsid w:val="002B53A0"/>
    <w:rsid w:val="002B5939"/>
    <w:rsid w:val="002B6053"/>
    <w:rsid w:val="002B621B"/>
    <w:rsid w:val="002B63A3"/>
    <w:rsid w:val="002B6639"/>
    <w:rsid w:val="002B67F6"/>
    <w:rsid w:val="002B6D2B"/>
    <w:rsid w:val="002B7B07"/>
    <w:rsid w:val="002B7F05"/>
    <w:rsid w:val="002C0816"/>
    <w:rsid w:val="002C0F64"/>
    <w:rsid w:val="002C10A0"/>
    <w:rsid w:val="002C15D3"/>
    <w:rsid w:val="002C1ABD"/>
    <w:rsid w:val="002C223C"/>
    <w:rsid w:val="002C2914"/>
    <w:rsid w:val="002C2939"/>
    <w:rsid w:val="002C2C08"/>
    <w:rsid w:val="002C312E"/>
    <w:rsid w:val="002C3161"/>
    <w:rsid w:val="002C3303"/>
    <w:rsid w:val="002C355D"/>
    <w:rsid w:val="002C3BEE"/>
    <w:rsid w:val="002C3DA8"/>
    <w:rsid w:val="002C4C25"/>
    <w:rsid w:val="002C4FBE"/>
    <w:rsid w:val="002C67A6"/>
    <w:rsid w:val="002C6927"/>
    <w:rsid w:val="002C6A2C"/>
    <w:rsid w:val="002C6CB3"/>
    <w:rsid w:val="002C70DE"/>
    <w:rsid w:val="002C7383"/>
    <w:rsid w:val="002C74A7"/>
    <w:rsid w:val="002C7817"/>
    <w:rsid w:val="002D0F22"/>
    <w:rsid w:val="002D128B"/>
    <w:rsid w:val="002D1564"/>
    <w:rsid w:val="002D1EA1"/>
    <w:rsid w:val="002D21EC"/>
    <w:rsid w:val="002D21FB"/>
    <w:rsid w:val="002D2A0F"/>
    <w:rsid w:val="002D2FC3"/>
    <w:rsid w:val="002D32A8"/>
    <w:rsid w:val="002D32BD"/>
    <w:rsid w:val="002D355B"/>
    <w:rsid w:val="002D35B4"/>
    <w:rsid w:val="002D3960"/>
    <w:rsid w:val="002D4252"/>
    <w:rsid w:val="002D464E"/>
    <w:rsid w:val="002D50E1"/>
    <w:rsid w:val="002D5205"/>
    <w:rsid w:val="002D593E"/>
    <w:rsid w:val="002D5A74"/>
    <w:rsid w:val="002D5C9A"/>
    <w:rsid w:val="002D6620"/>
    <w:rsid w:val="002D6E6F"/>
    <w:rsid w:val="002D6E7D"/>
    <w:rsid w:val="002D717B"/>
    <w:rsid w:val="002D7AEC"/>
    <w:rsid w:val="002D7C22"/>
    <w:rsid w:val="002D7DFE"/>
    <w:rsid w:val="002E071F"/>
    <w:rsid w:val="002E0741"/>
    <w:rsid w:val="002E0999"/>
    <w:rsid w:val="002E0F5F"/>
    <w:rsid w:val="002E1190"/>
    <w:rsid w:val="002E1F6E"/>
    <w:rsid w:val="002E2656"/>
    <w:rsid w:val="002E303C"/>
    <w:rsid w:val="002E31B9"/>
    <w:rsid w:val="002E3B9F"/>
    <w:rsid w:val="002E4630"/>
    <w:rsid w:val="002E4C34"/>
    <w:rsid w:val="002E4D28"/>
    <w:rsid w:val="002E536B"/>
    <w:rsid w:val="002E5D0C"/>
    <w:rsid w:val="002E5F9F"/>
    <w:rsid w:val="002E630F"/>
    <w:rsid w:val="002E64FA"/>
    <w:rsid w:val="002E7100"/>
    <w:rsid w:val="002E7559"/>
    <w:rsid w:val="002E7856"/>
    <w:rsid w:val="002E7C46"/>
    <w:rsid w:val="002E7DAC"/>
    <w:rsid w:val="002E7F22"/>
    <w:rsid w:val="002F099B"/>
    <w:rsid w:val="002F0BFD"/>
    <w:rsid w:val="002F0C17"/>
    <w:rsid w:val="002F0DED"/>
    <w:rsid w:val="002F1235"/>
    <w:rsid w:val="002F1992"/>
    <w:rsid w:val="002F1B6F"/>
    <w:rsid w:val="002F2241"/>
    <w:rsid w:val="002F289D"/>
    <w:rsid w:val="002F3158"/>
    <w:rsid w:val="002F36AD"/>
    <w:rsid w:val="002F3A81"/>
    <w:rsid w:val="002F4443"/>
    <w:rsid w:val="002F4525"/>
    <w:rsid w:val="002F4551"/>
    <w:rsid w:val="002F4554"/>
    <w:rsid w:val="002F4558"/>
    <w:rsid w:val="002F5369"/>
    <w:rsid w:val="002F5D88"/>
    <w:rsid w:val="002F5F6B"/>
    <w:rsid w:val="002F617D"/>
    <w:rsid w:val="002F68E4"/>
    <w:rsid w:val="002F6FB0"/>
    <w:rsid w:val="002F78F3"/>
    <w:rsid w:val="002F7A62"/>
    <w:rsid w:val="002F7CE3"/>
    <w:rsid w:val="0030012B"/>
    <w:rsid w:val="00300715"/>
    <w:rsid w:val="00300A8D"/>
    <w:rsid w:val="003010F5"/>
    <w:rsid w:val="00301119"/>
    <w:rsid w:val="00301601"/>
    <w:rsid w:val="003016A1"/>
    <w:rsid w:val="0030174D"/>
    <w:rsid w:val="00301A68"/>
    <w:rsid w:val="0030214B"/>
    <w:rsid w:val="00302292"/>
    <w:rsid w:val="003028AD"/>
    <w:rsid w:val="00303583"/>
    <w:rsid w:val="00303D11"/>
    <w:rsid w:val="00304D42"/>
    <w:rsid w:val="0030528E"/>
    <w:rsid w:val="00305902"/>
    <w:rsid w:val="00305F55"/>
    <w:rsid w:val="00306B21"/>
    <w:rsid w:val="00306F4C"/>
    <w:rsid w:val="00306F5A"/>
    <w:rsid w:val="00307B93"/>
    <w:rsid w:val="00307D48"/>
    <w:rsid w:val="0031017B"/>
    <w:rsid w:val="003101CC"/>
    <w:rsid w:val="00310A94"/>
    <w:rsid w:val="00310F12"/>
    <w:rsid w:val="00310F2D"/>
    <w:rsid w:val="003111E1"/>
    <w:rsid w:val="0031161E"/>
    <w:rsid w:val="00311E75"/>
    <w:rsid w:val="00312878"/>
    <w:rsid w:val="00313053"/>
    <w:rsid w:val="00313126"/>
    <w:rsid w:val="00313137"/>
    <w:rsid w:val="00313315"/>
    <w:rsid w:val="00313672"/>
    <w:rsid w:val="00313BB3"/>
    <w:rsid w:val="00313C19"/>
    <w:rsid w:val="00313D37"/>
    <w:rsid w:val="00313D3D"/>
    <w:rsid w:val="00313F28"/>
    <w:rsid w:val="003144D3"/>
    <w:rsid w:val="00314576"/>
    <w:rsid w:val="003146B5"/>
    <w:rsid w:val="00314883"/>
    <w:rsid w:val="00314DC3"/>
    <w:rsid w:val="00314E17"/>
    <w:rsid w:val="003154D6"/>
    <w:rsid w:val="00315755"/>
    <w:rsid w:val="0031586B"/>
    <w:rsid w:val="0031586C"/>
    <w:rsid w:val="0031665E"/>
    <w:rsid w:val="00317142"/>
    <w:rsid w:val="0031728F"/>
    <w:rsid w:val="00317768"/>
    <w:rsid w:val="0031796A"/>
    <w:rsid w:val="00320680"/>
    <w:rsid w:val="0032073D"/>
    <w:rsid w:val="00321201"/>
    <w:rsid w:val="0032120B"/>
    <w:rsid w:val="00321264"/>
    <w:rsid w:val="00321D7D"/>
    <w:rsid w:val="00321EC8"/>
    <w:rsid w:val="0032279D"/>
    <w:rsid w:val="00322BC5"/>
    <w:rsid w:val="00323150"/>
    <w:rsid w:val="0032356E"/>
    <w:rsid w:val="0032368D"/>
    <w:rsid w:val="0032372E"/>
    <w:rsid w:val="00323EF7"/>
    <w:rsid w:val="00324036"/>
    <w:rsid w:val="00324499"/>
    <w:rsid w:val="003244BB"/>
    <w:rsid w:val="00324BEF"/>
    <w:rsid w:val="00324D5C"/>
    <w:rsid w:val="0032514A"/>
    <w:rsid w:val="003257F9"/>
    <w:rsid w:val="00325BC2"/>
    <w:rsid w:val="00325D6A"/>
    <w:rsid w:val="003261F8"/>
    <w:rsid w:val="00326A4B"/>
    <w:rsid w:val="00326C53"/>
    <w:rsid w:val="00326D61"/>
    <w:rsid w:val="0032794D"/>
    <w:rsid w:val="003302B2"/>
    <w:rsid w:val="003305AE"/>
    <w:rsid w:val="0033066D"/>
    <w:rsid w:val="003307A2"/>
    <w:rsid w:val="00330CE9"/>
    <w:rsid w:val="00330DEC"/>
    <w:rsid w:val="00330EF2"/>
    <w:rsid w:val="0033143F"/>
    <w:rsid w:val="0033287D"/>
    <w:rsid w:val="00332A6A"/>
    <w:rsid w:val="003336EC"/>
    <w:rsid w:val="0033406A"/>
    <w:rsid w:val="003340F7"/>
    <w:rsid w:val="003343AA"/>
    <w:rsid w:val="003343AD"/>
    <w:rsid w:val="00334A38"/>
    <w:rsid w:val="00334EF9"/>
    <w:rsid w:val="0033514B"/>
    <w:rsid w:val="003353E2"/>
    <w:rsid w:val="00335947"/>
    <w:rsid w:val="00335D8F"/>
    <w:rsid w:val="0033629A"/>
    <w:rsid w:val="003366A8"/>
    <w:rsid w:val="003378E7"/>
    <w:rsid w:val="00337C6C"/>
    <w:rsid w:val="00337D3F"/>
    <w:rsid w:val="00340107"/>
    <w:rsid w:val="00340330"/>
    <w:rsid w:val="0034060B"/>
    <w:rsid w:val="00340869"/>
    <w:rsid w:val="00340951"/>
    <w:rsid w:val="00340A51"/>
    <w:rsid w:val="00340B45"/>
    <w:rsid w:val="00340E00"/>
    <w:rsid w:val="003410AB"/>
    <w:rsid w:val="0034158A"/>
    <w:rsid w:val="00341B4A"/>
    <w:rsid w:val="003428F0"/>
    <w:rsid w:val="0034298E"/>
    <w:rsid w:val="003429F7"/>
    <w:rsid w:val="0034316D"/>
    <w:rsid w:val="0034328F"/>
    <w:rsid w:val="00343F63"/>
    <w:rsid w:val="003449E0"/>
    <w:rsid w:val="00344B2A"/>
    <w:rsid w:val="00344D91"/>
    <w:rsid w:val="00344DF6"/>
    <w:rsid w:val="0034518C"/>
    <w:rsid w:val="00345470"/>
    <w:rsid w:val="0034630D"/>
    <w:rsid w:val="003463E7"/>
    <w:rsid w:val="003465C2"/>
    <w:rsid w:val="00346834"/>
    <w:rsid w:val="00347038"/>
    <w:rsid w:val="003470B6"/>
    <w:rsid w:val="003471AC"/>
    <w:rsid w:val="0034753C"/>
    <w:rsid w:val="003475FB"/>
    <w:rsid w:val="00347E1B"/>
    <w:rsid w:val="003501E2"/>
    <w:rsid w:val="003501FD"/>
    <w:rsid w:val="0035080B"/>
    <w:rsid w:val="00350B91"/>
    <w:rsid w:val="00351621"/>
    <w:rsid w:val="00351E7D"/>
    <w:rsid w:val="00352488"/>
    <w:rsid w:val="00352A31"/>
    <w:rsid w:val="00352C03"/>
    <w:rsid w:val="00352E1F"/>
    <w:rsid w:val="00352F67"/>
    <w:rsid w:val="0035340F"/>
    <w:rsid w:val="003535BE"/>
    <w:rsid w:val="0035360D"/>
    <w:rsid w:val="00353631"/>
    <w:rsid w:val="0035395C"/>
    <w:rsid w:val="00353A27"/>
    <w:rsid w:val="00353C79"/>
    <w:rsid w:val="00353C90"/>
    <w:rsid w:val="0035410F"/>
    <w:rsid w:val="0035497A"/>
    <w:rsid w:val="00354A29"/>
    <w:rsid w:val="00354F0C"/>
    <w:rsid w:val="00355253"/>
    <w:rsid w:val="003554EC"/>
    <w:rsid w:val="003555A1"/>
    <w:rsid w:val="003559E6"/>
    <w:rsid w:val="00355B70"/>
    <w:rsid w:val="00355E58"/>
    <w:rsid w:val="0035611A"/>
    <w:rsid w:val="00356368"/>
    <w:rsid w:val="00356490"/>
    <w:rsid w:val="00356539"/>
    <w:rsid w:val="003567DA"/>
    <w:rsid w:val="00356E66"/>
    <w:rsid w:val="003572DF"/>
    <w:rsid w:val="00357B93"/>
    <w:rsid w:val="00357C2F"/>
    <w:rsid w:val="00357E8F"/>
    <w:rsid w:val="00360A5D"/>
    <w:rsid w:val="00360AB2"/>
    <w:rsid w:val="00360C6E"/>
    <w:rsid w:val="00360DEA"/>
    <w:rsid w:val="00360DF7"/>
    <w:rsid w:val="00361ED1"/>
    <w:rsid w:val="00362130"/>
    <w:rsid w:val="00362300"/>
    <w:rsid w:val="0036254D"/>
    <w:rsid w:val="00362620"/>
    <w:rsid w:val="00362D2A"/>
    <w:rsid w:val="00362E2F"/>
    <w:rsid w:val="0036305B"/>
    <w:rsid w:val="00363198"/>
    <w:rsid w:val="003632A2"/>
    <w:rsid w:val="003635DC"/>
    <w:rsid w:val="00363A76"/>
    <w:rsid w:val="003640E6"/>
    <w:rsid w:val="0036423F"/>
    <w:rsid w:val="0036429F"/>
    <w:rsid w:val="003643A8"/>
    <w:rsid w:val="0036459B"/>
    <w:rsid w:val="00364CA2"/>
    <w:rsid w:val="00364D8C"/>
    <w:rsid w:val="003667FF"/>
    <w:rsid w:val="00366BE3"/>
    <w:rsid w:val="00366D50"/>
    <w:rsid w:val="0036728A"/>
    <w:rsid w:val="0036745F"/>
    <w:rsid w:val="00367E63"/>
    <w:rsid w:val="00370A06"/>
    <w:rsid w:val="0037110F"/>
    <w:rsid w:val="00373269"/>
    <w:rsid w:val="00373DC0"/>
    <w:rsid w:val="00373FEC"/>
    <w:rsid w:val="00374120"/>
    <w:rsid w:val="003744BF"/>
    <w:rsid w:val="00374723"/>
    <w:rsid w:val="003751AB"/>
    <w:rsid w:val="00375800"/>
    <w:rsid w:val="003758F5"/>
    <w:rsid w:val="00375E8F"/>
    <w:rsid w:val="00376334"/>
    <w:rsid w:val="0037744A"/>
    <w:rsid w:val="00377A21"/>
    <w:rsid w:val="00377B31"/>
    <w:rsid w:val="003805CD"/>
    <w:rsid w:val="0038084A"/>
    <w:rsid w:val="00380855"/>
    <w:rsid w:val="00380879"/>
    <w:rsid w:val="00380A37"/>
    <w:rsid w:val="00381252"/>
    <w:rsid w:val="003814CD"/>
    <w:rsid w:val="00381A37"/>
    <w:rsid w:val="00381B95"/>
    <w:rsid w:val="00381EB2"/>
    <w:rsid w:val="00382155"/>
    <w:rsid w:val="003826CA"/>
    <w:rsid w:val="00382762"/>
    <w:rsid w:val="00383056"/>
    <w:rsid w:val="00383747"/>
    <w:rsid w:val="00383D25"/>
    <w:rsid w:val="0038429B"/>
    <w:rsid w:val="0038484E"/>
    <w:rsid w:val="00384ACC"/>
    <w:rsid w:val="00385519"/>
    <w:rsid w:val="003857D6"/>
    <w:rsid w:val="00385859"/>
    <w:rsid w:val="00385A38"/>
    <w:rsid w:val="00385E69"/>
    <w:rsid w:val="0038610E"/>
    <w:rsid w:val="00386528"/>
    <w:rsid w:val="00387530"/>
    <w:rsid w:val="00387B77"/>
    <w:rsid w:val="00387EC5"/>
    <w:rsid w:val="00390C11"/>
    <w:rsid w:val="00390D29"/>
    <w:rsid w:val="00391213"/>
    <w:rsid w:val="003917FF"/>
    <w:rsid w:val="0039216E"/>
    <w:rsid w:val="00392424"/>
    <w:rsid w:val="003927D9"/>
    <w:rsid w:val="00392885"/>
    <w:rsid w:val="00393B8F"/>
    <w:rsid w:val="0039432B"/>
    <w:rsid w:val="00394649"/>
    <w:rsid w:val="003949AD"/>
    <w:rsid w:val="00395155"/>
    <w:rsid w:val="003955DE"/>
    <w:rsid w:val="003958A2"/>
    <w:rsid w:val="00395AB1"/>
    <w:rsid w:val="00395DF8"/>
    <w:rsid w:val="00395FA3"/>
    <w:rsid w:val="00396020"/>
    <w:rsid w:val="00396599"/>
    <w:rsid w:val="00396698"/>
    <w:rsid w:val="003966AF"/>
    <w:rsid w:val="003969B3"/>
    <w:rsid w:val="0039704F"/>
    <w:rsid w:val="0039767C"/>
    <w:rsid w:val="003A054F"/>
    <w:rsid w:val="003A05AD"/>
    <w:rsid w:val="003A0707"/>
    <w:rsid w:val="003A07F8"/>
    <w:rsid w:val="003A1436"/>
    <w:rsid w:val="003A15D3"/>
    <w:rsid w:val="003A1872"/>
    <w:rsid w:val="003A1A84"/>
    <w:rsid w:val="003A1C7F"/>
    <w:rsid w:val="003A1DCD"/>
    <w:rsid w:val="003A268D"/>
    <w:rsid w:val="003A2EB4"/>
    <w:rsid w:val="003A3199"/>
    <w:rsid w:val="003A34CF"/>
    <w:rsid w:val="003A3D74"/>
    <w:rsid w:val="003A3F7A"/>
    <w:rsid w:val="003A4065"/>
    <w:rsid w:val="003A417F"/>
    <w:rsid w:val="003A42BB"/>
    <w:rsid w:val="003A42E7"/>
    <w:rsid w:val="003A4378"/>
    <w:rsid w:val="003A483D"/>
    <w:rsid w:val="003A4993"/>
    <w:rsid w:val="003A4D66"/>
    <w:rsid w:val="003A4E16"/>
    <w:rsid w:val="003A594D"/>
    <w:rsid w:val="003A5A50"/>
    <w:rsid w:val="003A6916"/>
    <w:rsid w:val="003A6A0D"/>
    <w:rsid w:val="003A6BB4"/>
    <w:rsid w:val="003A6D7C"/>
    <w:rsid w:val="003B00C6"/>
    <w:rsid w:val="003B06D1"/>
    <w:rsid w:val="003B08AF"/>
    <w:rsid w:val="003B0D19"/>
    <w:rsid w:val="003B0F16"/>
    <w:rsid w:val="003B1554"/>
    <w:rsid w:val="003B1736"/>
    <w:rsid w:val="003B1748"/>
    <w:rsid w:val="003B18F6"/>
    <w:rsid w:val="003B1AC6"/>
    <w:rsid w:val="003B1BF7"/>
    <w:rsid w:val="003B1D3A"/>
    <w:rsid w:val="003B1E9A"/>
    <w:rsid w:val="003B2092"/>
    <w:rsid w:val="003B21DD"/>
    <w:rsid w:val="003B24FA"/>
    <w:rsid w:val="003B2963"/>
    <w:rsid w:val="003B33E2"/>
    <w:rsid w:val="003B340F"/>
    <w:rsid w:val="003B3769"/>
    <w:rsid w:val="003B376A"/>
    <w:rsid w:val="003B3A8F"/>
    <w:rsid w:val="003B3D53"/>
    <w:rsid w:val="003B5208"/>
    <w:rsid w:val="003B560E"/>
    <w:rsid w:val="003B57B8"/>
    <w:rsid w:val="003B5907"/>
    <w:rsid w:val="003B60D3"/>
    <w:rsid w:val="003B66EB"/>
    <w:rsid w:val="003B6708"/>
    <w:rsid w:val="003B6DFE"/>
    <w:rsid w:val="003B741A"/>
    <w:rsid w:val="003B74A4"/>
    <w:rsid w:val="003B75E9"/>
    <w:rsid w:val="003B76A7"/>
    <w:rsid w:val="003B76C6"/>
    <w:rsid w:val="003B79AD"/>
    <w:rsid w:val="003B7EE2"/>
    <w:rsid w:val="003C0F2B"/>
    <w:rsid w:val="003C0FB5"/>
    <w:rsid w:val="003C102E"/>
    <w:rsid w:val="003C2007"/>
    <w:rsid w:val="003C2E2B"/>
    <w:rsid w:val="003C3918"/>
    <w:rsid w:val="003C3EE0"/>
    <w:rsid w:val="003C3F80"/>
    <w:rsid w:val="003C4D99"/>
    <w:rsid w:val="003C51AD"/>
    <w:rsid w:val="003C5BE6"/>
    <w:rsid w:val="003C5D2E"/>
    <w:rsid w:val="003C6953"/>
    <w:rsid w:val="003C6C85"/>
    <w:rsid w:val="003C6EA0"/>
    <w:rsid w:val="003C6FA1"/>
    <w:rsid w:val="003C71AB"/>
    <w:rsid w:val="003C7404"/>
    <w:rsid w:val="003C7422"/>
    <w:rsid w:val="003C76CC"/>
    <w:rsid w:val="003C7AAD"/>
    <w:rsid w:val="003D0095"/>
    <w:rsid w:val="003D01A4"/>
    <w:rsid w:val="003D099F"/>
    <w:rsid w:val="003D0A8F"/>
    <w:rsid w:val="003D165B"/>
    <w:rsid w:val="003D1EA8"/>
    <w:rsid w:val="003D218E"/>
    <w:rsid w:val="003D2281"/>
    <w:rsid w:val="003D24BB"/>
    <w:rsid w:val="003D2971"/>
    <w:rsid w:val="003D2C76"/>
    <w:rsid w:val="003D32D8"/>
    <w:rsid w:val="003D34F7"/>
    <w:rsid w:val="003D38EC"/>
    <w:rsid w:val="003D3BFC"/>
    <w:rsid w:val="003D4272"/>
    <w:rsid w:val="003D4408"/>
    <w:rsid w:val="003D4695"/>
    <w:rsid w:val="003D4F53"/>
    <w:rsid w:val="003D5258"/>
    <w:rsid w:val="003D53F2"/>
    <w:rsid w:val="003D5570"/>
    <w:rsid w:val="003D58AB"/>
    <w:rsid w:val="003D5C15"/>
    <w:rsid w:val="003D5EB1"/>
    <w:rsid w:val="003D6ACA"/>
    <w:rsid w:val="003D6DBE"/>
    <w:rsid w:val="003D6F5C"/>
    <w:rsid w:val="003D7398"/>
    <w:rsid w:val="003D78B4"/>
    <w:rsid w:val="003D7D31"/>
    <w:rsid w:val="003D7D3A"/>
    <w:rsid w:val="003D7EBE"/>
    <w:rsid w:val="003E02CD"/>
    <w:rsid w:val="003E088B"/>
    <w:rsid w:val="003E0E4E"/>
    <w:rsid w:val="003E0F4F"/>
    <w:rsid w:val="003E233A"/>
    <w:rsid w:val="003E23D4"/>
    <w:rsid w:val="003E271D"/>
    <w:rsid w:val="003E2837"/>
    <w:rsid w:val="003E292B"/>
    <w:rsid w:val="003E2AA6"/>
    <w:rsid w:val="003E3086"/>
    <w:rsid w:val="003E39A4"/>
    <w:rsid w:val="003E39B7"/>
    <w:rsid w:val="003E39BB"/>
    <w:rsid w:val="003E39BF"/>
    <w:rsid w:val="003E39DE"/>
    <w:rsid w:val="003E40EF"/>
    <w:rsid w:val="003E4747"/>
    <w:rsid w:val="003E4774"/>
    <w:rsid w:val="003E4898"/>
    <w:rsid w:val="003E4AF8"/>
    <w:rsid w:val="003E50DD"/>
    <w:rsid w:val="003E5F62"/>
    <w:rsid w:val="003E612C"/>
    <w:rsid w:val="003E651E"/>
    <w:rsid w:val="003E6753"/>
    <w:rsid w:val="003E71A8"/>
    <w:rsid w:val="003E73D3"/>
    <w:rsid w:val="003E77F4"/>
    <w:rsid w:val="003F0049"/>
    <w:rsid w:val="003F0EC7"/>
    <w:rsid w:val="003F11AE"/>
    <w:rsid w:val="003F1223"/>
    <w:rsid w:val="003F1546"/>
    <w:rsid w:val="003F1BB4"/>
    <w:rsid w:val="003F1BD0"/>
    <w:rsid w:val="003F1DD2"/>
    <w:rsid w:val="003F230B"/>
    <w:rsid w:val="003F2366"/>
    <w:rsid w:val="003F24B6"/>
    <w:rsid w:val="003F24F7"/>
    <w:rsid w:val="003F272D"/>
    <w:rsid w:val="003F29B8"/>
    <w:rsid w:val="003F2C79"/>
    <w:rsid w:val="003F2D93"/>
    <w:rsid w:val="003F2E5B"/>
    <w:rsid w:val="003F3527"/>
    <w:rsid w:val="003F362E"/>
    <w:rsid w:val="003F39F2"/>
    <w:rsid w:val="003F3B01"/>
    <w:rsid w:val="003F3EB6"/>
    <w:rsid w:val="003F3F99"/>
    <w:rsid w:val="003F4617"/>
    <w:rsid w:val="003F5FB8"/>
    <w:rsid w:val="003F5FD7"/>
    <w:rsid w:val="003F6335"/>
    <w:rsid w:val="003F642D"/>
    <w:rsid w:val="003F6892"/>
    <w:rsid w:val="003F68F2"/>
    <w:rsid w:val="003F7440"/>
    <w:rsid w:val="003F74CE"/>
    <w:rsid w:val="003F78E6"/>
    <w:rsid w:val="003F7B44"/>
    <w:rsid w:val="003F7E07"/>
    <w:rsid w:val="003F7E8A"/>
    <w:rsid w:val="0040035D"/>
    <w:rsid w:val="00400720"/>
    <w:rsid w:val="00401B66"/>
    <w:rsid w:val="00401D33"/>
    <w:rsid w:val="00401EAD"/>
    <w:rsid w:val="00401EF5"/>
    <w:rsid w:val="00402E37"/>
    <w:rsid w:val="004036D2"/>
    <w:rsid w:val="00403756"/>
    <w:rsid w:val="00403EF1"/>
    <w:rsid w:val="00403F99"/>
    <w:rsid w:val="00404086"/>
    <w:rsid w:val="0040413D"/>
    <w:rsid w:val="004044E1"/>
    <w:rsid w:val="00404843"/>
    <w:rsid w:val="00404881"/>
    <w:rsid w:val="004057A9"/>
    <w:rsid w:val="00405AC8"/>
    <w:rsid w:val="00406C89"/>
    <w:rsid w:val="004075BB"/>
    <w:rsid w:val="0040776F"/>
    <w:rsid w:val="004078A7"/>
    <w:rsid w:val="004104CD"/>
    <w:rsid w:val="00411DEF"/>
    <w:rsid w:val="004125E1"/>
    <w:rsid w:val="004128A6"/>
    <w:rsid w:val="00412B33"/>
    <w:rsid w:val="00413125"/>
    <w:rsid w:val="00413162"/>
    <w:rsid w:val="004134D2"/>
    <w:rsid w:val="004135B6"/>
    <w:rsid w:val="00413ACF"/>
    <w:rsid w:val="004146C2"/>
    <w:rsid w:val="0041483A"/>
    <w:rsid w:val="00414F75"/>
    <w:rsid w:val="00415A6D"/>
    <w:rsid w:val="00415AB8"/>
    <w:rsid w:val="00415AD3"/>
    <w:rsid w:val="00415C90"/>
    <w:rsid w:val="004161B0"/>
    <w:rsid w:val="00416C98"/>
    <w:rsid w:val="004175D3"/>
    <w:rsid w:val="00417BD2"/>
    <w:rsid w:val="00417CC5"/>
    <w:rsid w:val="004203E2"/>
    <w:rsid w:val="004207B2"/>
    <w:rsid w:val="00420913"/>
    <w:rsid w:val="00420C89"/>
    <w:rsid w:val="00420E21"/>
    <w:rsid w:val="0042115A"/>
    <w:rsid w:val="004211BD"/>
    <w:rsid w:val="004211EE"/>
    <w:rsid w:val="00421927"/>
    <w:rsid w:val="0042295D"/>
    <w:rsid w:val="004229A5"/>
    <w:rsid w:val="004232CF"/>
    <w:rsid w:val="0042336E"/>
    <w:rsid w:val="0042351C"/>
    <w:rsid w:val="00423534"/>
    <w:rsid w:val="0042383B"/>
    <w:rsid w:val="00423882"/>
    <w:rsid w:val="00423957"/>
    <w:rsid w:val="00423C47"/>
    <w:rsid w:val="00423DF4"/>
    <w:rsid w:val="0042437A"/>
    <w:rsid w:val="00424C00"/>
    <w:rsid w:val="004252E1"/>
    <w:rsid w:val="004254BD"/>
    <w:rsid w:val="004255FA"/>
    <w:rsid w:val="004257AF"/>
    <w:rsid w:val="00425AB4"/>
    <w:rsid w:val="00425BA8"/>
    <w:rsid w:val="00425DB7"/>
    <w:rsid w:val="00426816"/>
    <w:rsid w:val="00426A9E"/>
    <w:rsid w:val="00426D8C"/>
    <w:rsid w:val="00427145"/>
    <w:rsid w:val="00427D18"/>
    <w:rsid w:val="00427D81"/>
    <w:rsid w:val="004303F1"/>
    <w:rsid w:val="00430EA0"/>
    <w:rsid w:val="00431664"/>
    <w:rsid w:val="00431B62"/>
    <w:rsid w:val="004322A0"/>
    <w:rsid w:val="0043274B"/>
    <w:rsid w:val="0043298B"/>
    <w:rsid w:val="00432B7B"/>
    <w:rsid w:val="004334AC"/>
    <w:rsid w:val="00433581"/>
    <w:rsid w:val="00434349"/>
    <w:rsid w:val="00434467"/>
    <w:rsid w:val="0043469C"/>
    <w:rsid w:val="00434A36"/>
    <w:rsid w:val="00434AC3"/>
    <w:rsid w:val="00435065"/>
    <w:rsid w:val="0043548F"/>
    <w:rsid w:val="00435530"/>
    <w:rsid w:val="00435D0D"/>
    <w:rsid w:val="00435D33"/>
    <w:rsid w:val="00436106"/>
    <w:rsid w:val="004361BC"/>
    <w:rsid w:val="00436463"/>
    <w:rsid w:val="004366E7"/>
    <w:rsid w:val="0043784C"/>
    <w:rsid w:val="00437C1C"/>
    <w:rsid w:val="00437E2E"/>
    <w:rsid w:val="00437E53"/>
    <w:rsid w:val="0044079D"/>
    <w:rsid w:val="004407AB"/>
    <w:rsid w:val="00440899"/>
    <w:rsid w:val="00440AD8"/>
    <w:rsid w:val="00440BF1"/>
    <w:rsid w:val="004413CE"/>
    <w:rsid w:val="00441AB1"/>
    <w:rsid w:val="00442985"/>
    <w:rsid w:val="00442DF6"/>
    <w:rsid w:val="00442F3E"/>
    <w:rsid w:val="004432A4"/>
    <w:rsid w:val="004432D2"/>
    <w:rsid w:val="004433A3"/>
    <w:rsid w:val="00443E64"/>
    <w:rsid w:val="00443F50"/>
    <w:rsid w:val="00444BC0"/>
    <w:rsid w:val="0044524F"/>
    <w:rsid w:val="004452EC"/>
    <w:rsid w:val="00445968"/>
    <w:rsid w:val="0044680D"/>
    <w:rsid w:val="00447111"/>
    <w:rsid w:val="004472C8"/>
    <w:rsid w:val="0045026F"/>
    <w:rsid w:val="00450381"/>
    <w:rsid w:val="004504ED"/>
    <w:rsid w:val="00450736"/>
    <w:rsid w:val="00450FE2"/>
    <w:rsid w:val="004510DA"/>
    <w:rsid w:val="004511D6"/>
    <w:rsid w:val="00451653"/>
    <w:rsid w:val="0045217A"/>
    <w:rsid w:val="00452592"/>
    <w:rsid w:val="004528EC"/>
    <w:rsid w:val="00452F19"/>
    <w:rsid w:val="00452FCB"/>
    <w:rsid w:val="004531D8"/>
    <w:rsid w:val="00453641"/>
    <w:rsid w:val="00453937"/>
    <w:rsid w:val="00453CFD"/>
    <w:rsid w:val="00453D5F"/>
    <w:rsid w:val="00454144"/>
    <w:rsid w:val="00454724"/>
    <w:rsid w:val="00455095"/>
    <w:rsid w:val="004558A7"/>
    <w:rsid w:val="004558F6"/>
    <w:rsid w:val="00455BBD"/>
    <w:rsid w:val="00455CF8"/>
    <w:rsid w:val="00455D88"/>
    <w:rsid w:val="00455ECB"/>
    <w:rsid w:val="00456F27"/>
    <w:rsid w:val="004570FD"/>
    <w:rsid w:val="004573E9"/>
    <w:rsid w:val="0045780F"/>
    <w:rsid w:val="00457D2B"/>
    <w:rsid w:val="0046002F"/>
    <w:rsid w:val="00460031"/>
    <w:rsid w:val="004602D0"/>
    <w:rsid w:val="00460538"/>
    <w:rsid w:val="00460938"/>
    <w:rsid w:val="004611E5"/>
    <w:rsid w:val="004613D2"/>
    <w:rsid w:val="004614C1"/>
    <w:rsid w:val="004614D4"/>
    <w:rsid w:val="00461B6C"/>
    <w:rsid w:val="00461CBE"/>
    <w:rsid w:val="00461D9B"/>
    <w:rsid w:val="004621C0"/>
    <w:rsid w:val="004621CC"/>
    <w:rsid w:val="00462502"/>
    <w:rsid w:val="00462D70"/>
    <w:rsid w:val="00462FA9"/>
    <w:rsid w:val="00463FB8"/>
    <w:rsid w:val="004641B8"/>
    <w:rsid w:val="00464AB3"/>
    <w:rsid w:val="00464E46"/>
    <w:rsid w:val="00464FBB"/>
    <w:rsid w:val="004652D5"/>
    <w:rsid w:val="00465916"/>
    <w:rsid w:val="00465A39"/>
    <w:rsid w:val="00466055"/>
    <w:rsid w:val="0046627F"/>
    <w:rsid w:val="004675C1"/>
    <w:rsid w:val="004676DC"/>
    <w:rsid w:val="00467727"/>
    <w:rsid w:val="00467C9B"/>
    <w:rsid w:val="004705FB"/>
    <w:rsid w:val="00470907"/>
    <w:rsid w:val="0047090A"/>
    <w:rsid w:val="004709E4"/>
    <w:rsid w:val="004719B0"/>
    <w:rsid w:val="00471A00"/>
    <w:rsid w:val="00471A98"/>
    <w:rsid w:val="00471CF3"/>
    <w:rsid w:val="004723B4"/>
    <w:rsid w:val="00472DED"/>
    <w:rsid w:val="004732B5"/>
    <w:rsid w:val="0047360A"/>
    <w:rsid w:val="00473738"/>
    <w:rsid w:val="0047389D"/>
    <w:rsid w:val="00473A94"/>
    <w:rsid w:val="004742A2"/>
    <w:rsid w:val="00474679"/>
    <w:rsid w:val="00474D67"/>
    <w:rsid w:val="00475675"/>
    <w:rsid w:val="00475A4E"/>
    <w:rsid w:val="00475A65"/>
    <w:rsid w:val="00476A4F"/>
    <w:rsid w:val="00476D9D"/>
    <w:rsid w:val="004775BC"/>
    <w:rsid w:val="00477C34"/>
    <w:rsid w:val="004804BE"/>
    <w:rsid w:val="00480E2C"/>
    <w:rsid w:val="00480FB4"/>
    <w:rsid w:val="00481245"/>
    <w:rsid w:val="0048255D"/>
    <w:rsid w:val="00482851"/>
    <w:rsid w:val="00482AAB"/>
    <w:rsid w:val="00482BAC"/>
    <w:rsid w:val="00482D9A"/>
    <w:rsid w:val="0048309F"/>
    <w:rsid w:val="00483285"/>
    <w:rsid w:val="004835AF"/>
    <w:rsid w:val="0048451D"/>
    <w:rsid w:val="00484524"/>
    <w:rsid w:val="00484C82"/>
    <w:rsid w:val="004855FD"/>
    <w:rsid w:val="004864D4"/>
    <w:rsid w:val="00486D3A"/>
    <w:rsid w:val="004871F5"/>
    <w:rsid w:val="00487594"/>
    <w:rsid w:val="00487D6D"/>
    <w:rsid w:val="00487E8D"/>
    <w:rsid w:val="0049017D"/>
    <w:rsid w:val="00490584"/>
    <w:rsid w:val="0049068C"/>
    <w:rsid w:val="004909A8"/>
    <w:rsid w:val="00490BFE"/>
    <w:rsid w:val="004914D8"/>
    <w:rsid w:val="00492371"/>
    <w:rsid w:val="00492665"/>
    <w:rsid w:val="004928E7"/>
    <w:rsid w:val="00492A32"/>
    <w:rsid w:val="00492BFB"/>
    <w:rsid w:val="00492C17"/>
    <w:rsid w:val="00493174"/>
    <w:rsid w:val="00493DD1"/>
    <w:rsid w:val="00494B27"/>
    <w:rsid w:val="00495050"/>
    <w:rsid w:val="00495311"/>
    <w:rsid w:val="004956E3"/>
    <w:rsid w:val="0049683F"/>
    <w:rsid w:val="00496840"/>
    <w:rsid w:val="00496C76"/>
    <w:rsid w:val="00496DAB"/>
    <w:rsid w:val="004973A0"/>
    <w:rsid w:val="004978D9"/>
    <w:rsid w:val="00497ABC"/>
    <w:rsid w:val="00497C16"/>
    <w:rsid w:val="00497C5B"/>
    <w:rsid w:val="004A0CCD"/>
    <w:rsid w:val="004A0D15"/>
    <w:rsid w:val="004A0E7D"/>
    <w:rsid w:val="004A1026"/>
    <w:rsid w:val="004A1529"/>
    <w:rsid w:val="004A17A4"/>
    <w:rsid w:val="004A18C5"/>
    <w:rsid w:val="004A199F"/>
    <w:rsid w:val="004A212F"/>
    <w:rsid w:val="004A2374"/>
    <w:rsid w:val="004A25CE"/>
    <w:rsid w:val="004A2696"/>
    <w:rsid w:val="004A2951"/>
    <w:rsid w:val="004A2E75"/>
    <w:rsid w:val="004A32A9"/>
    <w:rsid w:val="004A3493"/>
    <w:rsid w:val="004A383A"/>
    <w:rsid w:val="004A3E13"/>
    <w:rsid w:val="004A3E32"/>
    <w:rsid w:val="004A40BD"/>
    <w:rsid w:val="004A4425"/>
    <w:rsid w:val="004A4501"/>
    <w:rsid w:val="004A4BE5"/>
    <w:rsid w:val="004A4C26"/>
    <w:rsid w:val="004A4C3C"/>
    <w:rsid w:val="004A4D20"/>
    <w:rsid w:val="004A52C0"/>
    <w:rsid w:val="004A5900"/>
    <w:rsid w:val="004A595C"/>
    <w:rsid w:val="004A5BDE"/>
    <w:rsid w:val="004A5FB6"/>
    <w:rsid w:val="004A606E"/>
    <w:rsid w:val="004A60F5"/>
    <w:rsid w:val="004A64B8"/>
    <w:rsid w:val="004A6673"/>
    <w:rsid w:val="004A6C8E"/>
    <w:rsid w:val="004A7C33"/>
    <w:rsid w:val="004A7C93"/>
    <w:rsid w:val="004A7E91"/>
    <w:rsid w:val="004B04C1"/>
    <w:rsid w:val="004B052F"/>
    <w:rsid w:val="004B07A9"/>
    <w:rsid w:val="004B124F"/>
    <w:rsid w:val="004B1331"/>
    <w:rsid w:val="004B1CAF"/>
    <w:rsid w:val="004B2DB2"/>
    <w:rsid w:val="004B2EAC"/>
    <w:rsid w:val="004B3197"/>
    <w:rsid w:val="004B3303"/>
    <w:rsid w:val="004B34D0"/>
    <w:rsid w:val="004B38FE"/>
    <w:rsid w:val="004B3ACC"/>
    <w:rsid w:val="004B3D67"/>
    <w:rsid w:val="004B466C"/>
    <w:rsid w:val="004B470A"/>
    <w:rsid w:val="004B4E97"/>
    <w:rsid w:val="004B512F"/>
    <w:rsid w:val="004B5234"/>
    <w:rsid w:val="004B5338"/>
    <w:rsid w:val="004B538C"/>
    <w:rsid w:val="004B55C4"/>
    <w:rsid w:val="004B5738"/>
    <w:rsid w:val="004B5759"/>
    <w:rsid w:val="004B58E1"/>
    <w:rsid w:val="004B6951"/>
    <w:rsid w:val="004B6D56"/>
    <w:rsid w:val="004B772B"/>
    <w:rsid w:val="004B7783"/>
    <w:rsid w:val="004B790C"/>
    <w:rsid w:val="004C043A"/>
    <w:rsid w:val="004C0BD5"/>
    <w:rsid w:val="004C1705"/>
    <w:rsid w:val="004C17EA"/>
    <w:rsid w:val="004C19C5"/>
    <w:rsid w:val="004C1B1D"/>
    <w:rsid w:val="004C1B95"/>
    <w:rsid w:val="004C1BE6"/>
    <w:rsid w:val="004C204B"/>
    <w:rsid w:val="004C2365"/>
    <w:rsid w:val="004C2447"/>
    <w:rsid w:val="004C29B5"/>
    <w:rsid w:val="004C2F54"/>
    <w:rsid w:val="004C3048"/>
    <w:rsid w:val="004C32B7"/>
    <w:rsid w:val="004C3834"/>
    <w:rsid w:val="004C3B19"/>
    <w:rsid w:val="004C3F4B"/>
    <w:rsid w:val="004C4CDF"/>
    <w:rsid w:val="004C4D51"/>
    <w:rsid w:val="004C4E1F"/>
    <w:rsid w:val="004C512D"/>
    <w:rsid w:val="004C538C"/>
    <w:rsid w:val="004C5A18"/>
    <w:rsid w:val="004C5E72"/>
    <w:rsid w:val="004C5EEE"/>
    <w:rsid w:val="004C5F80"/>
    <w:rsid w:val="004C605C"/>
    <w:rsid w:val="004C691F"/>
    <w:rsid w:val="004C6F73"/>
    <w:rsid w:val="004C7300"/>
    <w:rsid w:val="004D04E3"/>
    <w:rsid w:val="004D0957"/>
    <w:rsid w:val="004D0B8D"/>
    <w:rsid w:val="004D0EB1"/>
    <w:rsid w:val="004D1769"/>
    <w:rsid w:val="004D199C"/>
    <w:rsid w:val="004D245B"/>
    <w:rsid w:val="004D2523"/>
    <w:rsid w:val="004D26CD"/>
    <w:rsid w:val="004D286E"/>
    <w:rsid w:val="004D3171"/>
    <w:rsid w:val="004D357A"/>
    <w:rsid w:val="004D38F8"/>
    <w:rsid w:val="004D3E28"/>
    <w:rsid w:val="004D4366"/>
    <w:rsid w:val="004D4D94"/>
    <w:rsid w:val="004D4E6B"/>
    <w:rsid w:val="004D52ED"/>
    <w:rsid w:val="004D5B34"/>
    <w:rsid w:val="004D5C62"/>
    <w:rsid w:val="004D612D"/>
    <w:rsid w:val="004D6389"/>
    <w:rsid w:val="004D6947"/>
    <w:rsid w:val="004D7204"/>
    <w:rsid w:val="004D7A65"/>
    <w:rsid w:val="004D7ED1"/>
    <w:rsid w:val="004D7F6B"/>
    <w:rsid w:val="004E025A"/>
    <w:rsid w:val="004E048D"/>
    <w:rsid w:val="004E08E2"/>
    <w:rsid w:val="004E127B"/>
    <w:rsid w:val="004E1352"/>
    <w:rsid w:val="004E136D"/>
    <w:rsid w:val="004E1D0D"/>
    <w:rsid w:val="004E1D99"/>
    <w:rsid w:val="004E21F4"/>
    <w:rsid w:val="004E261C"/>
    <w:rsid w:val="004E29E0"/>
    <w:rsid w:val="004E2B56"/>
    <w:rsid w:val="004E2D61"/>
    <w:rsid w:val="004E2DDD"/>
    <w:rsid w:val="004E3273"/>
    <w:rsid w:val="004E3802"/>
    <w:rsid w:val="004E38AF"/>
    <w:rsid w:val="004E3A97"/>
    <w:rsid w:val="004E3F82"/>
    <w:rsid w:val="004E4CD8"/>
    <w:rsid w:val="004E5101"/>
    <w:rsid w:val="004E58F1"/>
    <w:rsid w:val="004E62F7"/>
    <w:rsid w:val="004E6391"/>
    <w:rsid w:val="004E6531"/>
    <w:rsid w:val="004E6AA6"/>
    <w:rsid w:val="004E6AD7"/>
    <w:rsid w:val="004E6DB5"/>
    <w:rsid w:val="004E72B3"/>
    <w:rsid w:val="004E7359"/>
    <w:rsid w:val="004E7B19"/>
    <w:rsid w:val="004E7E0B"/>
    <w:rsid w:val="004F0213"/>
    <w:rsid w:val="004F0257"/>
    <w:rsid w:val="004F0296"/>
    <w:rsid w:val="004F08D7"/>
    <w:rsid w:val="004F137B"/>
    <w:rsid w:val="004F1629"/>
    <w:rsid w:val="004F1647"/>
    <w:rsid w:val="004F1D11"/>
    <w:rsid w:val="004F1E20"/>
    <w:rsid w:val="004F1F2D"/>
    <w:rsid w:val="004F1FC5"/>
    <w:rsid w:val="004F285F"/>
    <w:rsid w:val="004F2D50"/>
    <w:rsid w:val="004F342E"/>
    <w:rsid w:val="004F3548"/>
    <w:rsid w:val="004F3A81"/>
    <w:rsid w:val="004F3D8B"/>
    <w:rsid w:val="004F4642"/>
    <w:rsid w:val="004F4700"/>
    <w:rsid w:val="004F4783"/>
    <w:rsid w:val="004F49F5"/>
    <w:rsid w:val="004F4CDD"/>
    <w:rsid w:val="004F507E"/>
    <w:rsid w:val="004F5F5C"/>
    <w:rsid w:val="004F61B0"/>
    <w:rsid w:val="004F6893"/>
    <w:rsid w:val="004F69F4"/>
    <w:rsid w:val="004F73D0"/>
    <w:rsid w:val="004F74F8"/>
    <w:rsid w:val="004F7599"/>
    <w:rsid w:val="004F7A46"/>
    <w:rsid w:val="004F7FD2"/>
    <w:rsid w:val="00500492"/>
    <w:rsid w:val="00500660"/>
    <w:rsid w:val="0050084F"/>
    <w:rsid w:val="00500897"/>
    <w:rsid w:val="00500CCB"/>
    <w:rsid w:val="00500D27"/>
    <w:rsid w:val="00500DDF"/>
    <w:rsid w:val="005017AB"/>
    <w:rsid w:val="005017EF"/>
    <w:rsid w:val="00501833"/>
    <w:rsid w:val="005018C4"/>
    <w:rsid w:val="00501F70"/>
    <w:rsid w:val="00502216"/>
    <w:rsid w:val="0050225F"/>
    <w:rsid w:val="00502F84"/>
    <w:rsid w:val="0050322E"/>
    <w:rsid w:val="0050349D"/>
    <w:rsid w:val="005039EA"/>
    <w:rsid w:val="00503EED"/>
    <w:rsid w:val="005045A7"/>
    <w:rsid w:val="00504E09"/>
    <w:rsid w:val="00505390"/>
    <w:rsid w:val="00505702"/>
    <w:rsid w:val="00505A87"/>
    <w:rsid w:val="00506859"/>
    <w:rsid w:val="00506996"/>
    <w:rsid w:val="00506B0B"/>
    <w:rsid w:val="00506C7A"/>
    <w:rsid w:val="0050700B"/>
    <w:rsid w:val="0050720E"/>
    <w:rsid w:val="0050791C"/>
    <w:rsid w:val="00507D94"/>
    <w:rsid w:val="00510665"/>
    <w:rsid w:val="00510EAA"/>
    <w:rsid w:val="00510F11"/>
    <w:rsid w:val="0051150E"/>
    <w:rsid w:val="0051181B"/>
    <w:rsid w:val="005119B0"/>
    <w:rsid w:val="005120E3"/>
    <w:rsid w:val="005125F9"/>
    <w:rsid w:val="00512A7D"/>
    <w:rsid w:val="00512D49"/>
    <w:rsid w:val="00512F32"/>
    <w:rsid w:val="00513282"/>
    <w:rsid w:val="005137F0"/>
    <w:rsid w:val="00513E28"/>
    <w:rsid w:val="0051433A"/>
    <w:rsid w:val="00514656"/>
    <w:rsid w:val="005147D4"/>
    <w:rsid w:val="005147F1"/>
    <w:rsid w:val="005150DF"/>
    <w:rsid w:val="00515374"/>
    <w:rsid w:val="005155C2"/>
    <w:rsid w:val="0051589C"/>
    <w:rsid w:val="005158CE"/>
    <w:rsid w:val="005158D3"/>
    <w:rsid w:val="00515925"/>
    <w:rsid w:val="00515B4A"/>
    <w:rsid w:val="00515C8E"/>
    <w:rsid w:val="00515EEF"/>
    <w:rsid w:val="0051604B"/>
    <w:rsid w:val="0051616C"/>
    <w:rsid w:val="005161BA"/>
    <w:rsid w:val="0051640B"/>
    <w:rsid w:val="00516C92"/>
    <w:rsid w:val="005170AC"/>
    <w:rsid w:val="005175CE"/>
    <w:rsid w:val="00520462"/>
    <w:rsid w:val="00520B1F"/>
    <w:rsid w:val="00520BD5"/>
    <w:rsid w:val="00520C5C"/>
    <w:rsid w:val="00520E20"/>
    <w:rsid w:val="0052125A"/>
    <w:rsid w:val="005216B9"/>
    <w:rsid w:val="00521EF0"/>
    <w:rsid w:val="00522275"/>
    <w:rsid w:val="0052288A"/>
    <w:rsid w:val="00523654"/>
    <w:rsid w:val="00523EF5"/>
    <w:rsid w:val="0052524B"/>
    <w:rsid w:val="005261DE"/>
    <w:rsid w:val="005262DB"/>
    <w:rsid w:val="005266A1"/>
    <w:rsid w:val="00526BBD"/>
    <w:rsid w:val="00526F27"/>
    <w:rsid w:val="0052720A"/>
    <w:rsid w:val="00527281"/>
    <w:rsid w:val="005277F9"/>
    <w:rsid w:val="005300B3"/>
    <w:rsid w:val="005300BC"/>
    <w:rsid w:val="0053016C"/>
    <w:rsid w:val="00530483"/>
    <w:rsid w:val="00530A28"/>
    <w:rsid w:val="00531853"/>
    <w:rsid w:val="00531BC7"/>
    <w:rsid w:val="005321D1"/>
    <w:rsid w:val="005325B7"/>
    <w:rsid w:val="00533098"/>
    <w:rsid w:val="00533177"/>
    <w:rsid w:val="005337F9"/>
    <w:rsid w:val="00533818"/>
    <w:rsid w:val="0053384C"/>
    <w:rsid w:val="00533E69"/>
    <w:rsid w:val="00534102"/>
    <w:rsid w:val="005344CD"/>
    <w:rsid w:val="00534503"/>
    <w:rsid w:val="00534A71"/>
    <w:rsid w:val="005354B2"/>
    <w:rsid w:val="005356AB"/>
    <w:rsid w:val="00535CA9"/>
    <w:rsid w:val="00535D73"/>
    <w:rsid w:val="005361DB"/>
    <w:rsid w:val="00536A89"/>
    <w:rsid w:val="00536DBC"/>
    <w:rsid w:val="00537242"/>
    <w:rsid w:val="005375C3"/>
    <w:rsid w:val="00537970"/>
    <w:rsid w:val="00537AA2"/>
    <w:rsid w:val="00540081"/>
    <w:rsid w:val="00540866"/>
    <w:rsid w:val="0054122A"/>
    <w:rsid w:val="00541280"/>
    <w:rsid w:val="00541840"/>
    <w:rsid w:val="0054186D"/>
    <w:rsid w:val="0054190E"/>
    <w:rsid w:val="00541A56"/>
    <w:rsid w:val="00541C5D"/>
    <w:rsid w:val="00542242"/>
    <w:rsid w:val="005422EA"/>
    <w:rsid w:val="00542680"/>
    <w:rsid w:val="005426A4"/>
    <w:rsid w:val="00542EF0"/>
    <w:rsid w:val="00543616"/>
    <w:rsid w:val="005440A0"/>
    <w:rsid w:val="005445F5"/>
    <w:rsid w:val="00544693"/>
    <w:rsid w:val="00544A24"/>
    <w:rsid w:val="00544E4D"/>
    <w:rsid w:val="0054516A"/>
    <w:rsid w:val="0054520A"/>
    <w:rsid w:val="0054549B"/>
    <w:rsid w:val="00546380"/>
    <w:rsid w:val="00546732"/>
    <w:rsid w:val="00546A8D"/>
    <w:rsid w:val="00547C3E"/>
    <w:rsid w:val="00547E3B"/>
    <w:rsid w:val="005503B7"/>
    <w:rsid w:val="005504A6"/>
    <w:rsid w:val="00550AAA"/>
    <w:rsid w:val="00550C02"/>
    <w:rsid w:val="0055119E"/>
    <w:rsid w:val="00551422"/>
    <w:rsid w:val="005521C3"/>
    <w:rsid w:val="0055331B"/>
    <w:rsid w:val="005535E4"/>
    <w:rsid w:val="00553808"/>
    <w:rsid w:val="00553A71"/>
    <w:rsid w:val="00554146"/>
    <w:rsid w:val="00554659"/>
    <w:rsid w:val="005549B2"/>
    <w:rsid w:val="005552A9"/>
    <w:rsid w:val="0055577C"/>
    <w:rsid w:val="00555929"/>
    <w:rsid w:val="00555BBE"/>
    <w:rsid w:val="00555E54"/>
    <w:rsid w:val="00555E73"/>
    <w:rsid w:val="00555EC7"/>
    <w:rsid w:val="00555FF8"/>
    <w:rsid w:val="005560CA"/>
    <w:rsid w:val="00556610"/>
    <w:rsid w:val="005568F3"/>
    <w:rsid w:val="00556DCD"/>
    <w:rsid w:val="0055717E"/>
    <w:rsid w:val="00557595"/>
    <w:rsid w:val="00557BC6"/>
    <w:rsid w:val="005600F0"/>
    <w:rsid w:val="00560133"/>
    <w:rsid w:val="00560138"/>
    <w:rsid w:val="00560234"/>
    <w:rsid w:val="0056025F"/>
    <w:rsid w:val="00560829"/>
    <w:rsid w:val="00560955"/>
    <w:rsid w:val="005609AD"/>
    <w:rsid w:val="00560E06"/>
    <w:rsid w:val="00562599"/>
    <w:rsid w:val="005628F0"/>
    <w:rsid w:val="00562AA6"/>
    <w:rsid w:val="00562B18"/>
    <w:rsid w:val="00562FF3"/>
    <w:rsid w:val="00563136"/>
    <w:rsid w:val="005644BE"/>
    <w:rsid w:val="00564532"/>
    <w:rsid w:val="00564564"/>
    <w:rsid w:val="00564C31"/>
    <w:rsid w:val="00564E1A"/>
    <w:rsid w:val="00565222"/>
    <w:rsid w:val="00565578"/>
    <w:rsid w:val="00565579"/>
    <w:rsid w:val="00565775"/>
    <w:rsid w:val="0056580C"/>
    <w:rsid w:val="00565F81"/>
    <w:rsid w:val="00566699"/>
    <w:rsid w:val="0056670D"/>
    <w:rsid w:val="00566952"/>
    <w:rsid w:val="00566C36"/>
    <w:rsid w:val="00566C58"/>
    <w:rsid w:val="00567664"/>
    <w:rsid w:val="00570458"/>
    <w:rsid w:val="00570730"/>
    <w:rsid w:val="00570952"/>
    <w:rsid w:val="00571F77"/>
    <w:rsid w:val="0057271A"/>
    <w:rsid w:val="005732AB"/>
    <w:rsid w:val="005738C5"/>
    <w:rsid w:val="00574A02"/>
    <w:rsid w:val="00574A67"/>
    <w:rsid w:val="00574FB6"/>
    <w:rsid w:val="005752C1"/>
    <w:rsid w:val="00575F49"/>
    <w:rsid w:val="00576223"/>
    <w:rsid w:val="005764A5"/>
    <w:rsid w:val="005765ED"/>
    <w:rsid w:val="00576A49"/>
    <w:rsid w:val="00576E3A"/>
    <w:rsid w:val="0057702A"/>
    <w:rsid w:val="0057727E"/>
    <w:rsid w:val="00577604"/>
    <w:rsid w:val="0058066D"/>
    <w:rsid w:val="005806F4"/>
    <w:rsid w:val="00580BEC"/>
    <w:rsid w:val="00580C01"/>
    <w:rsid w:val="0058118F"/>
    <w:rsid w:val="005819DA"/>
    <w:rsid w:val="00581EA9"/>
    <w:rsid w:val="0058210D"/>
    <w:rsid w:val="00582683"/>
    <w:rsid w:val="00582789"/>
    <w:rsid w:val="005829AF"/>
    <w:rsid w:val="00582A88"/>
    <w:rsid w:val="00582AB7"/>
    <w:rsid w:val="00582CF0"/>
    <w:rsid w:val="005830D8"/>
    <w:rsid w:val="00583235"/>
    <w:rsid w:val="005834A7"/>
    <w:rsid w:val="005838E4"/>
    <w:rsid w:val="00583D88"/>
    <w:rsid w:val="00584699"/>
    <w:rsid w:val="00584C31"/>
    <w:rsid w:val="00585192"/>
    <w:rsid w:val="0058521E"/>
    <w:rsid w:val="005857D5"/>
    <w:rsid w:val="00585920"/>
    <w:rsid w:val="00585D79"/>
    <w:rsid w:val="00585DB5"/>
    <w:rsid w:val="005864CF"/>
    <w:rsid w:val="005870A7"/>
    <w:rsid w:val="0058711C"/>
    <w:rsid w:val="0058738E"/>
    <w:rsid w:val="00587BA1"/>
    <w:rsid w:val="00587D6B"/>
    <w:rsid w:val="00587E3C"/>
    <w:rsid w:val="00587EC5"/>
    <w:rsid w:val="00590184"/>
    <w:rsid w:val="0059021E"/>
    <w:rsid w:val="00590ECB"/>
    <w:rsid w:val="00591026"/>
    <w:rsid w:val="00591347"/>
    <w:rsid w:val="005924A4"/>
    <w:rsid w:val="00592713"/>
    <w:rsid w:val="00592B40"/>
    <w:rsid w:val="00592DC0"/>
    <w:rsid w:val="00592E0D"/>
    <w:rsid w:val="005932B6"/>
    <w:rsid w:val="0059390E"/>
    <w:rsid w:val="00593E15"/>
    <w:rsid w:val="00593FED"/>
    <w:rsid w:val="005948C3"/>
    <w:rsid w:val="0059520F"/>
    <w:rsid w:val="00595226"/>
    <w:rsid w:val="00595F55"/>
    <w:rsid w:val="0059689B"/>
    <w:rsid w:val="00596F76"/>
    <w:rsid w:val="00597033"/>
    <w:rsid w:val="0059720E"/>
    <w:rsid w:val="0059763E"/>
    <w:rsid w:val="0059797D"/>
    <w:rsid w:val="00597B85"/>
    <w:rsid w:val="005A003D"/>
    <w:rsid w:val="005A02A9"/>
    <w:rsid w:val="005A05DB"/>
    <w:rsid w:val="005A0A74"/>
    <w:rsid w:val="005A0AD9"/>
    <w:rsid w:val="005A0FE7"/>
    <w:rsid w:val="005A104D"/>
    <w:rsid w:val="005A132D"/>
    <w:rsid w:val="005A163C"/>
    <w:rsid w:val="005A1660"/>
    <w:rsid w:val="005A22AC"/>
    <w:rsid w:val="005A24E1"/>
    <w:rsid w:val="005A2B7B"/>
    <w:rsid w:val="005A2EBA"/>
    <w:rsid w:val="005A2EDA"/>
    <w:rsid w:val="005A3431"/>
    <w:rsid w:val="005A3442"/>
    <w:rsid w:val="005A35FA"/>
    <w:rsid w:val="005A3AF3"/>
    <w:rsid w:val="005A3DAB"/>
    <w:rsid w:val="005A3FE2"/>
    <w:rsid w:val="005A4149"/>
    <w:rsid w:val="005A46F8"/>
    <w:rsid w:val="005A497C"/>
    <w:rsid w:val="005A51A9"/>
    <w:rsid w:val="005A51F9"/>
    <w:rsid w:val="005A622A"/>
    <w:rsid w:val="005A627B"/>
    <w:rsid w:val="005A6757"/>
    <w:rsid w:val="005A6852"/>
    <w:rsid w:val="005A6DF4"/>
    <w:rsid w:val="005A6F64"/>
    <w:rsid w:val="005A7A00"/>
    <w:rsid w:val="005A7C24"/>
    <w:rsid w:val="005B0023"/>
    <w:rsid w:val="005B0082"/>
    <w:rsid w:val="005B0291"/>
    <w:rsid w:val="005B076D"/>
    <w:rsid w:val="005B148D"/>
    <w:rsid w:val="005B16CB"/>
    <w:rsid w:val="005B190E"/>
    <w:rsid w:val="005B1920"/>
    <w:rsid w:val="005B1C10"/>
    <w:rsid w:val="005B1FBA"/>
    <w:rsid w:val="005B24D4"/>
    <w:rsid w:val="005B2621"/>
    <w:rsid w:val="005B319E"/>
    <w:rsid w:val="005B3770"/>
    <w:rsid w:val="005B38B4"/>
    <w:rsid w:val="005B50C2"/>
    <w:rsid w:val="005B69D8"/>
    <w:rsid w:val="005B6A7C"/>
    <w:rsid w:val="005B7807"/>
    <w:rsid w:val="005B7CCE"/>
    <w:rsid w:val="005C027A"/>
    <w:rsid w:val="005C068E"/>
    <w:rsid w:val="005C0795"/>
    <w:rsid w:val="005C07F4"/>
    <w:rsid w:val="005C0B2A"/>
    <w:rsid w:val="005C0FD0"/>
    <w:rsid w:val="005C176D"/>
    <w:rsid w:val="005C1B8A"/>
    <w:rsid w:val="005C1BA5"/>
    <w:rsid w:val="005C2280"/>
    <w:rsid w:val="005C2A4C"/>
    <w:rsid w:val="005C2F26"/>
    <w:rsid w:val="005C330A"/>
    <w:rsid w:val="005C3C11"/>
    <w:rsid w:val="005C3D59"/>
    <w:rsid w:val="005C408D"/>
    <w:rsid w:val="005C54F0"/>
    <w:rsid w:val="005C5503"/>
    <w:rsid w:val="005C5577"/>
    <w:rsid w:val="005C5C81"/>
    <w:rsid w:val="005C5C99"/>
    <w:rsid w:val="005C5D40"/>
    <w:rsid w:val="005C5E99"/>
    <w:rsid w:val="005C5ECB"/>
    <w:rsid w:val="005C60BD"/>
    <w:rsid w:val="005C64BD"/>
    <w:rsid w:val="005C6DDA"/>
    <w:rsid w:val="005C73F3"/>
    <w:rsid w:val="005C7841"/>
    <w:rsid w:val="005C7DA9"/>
    <w:rsid w:val="005C7EE5"/>
    <w:rsid w:val="005D021C"/>
    <w:rsid w:val="005D032C"/>
    <w:rsid w:val="005D05A3"/>
    <w:rsid w:val="005D073D"/>
    <w:rsid w:val="005D1329"/>
    <w:rsid w:val="005D1A75"/>
    <w:rsid w:val="005D1B46"/>
    <w:rsid w:val="005D1D13"/>
    <w:rsid w:val="005D1D53"/>
    <w:rsid w:val="005D2440"/>
    <w:rsid w:val="005D28E9"/>
    <w:rsid w:val="005D2BEF"/>
    <w:rsid w:val="005D410E"/>
    <w:rsid w:val="005D4B08"/>
    <w:rsid w:val="005D53B7"/>
    <w:rsid w:val="005D5931"/>
    <w:rsid w:val="005D660C"/>
    <w:rsid w:val="005D6CEF"/>
    <w:rsid w:val="005D7042"/>
    <w:rsid w:val="005D7248"/>
    <w:rsid w:val="005D7559"/>
    <w:rsid w:val="005E0041"/>
    <w:rsid w:val="005E0464"/>
    <w:rsid w:val="005E065B"/>
    <w:rsid w:val="005E0874"/>
    <w:rsid w:val="005E0888"/>
    <w:rsid w:val="005E0A89"/>
    <w:rsid w:val="005E0ECE"/>
    <w:rsid w:val="005E145A"/>
    <w:rsid w:val="005E1B34"/>
    <w:rsid w:val="005E1BE2"/>
    <w:rsid w:val="005E23E9"/>
    <w:rsid w:val="005E26D5"/>
    <w:rsid w:val="005E2F79"/>
    <w:rsid w:val="005E322D"/>
    <w:rsid w:val="005E36D2"/>
    <w:rsid w:val="005E37E5"/>
    <w:rsid w:val="005E3FA1"/>
    <w:rsid w:val="005E417B"/>
    <w:rsid w:val="005E459E"/>
    <w:rsid w:val="005E4927"/>
    <w:rsid w:val="005E4C03"/>
    <w:rsid w:val="005E4C4D"/>
    <w:rsid w:val="005E4D90"/>
    <w:rsid w:val="005E4E43"/>
    <w:rsid w:val="005E4E4E"/>
    <w:rsid w:val="005E54A9"/>
    <w:rsid w:val="005E54D1"/>
    <w:rsid w:val="005E5F64"/>
    <w:rsid w:val="005E6406"/>
    <w:rsid w:val="005E6E46"/>
    <w:rsid w:val="005E7388"/>
    <w:rsid w:val="005E7585"/>
    <w:rsid w:val="005E75B6"/>
    <w:rsid w:val="005E7730"/>
    <w:rsid w:val="005F043E"/>
    <w:rsid w:val="005F0460"/>
    <w:rsid w:val="005F04BA"/>
    <w:rsid w:val="005F0601"/>
    <w:rsid w:val="005F0BF7"/>
    <w:rsid w:val="005F0F55"/>
    <w:rsid w:val="005F0FC1"/>
    <w:rsid w:val="005F1170"/>
    <w:rsid w:val="005F1311"/>
    <w:rsid w:val="005F1D61"/>
    <w:rsid w:val="005F2177"/>
    <w:rsid w:val="005F2313"/>
    <w:rsid w:val="005F236F"/>
    <w:rsid w:val="005F29BC"/>
    <w:rsid w:val="005F2CE7"/>
    <w:rsid w:val="005F2F7D"/>
    <w:rsid w:val="005F2FC9"/>
    <w:rsid w:val="005F3A8F"/>
    <w:rsid w:val="005F3FD1"/>
    <w:rsid w:val="005F47BE"/>
    <w:rsid w:val="005F4EF5"/>
    <w:rsid w:val="005F53DA"/>
    <w:rsid w:val="005F5713"/>
    <w:rsid w:val="005F5931"/>
    <w:rsid w:val="005F5B0F"/>
    <w:rsid w:val="005F5FA5"/>
    <w:rsid w:val="005F6319"/>
    <w:rsid w:val="005F6433"/>
    <w:rsid w:val="005F6A88"/>
    <w:rsid w:val="005F6BF1"/>
    <w:rsid w:val="005F6E31"/>
    <w:rsid w:val="005F70B6"/>
    <w:rsid w:val="005F70D1"/>
    <w:rsid w:val="00600308"/>
    <w:rsid w:val="00600EA4"/>
    <w:rsid w:val="00601099"/>
    <w:rsid w:val="006010D2"/>
    <w:rsid w:val="006011A9"/>
    <w:rsid w:val="0060124B"/>
    <w:rsid w:val="006017D4"/>
    <w:rsid w:val="00602745"/>
    <w:rsid w:val="00602846"/>
    <w:rsid w:val="0060286B"/>
    <w:rsid w:val="00602D29"/>
    <w:rsid w:val="00603AC0"/>
    <w:rsid w:val="00603D5A"/>
    <w:rsid w:val="0060417A"/>
    <w:rsid w:val="0060489D"/>
    <w:rsid w:val="00604902"/>
    <w:rsid w:val="00604B6B"/>
    <w:rsid w:val="00605108"/>
    <w:rsid w:val="0060523A"/>
    <w:rsid w:val="00605302"/>
    <w:rsid w:val="006053BD"/>
    <w:rsid w:val="00605416"/>
    <w:rsid w:val="006054EB"/>
    <w:rsid w:val="00605B66"/>
    <w:rsid w:val="00605F53"/>
    <w:rsid w:val="00606327"/>
    <w:rsid w:val="0060667D"/>
    <w:rsid w:val="006066C4"/>
    <w:rsid w:val="00606941"/>
    <w:rsid w:val="00607364"/>
    <w:rsid w:val="0060747E"/>
    <w:rsid w:val="006074AF"/>
    <w:rsid w:val="0060785F"/>
    <w:rsid w:val="006079B4"/>
    <w:rsid w:val="00607C3A"/>
    <w:rsid w:val="0061000F"/>
    <w:rsid w:val="00610147"/>
    <w:rsid w:val="0061043F"/>
    <w:rsid w:val="00610480"/>
    <w:rsid w:val="00610B4E"/>
    <w:rsid w:val="00611798"/>
    <w:rsid w:val="00611B52"/>
    <w:rsid w:val="0061261A"/>
    <w:rsid w:val="00612B7E"/>
    <w:rsid w:val="00613536"/>
    <w:rsid w:val="006136B2"/>
    <w:rsid w:val="00613AA0"/>
    <w:rsid w:val="00613EC2"/>
    <w:rsid w:val="00614479"/>
    <w:rsid w:val="006148BB"/>
    <w:rsid w:val="00614A04"/>
    <w:rsid w:val="00614C72"/>
    <w:rsid w:val="006154A4"/>
    <w:rsid w:val="006154E8"/>
    <w:rsid w:val="006156F4"/>
    <w:rsid w:val="0061590E"/>
    <w:rsid w:val="00616726"/>
    <w:rsid w:val="00616BD7"/>
    <w:rsid w:val="00617049"/>
    <w:rsid w:val="00617286"/>
    <w:rsid w:val="006172E8"/>
    <w:rsid w:val="006178EA"/>
    <w:rsid w:val="00617B16"/>
    <w:rsid w:val="00617E6A"/>
    <w:rsid w:val="00620881"/>
    <w:rsid w:val="00620A6A"/>
    <w:rsid w:val="00621557"/>
    <w:rsid w:val="006221E7"/>
    <w:rsid w:val="00623092"/>
    <w:rsid w:val="006230EC"/>
    <w:rsid w:val="00623270"/>
    <w:rsid w:val="006232AA"/>
    <w:rsid w:val="00623349"/>
    <w:rsid w:val="0062370D"/>
    <w:rsid w:val="00623920"/>
    <w:rsid w:val="00623BEA"/>
    <w:rsid w:val="00623F9E"/>
    <w:rsid w:val="006240C5"/>
    <w:rsid w:val="006242C0"/>
    <w:rsid w:val="006243C1"/>
    <w:rsid w:val="00624696"/>
    <w:rsid w:val="00624E56"/>
    <w:rsid w:val="00624F9E"/>
    <w:rsid w:val="006251FC"/>
    <w:rsid w:val="00625204"/>
    <w:rsid w:val="00625327"/>
    <w:rsid w:val="00625384"/>
    <w:rsid w:val="006255F8"/>
    <w:rsid w:val="006268EA"/>
    <w:rsid w:val="00626B7A"/>
    <w:rsid w:val="00627275"/>
    <w:rsid w:val="006278EB"/>
    <w:rsid w:val="00627944"/>
    <w:rsid w:val="00630F23"/>
    <w:rsid w:val="00631401"/>
    <w:rsid w:val="006315A0"/>
    <w:rsid w:val="00631650"/>
    <w:rsid w:val="00632077"/>
    <w:rsid w:val="006321DB"/>
    <w:rsid w:val="006326BE"/>
    <w:rsid w:val="00632CB4"/>
    <w:rsid w:val="00632D06"/>
    <w:rsid w:val="00633ACE"/>
    <w:rsid w:val="00633F9D"/>
    <w:rsid w:val="00635158"/>
    <w:rsid w:val="00635954"/>
    <w:rsid w:val="00635CF4"/>
    <w:rsid w:val="00635DEA"/>
    <w:rsid w:val="00635E96"/>
    <w:rsid w:val="00636000"/>
    <w:rsid w:val="0063615D"/>
    <w:rsid w:val="0063670E"/>
    <w:rsid w:val="00636DCB"/>
    <w:rsid w:val="00637B6C"/>
    <w:rsid w:val="00637D8F"/>
    <w:rsid w:val="00637E95"/>
    <w:rsid w:val="0064028F"/>
    <w:rsid w:val="00640571"/>
    <w:rsid w:val="00640D6D"/>
    <w:rsid w:val="00640EDC"/>
    <w:rsid w:val="0064118E"/>
    <w:rsid w:val="0064139A"/>
    <w:rsid w:val="0064198F"/>
    <w:rsid w:val="00641B61"/>
    <w:rsid w:val="00641B89"/>
    <w:rsid w:val="00641F48"/>
    <w:rsid w:val="006421F4"/>
    <w:rsid w:val="006423E0"/>
    <w:rsid w:val="006423E7"/>
    <w:rsid w:val="00642BFE"/>
    <w:rsid w:val="00642E3A"/>
    <w:rsid w:val="00643AB2"/>
    <w:rsid w:val="00643E8D"/>
    <w:rsid w:val="00644053"/>
    <w:rsid w:val="00644107"/>
    <w:rsid w:val="006445EF"/>
    <w:rsid w:val="00644B28"/>
    <w:rsid w:val="00644F33"/>
    <w:rsid w:val="006452EA"/>
    <w:rsid w:val="0064540D"/>
    <w:rsid w:val="006457A8"/>
    <w:rsid w:val="00645988"/>
    <w:rsid w:val="00645AE2"/>
    <w:rsid w:val="00645FF0"/>
    <w:rsid w:val="0064616A"/>
    <w:rsid w:val="006463DC"/>
    <w:rsid w:val="0064641D"/>
    <w:rsid w:val="00646FE3"/>
    <w:rsid w:val="0064702F"/>
    <w:rsid w:val="0064786D"/>
    <w:rsid w:val="00647946"/>
    <w:rsid w:val="006479C7"/>
    <w:rsid w:val="00650066"/>
    <w:rsid w:val="00650514"/>
    <w:rsid w:val="00650657"/>
    <w:rsid w:val="00650696"/>
    <w:rsid w:val="00650FC7"/>
    <w:rsid w:val="00651FA2"/>
    <w:rsid w:val="00652523"/>
    <w:rsid w:val="00652702"/>
    <w:rsid w:val="00652ACA"/>
    <w:rsid w:val="00652C9C"/>
    <w:rsid w:val="00652E4D"/>
    <w:rsid w:val="0065321E"/>
    <w:rsid w:val="0065325C"/>
    <w:rsid w:val="006532C9"/>
    <w:rsid w:val="006532E0"/>
    <w:rsid w:val="0065343D"/>
    <w:rsid w:val="0065344A"/>
    <w:rsid w:val="00653483"/>
    <w:rsid w:val="006536EE"/>
    <w:rsid w:val="00653870"/>
    <w:rsid w:val="00653930"/>
    <w:rsid w:val="00653993"/>
    <w:rsid w:val="00655017"/>
    <w:rsid w:val="00655422"/>
    <w:rsid w:val="00655965"/>
    <w:rsid w:val="00655B8A"/>
    <w:rsid w:val="00655CCF"/>
    <w:rsid w:val="00655D38"/>
    <w:rsid w:val="00655FA7"/>
    <w:rsid w:val="00656261"/>
    <w:rsid w:val="00656AAF"/>
    <w:rsid w:val="00656BB1"/>
    <w:rsid w:val="0065730C"/>
    <w:rsid w:val="006574AF"/>
    <w:rsid w:val="0065763D"/>
    <w:rsid w:val="0066014B"/>
    <w:rsid w:val="00660B65"/>
    <w:rsid w:val="00660D10"/>
    <w:rsid w:val="00660E13"/>
    <w:rsid w:val="00660F5C"/>
    <w:rsid w:val="0066103C"/>
    <w:rsid w:val="00661361"/>
    <w:rsid w:val="0066144C"/>
    <w:rsid w:val="006615CD"/>
    <w:rsid w:val="006618AE"/>
    <w:rsid w:val="00661F94"/>
    <w:rsid w:val="00662246"/>
    <w:rsid w:val="00662283"/>
    <w:rsid w:val="00662EB5"/>
    <w:rsid w:val="00663708"/>
    <w:rsid w:val="00663C3E"/>
    <w:rsid w:val="00663F76"/>
    <w:rsid w:val="00664055"/>
    <w:rsid w:val="006640C1"/>
    <w:rsid w:val="006641BE"/>
    <w:rsid w:val="00664599"/>
    <w:rsid w:val="00664BA3"/>
    <w:rsid w:val="00664D56"/>
    <w:rsid w:val="00664EF5"/>
    <w:rsid w:val="00664F8D"/>
    <w:rsid w:val="00665034"/>
    <w:rsid w:val="0066513E"/>
    <w:rsid w:val="006656AA"/>
    <w:rsid w:val="0066623E"/>
    <w:rsid w:val="00666700"/>
    <w:rsid w:val="006667A4"/>
    <w:rsid w:val="00666F15"/>
    <w:rsid w:val="00667ABE"/>
    <w:rsid w:val="00667B44"/>
    <w:rsid w:val="00670CC0"/>
    <w:rsid w:val="00670F37"/>
    <w:rsid w:val="00671953"/>
    <w:rsid w:val="00671C30"/>
    <w:rsid w:val="00671F98"/>
    <w:rsid w:val="0067284D"/>
    <w:rsid w:val="00672C41"/>
    <w:rsid w:val="00672E09"/>
    <w:rsid w:val="006733B5"/>
    <w:rsid w:val="006739EA"/>
    <w:rsid w:val="00673DB7"/>
    <w:rsid w:val="00674163"/>
    <w:rsid w:val="00674203"/>
    <w:rsid w:val="00674795"/>
    <w:rsid w:val="00674A12"/>
    <w:rsid w:val="00674AA7"/>
    <w:rsid w:val="00674FC9"/>
    <w:rsid w:val="006755F3"/>
    <w:rsid w:val="006756F4"/>
    <w:rsid w:val="00675993"/>
    <w:rsid w:val="00675C01"/>
    <w:rsid w:val="006768CD"/>
    <w:rsid w:val="006769E3"/>
    <w:rsid w:val="00676E83"/>
    <w:rsid w:val="00676EA7"/>
    <w:rsid w:val="0067706B"/>
    <w:rsid w:val="006771F5"/>
    <w:rsid w:val="00677418"/>
    <w:rsid w:val="0067757C"/>
    <w:rsid w:val="00677705"/>
    <w:rsid w:val="0067784E"/>
    <w:rsid w:val="006779FB"/>
    <w:rsid w:val="00677A58"/>
    <w:rsid w:val="00680733"/>
    <w:rsid w:val="006808E6"/>
    <w:rsid w:val="006809CF"/>
    <w:rsid w:val="00680F42"/>
    <w:rsid w:val="00681344"/>
    <w:rsid w:val="00681A4C"/>
    <w:rsid w:val="00681AD5"/>
    <w:rsid w:val="006822B6"/>
    <w:rsid w:val="006822F8"/>
    <w:rsid w:val="00682808"/>
    <w:rsid w:val="006831F1"/>
    <w:rsid w:val="006833BF"/>
    <w:rsid w:val="00683A3E"/>
    <w:rsid w:val="00683C03"/>
    <w:rsid w:val="00684051"/>
    <w:rsid w:val="006859B5"/>
    <w:rsid w:val="00685EE0"/>
    <w:rsid w:val="00686330"/>
    <w:rsid w:val="006863B4"/>
    <w:rsid w:val="0068759C"/>
    <w:rsid w:val="00687A1D"/>
    <w:rsid w:val="00687AC1"/>
    <w:rsid w:val="006906A2"/>
    <w:rsid w:val="0069073D"/>
    <w:rsid w:val="006920D7"/>
    <w:rsid w:val="0069222B"/>
    <w:rsid w:val="00692828"/>
    <w:rsid w:val="006929E4"/>
    <w:rsid w:val="00692F60"/>
    <w:rsid w:val="00693181"/>
    <w:rsid w:val="00693E98"/>
    <w:rsid w:val="006952F6"/>
    <w:rsid w:val="006969A2"/>
    <w:rsid w:val="00696A04"/>
    <w:rsid w:val="0069742E"/>
    <w:rsid w:val="00697533"/>
    <w:rsid w:val="00697989"/>
    <w:rsid w:val="00697AA5"/>
    <w:rsid w:val="00697C4D"/>
    <w:rsid w:val="006A00CF"/>
    <w:rsid w:val="006A01A3"/>
    <w:rsid w:val="006A0508"/>
    <w:rsid w:val="006A05B1"/>
    <w:rsid w:val="006A0A52"/>
    <w:rsid w:val="006A0CFC"/>
    <w:rsid w:val="006A0E68"/>
    <w:rsid w:val="006A1417"/>
    <w:rsid w:val="006A167E"/>
    <w:rsid w:val="006A1DE0"/>
    <w:rsid w:val="006A2EBA"/>
    <w:rsid w:val="006A3015"/>
    <w:rsid w:val="006A3620"/>
    <w:rsid w:val="006A38C2"/>
    <w:rsid w:val="006A3CDE"/>
    <w:rsid w:val="006A40D7"/>
    <w:rsid w:val="006A435D"/>
    <w:rsid w:val="006A518A"/>
    <w:rsid w:val="006A52B0"/>
    <w:rsid w:val="006A5457"/>
    <w:rsid w:val="006A54FC"/>
    <w:rsid w:val="006A5ED9"/>
    <w:rsid w:val="006A60BA"/>
    <w:rsid w:val="006A6137"/>
    <w:rsid w:val="006A613C"/>
    <w:rsid w:val="006A617D"/>
    <w:rsid w:val="006A6B33"/>
    <w:rsid w:val="006A6D82"/>
    <w:rsid w:val="006A6E2A"/>
    <w:rsid w:val="006A6F41"/>
    <w:rsid w:val="006A7432"/>
    <w:rsid w:val="006A7669"/>
    <w:rsid w:val="006A7C89"/>
    <w:rsid w:val="006B0366"/>
    <w:rsid w:val="006B065B"/>
    <w:rsid w:val="006B07CE"/>
    <w:rsid w:val="006B0D1D"/>
    <w:rsid w:val="006B1F76"/>
    <w:rsid w:val="006B2927"/>
    <w:rsid w:val="006B3931"/>
    <w:rsid w:val="006B3C5F"/>
    <w:rsid w:val="006B42F2"/>
    <w:rsid w:val="006B43A9"/>
    <w:rsid w:val="006B48AC"/>
    <w:rsid w:val="006B4A59"/>
    <w:rsid w:val="006B4C90"/>
    <w:rsid w:val="006B4CC7"/>
    <w:rsid w:val="006B4F0C"/>
    <w:rsid w:val="006B514D"/>
    <w:rsid w:val="006B5176"/>
    <w:rsid w:val="006B54A2"/>
    <w:rsid w:val="006B552F"/>
    <w:rsid w:val="006B572F"/>
    <w:rsid w:val="006B5805"/>
    <w:rsid w:val="006B5E1A"/>
    <w:rsid w:val="006B5E4E"/>
    <w:rsid w:val="006B5E83"/>
    <w:rsid w:val="006B5FB9"/>
    <w:rsid w:val="006B601F"/>
    <w:rsid w:val="006B613D"/>
    <w:rsid w:val="006B6D57"/>
    <w:rsid w:val="006B6EDA"/>
    <w:rsid w:val="006B6EFD"/>
    <w:rsid w:val="006B7726"/>
    <w:rsid w:val="006B7C2A"/>
    <w:rsid w:val="006B7CEF"/>
    <w:rsid w:val="006B7ED2"/>
    <w:rsid w:val="006C03CC"/>
    <w:rsid w:val="006C04B8"/>
    <w:rsid w:val="006C05A0"/>
    <w:rsid w:val="006C05B2"/>
    <w:rsid w:val="006C0BBF"/>
    <w:rsid w:val="006C0DCF"/>
    <w:rsid w:val="006C1440"/>
    <w:rsid w:val="006C1461"/>
    <w:rsid w:val="006C1997"/>
    <w:rsid w:val="006C230A"/>
    <w:rsid w:val="006C2927"/>
    <w:rsid w:val="006C2D0A"/>
    <w:rsid w:val="006C300F"/>
    <w:rsid w:val="006C313D"/>
    <w:rsid w:val="006C35E0"/>
    <w:rsid w:val="006C36C3"/>
    <w:rsid w:val="006C3BF3"/>
    <w:rsid w:val="006C42FB"/>
    <w:rsid w:val="006C4531"/>
    <w:rsid w:val="006C460D"/>
    <w:rsid w:val="006C4613"/>
    <w:rsid w:val="006C532E"/>
    <w:rsid w:val="006C5895"/>
    <w:rsid w:val="006C65E3"/>
    <w:rsid w:val="006C66C3"/>
    <w:rsid w:val="006C6BB6"/>
    <w:rsid w:val="006C705B"/>
    <w:rsid w:val="006C74F3"/>
    <w:rsid w:val="006C7E64"/>
    <w:rsid w:val="006C7E69"/>
    <w:rsid w:val="006C7ED8"/>
    <w:rsid w:val="006D000D"/>
    <w:rsid w:val="006D05F2"/>
    <w:rsid w:val="006D0D44"/>
    <w:rsid w:val="006D0DC4"/>
    <w:rsid w:val="006D0F96"/>
    <w:rsid w:val="006D10FE"/>
    <w:rsid w:val="006D154C"/>
    <w:rsid w:val="006D1626"/>
    <w:rsid w:val="006D1868"/>
    <w:rsid w:val="006D1934"/>
    <w:rsid w:val="006D1950"/>
    <w:rsid w:val="006D199F"/>
    <w:rsid w:val="006D1F58"/>
    <w:rsid w:val="006D207E"/>
    <w:rsid w:val="006D2DF7"/>
    <w:rsid w:val="006D358A"/>
    <w:rsid w:val="006D3A76"/>
    <w:rsid w:val="006D3CC2"/>
    <w:rsid w:val="006D3F53"/>
    <w:rsid w:val="006D4ECC"/>
    <w:rsid w:val="006D5215"/>
    <w:rsid w:val="006D5445"/>
    <w:rsid w:val="006D5B1D"/>
    <w:rsid w:val="006D5C21"/>
    <w:rsid w:val="006D5F05"/>
    <w:rsid w:val="006D5F74"/>
    <w:rsid w:val="006D6167"/>
    <w:rsid w:val="006D632A"/>
    <w:rsid w:val="006D6BC4"/>
    <w:rsid w:val="006D6CCF"/>
    <w:rsid w:val="006D6EDA"/>
    <w:rsid w:val="006E0140"/>
    <w:rsid w:val="006E099C"/>
    <w:rsid w:val="006E0B13"/>
    <w:rsid w:val="006E1038"/>
    <w:rsid w:val="006E1320"/>
    <w:rsid w:val="006E13D2"/>
    <w:rsid w:val="006E14F7"/>
    <w:rsid w:val="006E1AF1"/>
    <w:rsid w:val="006E2219"/>
    <w:rsid w:val="006E22B7"/>
    <w:rsid w:val="006E233E"/>
    <w:rsid w:val="006E27CF"/>
    <w:rsid w:val="006E37F7"/>
    <w:rsid w:val="006E39D2"/>
    <w:rsid w:val="006E3A8C"/>
    <w:rsid w:val="006E4FDA"/>
    <w:rsid w:val="006E5161"/>
    <w:rsid w:val="006E51A6"/>
    <w:rsid w:val="006E5458"/>
    <w:rsid w:val="006E670C"/>
    <w:rsid w:val="006E6771"/>
    <w:rsid w:val="006E700B"/>
    <w:rsid w:val="006E73DC"/>
    <w:rsid w:val="006E78C6"/>
    <w:rsid w:val="006E799E"/>
    <w:rsid w:val="006E79C5"/>
    <w:rsid w:val="006E7A2B"/>
    <w:rsid w:val="006E7BAE"/>
    <w:rsid w:val="006F004B"/>
    <w:rsid w:val="006F0456"/>
    <w:rsid w:val="006F0BD0"/>
    <w:rsid w:val="006F0DAA"/>
    <w:rsid w:val="006F11FE"/>
    <w:rsid w:val="006F184B"/>
    <w:rsid w:val="006F1B89"/>
    <w:rsid w:val="006F1C41"/>
    <w:rsid w:val="006F1FCE"/>
    <w:rsid w:val="006F22DB"/>
    <w:rsid w:val="006F286C"/>
    <w:rsid w:val="006F2EFE"/>
    <w:rsid w:val="006F326E"/>
    <w:rsid w:val="006F363F"/>
    <w:rsid w:val="006F36F2"/>
    <w:rsid w:val="006F389C"/>
    <w:rsid w:val="006F4425"/>
    <w:rsid w:val="006F4A0A"/>
    <w:rsid w:val="006F4CE1"/>
    <w:rsid w:val="006F4F5C"/>
    <w:rsid w:val="006F4FA6"/>
    <w:rsid w:val="006F53CE"/>
    <w:rsid w:val="006F5808"/>
    <w:rsid w:val="006F5C50"/>
    <w:rsid w:val="006F5DC7"/>
    <w:rsid w:val="006F61FC"/>
    <w:rsid w:val="006F6F4C"/>
    <w:rsid w:val="006F72BD"/>
    <w:rsid w:val="006F744C"/>
    <w:rsid w:val="006F7564"/>
    <w:rsid w:val="006F781F"/>
    <w:rsid w:val="006F7CE9"/>
    <w:rsid w:val="00700080"/>
    <w:rsid w:val="00700122"/>
    <w:rsid w:val="0070026D"/>
    <w:rsid w:val="007004AF"/>
    <w:rsid w:val="0070109F"/>
    <w:rsid w:val="00701176"/>
    <w:rsid w:val="00701AA5"/>
    <w:rsid w:val="00701C17"/>
    <w:rsid w:val="00701D99"/>
    <w:rsid w:val="00701EE2"/>
    <w:rsid w:val="00701F34"/>
    <w:rsid w:val="007021F9"/>
    <w:rsid w:val="0070221B"/>
    <w:rsid w:val="007022DC"/>
    <w:rsid w:val="007025AC"/>
    <w:rsid w:val="00702672"/>
    <w:rsid w:val="00702E51"/>
    <w:rsid w:val="00703099"/>
    <w:rsid w:val="00703160"/>
    <w:rsid w:val="00703354"/>
    <w:rsid w:val="007034FF"/>
    <w:rsid w:val="0070363F"/>
    <w:rsid w:val="00703747"/>
    <w:rsid w:val="00703B24"/>
    <w:rsid w:val="00703B29"/>
    <w:rsid w:val="00704580"/>
    <w:rsid w:val="00704A2C"/>
    <w:rsid w:val="00705974"/>
    <w:rsid w:val="00706507"/>
    <w:rsid w:val="00706DF2"/>
    <w:rsid w:val="00706F03"/>
    <w:rsid w:val="00707151"/>
    <w:rsid w:val="007071D7"/>
    <w:rsid w:val="00707C9A"/>
    <w:rsid w:val="00707F0F"/>
    <w:rsid w:val="00710068"/>
    <w:rsid w:val="00710331"/>
    <w:rsid w:val="00710590"/>
    <w:rsid w:val="00710A56"/>
    <w:rsid w:val="00710BC8"/>
    <w:rsid w:val="007114E2"/>
    <w:rsid w:val="007119EE"/>
    <w:rsid w:val="00711F72"/>
    <w:rsid w:val="007125FF"/>
    <w:rsid w:val="0071285D"/>
    <w:rsid w:val="00712CB5"/>
    <w:rsid w:val="00712D61"/>
    <w:rsid w:val="0071302C"/>
    <w:rsid w:val="00713444"/>
    <w:rsid w:val="00713CAA"/>
    <w:rsid w:val="00714371"/>
    <w:rsid w:val="00714FD3"/>
    <w:rsid w:val="007155D6"/>
    <w:rsid w:val="00715B01"/>
    <w:rsid w:val="00715DBB"/>
    <w:rsid w:val="00716191"/>
    <w:rsid w:val="007166A8"/>
    <w:rsid w:val="007167FB"/>
    <w:rsid w:val="00716953"/>
    <w:rsid w:val="00716B34"/>
    <w:rsid w:val="00716EAC"/>
    <w:rsid w:val="007173B9"/>
    <w:rsid w:val="007173EB"/>
    <w:rsid w:val="00717913"/>
    <w:rsid w:val="007179AC"/>
    <w:rsid w:val="00717A2D"/>
    <w:rsid w:val="00717C1D"/>
    <w:rsid w:val="00720E0F"/>
    <w:rsid w:val="00720E51"/>
    <w:rsid w:val="00721238"/>
    <w:rsid w:val="0072152F"/>
    <w:rsid w:val="00721588"/>
    <w:rsid w:val="007215C3"/>
    <w:rsid w:val="0072194F"/>
    <w:rsid w:val="00721D7E"/>
    <w:rsid w:val="007227C4"/>
    <w:rsid w:val="00722AE2"/>
    <w:rsid w:val="00722E4E"/>
    <w:rsid w:val="00722EE7"/>
    <w:rsid w:val="00722F18"/>
    <w:rsid w:val="00725CAA"/>
    <w:rsid w:val="007261DB"/>
    <w:rsid w:val="007261FD"/>
    <w:rsid w:val="0072621F"/>
    <w:rsid w:val="00726736"/>
    <w:rsid w:val="00727130"/>
    <w:rsid w:val="0072726D"/>
    <w:rsid w:val="00727733"/>
    <w:rsid w:val="007279DE"/>
    <w:rsid w:val="00727ABC"/>
    <w:rsid w:val="00730352"/>
    <w:rsid w:val="0073075C"/>
    <w:rsid w:val="007308B5"/>
    <w:rsid w:val="00730A57"/>
    <w:rsid w:val="00730B52"/>
    <w:rsid w:val="00730F12"/>
    <w:rsid w:val="00731627"/>
    <w:rsid w:val="0073163B"/>
    <w:rsid w:val="007318E3"/>
    <w:rsid w:val="00731D45"/>
    <w:rsid w:val="00731DA6"/>
    <w:rsid w:val="00731DBC"/>
    <w:rsid w:val="00731FC1"/>
    <w:rsid w:val="00731FD8"/>
    <w:rsid w:val="00732D99"/>
    <w:rsid w:val="0073375F"/>
    <w:rsid w:val="007338B5"/>
    <w:rsid w:val="007339BF"/>
    <w:rsid w:val="00733EA5"/>
    <w:rsid w:val="00733F57"/>
    <w:rsid w:val="007342FA"/>
    <w:rsid w:val="0073437F"/>
    <w:rsid w:val="0073470B"/>
    <w:rsid w:val="00734B14"/>
    <w:rsid w:val="00734B94"/>
    <w:rsid w:val="00734F18"/>
    <w:rsid w:val="0073504A"/>
    <w:rsid w:val="007353EE"/>
    <w:rsid w:val="007354B1"/>
    <w:rsid w:val="007356ED"/>
    <w:rsid w:val="00735732"/>
    <w:rsid w:val="00735B85"/>
    <w:rsid w:val="00735EFD"/>
    <w:rsid w:val="00736348"/>
    <w:rsid w:val="0073641B"/>
    <w:rsid w:val="0073652B"/>
    <w:rsid w:val="007367A9"/>
    <w:rsid w:val="00736BEF"/>
    <w:rsid w:val="00736E69"/>
    <w:rsid w:val="00737945"/>
    <w:rsid w:val="00737B30"/>
    <w:rsid w:val="00737DAE"/>
    <w:rsid w:val="00740443"/>
    <w:rsid w:val="0074044F"/>
    <w:rsid w:val="007405CB"/>
    <w:rsid w:val="00740665"/>
    <w:rsid w:val="00741670"/>
    <w:rsid w:val="0074258D"/>
    <w:rsid w:val="00742755"/>
    <w:rsid w:val="0074284E"/>
    <w:rsid w:val="00742BBA"/>
    <w:rsid w:val="0074310D"/>
    <w:rsid w:val="0074391D"/>
    <w:rsid w:val="00744079"/>
    <w:rsid w:val="00744311"/>
    <w:rsid w:val="007443AA"/>
    <w:rsid w:val="00744934"/>
    <w:rsid w:val="00744D40"/>
    <w:rsid w:val="007450D5"/>
    <w:rsid w:val="00745213"/>
    <w:rsid w:val="00745230"/>
    <w:rsid w:val="00745EE2"/>
    <w:rsid w:val="007464A3"/>
    <w:rsid w:val="00746669"/>
    <w:rsid w:val="00746C43"/>
    <w:rsid w:val="00747069"/>
    <w:rsid w:val="007471DF"/>
    <w:rsid w:val="0074799D"/>
    <w:rsid w:val="00747DA1"/>
    <w:rsid w:val="00747DAB"/>
    <w:rsid w:val="00747F17"/>
    <w:rsid w:val="0075006A"/>
    <w:rsid w:val="007504C7"/>
    <w:rsid w:val="00750D92"/>
    <w:rsid w:val="00750E78"/>
    <w:rsid w:val="0075113A"/>
    <w:rsid w:val="007517F7"/>
    <w:rsid w:val="00751DF6"/>
    <w:rsid w:val="00752044"/>
    <w:rsid w:val="00752353"/>
    <w:rsid w:val="00752754"/>
    <w:rsid w:val="00752B66"/>
    <w:rsid w:val="007534BD"/>
    <w:rsid w:val="00753568"/>
    <w:rsid w:val="00754BCF"/>
    <w:rsid w:val="007550CE"/>
    <w:rsid w:val="007550FA"/>
    <w:rsid w:val="007552B3"/>
    <w:rsid w:val="0075669C"/>
    <w:rsid w:val="00756D9B"/>
    <w:rsid w:val="00756E72"/>
    <w:rsid w:val="007576E8"/>
    <w:rsid w:val="00757D4A"/>
    <w:rsid w:val="007600A2"/>
    <w:rsid w:val="00760CD5"/>
    <w:rsid w:val="007616E4"/>
    <w:rsid w:val="007618A3"/>
    <w:rsid w:val="00761A7B"/>
    <w:rsid w:val="00762109"/>
    <w:rsid w:val="0076263E"/>
    <w:rsid w:val="007629C0"/>
    <w:rsid w:val="00762A4B"/>
    <w:rsid w:val="00762A4C"/>
    <w:rsid w:val="00762E52"/>
    <w:rsid w:val="00762F20"/>
    <w:rsid w:val="00763091"/>
    <w:rsid w:val="00763278"/>
    <w:rsid w:val="00763360"/>
    <w:rsid w:val="007633B8"/>
    <w:rsid w:val="007634A9"/>
    <w:rsid w:val="007636DC"/>
    <w:rsid w:val="00763B7F"/>
    <w:rsid w:val="007645FD"/>
    <w:rsid w:val="007646E5"/>
    <w:rsid w:val="007649EB"/>
    <w:rsid w:val="00764FAF"/>
    <w:rsid w:val="007651D7"/>
    <w:rsid w:val="007654BF"/>
    <w:rsid w:val="007657FA"/>
    <w:rsid w:val="007658DB"/>
    <w:rsid w:val="00765AA7"/>
    <w:rsid w:val="00765F2C"/>
    <w:rsid w:val="0076633D"/>
    <w:rsid w:val="00766CD5"/>
    <w:rsid w:val="00766EE1"/>
    <w:rsid w:val="007672C5"/>
    <w:rsid w:val="00767608"/>
    <w:rsid w:val="00767D4E"/>
    <w:rsid w:val="007701D9"/>
    <w:rsid w:val="00770751"/>
    <w:rsid w:val="0077145F"/>
    <w:rsid w:val="0077152B"/>
    <w:rsid w:val="007716DA"/>
    <w:rsid w:val="00771911"/>
    <w:rsid w:val="007719E9"/>
    <w:rsid w:val="00771B37"/>
    <w:rsid w:val="00771DC4"/>
    <w:rsid w:val="007720C8"/>
    <w:rsid w:val="007724DC"/>
    <w:rsid w:val="00772839"/>
    <w:rsid w:val="00772B7D"/>
    <w:rsid w:val="00773244"/>
    <w:rsid w:val="007734A8"/>
    <w:rsid w:val="007734DA"/>
    <w:rsid w:val="007738F7"/>
    <w:rsid w:val="00773AA5"/>
    <w:rsid w:val="00774080"/>
    <w:rsid w:val="0077464E"/>
    <w:rsid w:val="0077465F"/>
    <w:rsid w:val="0077478E"/>
    <w:rsid w:val="00774830"/>
    <w:rsid w:val="00774867"/>
    <w:rsid w:val="00774A40"/>
    <w:rsid w:val="00774E40"/>
    <w:rsid w:val="00775986"/>
    <w:rsid w:val="00775A86"/>
    <w:rsid w:val="007761D5"/>
    <w:rsid w:val="00776AD2"/>
    <w:rsid w:val="00776D9C"/>
    <w:rsid w:val="0077784E"/>
    <w:rsid w:val="00777F2E"/>
    <w:rsid w:val="00780503"/>
    <w:rsid w:val="00780CFE"/>
    <w:rsid w:val="00780D5E"/>
    <w:rsid w:val="007811F2"/>
    <w:rsid w:val="007818F5"/>
    <w:rsid w:val="00781A53"/>
    <w:rsid w:val="007820A9"/>
    <w:rsid w:val="0078256B"/>
    <w:rsid w:val="00782820"/>
    <w:rsid w:val="00782874"/>
    <w:rsid w:val="00782A5A"/>
    <w:rsid w:val="00782D68"/>
    <w:rsid w:val="00782DD6"/>
    <w:rsid w:val="0078346C"/>
    <w:rsid w:val="00783971"/>
    <w:rsid w:val="007844B4"/>
    <w:rsid w:val="00784BCE"/>
    <w:rsid w:val="00784C3E"/>
    <w:rsid w:val="00785C36"/>
    <w:rsid w:val="0078623A"/>
    <w:rsid w:val="0078665C"/>
    <w:rsid w:val="00786A15"/>
    <w:rsid w:val="00786A20"/>
    <w:rsid w:val="00787297"/>
    <w:rsid w:val="0078776F"/>
    <w:rsid w:val="00787D2C"/>
    <w:rsid w:val="00787D32"/>
    <w:rsid w:val="00790305"/>
    <w:rsid w:val="00790609"/>
    <w:rsid w:val="00790898"/>
    <w:rsid w:val="007909DD"/>
    <w:rsid w:val="00790BF2"/>
    <w:rsid w:val="00790F3B"/>
    <w:rsid w:val="007914B6"/>
    <w:rsid w:val="0079150E"/>
    <w:rsid w:val="0079152F"/>
    <w:rsid w:val="0079178F"/>
    <w:rsid w:val="007922E5"/>
    <w:rsid w:val="007922F3"/>
    <w:rsid w:val="007926A8"/>
    <w:rsid w:val="0079273E"/>
    <w:rsid w:val="00792AC8"/>
    <w:rsid w:val="00792FA2"/>
    <w:rsid w:val="00793187"/>
    <w:rsid w:val="007932BE"/>
    <w:rsid w:val="0079394D"/>
    <w:rsid w:val="00793C2A"/>
    <w:rsid w:val="00794E88"/>
    <w:rsid w:val="007952D3"/>
    <w:rsid w:val="00795B97"/>
    <w:rsid w:val="00795D36"/>
    <w:rsid w:val="007961B6"/>
    <w:rsid w:val="00796DAE"/>
    <w:rsid w:val="00796EB3"/>
    <w:rsid w:val="00797006"/>
    <w:rsid w:val="0079751F"/>
    <w:rsid w:val="007975B9"/>
    <w:rsid w:val="00797748"/>
    <w:rsid w:val="007977E8"/>
    <w:rsid w:val="00797B77"/>
    <w:rsid w:val="00797B97"/>
    <w:rsid w:val="00797E08"/>
    <w:rsid w:val="00797E5F"/>
    <w:rsid w:val="00797EA2"/>
    <w:rsid w:val="00797FFA"/>
    <w:rsid w:val="007A0BB9"/>
    <w:rsid w:val="007A11B3"/>
    <w:rsid w:val="007A12F9"/>
    <w:rsid w:val="007A1D69"/>
    <w:rsid w:val="007A1FA9"/>
    <w:rsid w:val="007A2169"/>
    <w:rsid w:val="007A272E"/>
    <w:rsid w:val="007A2780"/>
    <w:rsid w:val="007A2A85"/>
    <w:rsid w:val="007A2B74"/>
    <w:rsid w:val="007A308D"/>
    <w:rsid w:val="007A32A1"/>
    <w:rsid w:val="007A3496"/>
    <w:rsid w:val="007A34ED"/>
    <w:rsid w:val="007A36D1"/>
    <w:rsid w:val="007A387C"/>
    <w:rsid w:val="007A38D3"/>
    <w:rsid w:val="007A3BDE"/>
    <w:rsid w:val="007A3D3A"/>
    <w:rsid w:val="007A40FE"/>
    <w:rsid w:val="007A4160"/>
    <w:rsid w:val="007A4193"/>
    <w:rsid w:val="007A488A"/>
    <w:rsid w:val="007A498F"/>
    <w:rsid w:val="007A49C9"/>
    <w:rsid w:val="007A4BE7"/>
    <w:rsid w:val="007A4C0D"/>
    <w:rsid w:val="007A504A"/>
    <w:rsid w:val="007A509B"/>
    <w:rsid w:val="007A5184"/>
    <w:rsid w:val="007A5B64"/>
    <w:rsid w:val="007A5C00"/>
    <w:rsid w:val="007A5CD7"/>
    <w:rsid w:val="007A5DE3"/>
    <w:rsid w:val="007A63A7"/>
    <w:rsid w:val="007A6441"/>
    <w:rsid w:val="007A65AB"/>
    <w:rsid w:val="007A65B8"/>
    <w:rsid w:val="007A6762"/>
    <w:rsid w:val="007A67B5"/>
    <w:rsid w:val="007A69E7"/>
    <w:rsid w:val="007A7306"/>
    <w:rsid w:val="007A7533"/>
    <w:rsid w:val="007A7696"/>
    <w:rsid w:val="007A77E4"/>
    <w:rsid w:val="007A7AFD"/>
    <w:rsid w:val="007B001C"/>
    <w:rsid w:val="007B019E"/>
    <w:rsid w:val="007B027A"/>
    <w:rsid w:val="007B02E1"/>
    <w:rsid w:val="007B06C6"/>
    <w:rsid w:val="007B072B"/>
    <w:rsid w:val="007B0906"/>
    <w:rsid w:val="007B0DC2"/>
    <w:rsid w:val="007B138A"/>
    <w:rsid w:val="007B19DA"/>
    <w:rsid w:val="007B1A63"/>
    <w:rsid w:val="007B1A88"/>
    <w:rsid w:val="007B1ACF"/>
    <w:rsid w:val="007B1F07"/>
    <w:rsid w:val="007B203F"/>
    <w:rsid w:val="007B2113"/>
    <w:rsid w:val="007B2167"/>
    <w:rsid w:val="007B2284"/>
    <w:rsid w:val="007B23E3"/>
    <w:rsid w:val="007B2402"/>
    <w:rsid w:val="007B24E7"/>
    <w:rsid w:val="007B265F"/>
    <w:rsid w:val="007B2916"/>
    <w:rsid w:val="007B32F3"/>
    <w:rsid w:val="007B32FE"/>
    <w:rsid w:val="007B37CC"/>
    <w:rsid w:val="007B39C3"/>
    <w:rsid w:val="007B3D22"/>
    <w:rsid w:val="007B3D3A"/>
    <w:rsid w:val="007B43AE"/>
    <w:rsid w:val="007B4BD1"/>
    <w:rsid w:val="007B4C63"/>
    <w:rsid w:val="007B4D76"/>
    <w:rsid w:val="007B4E5D"/>
    <w:rsid w:val="007B5CC5"/>
    <w:rsid w:val="007B5DE6"/>
    <w:rsid w:val="007B625F"/>
    <w:rsid w:val="007B657B"/>
    <w:rsid w:val="007B6A49"/>
    <w:rsid w:val="007B6B8D"/>
    <w:rsid w:val="007B6B9B"/>
    <w:rsid w:val="007B6C1F"/>
    <w:rsid w:val="007B6C7A"/>
    <w:rsid w:val="007B703D"/>
    <w:rsid w:val="007B73D6"/>
    <w:rsid w:val="007B7612"/>
    <w:rsid w:val="007B77E6"/>
    <w:rsid w:val="007B7C4F"/>
    <w:rsid w:val="007B7FC4"/>
    <w:rsid w:val="007C04FE"/>
    <w:rsid w:val="007C0ACF"/>
    <w:rsid w:val="007C0AD1"/>
    <w:rsid w:val="007C0AE0"/>
    <w:rsid w:val="007C0B51"/>
    <w:rsid w:val="007C0EB0"/>
    <w:rsid w:val="007C101A"/>
    <w:rsid w:val="007C1259"/>
    <w:rsid w:val="007C1650"/>
    <w:rsid w:val="007C189C"/>
    <w:rsid w:val="007C21DC"/>
    <w:rsid w:val="007C2910"/>
    <w:rsid w:val="007C2CAC"/>
    <w:rsid w:val="007C2CDE"/>
    <w:rsid w:val="007C3629"/>
    <w:rsid w:val="007C3762"/>
    <w:rsid w:val="007C3815"/>
    <w:rsid w:val="007C3BB6"/>
    <w:rsid w:val="007C4152"/>
    <w:rsid w:val="007C4481"/>
    <w:rsid w:val="007C4FA0"/>
    <w:rsid w:val="007C576A"/>
    <w:rsid w:val="007C5794"/>
    <w:rsid w:val="007C57F9"/>
    <w:rsid w:val="007C594F"/>
    <w:rsid w:val="007C5A92"/>
    <w:rsid w:val="007C5DE9"/>
    <w:rsid w:val="007C6359"/>
    <w:rsid w:val="007C6496"/>
    <w:rsid w:val="007C6ACF"/>
    <w:rsid w:val="007C6C65"/>
    <w:rsid w:val="007C6E4C"/>
    <w:rsid w:val="007C79F6"/>
    <w:rsid w:val="007C7B67"/>
    <w:rsid w:val="007C7EC5"/>
    <w:rsid w:val="007D02C7"/>
    <w:rsid w:val="007D0593"/>
    <w:rsid w:val="007D08A9"/>
    <w:rsid w:val="007D09D7"/>
    <w:rsid w:val="007D0A28"/>
    <w:rsid w:val="007D0F4B"/>
    <w:rsid w:val="007D0F97"/>
    <w:rsid w:val="007D1AF5"/>
    <w:rsid w:val="007D1AF6"/>
    <w:rsid w:val="007D270C"/>
    <w:rsid w:val="007D2AF8"/>
    <w:rsid w:val="007D36C2"/>
    <w:rsid w:val="007D3C03"/>
    <w:rsid w:val="007D3D52"/>
    <w:rsid w:val="007D40A4"/>
    <w:rsid w:val="007D4438"/>
    <w:rsid w:val="007D4AD4"/>
    <w:rsid w:val="007D54F9"/>
    <w:rsid w:val="007D57CC"/>
    <w:rsid w:val="007D5B04"/>
    <w:rsid w:val="007D5C62"/>
    <w:rsid w:val="007D5F75"/>
    <w:rsid w:val="007D6A54"/>
    <w:rsid w:val="007D6BFA"/>
    <w:rsid w:val="007D6DEA"/>
    <w:rsid w:val="007D778D"/>
    <w:rsid w:val="007D7C0A"/>
    <w:rsid w:val="007E02F3"/>
    <w:rsid w:val="007E0586"/>
    <w:rsid w:val="007E0D79"/>
    <w:rsid w:val="007E0E58"/>
    <w:rsid w:val="007E10F1"/>
    <w:rsid w:val="007E1257"/>
    <w:rsid w:val="007E18CF"/>
    <w:rsid w:val="007E1C3E"/>
    <w:rsid w:val="007E20C9"/>
    <w:rsid w:val="007E20DA"/>
    <w:rsid w:val="007E214D"/>
    <w:rsid w:val="007E26EA"/>
    <w:rsid w:val="007E27E6"/>
    <w:rsid w:val="007E2D37"/>
    <w:rsid w:val="007E3086"/>
    <w:rsid w:val="007E3984"/>
    <w:rsid w:val="007E3B0B"/>
    <w:rsid w:val="007E4083"/>
    <w:rsid w:val="007E4CC2"/>
    <w:rsid w:val="007E4EBE"/>
    <w:rsid w:val="007E5302"/>
    <w:rsid w:val="007E5D88"/>
    <w:rsid w:val="007E5EA0"/>
    <w:rsid w:val="007E6300"/>
    <w:rsid w:val="007E6367"/>
    <w:rsid w:val="007E683D"/>
    <w:rsid w:val="007E6EAB"/>
    <w:rsid w:val="007E715F"/>
    <w:rsid w:val="007E7503"/>
    <w:rsid w:val="007E7524"/>
    <w:rsid w:val="007E77CA"/>
    <w:rsid w:val="007E7992"/>
    <w:rsid w:val="007E7BFA"/>
    <w:rsid w:val="007E7F4E"/>
    <w:rsid w:val="007F00FD"/>
    <w:rsid w:val="007F0608"/>
    <w:rsid w:val="007F097C"/>
    <w:rsid w:val="007F0AD8"/>
    <w:rsid w:val="007F0D60"/>
    <w:rsid w:val="007F0DC8"/>
    <w:rsid w:val="007F162E"/>
    <w:rsid w:val="007F2E15"/>
    <w:rsid w:val="007F3E77"/>
    <w:rsid w:val="007F3EAE"/>
    <w:rsid w:val="007F4749"/>
    <w:rsid w:val="007F4C42"/>
    <w:rsid w:val="007F4E4C"/>
    <w:rsid w:val="007F54C7"/>
    <w:rsid w:val="007F590D"/>
    <w:rsid w:val="007F59FE"/>
    <w:rsid w:val="007F5BF5"/>
    <w:rsid w:val="007F64F1"/>
    <w:rsid w:val="007F67A3"/>
    <w:rsid w:val="007F689F"/>
    <w:rsid w:val="007F69DB"/>
    <w:rsid w:val="007F71DC"/>
    <w:rsid w:val="007F7314"/>
    <w:rsid w:val="007F77C3"/>
    <w:rsid w:val="007F7A31"/>
    <w:rsid w:val="007F7A75"/>
    <w:rsid w:val="007F7DCE"/>
    <w:rsid w:val="007F7EBF"/>
    <w:rsid w:val="00800774"/>
    <w:rsid w:val="00800BC2"/>
    <w:rsid w:val="00800BD6"/>
    <w:rsid w:val="008010F4"/>
    <w:rsid w:val="00801404"/>
    <w:rsid w:val="008014EF"/>
    <w:rsid w:val="0080199C"/>
    <w:rsid w:val="00801B0D"/>
    <w:rsid w:val="00802280"/>
    <w:rsid w:val="00802816"/>
    <w:rsid w:val="00802B75"/>
    <w:rsid w:val="008033DF"/>
    <w:rsid w:val="00803541"/>
    <w:rsid w:val="008035EF"/>
    <w:rsid w:val="00803D0B"/>
    <w:rsid w:val="00803F9D"/>
    <w:rsid w:val="00804482"/>
    <w:rsid w:val="0080449C"/>
    <w:rsid w:val="0080459A"/>
    <w:rsid w:val="0080470F"/>
    <w:rsid w:val="00804B36"/>
    <w:rsid w:val="00804C67"/>
    <w:rsid w:val="00804D13"/>
    <w:rsid w:val="00805CC8"/>
    <w:rsid w:val="008062FB"/>
    <w:rsid w:val="0080660F"/>
    <w:rsid w:val="00806703"/>
    <w:rsid w:val="00806BDA"/>
    <w:rsid w:val="00806D35"/>
    <w:rsid w:val="0080708E"/>
    <w:rsid w:val="00807299"/>
    <w:rsid w:val="00807361"/>
    <w:rsid w:val="00807898"/>
    <w:rsid w:val="00807BE2"/>
    <w:rsid w:val="00810597"/>
    <w:rsid w:val="0081071F"/>
    <w:rsid w:val="008107FC"/>
    <w:rsid w:val="00810B7B"/>
    <w:rsid w:val="008111C6"/>
    <w:rsid w:val="00811210"/>
    <w:rsid w:val="00811ACF"/>
    <w:rsid w:val="00811FEF"/>
    <w:rsid w:val="00812509"/>
    <w:rsid w:val="00812806"/>
    <w:rsid w:val="00812880"/>
    <w:rsid w:val="00812B40"/>
    <w:rsid w:val="00812D7F"/>
    <w:rsid w:val="00813347"/>
    <w:rsid w:val="008136F1"/>
    <w:rsid w:val="00813F97"/>
    <w:rsid w:val="00814113"/>
    <w:rsid w:val="0081444E"/>
    <w:rsid w:val="0081498C"/>
    <w:rsid w:val="00814A65"/>
    <w:rsid w:val="008150DA"/>
    <w:rsid w:val="00815274"/>
    <w:rsid w:val="008157D6"/>
    <w:rsid w:val="00816A28"/>
    <w:rsid w:val="00816A54"/>
    <w:rsid w:val="00816D21"/>
    <w:rsid w:val="00817912"/>
    <w:rsid w:val="00817D37"/>
    <w:rsid w:val="00817D39"/>
    <w:rsid w:val="00817DA7"/>
    <w:rsid w:val="00820342"/>
    <w:rsid w:val="008203EC"/>
    <w:rsid w:val="0082040A"/>
    <w:rsid w:val="00820CE4"/>
    <w:rsid w:val="008210D5"/>
    <w:rsid w:val="00821547"/>
    <w:rsid w:val="008217FE"/>
    <w:rsid w:val="00822D28"/>
    <w:rsid w:val="00822EEF"/>
    <w:rsid w:val="008231B0"/>
    <w:rsid w:val="008238CE"/>
    <w:rsid w:val="00823F03"/>
    <w:rsid w:val="00824643"/>
    <w:rsid w:val="00825308"/>
    <w:rsid w:val="00825BCA"/>
    <w:rsid w:val="00825CF0"/>
    <w:rsid w:val="00825DFA"/>
    <w:rsid w:val="00825EA6"/>
    <w:rsid w:val="00825F1E"/>
    <w:rsid w:val="0082706A"/>
    <w:rsid w:val="0082709F"/>
    <w:rsid w:val="00827576"/>
    <w:rsid w:val="00827648"/>
    <w:rsid w:val="00827BF4"/>
    <w:rsid w:val="00827F24"/>
    <w:rsid w:val="008300DF"/>
    <w:rsid w:val="00830379"/>
    <w:rsid w:val="008309DD"/>
    <w:rsid w:val="00830D7D"/>
    <w:rsid w:val="008312F4"/>
    <w:rsid w:val="00831D64"/>
    <w:rsid w:val="0083266E"/>
    <w:rsid w:val="00832761"/>
    <w:rsid w:val="00832B80"/>
    <w:rsid w:val="00832E1A"/>
    <w:rsid w:val="008335AD"/>
    <w:rsid w:val="0083435F"/>
    <w:rsid w:val="008343E9"/>
    <w:rsid w:val="0083471E"/>
    <w:rsid w:val="00834AA4"/>
    <w:rsid w:val="00834AE2"/>
    <w:rsid w:val="00835343"/>
    <w:rsid w:val="00835634"/>
    <w:rsid w:val="008356BE"/>
    <w:rsid w:val="00835C98"/>
    <w:rsid w:val="00835D7E"/>
    <w:rsid w:val="00835FA8"/>
    <w:rsid w:val="008360B4"/>
    <w:rsid w:val="00836C21"/>
    <w:rsid w:val="00837BDF"/>
    <w:rsid w:val="00837CB1"/>
    <w:rsid w:val="008404FC"/>
    <w:rsid w:val="00840550"/>
    <w:rsid w:val="008408DA"/>
    <w:rsid w:val="00840EB0"/>
    <w:rsid w:val="00841620"/>
    <w:rsid w:val="00841935"/>
    <w:rsid w:val="00841E5E"/>
    <w:rsid w:val="00841F5E"/>
    <w:rsid w:val="008420CA"/>
    <w:rsid w:val="008421BE"/>
    <w:rsid w:val="00843052"/>
    <w:rsid w:val="0084375A"/>
    <w:rsid w:val="00843A19"/>
    <w:rsid w:val="00843A20"/>
    <w:rsid w:val="00843A94"/>
    <w:rsid w:val="00843C73"/>
    <w:rsid w:val="00843DCA"/>
    <w:rsid w:val="00843EC1"/>
    <w:rsid w:val="008442AA"/>
    <w:rsid w:val="008444B2"/>
    <w:rsid w:val="008447D4"/>
    <w:rsid w:val="00844993"/>
    <w:rsid w:val="00844E15"/>
    <w:rsid w:val="00844E79"/>
    <w:rsid w:val="00845576"/>
    <w:rsid w:val="00845DE7"/>
    <w:rsid w:val="00845E47"/>
    <w:rsid w:val="00845EE2"/>
    <w:rsid w:val="00845F81"/>
    <w:rsid w:val="00846135"/>
    <w:rsid w:val="0084634C"/>
    <w:rsid w:val="00846AA5"/>
    <w:rsid w:val="00846B8A"/>
    <w:rsid w:val="00846FB9"/>
    <w:rsid w:val="0084745D"/>
    <w:rsid w:val="00847AF9"/>
    <w:rsid w:val="00847FC9"/>
    <w:rsid w:val="00850683"/>
    <w:rsid w:val="00850C96"/>
    <w:rsid w:val="00850DEB"/>
    <w:rsid w:val="00851805"/>
    <w:rsid w:val="00852091"/>
    <w:rsid w:val="008521F8"/>
    <w:rsid w:val="008522D6"/>
    <w:rsid w:val="0085323B"/>
    <w:rsid w:val="008534C4"/>
    <w:rsid w:val="00853B34"/>
    <w:rsid w:val="00853EFA"/>
    <w:rsid w:val="008541A1"/>
    <w:rsid w:val="0085463E"/>
    <w:rsid w:val="0085483D"/>
    <w:rsid w:val="00854E31"/>
    <w:rsid w:val="00854EDF"/>
    <w:rsid w:val="008553B8"/>
    <w:rsid w:val="00855DE3"/>
    <w:rsid w:val="008560C8"/>
    <w:rsid w:val="00856411"/>
    <w:rsid w:val="00856CEA"/>
    <w:rsid w:val="00856E60"/>
    <w:rsid w:val="008573B4"/>
    <w:rsid w:val="00857B70"/>
    <w:rsid w:val="00860018"/>
    <w:rsid w:val="008600B6"/>
    <w:rsid w:val="0086076D"/>
    <w:rsid w:val="008609CA"/>
    <w:rsid w:val="00860E9E"/>
    <w:rsid w:val="00861DC4"/>
    <w:rsid w:val="00861EBD"/>
    <w:rsid w:val="008621AE"/>
    <w:rsid w:val="00862211"/>
    <w:rsid w:val="00862C45"/>
    <w:rsid w:val="00862D6C"/>
    <w:rsid w:val="00862FE6"/>
    <w:rsid w:val="0086364B"/>
    <w:rsid w:val="008638A1"/>
    <w:rsid w:val="00864058"/>
    <w:rsid w:val="00865101"/>
    <w:rsid w:val="00865765"/>
    <w:rsid w:val="008669D9"/>
    <w:rsid w:val="00866A3E"/>
    <w:rsid w:val="00866B34"/>
    <w:rsid w:val="00866E50"/>
    <w:rsid w:val="00866E79"/>
    <w:rsid w:val="0086740B"/>
    <w:rsid w:val="00867745"/>
    <w:rsid w:val="008678D5"/>
    <w:rsid w:val="00867F7E"/>
    <w:rsid w:val="0087072B"/>
    <w:rsid w:val="00870891"/>
    <w:rsid w:val="0087128C"/>
    <w:rsid w:val="008714E7"/>
    <w:rsid w:val="0087156F"/>
    <w:rsid w:val="00871944"/>
    <w:rsid w:val="00871A4B"/>
    <w:rsid w:val="00872272"/>
    <w:rsid w:val="00872799"/>
    <w:rsid w:val="00872CC6"/>
    <w:rsid w:val="00873222"/>
    <w:rsid w:val="008739E6"/>
    <w:rsid w:val="00874219"/>
    <w:rsid w:val="0087435A"/>
    <w:rsid w:val="008748B0"/>
    <w:rsid w:val="008748B5"/>
    <w:rsid w:val="00874B11"/>
    <w:rsid w:val="00874C1D"/>
    <w:rsid w:val="008751BC"/>
    <w:rsid w:val="00875551"/>
    <w:rsid w:val="008757A1"/>
    <w:rsid w:val="00875DBF"/>
    <w:rsid w:val="00876559"/>
    <w:rsid w:val="0087672F"/>
    <w:rsid w:val="008770F2"/>
    <w:rsid w:val="0087753F"/>
    <w:rsid w:val="00877875"/>
    <w:rsid w:val="00877AC4"/>
    <w:rsid w:val="00877C69"/>
    <w:rsid w:val="00877FD5"/>
    <w:rsid w:val="00880007"/>
    <w:rsid w:val="00880150"/>
    <w:rsid w:val="0088040B"/>
    <w:rsid w:val="008805B7"/>
    <w:rsid w:val="00880782"/>
    <w:rsid w:val="00880ABD"/>
    <w:rsid w:val="00880B7C"/>
    <w:rsid w:val="00880DE3"/>
    <w:rsid w:val="00881445"/>
    <w:rsid w:val="00881ECE"/>
    <w:rsid w:val="00881F24"/>
    <w:rsid w:val="00882814"/>
    <w:rsid w:val="00882EA9"/>
    <w:rsid w:val="008833E1"/>
    <w:rsid w:val="00883511"/>
    <w:rsid w:val="008835ED"/>
    <w:rsid w:val="008839A8"/>
    <w:rsid w:val="008839C3"/>
    <w:rsid w:val="00883C42"/>
    <w:rsid w:val="00883CA2"/>
    <w:rsid w:val="00883D12"/>
    <w:rsid w:val="00883FCC"/>
    <w:rsid w:val="00884563"/>
    <w:rsid w:val="00884707"/>
    <w:rsid w:val="0088488B"/>
    <w:rsid w:val="00884C88"/>
    <w:rsid w:val="00884DA3"/>
    <w:rsid w:val="00884E1A"/>
    <w:rsid w:val="008852B7"/>
    <w:rsid w:val="008857C8"/>
    <w:rsid w:val="00885F48"/>
    <w:rsid w:val="00885FDB"/>
    <w:rsid w:val="00886222"/>
    <w:rsid w:val="00886BEF"/>
    <w:rsid w:val="00886F2B"/>
    <w:rsid w:val="0088757B"/>
    <w:rsid w:val="00887C02"/>
    <w:rsid w:val="00887E0E"/>
    <w:rsid w:val="00887E49"/>
    <w:rsid w:val="00890DA2"/>
    <w:rsid w:val="00890F2F"/>
    <w:rsid w:val="008911A1"/>
    <w:rsid w:val="008917A1"/>
    <w:rsid w:val="00891C6D"/>
    <w:rsid w:val="00892479"/>
    <w:rsid w:val="0089283D"/>
    <w:rsid w:val="00892AD5"/>
    <w:rsid w:val="00892C65"/>
    <w:rsid w:val="0089311F"/>
    <w:rsid w:val="008931A3"/>
    <w:rsid w:val="0089340F"/>
    <w:rsid w:val="008935AD"/>
    <w:rsid w:val="008936EC"/>
    <w:rsid w:val="00893888"/>
    <w:rsid w:val="00893E36"/>
    <w:rsid w:val="008944D7"/>
    <w:rsid w:val="0089476A"/>
    <w:rsid w:val="00894D22"/>
    <w:rsid w:val="00895123"/>
    <w:rsid w:val="00895503"/>
    <w:rsid w:val="008955E3"/>
    <w:rsid w:val="00895784"/>
    <w:rsid w:val="00895960"/>
    <w:rsid w:val="00895AD7"/>
    <w:rsid w:val="00895ECB"/>
    <w:rsid w:val="00895FF0"/>
    <w:rsid w:val="0089628F"/>
    <w:rsid w:val="0089630A"/>
    <w:rsid w:val="008966C7"/>
    <w:rsid w:val="00896811"/>
    <w:rsid w:val="00896C1C"/>
    <w:rsid w:val="00896E9A"/>
    <w:rsid w:val="0089760E"/>
    <w:rsid w:val="008976EC"/>
    <w:rsid w:val="00897DC5"/>
    <w:rsid w:val="00897DDD"/>
    <w:rsid w:val="008A0333"/>
    <w:rsid w:val="008A04C3"/>
    <w:rsid w:val="008A06CD"/>
    <w:rsid w:val="008A0A9D"/>
    <w:rsid w:val="008A0B13"/>
    <w:rsid w:val="008A0F5F"/>
    <w:rsid w:val="008A1150"/>
    <w:rsid w:val="008A1EF5"/>
    <w:rsid w:val="008A1FFB"/>
    <w:rsid w:val="008A319E"/>
    <w:rsid w:val="008A3B11"/>
    <w:rsid w:val="008A3D5B"/>
    <w:rsid w:val="008A49F4"/>
    <w:rsid w:val="008A4DA0"/>
    <w:rsid w:val="008A4E99"/>
    <w:rsid w:val="008A4FEC"/>
    <w:rsid w:val="008A4FFE"/>
    <w:rsid w:val="008A5536"/>
    <w:rsid w:val="008A60AB"/>
    <w:rsid w:val="008A621F"/>
    <w:rsid w:val="008A636F"/>
    <w:rsid w:val="008A6555"/>
    <w:rsid w:val="008A6A7B"/>
    <w:rsid w:val="008A7377"/>
    <w:rsid w:val="008A7407"/>
    <w:rsid w:val="008A7715"/>
    <w:rsid w:val="008A789E"/>
    <w:rsid w:val="008A7B05"/>
    <w:rsid w:val="008A7C50"/>
    <w:rsid w:val="008B05B6"/>
    <w:rsid w:val="008B05E6"/>
    <w:rsid w:val="008B0A27"/>
    <w:rsid w:val="008B0E10"/>
    <w:rsid w:val="008B10B3"/>
    <w:rsid w:val="008B1A60"/>
    <w:rsid w:val="008B2C67"/>
    <w:rsid w:val="008B2E7C"/>
    <w:rsid w:val="008B30A3"/>
    <w:rsid w:val="008B35ED"/>
    <w:rsid w:val="008B38B2"/>
    <w:rsid w:val="008B3EDB"/>
    <w:rsid w:val="008B3F02"/>
    <w:rsid w:val="008B4273"/>
    <w:rsid w:val="008B507F"/>
    <w:rsid w:val="008B53B4"/>
    <w:rsid w:val="008B5C1A"/>
    <w:rsid w:val="008B5EA1"/>
    <w:rsid w:val="008B6328"/>
    <w:rsid w:val="008B661A"/>
    <w:rsid w:val="008B66E0"/>
    <w:rsid w:val="008B6C05"/>
    <w:rsid w:val="008B7297"/>
    <w:rsid w:val="008B77E9"/>
    <w:rsid w:val="008B7CCF"/>
    <w:rsid w:val="008B7DFA"/>
    <w:rsid w:val="008C2EF5"/>
    <w:rsid w:val="008C3D82"/>
    <w:rsid w:val="008C415B"/>
    <w:rsid w:val="008C44FF"/>
    <w:rsid w:val="008C520E"/>
    <w:rsid w:val="008C5E6A"/>
    <w:rsid w:val="008C63B4"/>
    <w:rsid w:val="008C684D"/>
    <w:rsid w:val="008C6F2F"/>
    <w:rsid w:val="008C7624"/>
    <w:rsid w:val="008C7695"/>
    <w:rsid w:val="008C76E1"/>
    <w:rsid w:val="008D0156"/>
    <w:rsid w:val="008D0885"/>
    <w:rsid w:val="008D0CD8"/>
    <w:rsid w:val="008D0EB9"/>
    <w:rsid w:val="008D1255"/>
    <w:rsid w:val="008D187A"/>
    <w:rsid w:val="008D1974"/>
    <w:rsid w:val="008D19FC"/>
    <w:rsid w:val="008D1AE9"/>
    <w:rsid w:val="008D1BAF"/>
    <w:rsid w:val="008D205B"/>
    <w:rsid w:val="008D2444"/>
    <w:rsid w:val="008D247F"/>
    <w:rsid w:val="008D26CD"/>
    <w:rsid w:val="008D284E"/>
    <w:rsid w:val="008D2996"/>
    <w:rsid w:val="008D2AE4"/>
    <w:rsid w:val="008D2D7D"/>
    <w:rsid w:val="008D2D91"/>
    <w:rsid w:val="008D3E44"/>
    <w:rsid w:val="008D3F92"/>
    <w:rsid w:val="008D412E"/>
    <w:rsid w:val="008D42CE"/>
    <w:rsid w:val="008D4AB6"/>
    <w:rsid w:val="008D534C"/>
    <w:rsid w:val="008D5624"/>
    <w:rsid w:val="008D5756"/>
    <w:rsid w:val="008D5B1D"/>
    <w:rsid w:val="008D5CCA"/>
    <w:rsid w:val="008D5EDD"/>
    <w:rsid w:val="008D6C87"/>
    <w:rsid w:val="008D6DCF"/>
    <w:rsid w:val="008D7082"/>
    <w:rsid w:val="008D74E0"/>
    <w:rsid w:val="008D7F88"/>
    <w:rsid w:val="008D7FB2"/>
    <w:rsid w:val="008E00CA"/>
    <w:rsid w:val="008E0109"/>
    <w:rsid w:val="008E0118"/>
    <w:rsid w:val="008E0D37"/>
    <w:rsid w:val="008E0EBE"/>
    <w:rsid w:val="008E1884"/>
    <w:rsid w:val="008E2618"/>
    <w:rsid w:val="008E2690"/>
    <w:rsid w:val="008E28E3"/>
    <w:rsid w:val="008E2928"/>
    <w:rsid w:val="008E36FE"/>
    <w:rsid w:val="008E3803"/>
    <w:rsid w:val="008E3BE2"/>
    <w:rsid w:val="008E3E1B"/>
    <w:rsid w:val="008E3E7A"/>
    <w:rsid w:val="008E4002"/>
    <w:rsid w:val="008E435E"/>
    <w:rsid w:val="008E5366"/>
    <w:rsid w:val="008E53CF"/>
    <w:rsid w:val="008E5613"/>
    <w:rsid w:val="008E56CB"/>
    <w:rsid w:val="008E57B1"/>
    <w:rsid w:val="008E5CFD"/>
    <w:rsid w:val="008E5D38"/>
    <w:rsid w:val="008E67C9"/>
    <w:rsid w:val="008E682C"/>
    <w:rsid w:val="008E693F"/>
    <w:rsid w:val="008E6ABD"/>
    <w:rsid w:val="008E6F0B"/>
    <w:rsid w:val="008E7E1F"/>
    <w:rsid w:val="008E7F8E"/>
    <w:rsid w:val="008E7FE6"/>
    <w:rsid w:val="008F03B3"/>
    <w:rsid w:val="008F0736"/>
    <w:rsid w:val="008F0882"/>
    <w:rsid w:val="008F0A04"/>
    <w:rsid w:val="008F0BCF"/>
    <w:rsid w:val="008F1A12"/>
    <w:rsid w:val="008F2580"/>
    <w:rsid w:val="008F2AFB"/>
    <w:rsid w:val="008F2B17"/>
    <w:rsid w:val="008F2C84"/>
    <w:rsid w:val="008F2E06"/>
    <w:rsid w:val="008F2E45"/>
    <w:rsid w:val="008F3704"/>
    <w:rsid w:val="008F3932"/>
    <w:rsid w:val="008F3E47"/>
    <w:rsid w:val="008F41E4"/>
    <w:rsid w:val="008F43C3"/>
    <w:rsid w:val="008F466A"/>
    <w:rsid w:val="008F4DFB"/>
    <w:rsid w:val="008F542E"/>
    <w:rsid w:val="008F56FF"/>
    <w:rsid w:val="008F5EA7"/>
    <w:rsid w:val="008F5F6F"/>
    <w:rsid w:val="008F612B"/>
    <w:rsid w:val="008F61AF"/>
    <w:rsid w:val="008F643D"/>
    <w:rsid w:val="008F6A94"/>
    <w:rsid w:val="008F6D31"/>
    <w:rsid w:val="008F74B2"/>
    <w:rsid w:val="008F7A90"/>
    <w:rsid w:val="00900476"/>
    <w:rsid w:val="00900952"/>
    <w:rsid w:val="00901387"/>
    <w:rsid w:val="009018B1"/>
    <w:rsid w:val="00901936"/>
    <w:rsid w:val="00901F0C"/>
    <w:rsid w:val="0090254B"/>
    <w:rsid w:val="00902665"/>
    <w:rsid w:val="0090288F"/>
    <w:rsid w:val="009029E6"/>
    <w:rsid w:val="00903A6E"/>
    <w:rsid w:val="00904B34"/>
    <w:rsid w:val="00905688"/>
    <w:rsid w:val="009060AF"/>
    <w:rsid w:val="00906228"/>
    <w:rsid w:val="00906706"/>
    <w:rsid w:val="00906707"/>
    <w:rsid w:val="00906BCF"/>
    <w:rsid w:val="009070EE"/>
    <w:rsid w:val="009076CC"/>
    <w:rsid w:val="009078E4"/>
    <w:rsid w:val="00907A05"/>
    <w:rsid w:val="00907FD7"/>
    <w:rsid w:val="009101C0"/>
    <w:rsid w:val="00910240"/>
    <w:rsid w:val="00910993"/>
    <w:rsid w:val="00910D80"/>
    <w:rsid w:val="009110EB"/>
    <w:rsid w:val="009111E9"/>
    <w:rsid w:val="009114B0"/>
    <w:rsid w:val="00911B8A"/>
    <w:rsid w:val="00912039"/>
    <w:rsid w:val="00912483"/>
    <w:rsid w:val="009127A0"/>
    <w:rsid w:val="00912BB5"/>
    <w:rsid w:val="00912C31"/>
    <w:rsid w:val="00912FAA"/>
    <w:rsid w:val="0091351A"/>
    <w:rsid w:val="00913A57"/>
    <w:rsid w:val="00913BAF"/>
    <w:rsid w:val="00913D49"/>
    <w:rsid w:val="00914497"/>
    <w:rsid w:val="009145FE"/>
    <w:rsid w:val="00914974"/>
    <w:rsid w:val="00914AD6"/>
    <w:rsid w:val="00915019"/>
    <w:rsid w:val="0091549A"/>
    <w:rsid w:val="009159E1"/>
    <w:rsid w:val="00915CF4"/>
    <w:rsid w:val="00915E8F"/>
    <w:rsid w:val="00916095"/>
    <w:rsid w:val="0091630C"/>
    <w:rsid w:val="009163C3"/>
    <w:rsid w:val="0091642F"/>
    <w:rsid w:val="009166E4"/>
    <w:rsid w:val="00916A40"/>
    <w:rsid w:val="00916C28"/>
    <w:rsid w:val="00917266"/>
    <w:rsid w:val="009176DF"/>
    <w:rsid w:val="0092001A"/>
    <w:rsid w:val="009204C3"/>
    <w:rsid w:val="0092051D"/>
    <w:rsid w:val="0092071D"/>
    <w:rsid w:val="00920CD8"/>
    <w:rsid w:val="0092124F"/>
    <w:rsid w:val="009218BE"/>
    <w:rsid w:val="00921EE1"/>
    <w:rsid w:val="00922485"/>
    <w:rsid w:val="00923080"/>
    <w:rsid w:val="00923489"/>
    <w:rsid w:val="00923F36"/>
    <w:rsid w:val="00924120"/>
    <w:rsid w:val="00924656"/>
    <w:rsid w:val="00924781"/>
    <w:rsid w:val="00924A5A"/>
    <w:rsid w:val="00924A94"/>
    <w:rsid w:val="00924FED"/>
    <w:rsid w:val="009256A6"/>
    <w:rsid w:val="00925C3E"/>
    <w:rsid w:val="00926B23"/>
    <w:rsid w:val="00926E6B"/>
    <w:rsid w:val="009274E8"/>
    <w:rsid w:val="009275CA"/>
    <w:rsid w:val="00927CB1"/>
    <w:rsid w:val="00927DC4"/>
    <w:rsid w:val="00930241"/>
    <w:rsid w:val="009302D3"/>
    <w:rsid w:val="009304C6"/>
    <w:rsid w:val="00930973"/>
    <w:rsid w:val="00930A57"/>
    <w:rsid w:val="00930B32"/>
    <w:rsid w:val="00930CD9"/>
    <w:rsid w:val="00930D7A"/>
    <w:rsid w:val="00930E2E"/>
    <w:rsid w:val="00931551"/>
    <w:rsid w:val="009316D2"/>
    <w:rsid w:val="00931B4D"/>
    <w:rsid w:val="00932017"/>
    <w:rsid w:val="00932371"/>
    <w:rsid w:val="009328EC"/>
    <w:rsid w:val="009332C6"/>
    <w:rsid w:val="0093354D"/>
    <w:rsid w:val="009336F1"/>
    <w:rsid w:val="009339BB"/>
    <w:rsid w:val="00933CB7"/>
    <w:rsid w:val="00934181"/>
    <w:rsid w:val="00934199"/>
    <w:rsid w:val="0093422D"/>
    <w:rsid w:val="00934346"/>
    <w:rsid w:val="0093463C"/>
    <w:rsid w:val="00934EAA"/>
    <w:rsid w:val="00934F0E"/>
    <w:rsid w:val="00935C3A"/>
    <w:rsid w:val="00935CC3"/>
    <w:rsid w:val="009362E0"/>
    <w:rsid w:val="009366C7"/>
    <w:rsid w:val="009367D6"/>
    <w:rsid w:val="00936828"/>
    <w:rsid w:val="00936C60"/>
    <w:rsid w:val="00936E4F"/>
    <w:rsid w:val="00936FFE"/>
    <w:rsid w:val="0093735C"/>
    <w:rsid w:val="009378AA"/>
    <w:rsid w:val="00937A5F"/>
    <w:rsid w:val="00940A01"/>
    <w:rsid w:val="00940A63"/>
    <w:rsid w:val="00940A9D"/>
    <w:rsid w:val="00940BE1"/>
    <w:rsid w:val="00940C4B"/>
    <w:rsid w:val="00940DA0"/>
    <w:rsid w:val="00941348"/>
    <w:rsid w:val="0094178B"/>
    <w:rsid w:val="00941984"/>
    <w:rsid w:val="00942227"/>
    <w:rsid w:val="00942C90"/>
    <w:rsid w:val="00942D67"/>
    <w:rsid w:val="00942FF7"/>
    <w:rsid w:val="00944118"/>
    <w:rsid w:val="00944276"/>
    <w:rsid w:val="009444FC"/>
    <w:rsid w:val="009448FB"/>
    <w:rsid w:val="00944A92"/>
    <w:rsid w:val="00944CD5"/>
    <w:rsid w:val="00945181"/>
    <w:rsid w:val="00945404"/>
    <w:rsid w:val="00945548"/>
    <w:rsid w:val="00945B50"/>
    <w:rsid w:val="00946086"/>
    <w:rsid w:val="0094608F"/>
    <w:rsid w:val="009462FE"/>
    <w:rsid w:val="00946E7E"/>
    <w:rsid w:val="009471E1"/>
    <w:rsid w:val="00947472"/>
    <w:rsid w:val="009477EC"/>
    <w:rsid w:val="009479D4"/>
    <w:rsid w:val="00947A19"/>
    <w:rsid w:val="00947B1C"/>
    <w:rsid w:val="00950070"/>
    <w:rsid w:val="009503BD"/>
    <w:rsid w:val="00950A7B"/>
    <w:rsid w:val="009512A4"/>
    <w:rsid w:val="009513CD"/>
    <w:rsid w:val="0095183B"/>
    <w:rsid w:val="00951ADB"/>
    <w:rsid w:val="0095288A"/>
    <w:rsid w:val="00952B06"/>
    <w:rsid w:val="00954576"/>
    <w:rsid w:val="00954B63"/>
    <w:rsid w:val="009551D0"/>
    <w:rsid w:val="009552B0"/>
    <w:rsid w:val="0095532D"/>
    <w:rsid w:val="009556EF"/>
    <w:rsid w:val="0095571A"/>
    <w:rsid w:val="00955752"/>
    <w:rsid w:val="00955944"/>
    <w:rsid w:val="00955E66"/>
    <w:rsid w:val="00955EFD"/>
    <w:rsid w:val="0095614F"/>
    <w:rsid w:val="00956361"/>
    <w:rsid w:val="0095755E"/>
    <w:rsid w:val="00961361"/>
    <w:rsid w:val="00961713"/>
    <w:rsid w:val="00961763"/>
    <w:rsid w:val="00961D62"/>
    <w:rsid w:val="00961F6F"/>
    <w:rsid w:val="00961F81"/>
    <w:rsid w:val="00962352"/>
    <w:rsid w:val="009624CA"/>
    <w:rsid w:val="009626A9"/>
    <w:rsid w:val="00962EFE"/>
    <w:rsid w:val="0096318A"/>
    <w:rsid w:val="00963F2D"/>
    <w:rsid w:val="00964526"/>
    <w:rsid w:val="00964765"/>
    <w:rsid w:val="00964D90"/>
    <w:rsid w:val="00965344"/>
    <w:rsid w:val="009657AC"/>
    <w:rsid w:val="00965E10"/>
    <w:rsid w:val="00965F00"/>
    <w:rsid w:val="009660F5"/>
    <w:rsid w:val="0096612D"/>
    <w:rsid w:val="009679A1"/>
    <w:rsid w:val="009679EC"/>
    <w:rsid w:val="00967A43"/>
    <w:rsid w:val="009701F7"/>
    <w:rsid w:val="0097093D"/>
    <w:rsid w:val="00970A15"/>
    <w:rsid w:val="00970BCB"/>
    <w:rsid w:val="00970C6D"/>
    <w:rsid w:val="00970D3A"/>
    <w:rsid w:val="00970EDA"/>
    <w:rsid w:val="00971534"/>
    <w:rsid w:val="00971CAF"/>
    <w:rsid w:val="00972571"/>
    <w:rsid w:val="00972814"/>
    <w:rsid w:val="009733B9"/>
    <w:rsid w:val="00973706"/>
    <w:rsid w:val="00973710"/>
    <w:rsid w:val="00973CD8"/>
    <w:rsid w:val="009743F5"/>
    <w:rsid w:val="00974B67"/>
    <w:rsid w:val="00975512"/>
    <w:rsid w:val="009761DA"/>
    <w:rsid w:val="0097641E"/>
    <w:rsid w:val="00976F39"/>
    <w:rsid w:val="00977E4E"/>
    <w:rsid w:val="00977EC8"/>
    <w:rsid w:val="009802C0"/>
    <w:rsid w:val="009810C3"/>
    <w:rsid w:val="00981174"/>
    <w:rsid w:val="0098182E"/>
    <w:rsid w:val="00981F9E"/>
    <w:rsid w:val="00982208"/>
    <w:rsid w:val="009823E0"/>
    <w:rsid w:val="0098259E"/>
    <w:rsid w:val="00982CAC"/>
    <w:rsid w:val="00982CB8"/>
    <w:rsid w:val="009834A3"/>
    <w:rsid w:val="009834DE"/>
    <w:rsid w:val="0098356B"/>
    <w:rsid w:val="009837DC"/>
    <w:rsid w:val="009844B2"/>
    <w:rsid w:val="00984543"/>
    <w:rsid w:val="00984622"/>
    <w:rsid w:val="00984AC6"/>
    <w:rsid w:val="00985343"/>
    <w:rsid w:val="0098590E"/>
    <w:rsid w:val="00985970"/>
    <w:rsid w:val="00985A21"/>
    <w:rsid w:val="00985DED"/>
    <w:rsid w:val="00986019"/>
    <w:rsid w:val="0098611E"/>
    <w:rsid w:val="009863B7"/>
    <w:rsid w:val="00986649"/>
    <w:rsid w:val="00986747"/>
    <w:rsid w:val="009869DA"/>
    <w:rsid w:val="00986B68"/>
    <w:rsid w:val="00987DDA"/>
    <w:rsid w:val="00987F82"/>
    <w:rsid w:val="0099002B"/>
    <w:rsid w:val="009907B2"/>
    <w:rsid w:val="009907C9"/>
    <w:rsid w:val="0099089C"/>
    <w:rsid w:val="009909AB"/>
    <w:rsid w:val="00990D24"/>
    <w:rsid w:val="00990E3B"/>
    <w:rsid w:val="009912C6"/>
    <w:rsid w:val="0099151F"/>
    <w:rsid w:val="00991FBD"/>
    <w:rsid w:val="0099202A"/>
    <w:rsid w:val="00992547"/>
    <w:rsid w:val="0099260D"/>
    <w:rsid w:val="00992865"/>
    <w:rsid w:val="009929E9"/>
    <w:rsid w:val="00992A3D"/>
    <w:rsid w:val="00993296"/>
    <w:rsid w:val="0099333E"/>
    <w:rsid w:val="009945BC"/>
    <w:rsid w:val="00994A07"/>
    <w:rsid w:val="00994C67"/>
    <w:rsid w:val="00994DD5"/>
    <w:rsid w:val="00995391"/>
    <w:rsid w:val="0099594B"/>
    <w:rsid w:val="009967FA"/>
    <w:rsid w:val="00996F8F"/>
    <w:rsid w:val="00997D6C"/>
    <w:rsid w:val="009A0020"/>
    <w:rsid w:val="009A00E9"/>
    <w:rsid w:val="009A0A78"/>
    <w:rsid w:val="009A0B00"/>
    <w:rsid w:val="009A0F06"/>
    <w:rsid w:val="009A1469"/>
    <w:rsid w:val="009A1567"/>
    <w:rsid w:val="009A15EC"/>
    <w:rsid w:val="009A1696"/>
    <w:rsid w:val="009A2791"/>
    <w:rsid w:val="009A2963"/>
    <w:rsid w:val="009A2A3D"/>
    <w:rsid w:val="009A393C"/>
    <w:rsid w:val="009A3ADE"/>
    <w:rsid w:val="009A3BB7"/>
    <w:rsid w:val="009A3E4A"/>
    <w:rsid w:val="009A3EC3"/>
    <w:rsid w:val="009A43CD"/>
    <w:rsid w:val="009A4466"/>
    <w:rsid w:val="009A447E"/>
    <w:rsid w:val="009A476E"/>
    <w:rsid w:val="009A4D46"/>
    <w:rsid w:val="009A4F07"/>
    <w:rsid w:val="009A58D3"/>
    <w:rsid w:val="009A5AF7"/>
    <w:rsid w:val="009A6060"/>
    <w:rsid w:val="009A61C2"/>
    <w:rsid w:val="009A686A"/>
    <w:rsid w:val="009A686D"/>
    <w:rsid w:val="009A6BE8"/>
    <w:rsid w:val="009A7161"/>
    <w:rsid w:val="009A724E"/>
    <w:rsid w:val="009A76EC"/>
    <w:rsid w:val="009A7CAD"/>
    <w:rsid w:val="009A7EA5"/>
    <w:rsid w:val="009A7EC5"/>
    <w:rsid w:val="009B0353"/>
    <w:rsid w:val="009B087E"/>
    <w:rsid w:val="009B1157"/>
    <w:rsid w:val="009B1322"/>
    <w:rsid w:val="009B16A4"/>
    <w:rsid w:val="009B1C07"/>
    <w:rsid w:val="009B1C28"/>
    <w:rsid w:val="009B1CE8"/>
    <w:rsid w:val="009B2019"/>
    <w:rsid w:val="009B26BC"/>
    <w:rsid w:val="009B2A9C"/>
    <w:rsid w:val="009B2C28"/>
    <w:rsid w:val="009B2EC5"/>
    <w:rsid w:val="009B2ED5"/>
    <w:rsid w:val="009B2F52"/>
    <w:rsid w:val="009B3084"/>
    <w:rsid w:val="009B34A5"/>
    <w:rsid w:val="009B3719"/>
    <w:rsid w:val="009B38E5"/>
    <w:rsid w:val="009B3C88"/>
    <w:rsid w:val="009B3D49"/>
    <w:rsid w:val="009B3F42"/>
    <w:rsid w:val="009B3F52"/>
    <w:rsid w:val="009B408D"/>
    <w:rsid w:val="009B44F9"/>
    <w:rsid w:val="009B4842"/>
    <w:rsid w:val="009B4938"/>
    <w:rsid w:val="009B570E"/>
    <w:rsid w:val="009B5992"/>
    <w:rsid w:val="009B60C8"/>
    <w:rsid w:val="009B62CD"/>
    <w:rsid w:val="009B6F35"/>
    <w:rsid w:val="009B725C"/>
    <w:rsid w:val="009B79CF"/>
    <w:rsid w:val="009B79DF"/>
    <w:rsid w:val="009B7AA1"/>
    <w:rsid w:val="009B7C1B"/>
    <w:rsid w:val="009C0141"/>
    <w:rsid w:val="009C0200"/>
    <w:rsid w:val="009C02BA"/>
    <w:rsid w:val="009C0D36"/>
    <w:rsid w:val="009C1663"/>
    <w:rsid w:val="009C18B6"/>
    <w:rsid w:val="009C1928"/>
    <w:rsid w:val="009C1BF5"/>
    <w:rsid w:val="009C20FE"/>
    <w:rsid w:val="009C2261"/>
    <w:rsid w:val="009C228A"/>
    <w:rsid w:val="009C2DFA"/>
    <w:rsid w:val="009C2E92"/>
    <w:rsid w:val="009C325E"/>
    <w:rsid w:val="009C351F"/>
    <w:rsid w:val="009C3BE9"/>
    <w:rsid w:val="009C4661"/>
    <w:rsid w:val="009C48AA"/>
    <w:rsid w:val="009C4C46"/>
    <w:rsid w:val="009C4F01"/>
    <w:rsid w:val="009C5287"/>
    <w:rsid w:val="009C57A2"/>
    <w:rsid w:val="009C597F"/>
    <w:rsid w:val="009C5BFD"/>
    <w:rsid w:val="009C5EB1"/>
    <w:rsid w:val="009C5EDF"/>
    <w:rsid w:val="009C6468"/>
    <w:rsid w:val="009C7216"/>
    <w:rsid w:val="009C7358"/>
    <w:rsid w:val="009C741B"/>
    <w:rsid w:val="009C748F"/>
    <w:rsid w:val="009C7D40"/>
    <w:rsid w:val="009D00AB"/>
    <w:rsid w:val="009D03C5"/>
    <w:rsid w:val="009D099E"/>
    <w:rsid w:val="009D0E0B"/>
    <w:rsid w:val="009D0E73"/>
    <w:rsid w:val="009D0F19"/>
    <w:rsid w:val="009D0F5C"/>
    <w:rsid w:val="009D1442"/>
    <w:rsid w:val="009D1948"/>
    <w:rsid w:val="009D1B43"/>
    <w:rsid w:val="009D1F35"/>
    <w:rsid w:val="009D2147"/>
    <w:rsid w:val="009D2290"/>
    <w:rsid w:val="009D2C06"/>
    <w:rsid w:val="009D2EA6"/>
    <w:rsid w:val="009D304F"/>
    <w:rsid w:val="009D331A"/>
    <w:rsid w:val="009D3587"/>
    <w:rsid w:val="009D48C1"/>
    <w:rsid w:val="009D4B6C"/>
    <w:rsid w:val="009D7132"/>
    <w:rsid w:val="009D725B"/>
    <w:rsid w:val="009D744D"/>
    <w:rsid w:val="009D79FC"/>
    <w:rsid w:val="009D7DBF"/>
    <w:rsid w:val="009E04BE"/>
    <w:rsid w:val="009E0930"/>
    <w:rsid w:val="009E0B50"/>
    <w:rsid w:val="009E11EA"/>
    <w:rsid w:val="009E13D9"/>
    <w:rsid w:val="009E187F"/>
    <w:rsid w:val="009E1D01"/>
    <w:rsid w:val="009E1D90"/>
    <w:rsid w:val="009E1E36"/>
    <w:rsid w:val="009E21E5"/>
    <w:rsid w:val="009E21E8"/>
    <w:rsid w:val="009E28E5"/>
    <w:rsid w:val="009E2F22"/>
    <w:rsid w:val="009E3143"/>
    <w:rsid w:val="009E3FF7"/>
    <w:rsid w:val="009E4003"/>
    <w:rsid w:val="009E406A"/>
    <w:rsid w:val="009E4AB8"/>
    <w:rsid w:val="009E4AFB"/>
    <w:rsid w:val="009E536E"/>
    <w:rsid w:val="009E5536"/>
    <w:rsid w:val="009E5C07"/>
    <w:rsid w:val="009E66CA"/>
    <w:rsid w:val="009E6953"/>
    <w:rsid w:val="009E6ABD"/>
    <w:rsid w:val="009E74C1"/>
    <w:rsid w:val="009E7889"/>
    <w:rsid w:val="009E7CB1"/>
    <w:rsid w:val="009E7E60"/>
    <w:rsid w:val="009E7FE6"/>
    <w:rsid w:val="009F0713"/>
    <w:rsid w:val="009F0E84"/>
    <w:rsid w:val="009F1218"/>
    <w:rsid w:val="009F125C"/>
    <w:rsid w:val="009F1E00"/>
    <w:rsid w:val="009F2406"/>
    <w:rsid w:val="009F2DEC"/>
    <w:rsid w:val="009F37EB"/>
    <w:rsid w:val="009F38E5"/>
    <w:rsid w:val="009F3995"/>
    <w:rsid w:val="009F3AD6"/>
    <w:rsid w:val="009F3DDB"/>
    <w:rsid w:val="009F3F36"/>
    <w:rsid w:val="009F3FA0"/>
    <w:rsid w:val="009F4021"/>
    <w:rsid w:val="009F483D"/>
    <w:rsid w:val="009F4B8A"/>
    <w:rsid w:val="009F4BB1"/>
    <w:rsid w:val="009F517F"/>
    <w:rsid w:val="009F5533"/>
    <w:rsid w:val="009F5800"/>
    <w:rsid w:val="009F5CB5"/>
    <w:rsid w:val="009F5CFF"/>
    <w:rsid w:val="009F60EC"/>
    <w:rsid w:val="009F611A"/>
    <w:rsid w:val="009F64D8"/>
    <w:rsid w:val="009F6507"/>
    <w:rsid w:val="009F7059"/>
    <w:rsid w:val="009F7180"/>
    <w:rsid w:val="009F7361"/>
    <w:rsid w:val="009F76C4"/>
    <w:rsid w:val="009F7751"/>
    <w:rsid w:val="009F7B62"/>
    <w:rsid w:val="009F7C20"/>
    <w:rsid w:val="00A0008A"/>
    <w:rsid w:val="00A00479"/>
    <w:rsid w:val="00A00C7F"/>
    <w:rsid w:val="00A01252"/>
    <w:rsid w:val="00A0161C"/>
    <w:rsid w:val="00A01900"/>
    <w:rsid w:val="00A01DE1"/>
    <w:rsid w:val="00A02028"/>
    <w:rsid w:val="00A022B7"/>
    <w:rsid w:val="00A022DC"/>
    <w:rsid w:val="00A03E0E"/>
    <w:rsid w:val="00A04C78"/>
    <w:rsid w:val="00A0509D"/>
    <w:rsid w:val="00A057AD"/>
    <w:rsid w:val="00A0634C"/>
    <w:rsid w:val="00A06667"/>
    <w:rsid w:val="00A06772"/>
    <w:rsid w:val="00A07818"/>
    <w:rsid w:val="00A078C4"/>
    <w:rsid w:val="00A07B8F"/>
    <w:rsid w:val="00A07E1B"/>
    <w:rsid w:val="00A07F77"/>
    <w:rsid w:val="00A104CC"/>
    <w:rsid w:val="00A1073D"/>
    <w:rsid w:val="00A10C92"/>
    <w:rsid w:val="00A10DDB"/>
    <w:rsid w:val="00A10F9D"/>
    <w:rsid w:val="00A111E8"/>
    <w:rsid w:val="00A114A0"/>
    <w:rsid w:val="00A11A72"/>
    <w:rsid w:val="00A12002"/>
    <w:rsid w:val="00A12527"/>
    <w:rsid w:val="00A1252B"/>
    <w:rsid w:val="00A1271F"/>
    <w:rsid w:val="00A1287D"/>
    <w:rsid w:val="00A12BD9"/>
    <w:rsid w:val="00A13691"/>
    <w:rsid w:val="00A13762"/>
    <w:rsid w:val="00A13A8A"/>
    <w:rsid w:val="00A1479F"/>
    <w:rsid w:val="00A1493A"/>
    <w:rsid w:val="00A1493C"/>
    <w:rsid w:val="00A14BA9"/>
    <w:rsid w:val="00A14CAF"/>
    <w:rsid w:val="00A14CBD"/>
    <w:rsid w:val="00A15508"/>
    <w:rsid w:val="00A16CAC"/>
    <w:rsid w:val="00A16D58"/>
    <w:rsid w:val="00A16FE9"/>
    <w:rsid w:val="00A1768D"/>
    <w:rsid w:val="00A17F77"/>
    <w:rsid w:val="00A17FD4"/>
    <w:rsid w:val="00A20010"/>
    <w:rsid w:val="00A206A9"/>
    <w:rsid w:val="00A20D76"/>
    <w:rsid w:val="00A21541"/>
    <w:rsid w:val="00A2213E"/>
    <w:rsid w:val="00A223C9"/>
    <w:rsid w:val="00A22564"/>
    <w:rsid w:val="00A22629"/>
    <w:rsid w:val="00A22C91"/>
    <w:rsid w:val="00A2373B"/>
    <w:rsid w:val="00A23885"/>
    <w:rsid w:val="00A23B70"/>
    <w:rsid w:val="00A23C6E"/>
    <w:rsid w:val="00A2400B"/>
    <w:rsid w:val="00A244B5"/>
    <w:rsid w:val="00A24B51"/>
    <w:rsid w:val="00A24F37"/>
    <w:rsid w:val="00A253AA"/>
    <w:rsid w:val="00A255D4"/>
    <w:rsid w:val="00A25680"/>
    <w:rsid w:val="00A26227"/>
    <w:rsid w:val="00A26522"/>
    <w:rsid w:val="00A26987"/>
    <w:rsid w:val="00A269FC"/>
    <w:rsid w:val="00A26AF1"/>
    <w:rsid w:val="00A26DA3"/>
    <w:rsid w:val="00A26DB3"/>
    <w:rsid w:val="00A26EBD"/>
    <w:rsid w:val="00A26EF4"/>
    <w:rsid w:val="00A26F53"/>
    <w:rsid w:val="00A270CB"/>
    <w:rsid w:val="00A27439"/>
    <w:rsid w:val="00A2750F"/>
    <w:rsid w:val="00A27F6F"/>
    <w:rsid w:val="00A3002B"/>
    <w:rsid w:val="00A30109"/>
    <w:rsid w:val="00A30284"/>
    <w:rsid w:val="00A3046D"/>
    <w:rsid w:val="00A30586"/>
    <w:rsid w:val="00A30605"/>
    <w:rsid w:val="00A308C7"/>
    <w:rsid w:val="00A3095C"/>
    <w:rsid w:val="00A30EC2"/>
    <w:rsid w:val="00A30F0F"/>
    <w:rsid w:val="00A310F1"/>
    <w:rsid w:val="00A315E7"/>
    <w:rsid w:val="00A3201F"/>
    <w:rsid w:val="00A32686"/>
    <w:rsid w:val="00A3278B"/>
    <w:rsid w:val="00A32B47"/>
    <w:rsid w:val="00A32D71"/>
    <w:rsid w:val="00A32DBF"/>
    <w:rsid w:val="00A32E45"/>
    <w:rsid w:val="00A3328A"/>
    <w:rsid w:val="00A334B8"/>
    <w:rsid w:val="00A334EE"/>
    <w:rsid w:val="00A33D5F"/>
    <w:rsid w:val="00A340D3"/>
    <w:rsid w:val="00A34BE1"/>
    <w:rsid w:val="00A34BE2"/>
    <w:rsid w:val="00A3528D"/>
    <w:rsid w:val="00A35325"/>
    <w:rsid w:val="00A3573F"/>
    <w:rsid w:val="00A3592B"/>
    <w:rsid w:val="00A359CA"/>
    <w:rsid w:val="00A35BA0"/>
    <w:rsid w:val="00A35E1A"/>
    <w:rsid w:val="00A360B8"/>
    <w:rsid w:val="00A36116"/>
    <w:rsid w:val="00A366BC"/>
    <w:rsid w:val="00A36771"/>
    <w:rsid w:val="00A36AC0"/>
    <w:rsid w:val="00A37467"/>
    <w:rsid w:val="00A3779C"/>
    <w:rsid w:val="00A37928"/>
    <w:rsid w:val="00A37F5E"/>
    <w:rsid w:val="00A40EE9"/>
    <w:rsid w:val="00A41049"/>
    <w:rsid w:val="00A411F4"/>
    <w:rsid w:val="00A4148C"/>
    <w:rsid w:val="00A41850"/>
    <w:rsid w:val="00A41D7E"/>
    <w:rsid w:val="00A41EC5"/>
    <w:rsid w:val="00A42468"/>
    <w:rsid w:val="00A427BA"/>
    <w:rsid w:val="00A432A9"/>
    <w:rsid w:val="00A433AB"/>
    <w:rsid w:val="00A436E7"/>
    <w:rsid w:val="00A43700"/>
    <w:rsid w:val="00A43876"/>
    <w:rsid w:val="00A43940"/>
    <w:rsid w:val="00A44183"/>
    <w:rsid w:val="00A44589"/>
    <w:rsid w:val="00A44EB6"/>
    <w:rsid w:val="00A451C5"/>
    <w:rsid w:val="00A454CD"/>
    <w:rsid w:val="00A45618"/>
    <w:rsid w:val="00A45622"/>
    <w:rsid w:val="00A4589A"/>
    <w:rsid w:val="00A45EBD"/>
    <w:rsid w:val="00A46003"/>
    <w:rsid w:val="00A4605C"/>
    <w:rsid w:val="00A47812"/>
    <w:rsid w:val="00A47840"/>
    <w:rsid w:val="00A47C6E"/>
    <w:rsid w:val="00A50537"/>
    <w:rsid w:val="00A50627"/>
    <w:rsid w:val="00A5090C"/>
    <w:rsid w:val="00A50BA5"/>
    <w:rsid w:val="00A51227"/>
    <w:rsid w:val="00A51923"/>
    <w:rsid w:val="00A51971"/>
    <w:rsid w:val="00A51B03"/>
    <w:rsid w:val="00A51D5C"/>
    <w:rsid w:val="00A52222"/>
    <w:rsid w:val="00A525BF"/>
    <w:rsid w:val="00A526B4"/>
    <w:rsid w:val="00A527EE"/>
    <w:rsid w:val="00A528A4"/>
    <w:rsid w:val="00A52AD6"/>
    <w:rsid w:val="00A52C1E"/>
    <w:rsid w:val="00A52CED"/>
    <w:rsid w:val="00A52D2B"/>
    <w:rsid w:val="00A5316E"/>
    <w:rsid w:val="00A538FE"/>
    <w:rsid w:val="00A53BB6"/>
    <w:rsid w:val="00A53EA8"/>
    <w:rsid w:val="00A53F3D"/>
    <w:rsid w:val="00A54AE4"/>
    <w:rsid w:val="00A54BC8"/>
    <w:rsid w:val="00A54C0F"/>
    <w:rsid w:val="00A54D17"/>
    <w:rsid w:val="00A54EA5"/>
    <w:rsid w:val="00A5561F"/>
    <w:rsid w:val="00A5573C"/>
    <w:rsid w:val="00A562B6"/>
    <w:rsid w:val="00A5637C"/>
    <w:rsid w:val="00A56822"/>
    <w:rsid w:val="00A56C8C"/>
    <w:rsid w:val="00A611D2"/>
    <w:rsid w:val="00A6138B"/>
    <w:rsid w:val="00A61761"/>
    <w:rsid w:val="00A618C9"/>
    <w:rsid w:val="00A6192F"/>
    <w:rsid w:val="00A61A95"/>
    <w:rsid w:val="00A622C4"/>
    <w:rsid w:val="00A6232F"/>
    <w:rsid w:val="00A62932"/>
    <w:rsid w:val="00A62A7C"/>
    <w:rsid w:val="00A63105"/>
    <w:rsid w:val="00A6338B"/>
    <w:rsid w:val="00A633F7"/>
    <w:rsid w:val="00A63407"/>
    <w:rsid w:val="00A6346F"/>
    <w:rsid w:val="00A636E2"/>
    <w:rsid w:val="00A63840"/>
    <w:rsid w:val="00A6442B"/>
    <w:rsid w:val="00A64E34"/>
    <w:rsid w:val="00A65195"/>
    <w:rsid w:val="00A6568E"/>
    <w:rsid w:val="00A6572C"/>
    <w:rsid w:val="00A663FD"/>
    <w:rsid w:val="00A675A8"/>
    <w:rsid w:val="00A675F1"/>
    <w:rsid w:val="00A67847"/>
    <w:rsid w:val="00A67A0A"/>
    <w:rsid w:val="00A67A85"/>
    <w:rsid w:val="00A67C66"/>
    <w:rsid w:val="00A67F2E"/>
    <w:rsid w:val="00A70264"/>
    <w:rsid w:val="00A70A5F"/>
    <w:rsid w:val="00A70D33"/>
    <w:rsid w:val="00A712FA"/>
    <w:rsid w:val="00A71985"/>
    <w:rsid w:val="00A7204E"/>
    <w:rsid w:val="00A72141"/>
    <w:rsid w:val="00A72441"/>
    <w:rsid w:val="00A72719"/>
    <w:rsid w:val="00A728D5"/>
    <w:rsid w:val="00A72975"/>
    <w:rsid w:val="00A72FCD"/>
    <w:rsid w:val="00A72FDD"/>
    <w:rsid w:val="00A730C2"/>
    <w:rsid w:val="00A73307"/>
    <w:rsid w:val="00A73341"/>
    <w:rsid w:val="00A733BC"/>
    <w:rsid w:val="00A7348F"/>
    <w:rsid w:val="00A738F7"/>
    <w:rsid w:val="00A73AEC"/>
    <w:rsid w:val="00A74351"/>
    <w:rsid w:val="00A74767"/>
    <w:rsid w:val="00A74B1F"/>
    <w:rsid w:val="00A75504"/>
    <w:rsid w:val="00A75560"/>
    <w:rsid w:val="00A75584"/>
    <w:rsid w:val="00A75A00"/>
    <w:rsid w:val="00A75E06"/>
    <w:rsid w:val="00A761EB"/>
    <w:rsid w:val="00A7621D"/>
    <w:rsid w:val="00A7628C"/>
    <w:rsid w:val="00A7652F"/>
    <w:rsid w:val="00A76D68"/>
    <w:rsid w:val="00A76E74"/>
    <w:rsid w:val="00A77224"/>
    <w:rsid w:val="00A779EE"/>
    <w:rsid w:val="00A77D95"/>
    <w:rsid w:val="00A80641"/>
    <w:rsid w:val="00A807EE"/>
    <w:rsid w:val="00A811DC"/>
    <w:rsid w:val="00A8137A"/>
    <w:rsid w:val="00A81BD4"/>
    <w:rsid w:val="00A81BF4"/>
    <w:rsid w:val="00A8215F"/>
    <w:rsid w:val="00A82DF3"/>
    <w:rsid w:val="00A8302A"/>
    <w:rsid w:val="00A835B3"/>
    <w:rsid w:val="00A836A5"/>
    <w:rsid w:val="00A843EA"/>
    <w:rsid w:val="00A845A2"/>
    <w:rsid w:val="00A8519E"/>
    <w:rsid w:val="00A85647"/>
    <w:rsid w:val="00A8577A"/>
    <w:rsid w:val="00A857BA"/>
    <w:rsid w:val="00A857D7"/>
    <w:rsid w:val="00A85F71"/>
    <w:rsid w:val="00A86363"/>
    <w:rsid w:val="00A86508"/>
    <w:rsid w:val="00A8694E"/>
    <w:rsid w:val="00A87121"/>
    <w:rsid w:val="00A87A19"/>
    <w:rsid w:val="00A87AA7"/>
    <w:rsid w:val="00A90794"/>
    <w:rsid w:val="00A90802"/>
    <w:rsid w:val="00A90B5A"/>
    <w:rsid w:val="00A90D38"/>
    <w:rsid w:val="00A90F29"/>
    <w:rsid w:val="00A90FFD"/>
    <w:rsid w:val="00A913E4"/>
    <w:rsid w:val="00A9148F"/>
    <w:rsid w:val="00A91658"/>
    <w:rsid w:val="00A924DF"/>
    <w:rsid w:val="00A92D89"/>
    <w:rsid w:val="00A92E8E"/>
    <w:rsid w:val="00A9357D"/>
    <w:rsid w:val="00A93BC5"/>
    <w:rsid w:val="00A93E70"/>
    <w:rsid w:val="00A940FE"/>
    <w:rsid w:val="00A94DA3"/>
    <w:rsid w:val="00A95184"/>
    <w:rsid w:val="00A95635"/>
    <w:rsid w:val="00A95BB7"/>
    <w:rsid w:val="00A95FCA"/>
    <w:rsid w:val="00A96310"/>
    <w:rsid w:val="00A965B9"/>
    <w:rsid w:val="00A96865"/>
    <w:rsid w:val="00A96A22"/>
    <w:rsid w:val="00A96B8F"/>
    <w:rsid w:val="00A96D2D"/>
    <w:rsid w:val="00A9736C"/>
    <w:rsid w:val="00A97548"/>
    <w:rsid w:val="00A976F5"/>
    <w:rsid w:val="00A9794E"/>
    <w:rsid w:val="00A979E3"/>
    <w:rsid w:val="00A97E7B"/>
    <w:rsid w:val="00AA00EA"/>
    <w:rsid w:val="00AA039C"/>
    <w:rsid w:val="00AA03D1"/>
    <w:rsid w:val="00AA1722"/>
    <w:rsid w:val="00AA1901"/>
    <w:rsid w:val="00AA1C40"/>
    <w:rsid w:val="00AA1D33"/>
    <w:rsid w:val="00AA28D6"/>
    <w:rsid w:val="00AA2C44"/>
    <w:rsid w:val="00AA2DB5"/>
    <w:rsid w:val="00AA2DFC"/>
    <w:rsid w:val="00AA38E9"/>
    <w:rsid w:val="00AA3A79"/>
    <w:rsid w:val="00AA41E3"/>
    <w:rsid w:val="00AA4C6D"/>
    <w:rsid w:val="00AA5044"/>
    <w:rsid w:val="00AA5067"/>
    <w:rsid w:val="00AA53D5"/>
    <w:rsid w:val="00AA58F0"/>
    <w:rsid w:val="00AA6116"/>
    <w:rsid w:val="00AA623D"/>
    <w:rsid w:val="00AA6E1C"/>
    <w:rsid w:val="00AA7460"/>
    <w:rsid w:val="00AA7521"/>
    <w:rsid w:val="00AA7F13"/>
    <w:rsid w:val="00AB001A"/>
    <w:rsid w:val="00AB016B"/>
    <w:rsid w:val="00AB064F"/>
    <w:rsid w:val="00AB090A"/>
    <w:rsid w:val="00AB0A00"/>
    <w:rsid w:val="00AB0C18"/>
    <w:rsid w:val="00AB1716"/>
    <w:rsid w:val="00AB1787"/>
    <w:rsid w:val="00AB1848"/>
    <w:rsid w:val="00AB1889"/>
    <w:rsid w:val="00AB1AAA"/>
    <w:rsid w:val="00AB207D"/>
    <w:rsid w:val="00AB24A8"/>
    <w:rsid w:val="00AB27B0"/>
    <w:rsid w:val="00AB32D4"/>
    <w:rsid w:val="00AB3329"/>
    <w:rsid w:val="00AB363E"/>
    <w:rsid w:val="00AB3A44"/>
    <w:rsid w:val="00AB3F65"/>
    <w:rsid w:val="00AB4512"/>
    <w:rsid w:val="00AB49A7"/>
    <w:rsid w:val="00AB4A91"/>
    <w:rsid w:val="00AB4E40"/>
    <w:rsid w:val="00AB4F4E"/>
    <w:rsid w:val="00AB4FD5"/>
    <w:rsid w:val="00AB5118"/>
    <w:rsid w:val="00AB53CD"/>
    <w:rsid w:val="00AB5A9D"/>
    <w:rsid w:val="00AB5CF9"/>
    <w:rsid w:val="00AB5E4E"/>
    <w:rsid w:val="00AB5EEB"/>
    <w:rsid w:val="00AB6716"/>
    <w:rsid w:val="00AB67AE"/>
    <w:rsid w:val="00AB6B30"/>
    <w:rsid w:val="00AB6D87"/>
    <w:rsid w:val="00AB7402"/>
    <w:rsid w:val="00AB7E6A"/>
    <w:rsid w:val="00AB7EA3"/>
    <w:rsid w:val="00AC0C80"/>
    <w:rsid w:val="00AC0D8B"/>
    <w:rsid w:val="00AC11BE"/>
    <w:rsid w:val="00AC12C9"/>
    <w:rsid w:val="00AC18D7"/>
    <w:rsid w:val="00AC19E6"/>
    <w:rsid w:val="00AC22FC"/>
    <w:rsid w:val="00AC23B7"/>
    <w:rsid w:val="00AC247D"/>
    <w:rsid w:val="00AC248E"/>
    <w:rsid w:val="00AC2664"/>
    <w:rsid w:val="00AC280C"/>
    <w:rsid w:val="00AC301D"/>
    <w:rsid w:val="00AC37D6"/>
    <w:rsid w:val="00AC43E0"/>
    <w:rsid w:val="00AC4434"/>
    <w:rsid w:val="00AC4AF7"/>
    <w:rsid w:val="00AC4CE0"/>
    <w:rsid w:val="00AC4F2E"/>
    <w:rsid w:val="00AC522F"/>
    <w:rsid w:val="00AC5512"/>
    <w:rsid w:val="00AC575C"/>
    <w:rsid w:val="00AC5772"/>
    <w:rsid w:val="00AC5CE1"/>
    <w:rsid w:val="00AC6464"/>
    <w:rsid w:val="00AC64A5"/>
    <w:rsid w:val="00AC66CF"/>
    <w:rsid w:val="00AC6852"/>
    <w:rsid w:val="00AC6F2C"/>
    <w:rsid w:val="00AC6FF5"/>
    <w:rsid w:val="00AC757E"/>
    <w:rsid w:val="00AC78BB"/>
    <w:rsid w:val="00AC7C1E"/>
    <w:rsid w:val="00AC7C47"/>
    <w:rsid w:val="00AC7C64"/>
    <w:rsid w:val="00AD0CFE"/>
    <w:rsid w:val="00AD0DB0"/>
    <w:rsid w:val="00AD0E51"/>
    <w:rsid w:val="00AD131F"/>
    <w:rsid w:val="00AD16A4"/>
    <w:rsid w:val="00AD1958"/>
    <w:rsid w:val="00AD1FCE"/>
    <w:rsid w:val="00AD234B"/>
    <w:rsid w:val="00AD255F"/>
    <w:rsid w:val="00AD2585"/>
    <w:rsid w:val="00AD2978"/>
    <w:rsid w:val="00AD2EB0"/>
    <w:rsid w:val="00AD2EEA"/>
    <w:rsid w:val="00AD38DA"/>
    <w:rsid w:val="00AD48C9"/>
    <w:rsid w:val="00AD4B79"/>
    <w:rsid w:val="00AD4DB2"/>
    <w:rsid w:val="00AD56C0"/>
    <w:rsid w:val="00AD581A"/>
    <w:rsid w:val="00AD5AB2"/>
    <w:rsid w:val="00AD5B23"/>
    <w:rsid w:val="00AD6607"/>
    <w:rsid w:val="00AD6B53"/>
    <w:rsid w:val="00AD6D22"/>
    <w:rsid w:val="00AD6EBB"/>
    <w:rsid w:val="00AD714C"/>
    <w:rsid w:val="00AD7CBD"/>
    <w:rsid w:val="00AE03AF"/>
    <w:rsid w:val="00AE0BB1"/>
    <w:rsid w:val="00AE0F75"/>
    <w:rsid w:val="00AE0FB6"/>
    <w:rsid w:val="00AE1240"/>
    <w:rsid w:val="00AE1C12"/>
    <w:rsid w:val="00AE3718"/>
    <w:rsid w:val="00AE39DB"/>
    <w:rsid w:val="00AE3A63"/>
    <w:rsid w:val="00AE4021"/>
    <w:rsid w:val="00AE4E92"/>
    <w:rsid w:val="00AE5204"/>
    <w:rsid w:val="00AE52F2"/>
    <w:rsid w:val="00AE53C9"/>
    <w:rsid w:val="00AE5609"/>
    <w:rsid w:val="00AE572E"/>
    <w:rsid w:val="00AE5C0F"/>
    <w:rsid w:val="00AE5C98"/>
    <w:rsid w:val="00AE5E8E"/>
    <w:rsid w:val="00AE613F"/>
    <w:rsid w:val="00AE688F"/>
    <w:rsid w:val="00AE6897"/>
    <w:rsid w:val="00AE6B98"/>
    <w:rsid w:val="00AE6C75"/>
    <w:rsid w:val="00AE6ED8"/>
    <w:rsid w:val="00AE6F56"/>
    <w:rsid w:val="00AE7437"/>
    <w:rsid w:val="00AE7488"/>
    <w:rsid w:val="00AE7F7E"/>
    <w:rsid w:val="00AF0716"/>
    <w:rsid w:val="00AF0738"/>
    <w:rsid w:val="00AF07D3"/>
    <w:rsid w:val="00AF08C7"/>
    <w:rsid w:val="00AF0D56"/>
    <w:rsid w:val="00AF0F10"/>
    <w:rsid w:val="00AF0FE8"/>
    <w:rsid w:val="00AF124D"/>
    <w:rsid w:val="00AF1C4B"/>
    <w:rsid w:val="00AF1CF1"/>
    <w:rsid w:val="00AF221A"/>
    <w:rsid w:val="00AF2BD3"/>
    <w:rsid w:val="00AF372B"/>
    <w:rsid w:val="00AF3C2D"/>
    <w:rsid w:val="00AF3D09"/>
    <w:rsid w:val="00AF3DDD"/>
    <w:rsid w:val="00AF443A"/>
    <w:rsid w:val="00AF4498"/>
    <w:rsid w:val="00AF4A62"/>
    <w:rsid w:val="00AF4CD2"/>
    <w:rsid w:val="00AF4D2F"/>
    <w:rsid w:val="00AF54B7"/>
    <w:rsid w:val="00AF5546"/>
    <w:rsid w:val="00AF555A"/>
    <w:rsid w:val="00AF5724"/>
    <w:rsid w:val="00AF57D3"/>
    <w:rsid w:val="00AF5844"/>
    <w:rsid w:val="00AF5870"/>
    <w:rsid w:val="00AF5D55"/>
    <w:rsid w:val="00AF61BB"/>
    <w:rsid w:val="00AF64BA"/>
    <w:rsid w:val="00AF6578"/>
    <w:rsid w:val="00AF672F"/>
    <w:rsid w:val="00AF6A3F"/>
    <w:rsid w:val="00AF72AA"/>
    <w:rsid w:val="00AF76E1"/>
    <w:rsid w:val="00AF7A52"/>
    <w:rsid w:val="00B00226"/>
    <w:rsid w:val="00B00389"/>
    <w:rsid w:val="00B010A5"/>
    <w:rsid w:val="00B012A1"/>
    <w:rsid w:val="00B014D1"/>
    <w:rsid w:val="00B0190A"/>
    <w:rsid w:val="00B01E5C"/>
    <w:rsid w:val="00B01EFE"/>
    <w:rsid w:val="00B029CE"/>
    <w:rsid w:val="00B0364A"/>
    <w:rsid w:val="00B04306"/>
    <w:rsid w:val="00B04497"/>
    <w:rsid w:val="00B05684"/>
    <w:rsid w:val="00B0568B"/>
    <w:rsid w:val="00B059D9"/>
    <w:rsid w:val="00B05B6F"/>
    <w:rsid w:val="00B05CF2"/>
    <w:rsid w:val="00B066E0"/>
    <w:rsid w:val="00B06B88"/>
    <w:rsid w:val="00B06CDB"/>
    <w:rsid w:val="00B07453"/>
    <w:rsid w:val="00B07875"/>
    <w:rsid w:val="00B10244"/>
    <w:rsid w:val="00B10257"/>
    <w:rsid w:val="00B1137C"/>
    <w:rsid w:val="00B113A8"/>
    <w:rsid w:val="00B118E9"/>
    <w:rsid w:val="00B11B82"/>
    <w:rsid w:val="00B11C17"/>
    <w:rsid w:val="00B11C1D"/>
    <w:rsid w:val="00B11CEC"/>
    <w:rsid w:val="00B11D2B"/>
    <w:rsid w:val="00B125AD"/>
    <w:rsid w:val="00B12722"/>
    <w:rsid w:val="00B12B79"/>
    <w:rsid w:val="00B133A3"/>
    <w:rsid w:val="00B133DB"/>
    <w:rsid w:val="00B135DD"/>
    <w:rsid w:val="00B13664"/>
    <w:rsid w:val="00B13A1D"/>
    <w:rsid w:val="00B14593"/>
    <w:rsid w:val="00B14EE0"/>
    <w:rsid w:val="00B150E2"/>
    <w:rsid w:val="00B15439"/>
    <w:rsid w:val="00B157DF"/>
    <w:rsid w:val="00B15817"/>
    <w:rsid w:val="00B15D8D"/>
    <w:rsid w:val="00B1623E"/>
    <w:rsid w:val="00B16361"/>
    <w:rsid w:val="00B16E5D"/>
    <w:rsid w:val="00B176E0"/>
    <w:rsid w:val="00B17EB4"/>
    <w:rsid w:val="00B17FE2"/>
    <w:rsid w:val="00B204AE"/>
    <w:rsid w:val="00B20DC5"/>
    <w:rsid w:val="00B21158"/>
    <w:rsid w:val="00B214C3"/>
    <w:rsid w:val="00B214EB"/>
    <w:rsid w:val="00B216CA"/>
    <w:rsid w:val="00B2186F"/>
    <w:rsid w:val="00B219EC"/>
    <w:rsid w:val="00B22354"/>
    <w:rsid w:val="00B223EC"/>
    <w:rsid w:val="00B22489"/>
    <w:rsid w:val="00B2297B"/>
    <w:rsid w:val="00B22985"/>
    <w:rsid w:val="00B22B79"/>
    <w:rsid w:val="00B22E26"/>
    <w:rsid w:val="00B2310A"/>
    <w:rsid w:val="00B23556"/>
    <w:rsid w:val="00B2394B"/>
    <w:rsid w:val="00B23B8E"/>
    <w:rsid w:val="00B23D6A"/>
    <w:rsid w:val="00B23EE2"/>
    <w:rsid w:val="00B2509F"/>
    <w:rsid w:val="00B2539D"/>
    <w:rsid w:val="00B25C38"/>
    <w:rsid w:val="00B2675C"/>
    <w:rsid w:val="00B2689F"/>
    <w:rsid w:val="00B26A7A"/>
    <w:rsid w:val="00B26B2B"/>
    <w:rsid w:val="00B26C51"/>
    <w:rsid w:val="00B26C88"/>
    <w:rsid w:val="00B27836"/>
    <w:rsid w:val="00B27998"/>
    <w:rsid w:val="00B27F86"/>
    <w:rsid w:val="00B302E7"/>
    <w:rsid w:val="00B30708"/>
    <w:rsid w:val="00B30961"/>
    <w:rsid w:val="00B31306"/>
    <w:rsid w:val="00B31C20"/>
    <w:rsid w:val="00B31FBE"/>
    <w:rsid w:val="00B325FA"/>
    <w:rsid w:val="00B327E7"/>
    <w:rsid w:val="00B32D5B"/>
    <w:rsid w:val="00B32E8C"/>
    <w:rsid w:val="00B32F68"/>
    <w:rsid w:val="00B334CE"/>
    <w:rsid w:val="00B33707"/>
    <w:rsid w:val="00B338CF"/>
    <w:rsid w:val="00B33D29"/>
    <w:rsid w:val="00B34979"/>
    <w:rsid w:val="00B35073"/>
    <w:rsid w:val="00B355EC"/>
    <w:rsid w:val="00B35769"/>
    <w:rsid w:val="00B35EAE"/>
    <w:rsid w:val="00B36337"/>
    <w:rsid w:val="00B365B4"/>
    <w:rsid w:val="00B373E7"/>
    <w:rsid w:val="00B3786B"/>
    <w:rsid w:val="00B4023F"/>
    <w:rsid w:val="00B40346"/>
    <w:rsid w:val="00B40524"/>
    <w:rsid w:val="00B407FD"/>
    <w:rsid w:val="00B40DBD"/>
    <w:rsid w:val="00B40E54"/>
    <w:rsid w:val="00B41007"/>
    <w:rsid w:val="00B412A1"/>
    <w:rsid w:val="00B41C87"/>
    <w:rsid w:val="00B425AD"/>
    <w:rsid w:val="00B426F9"/>
    <w:rsid w:val="00B42858"/>
    <w:rsid w:val="00B428E2"/>
    <w:rsid w:val="00B44169"/>
    <w:rsid w:val="00B44865"/>
    <w:rsid w:val="00B451AA"/>
    <w:rsid w:val="00B45384"/>
    <w:rsid w:val="00B45B9A"/>
    <w:rsid w:val="00B45EDE"/>
    <w:rsid w:val="00B460B8"/>
    <w:rsid w:val="00B4647C"/>
    <w:rsid w:val="00B46E6F"/>
    <w:rsid w:val="00B47351"/>
    <w:rsid w:val="00B47709"/>
    <w:rsid w:val="00B4771F"/>
    <w:rsid w:val="00B47B84"/>
    <w:rsid w:val="00B505AC"/>
    <w:rsid w:val="00B506D6"/>
    <w:rsid w:val="00B50D58"/>
    <w:rsid w:val="00B50D80"/>
    <w:rsid w:val="00B50DBD"/>
    <w:rsid w:val="00B50EF5"/>
    <w:rsid w:val="00B5113C"/>
    <w:rsid w:val="00B51E09"/>
    <w:rsid w:val="00B520A5"/>
    <w:rsid w:val="00B521BC"/>
    <w:rsid w:val="00B52804"/>
    <w:rsid w:val="00B52DA7"/>
    <w:rsid w:val="00B52DE8"/>
    <w:rsid w:val="00B52E1C"/>
    <w:rsid w:val="00B530E5"/>
    <w:rsid w:val="00B537B6"/>
    <w:rsid w:val="00B53A5E"/>
    <w:rsid w:val="00B53C09"/>
    <w:rsid w:val="00B53D09"/>
    <w:rsid w:val="00B53DE8"/>
    <w:rsid w:val="00B53EF0"/>
    <w:rsid w:val="00B54063"/>
    <w:rsid w:val="00B545AD"/>
    <w:rsid w:val="00B55184"/>
    <w:rsid w:val="00B55258"/>
    <w:rsid w:val="00B55D1E"/>
    <w:rsid w:val="00B561EA"/>
    <w:rsid w:val="00B5639F"/>
    <w:rsid w:val="00B5647F"/>
    <w:rsid w:val="00B56703"/>
    <w:rsid w:val="00B56751"/>
    <w:rsid w:val="00B567B7"/>
    <w:rsid w:val="00B56F4E"/>
    <w:rsid w:val="00B574DF"/>
    <w:rsid w:val="00B5794D"/>
    <w:rsid w:val="00B57A17"/>
    <w:rsid w:val="00B57B0F"/>
    <w:rsid w:val="00B57EFB"/>
    <w:rsid w:val="00B57F27"/>
    <w:rsid w:val="00B60560"/>
    <w:rsid w:val="00B609D4"/>
    <w:rsid w:val="00B61056"/>
    <w:rsid w:val="00B616E2"/>
    <w:rsid w:val="00B6236F"/>
    <w:rsid w:val="00B626E3"/>
    <w:rsid w:val="00B62DCD"/>
    <w:rsid w:val="00B62F6D"/>
    <w:rsid w:val="00B63A10"/>
    <w:rsid w:val="00B63C34"/>
    <w:rsid w:val="00B63E4F"/>
    <w:rsid w:val="00B6414B"/>
    <w:rsid w:val="00B6455E"/>
    <w:rsid w:val="00B64769"/>
    <w:rsid w:val="00B64C9C"/>
    <w:rsid w:val="00B64CE4"/>
    <w:rsid w:val="00B65A80"/>
    <w:rsid w:val="00B65DAB"/>
    <w:rsid w:val="00B65FA9"/>
    <w:rsid w:val="00B664BD"/>
    <w:rsid w:val="00B66A14"/>
    <w:rsid w:val="00B66D03"/>
    <w:rsid w:val="00B66EC9"/>
    <w:rsid w:val="00B673D3"/>
    <w:rsid w:val="00B6777E"/>
    <w:rsid w:val="00B6779B"/>
    <w:rsid w:val="00B67A2D"/>
    <w:rsid w:val="00B67AB9"/>
    <w:rsid w:val="00B67C82"/>
    <w:rsid w:val="00B70A77"/>
    <w:rsid w:val="00B70F0C"/>
    <w:rsid w:val="00B71624"/>
    <w:rsid w:val="00B71771"/>
    <w:rsid w:val="00B72168"/>
    <w:rsid w:val="00B72186"/>
    <w:rsid w:val="00B7239C"/>
    <w:rsid w:val="00B723F3"/>
    <w:rsid w:val="00B72573"/>
    <w:rsid w:val="00B725E3"/>
    <w:rsid w:val="00B725F2"/>
    <w:rsid w:val="00B72FC0"/>
    <w:rsid w:val="00B7308E"/>
    <w:rsid w:val="00B732BB"/>
    <w:rsid w:val="00B737CD"/>
    <w:rsid w:val="00B73901"/>
    <w:rsid w:val="00B73E4F"/>
    <w:rsid w:val="00B744B5"/>
    <w:rsid w:val="00B74C9A"/>
    <w:rsid w:val="00B74FAE"/>
    <w:rsid w:val="00B75439"/>
    <w:rsid w:val="00B75911"/>
    <w:rsid w:val="00B75C16"/>
    <w:rsid w:val="00B76066"/>
    <w:rsid w:val="00B761BF"/>
    <w:rsid w:val="00B7681C"/>
    <w:rsid w:val="00B76877"/>
    <w:rsid w:val="00B77510"/>
    <w:rsid w:val="00B77830"/>
    <w:rsid w:val="00B802E2"/>
    <w:rsid w:val="00B80445"/>
    <w:rsid w:val="00B80671"/>
    <w:rsid w:val="00B814B5"/>
    <w:rsid w:val="00B8183D"/>
    <w:rsid w:val="00B81972"/>
    <w:rsid w:val="00B8226E"/>
    <w:rsid w:val="00B822C8"/>
    <w:rsid w:val="00B8257F"/>
    <w:rsid w:val="00B825F1"/>
    <w:rsid w:val="00B82783"/>
    <w:rsid w:val="00B8328E"/>
    <w:rsid w:val="00B8349A"/>
    <w:rsid w:val="00B83C4A"/>
    <w:rsid w:val="00B8462B"/>
    <w:rsid w:val="00B84B8D"/>
    <w:rsid w:val="00B8547C"/>
    <w:rsid w:val="00B8587B"/>
    <w:rsid w:val="00B85C3D"/>
    <w:rsid w:val="00B85F91"/>
    <w:rsid w:val="00B86958"/>
    <w:rsid w:val="00B869DA"/>
    <w:rsid w:val="00B86B7F"/>
    <w:rsid w:val="00B86F31"/>
    <w:rsid w:val="00B86F73"/>
    <w:rsid w:val="00B872C2"/>
    <w:rsid w:val="00B877A7"/>
    <w:rsid w:val="00B877C9"/>
    <w:rsid w:val="00B878B4"/>
    <w:rsid w:val="00B87AAE"/>
    <w:rsid w:val="00B87B17"/>
    <w:rsid w:val="00B90179"/>
    <w:rsid w:val="00B90336"/>
    <w:rsid w:val="00B91164"/>
    <w:rsid w:val="00B91236"/>
    <w:rsid w:val="00B91497"/>
    <w:rsid w:val="00B91501"/>
    <w:rsid w:val="00B916F2"/>
    <w:rsid w:val="00B91BD9"/>
    <w:rsid w:val="00B91C3B"/>
    <w:rsid w:val="00B91DF5"/>
    <w:rsid w:val="00B91E4F"/>
    <w:rsid w:val="00B928A8"/>
    <w:rsid w:val="00B92EE7"/>
    <w:rsid w:val="00B932F1"/>
    <w:rsid w:val="00B9334E"/>
    <w:rsid w:val="00B9337B"/>
    <w:rsid w:val="00B93972"/>
    <w:rsid w:val="00B953E8"/>
    <w:rsid w:val="00B956FC"/>
    <w:rsid w:val="00B95842"/>
    <w:rsid w:val="00B95CDC"/>
    <w:rsid w:val="00B95D52"/>
    <w:rsid w:val="00B95FD3"/>
    <w:rsid w:val="00B961AF"/>
    <w:rsid w:val="00B9643F"/>
    <w:rsid w:val="00B96568"/>
    <w:rsid w:val="00B96715"/>
    <w:rsid w:val="00B968F6"/>
    <w:rsid w:val="00B96B66"/>
    <w:rsid w:val="00B96D7B"/>
    <w:rsid w:val="00B96F6E"/>
    <w:rsid w:val="00B97289"/>
    <w:rsid w:val="00B97604"/>
    <w:rsid w:val="00B9769B"/>
    <w:rsid w:val="00B976BC"/>
    <w:rsid w:val="00B97898"/>
    <w:rsid w:val="00B97D1A"/>
    <w:rsid w:val="00B97EAD"/>
    <w:rsid w:val="00BA0577"/>
    <w:rsid w:val="00BA069A"/>
    <w:rsid w:val="00BA0770"/>
    <w:rsid w:val="00BA07D4"/>
    <w:rsid w:val="00BA09C1"/>
    <w:rsid w:val="00BA0B92"/>
    <w:rsid w:val="00BA0C69"/>
    <w:rsid w:val="00BA1768"/>
    <w:rsid w:val="00BA22BE"/>
    <w:rsid w:val="00BA26C5"/>
    <w:rsid w:val="00BA2D8A"/>
    <w:rsid w:val="00BA2E7D"/>
    <w:rsid w:val="00BA2E8E"/>
    <w:rsid w:val="00BA317B"/>
    <w:rsid w:val="00BA3860"/>
    <w:rsid w:val="00BA39ED"/>
    <w:rsid w:val="00BA3C04"/>
    <w:rsid w:val="00BA3D44"/>
    <w:rsid w:val="00BA492F"/>
    <w:rsid w:val="00BA4EC8"/>
    <w:rsid w:val="00BA4F35"/>
    <w:rsid w:val="00BA5719"/>
    <w:rsid w:val="00BA5AEA"/>
    <w:rsid w:val="00BA604C"/>
    <w:rsid w:val="00BA6739"/>
    <w:rsid w:val="00BA6951"/>
    <w:rsid w:val="00BA6F8B"/>
    <w:rsid w:val="00BA71F0"/>
    <w:rsid w:val="00BA77A0"/>
    <w:rsid w:val="00BA7B5F"/>
    <w:rsid w:val="00BA7C43"/>
    <w:rsid w:val="00BA7DED"/>
    <w:rsid w:val="00BB03D4"/>
    <w:rsid w:val="00BB0DF0"/>
    <w:rsid w:val="00BB0E51"/>
    <w:rsid w:val="00BB105D"/>
    <w:rsid w:val="00BB120D"/>
    <w:rsid w:val="00BB12B0"/>
    <w:rsid w:val="00BB15A1"/>
    <w:rsid w:val="00BB20E0"/>
    <w:rsid w:val="00BB20F9"/>
    <w:rsid w:val="00BB2B58"/>
    <w:rsid w:val="00BB2D9B"/>
    <w:rsid w:val="00BB321E"/>
    <w:rsid w:val="00BB34E5"/>
    <w:rsid w:val="00BB35D7"/>
    <w:rsid w:val="00BB3658"/>
    <w:rsid w:val="00BB396F"/>
    <w:rsid w:val="00BB44DC"/>
    <w:rsid w:val="00BB459A"/>
    <w:rsid w:val="00BB4B58"/>
    <w:rsid w:val="00BB4B8A"/>
    <w:rsid w:val="00BB4F77"/>
    <w:rsid w:val="00BB54D3"/>
    <w:rsid w:val="00BB5695"/>
    <w:rsid w:val="00BB58E0"/>
    <w:rsid w:val="00BB5B1C"/>
    <w:rsid w:val="00BB5CA8"/>
    <w:rsid w:val="00BB5F8C"/>
    <w:rsid w:val="00BB6524"/>
    <w:rsid w:val="00BB65E1"/>
    <w:rsid w:val="00BB679C"/>
    <w:rsid w:val="00BB6CBD"/>
    <w:rsid w:val="00BB6E68"/>
    <w:rsid w:val="00BB7485"/>
    <w:rsid w:val="00BB7664"/>
    <w:rsid w:val="00BB79E7"/>
    <w:rsid w:val="00BC01A5"/>
    <w:rsid w:val="00BC045D"/>
    <w:rsid w:val="00BC0694"/>
    <w:rsid w:val="00BC0E57"/>
    <w:rsid w:val="00BC23B8"/>
    <w:rsid w:val="00BC26FC"/>
    <w:rsid w:val="00BC274E"/>
    <w:rsid w:val="00BC2D14"/>
    <w:rsid w:val="00BC3249"/>
    <w:rsid w:val="00BC32C7"/>
    <w:rsid w:val="00BC3C2E"/>
    <w:rsid w:val="00BC3CAD"/>
    <w:rsid w:val="00BC3CD9"/>
    <w:rsid w:val="00BC3FAF"/>
    <w:rsid w:val="00BC3FF5"/>
    <w:rsid w:val="00BC47FA"/>
    <w:rsid w:val="00BC51B3"/>
    <w:rsid w:val="00BC5414"/>
    <w:rsid w:val="00BC547A"/>
    <w:rsid w:val="00BC5554"/>
    <w:rsid w:val="00BC5830"/>
    <w:rsid w:val="00BC5917"/>
    <w:rsid w:val="00BC59CF"/>
    <w:rsid w:val="00BC5C53"/>
    <w:rsid w:val="00BC6315"/>
    <w:rsid w:val="00BC6397"/>
    <w:rsid w:val="00BC63E3"/>
    <w:rsid w:val="00BC6C33"/>
    <w:rsid w:val="00BC6F70"/>
    <w:rsid w:val="00BC711A"/>
    <w:rsid w:val="00BC738D"/>
    <w:rsid w:val="00BC73D5"/>
    <w:rsid w:val="00BC75E4"/>
    <w:rsid w:val="00BD0525"/>
    <w:rsid w:val="00BD0929"/>
    <w:rsid w:val="00BD0A95"/>
    <w:rsid w:val="00BD0AAD"/>
    <w:rsid w:val="00BD0BBA"/>
    <w:rsid w:val="00BD0E10"/>
    <w:rsid w:val="00BD12A6"/>
    <w:rsid w:val="00BD14C7"/>
    <w:rsid w:val="00BD1632"/>
    <w:rsid w:val="00BD1AEA"/>
    <w:rsid w:val="00BD1F8B"/>
    <w:rsid w:val="00BD22B2"/>
    <w:rsid w:val="00BD3087"/>
    <w:rsid w:val="00BD32BA"/>
    <w:rsid w:val="00BD3896"/>
    <w:rsid w:val="00BD3AB8"/>
    <w:rsid w:val="00BD40A3"/>
    <w:rsid w:val="00BD4100"/>
    <w:rsid w:val="00BD42EC"/>
    <w:rsid w:val="00BD465A"/>
    <w:rsid w:val="00BD55E6"/>
    <w:rsid w:val="00BD5A1A"/>
    <w:rsid w:val="00BD6B4B"/>
    <w:rsid w:val="00BD6FA6"/>
    <w:rsid w:val="00BD72B7"/>
    <w:rsid w:val="00BD7CC7"/>
    <w:rsid w:val="00BD7FF0"/>
    <w:rsid w:val="00BE00F6"/>
    <w:rsid w:val="00BE0396"/>
    <w:rsid w:val="00BE07B6"/>
    <w:rsid w:val="00BE09A0"/>
    <w:rsid w:val="00BE0B3C"/>
    <w:rsid w:val="00BE0FD3"/>
    <w:rsid w:val="00BE13C6"/>
    <w:rsid w:val="00BE1564"/>
    <w:rsid w:val="00BE198E"/>
    <w:rsid w:val="00BE19B8"/>
    <w:rsid w:val="00BE1D90"/>
    <w:rsid w:val="00BE1E69"/>
    <w:rsid w:val="00BE1F4D"/>
    <w:rsid w:val="00BE2ECB"/>
    <w:rsid w:val="00BE320F"/>
    <w:rsid w:val="00BE3501"/>
    <w:rsid w:val="00BE3692"/>
    <w:rsid w:val="00BE3885"/>
    <w:rsid w:val="00BE437B"/>
    <w:rsid w:val="00BE4512"/>
    <w:rsid w:val="00BE470D"/>
    <w:rsid w:val="00BE488E"/>
    <w:rsid w:val="00BE4F45"/>
    <w:rsid w:val="00BE4F4E"/>
    <w:rsid w:val="00BE5002"/>
    <w:rsid w:val="00BE5112"/>
    <w:rsid w:val="00BE53D9"/>
    <w:rsid w:val="00BE548F"/>
    <w:rsid w:val="00BE55E4"/>
    <w:rsid w:val="00BE5CD4"/>
    <w:rsid w:val="00BE5E14"/>
    <w:rsid w:val="00BE6244"/>
    <w:rsid w:val="00BE6405"/>
    <w:rsid w:val="00BE6589"/>
    <w:rsid w:val="00BE6914"/>
    <w:rsid w:val="00BE69D4"/>
    <w:rsid w:val="00BE6E6C"/>
    <w:rsid w:val="00BE7509"/>
    <w:rsid w:val="00BF0038"/>
    <w:rsid w:val="00BF038F"/>
    <w:rsid w:val="00BF050A"/>
    <w:rsid w:val="00BF0632"/>
    <w:rsid w:val="00BF0710"/>
    <w:rsid w:val="00BF0B1B"/>
    <w:rsid w:val="00BF0E7E"/>
    <w:rsid w:val="00BF17EA"/>
    <w:rsid w:val="00BF1859"/>
    <w:rsid w:val="00BF18A8"/>
    <w:rsid w:val="00BF21AD"/>
    <w:rsid w:val="00BF2391"/>
    <w:rsid w:val="00BF2AC5"/>
    <w:rsid w:val="00BF2B36"/>
    <w:rsid w:val="00BF2C98"/>
    <w:rsid w:val="00BF2D81"/>
    <w:rsid w:val="00BF2DEF"/>
    <w:rsid w:val="00BF30E0"/>
    <w:rsid w:val="00BF37F8"/>
    <w:rsid w:val="00BF3B1B"/>
    <w:rsid w:val="00BF3C28"/>
    <w:rsid w:val="00BF3FD8"/>
    <w:rsid w:val="00BF4026"/>
    <w:rsid w:val="00BF439D"/>
    <w:rsid w:val="00BF4482"/>
    <w:rsid w:val="00BF4803"/>
    <w:rsid w:val="00BF4BB6"/>
    <w:rsid w:val="00BF4CDE"/>
    <w:rsid w:val="00BF4DA1"/>
    <w:rsid w:val="00BF50C1"/>
    <w:rsid w:val="00BF5A3D"/>
    <w:rsid w:val="00BF5C69"/>
    <w:rsid w:val="00BF5DA4"/>
    <w:rsid w:val="00BF5FAD"/>
    <w:rsid w:val="00BF615B"/>
    <w:rsid w:val="00BF65AF"/>
    <w:rsid w:val="00BF6780"/>
    <w:rsid w:val="00BF6CC5"/>
    <w:rsid w:val="00BF6E2C"/>
    <w:rsid w:val="00BF78F4"/>
    <w:rsid w:val="00BF7B90"/>
    <w:rsid w:val="00BF7C4C"/>
    <w:rsid w:val="00BF7E8D"/>
    <w:rsid w:val="00C0041D"/>
    <w:rsid w:val="00C004D0"/>
    <w:rsid w:val="00C006B8"/>
    <w:rsid w:val="00C009F8"/>
    <w:rsid w:val="00C00E0A"/>
    <w:rsid w:val="00C00E11"/>
    <w:rsid w:val="00C01822"/>
    <w:rsid w:val="00C01AE1"/>
    <w:rsid w:val="00C01EC0"/>
    <w:rsid w:val="00C0235F"/>
    <w:rsid w:val="00C023E8"/>
    <w:rsid w:val="00C02D4D"/>
    <w:rsid w:val="00C02F46"/>
    <w:rsid w:val="00C03109"/>
    <w:rsid w:val="00C034C3"/>
    <w:rsid w:val="00C04954"/>
    <w:rsid w:val="00C04E15"/>
    <w:rsid w:val="00C04E3E"/>
    <w:rsid w:val="00C0527C"/>
    <w:rsid w:val="00C056F3"/>
    <w:rsid w:val="00C0571F"/>
    <w:rsid w:val="00C059A2"/>
    <w:rsid w:val="00C059A4"/>
    <w:rsid w:val="00C0651F"/>
    <w:rsid w:val="00C06ADD"/>
    <w:rsid w:val="00C06EB5"/>
    <w:rsid w:val="00C07201"/>
    <w:rsid w:val="00C0771A"/>
    <w:rsid w:val="00C077A8"/>
    <w:rsid w:val="00C07A13"/>
    <w:rsid w:val="00C1013E"/>
    <w:rsid w:val="00C10497"/>
    <w:rsid w:val="00C1052C"/>
    <w:rsid w:val="00C1071A"/>
    <w:rsid w:val="00C10A6E"/>
    <w:rsid w:val="00C1106F"/>
    <w:rsid w:val="00C110C3"/>
    <w:rsid w:val="00C1116E"/>
    <w:rsid w:val="00C1122B"/>
    <w:rsid w:val="00C11484"/>
    <w:rsid w:val="00C11B1B"/>
    <w:rsid w:val="00C1217C"/>
    <w:rsid w:val="00C121AA"/>
    <w:rsid w:val="00C1231E"/>
    <w:rsid w:val="00C124C9"/>
    <w:rsid w:val="00C127CF"/>
    <w:rsid w:val="00C12AFE"/>
    <w:rsid w:val="00C13117"/>
    <w:rsid w:val="00C13AF8"/>
    <w:rsid w:val="00C13DAC"/>
    <w:rsid w:val="00C13F57"/>
    <w:rsid w:val="00C14322"/>
    <w:rsid w:val="00C14509"/>
    <w:rsid w:val="00C145A0"/>
    <w:rsid w:val="00C1484F"/>
    <w:rsid w:val="00C1486E"/>
    <w:rsid w:val="00C14DF9"/>
    <w:rsid w:val="00C15522"/>
    <w:rsid w:val="00C158A7"/>
    <w:rsid w:val="00C15DEB"/>
    <w:rsid w:val="00C1697B"/>
    <w:rsid w:val="00C16AB4"/>
    <w:rsid w:val="00C16BA7"/>
    <w:rsid w:val="00C16BB9"/>
    <w:rsid w:val="00C170C9"/>
    <w:rsid w:val="00C173A1"/>
    <w:rsid w:val="00C17ACC"/>
    <w:rsid w:val="00C17B48"/>
    <w:rsid w:val="00C17DAD"/>
    <w:rsid w:val="00C203E0"/>
    <w:rsid w:val="00C20BEA"/>
    <w:rsid w:val="00C20C3B"/>
    <w:rsid w:val="00C20D7B"/>
    <w:rsid w:val="00C21385"/>
    <w:rsid w:val="00C21676"/>
    <w:rsid w:val="00C219BE"/>
    <w:rsid w:val="00C22147"/>
    <w:rsid w:val="00C231D7"/>
    <w:rsid w:val="00C23E59"/>
    <w:rsid w:val="00C2408F"/>
    <w:rsid w:val="00C24406"/>
    <w:rsid w:val="00C24AD3"/>
    <w:rsid w:val="00C24D94"/>
    <w:rsid w:val="00C25AD8"/>
    <w:rsid w:val="00C25EE9"/>
    <w:rsid w:val="00C26744"/>
    <w:rsid w:val="00C27051"/>
    <w:rsid w:val="00C27685"/>
    <w:rsid w:val="00C276BF"/>
    <w:rsid w:val="00C27E49"/>
    <w:rsid w:val="00C302D7"/>
    <w:rsid w:val="00C3058F"/>
    <w:rsid w:val="00C30776"/>
    <w:rsid w:val="00C308FE"/>
    <w:rsid w:val="00C30BFA"/>
    <w:rsid w:val="00C30DA1"/>
    <w:rsid w:val="00C318FC"/>
    <w:rsid w:val="00C31FA5"/>
    <w:rsid w:val="00C3225C"/>
    <w:rsid w:val="00C3252D"/>
    <w:rsid w:val="00C328BF"/>
    <w:rsid w:val="00C32DDB"/>
    <w:rsid w:val="00C3348F"/>
    <w:rsid w:val="00C33716"/>
    <w:rsid w:val="00C33BF6"/>
    <w:rsid w:val="00C34819"/>
    <w:rsid w:val="00C34FDE"/>
    <w:rsid w:val="00C35191"/>
    <w:rsid w:val="00C351B6"/>
    <w:rsid w:val="00C35331"/>
    <w:rsid w:val="00C35419"/>
    <w:rsid w:val="00C35737"/>
    <w:rsid w:val="00C35909"/>
    <w:rsid w:val="00C35980"/>
    <w:rsid w:val="00C35C82"/>
    <w:rsid w:val="00C361DD"/>
    <w:rsid w:val="00C36A99"/>
    <w:rsid w:val="00C36F44"/>
    <w:rsid w:val="00C37352"/>
    <w:rsid w:val="00C3737E"/>
    <w:rsid w:val="00C37A0B"/>
    <w:rsid w:val="00C37BC5"/>
    <w:rsid w:val="00C37C53"/>
    <w:rsid w:val="00C37F32"/>
    <w:rsid w:val="00C401E7"/>
    <w:rsid w:val="00C40DA8"/>
    <w:rsid w:val="00C414FB"/>
    <w:rsid w:val="00C415FE"/>
    <w:rsid w:val="00C42132"/>
    <w:rsid w:val="00C4387D"/>
    <w:rsid w:val="00C4442E"/>
    <w:rsid w:val="00C446FD"/>
    <w:rsid w:val="00C44CE2"/>
    <w:rsid w:val="00C44D2E"/>
    <w:rsid w:val="00C453A0"/>
    <w:rsid w:val="00C45A76"/>
    <w:rsid w:val="00C45AD3"/>
    <w:rsid w:val="00C46233"/>
    <w:rsid w:val="00C464FC"/>
    <w:rsid w:val="00C46645"/>
    <w:rsid w:val="00C46931"/>
    <w:rsid w:val="00C469C7"/>
    <w:rsid w:val="00C46AEB"/>
    <w:rsid w:val="00C46BB3"/>
    <w:rsid w:val="00C46BBC"/>
    <w:rsid w:val="00C46FF9"/>
    <w:rsid w:val="00C4701D"/>
    <w:rsid w:val="00C47504"/>
    <w:rsid w:val="00C47559"/>
    <w:rsid w:val="00C47B99"/>
    <w:rsid w:val="00C47C65"/>
    <w:rsid w:val="00C502C8"/>
    <w:rsid w:val="00C506DB"/>
    <w:rsid w:val="00C5140F"/>
    <w:rsid w:val="00C51831"/>
    <w:rsid w:val="00C51852"/>
    <w:rsid w:val="00C51951"/>
    <w:rsid w:val="00C51E88"/>
    <w:rsid w:val="00C522BD"/>
    <w:rsid w:val="00C52B20"/>
    <w:rsid w:val="00C53059"/>
    <w:rsid w:val="00C5378D"/>
    <w:rsid w:val="00C5398B"/>
    <w:rsid w:val="00C53E45"/>
    <w:rsid w:val="00C541DB"/>
    <w:rsid w:val="00C544E8"/>
    <w:rsid w:val="00C54FF7"/>
    <w:rsid w:val="00C55016"/>
    <w:rsid w:val="00C55437"/>
    <w:rsid w:val="00C55DC0"/>
    <w:rsid w:val="00C55EF7"/>
    <w:rsid w:val="00C56211"/>
    <w:rsid w:val="00C564AB"/>
    <w:rsid w:val="00C5727E"/>
    <w:rsid w:val="00C579FB"/>
    <w:rsid w:val="00C57BB9"/>
    <w:rsid w:val="00C57D1F"/>
    <w:rsid w:val="00C600AD"/>
    <w:rsid w:val="00C601AC"/>
    <w:rsid w:val="00C60A48"/>
    <w:rsid w:val="00C60C0B"/>
    <w:rsid w:val="00C6126A"/>
    <w:rsid w:val="00C6126E"/>
    <w:rsid w:val="00C619B3"/>
    <w:rsid w:val="00C61A67"/>
    <w:rsid w:val="00C61B74"/>
    <w:rsid w:val="00C61DD4"/>
    <w:rsid w:val="00C62413"/>
    <w:rsid w:val="00C62E59"/>
    <w:rsid w:val="00C6302B"/>
    <w:rsid w:val="00C6310A"/>
    <w:rsid w:val="00C63299"/>
    <w:rsid w:val="00C63388"/>
    <w:rsid w:val="00C6404F"/>
    <w:rsid w:val="00C640B7"/>
    <w:rsid w:val="00C647F4"/>
    <w:rsid w:val="00C64ECA"/>
    <w:rsid w:val="00C65947"/>
    <w:rsid w:val="00C659DB"/>
    <w:rsid w:val="00C65B3F"/>
    <w:rsid w:val="00C65C7B"/>
    <w:rsid w:val="00C65E75"/>
    <w:rsid w:val="00C6625D"/>
    <w:rsid w:val="00C66269"/>
    <w:rsid w:val="00C663B1"/>
    <w:rsid w:val="00C664AB"/>
    <w:rsid w:val="00C67BF0"/>
    <w:rsid w:val="00C67D84"/>
    <w:rsid w:val="00C70D42"/>
    <w:rsid w:val="00C70D89"/>
    <w:rsid w:val="00C7141C"/>
    <w:rsid w:val="00C7157A"/>
    <w:rsid w:val="00C7213C"/>
    <w:rsid w:val="00C723EF"/>
    <w:rsid w:val="00C72AFA"/>
    <w:rsid w:val="00C72D7E"/>
    <w:rsid w:val="00C733D4"/>
    <w:rsid w:val="00C73413"/>
    <w:rsid w:val="00C736D4"/>
    <w:rsid w:val="00C73988"/>
    <w:rsid w:val="00C73BED"/>
    <w:rsid w:val="00C73D1E"/>
    <w:rsid w:val="00C74E06"/>
    <w:rsid w:val="00C750F4"/>
    <w:rsid w:val="00C753B6"/>
    <w:rsid w:val="00C75725"/>
    <w:rsid w:val="00C75B08"/>
    <w:rsid w:val="00C75FA0"/>
    <w:rsid w:val="00C766DC"/>
    <w:rsid w:val="00C769E2"/>
    <w:rsid w:val="00C76C84"/>
    <w:rsid w:val="00C77234"/>
    <w:rsid w:val="00C7723F"/>
    <w:rsid w:val="00C77A90"/>
    <w:rsid w:val="00C77F53"/>
    <w:rsid w:val="00C80453"/>
    <w:rsid w:val="00C80B33"/>
    <w:rsid w:val="00C80E17"/>
    <w:rsid w:val="00C8177A"/>
    <w:rsid w:val="00C8198D"/>
    <w:rsid w:val="00C81B5A"/>
    <w:rsid w:val="00C81FF6"/>
    <w:rsid w:val="00C82326"/>
    <w:rsid w:val="00C831C4"/>
    <w:rsid w:val="00C83725"/>
    <w:rsid w:val="00C83889"/>
    <w:rsid w:val="00C84858"/>
    <w:rsid w:val="00C84F77"/>
    <w:rsid w:val="00C84F9E"/>
    <w:rsid w:val="00C85042"/>
    <w:rsid w:val="00C85102"/>
    <w:rsid w:val="00C85126"/>
    <w:rsid w:val="00C85C9F"/>
    <w:rsid w:val="00C85D35"/>
    <w:rsid w:val="00C864F2"/>
    <w:rsid w:val="00C867A5"/>
    <w:rsid w:val="00C86F64"/>
    <w:rsid w:val="00C87079"/>
    <w:rsid w:val="00C87B45"/>
    <w:rsid w:val="00C90189"/>
    <w:rsid w:val="00C90193"/>
    <w:rsid w:val="00C90422"/>
    <w:rsid w:val="00C905AF"/>
    <w:rsid w:val="00C905B7"/>
    <w:rsid w:val="00C90DB7"/>
    <w:rsid w:val="00C90E5A"/>
    <w:rsid w:val="00C91112"/>
    <w:rsid w:val="00C91561"/>
    <w:rsid w:val="00C91B78"/>
    <w:rsid w:val="00C91DC6"/>
    <w:rsid w:val="00C925C9"/>
    <w:rsid w:val="00C926CA"/>
    <w:rsid w:val="00C92EEE"/>
    <w:rsid w:val="00C93037"/>
    <w:rsid w:val="00C935D3"/>
    <w:rsid w:val="00C93E04"/>
    <w:rsid w:val="00C93F60"/>
    <w:rsid w:val="00C9458E"/>
    <w:rsid w:val="00C94633"/>
    <w:rsid w:val="00C94E83"/>
    <w:rsid w:val="00C94ED8"/>
    <w:rsid w:val="00C9500F"/>
    <w:rsid w:val="00C95323"/>
    <w:rsid w:val="00C9534B"/>
    <w:rsid w:val="00C95471"/>
    <w:rsid w:val="00C9590C"/>
    <w:rsid w:val="00C95BD4"/>
    <w:rsid w:val="00C96184"/>
    <w:rsid w:val="00C962D4"/>
    <w:rsid w:val="00C96BB6"/>
    <w:rsid w:val="00C972E5"/>
    <w:rsid w:val="00C978D6"/>
    <w:rsid w:val="00C97997"/>
    <w:rsid w:val="00C979B8"/>
    <w:rsid w:val="00C97C23"/>
    <w:rsid w:val="00CA00DC"/>
    <w:rsid w:val="00CA07C6"/>
    <w:rsid w:val="00CA092D"/>
    <w:rsid w:val="00CA0BBC"/>
    <w:rsid w:val="00CA1152"/>
    <w:rsid w:val="00CA1366"/>
    <w:rsid w:val="00CA15DE"/>
    <w:rsid w:val="00CA1ABD"/>
    <w:rsid w:val="00CA1F0C"/>
    <w:rsid w:val="00CA1F31"/>
    <w:rsid w:val="00CA1FD9"/>
    <w:rsid w:val="00CA2678"/>
    <w:rsid w:val="00CA32C9"/>
    <w:rsid w:val="00CA374F"/>
    <w:rsid w:val="00CA388C"/>
    <w:rsid w:val="00CA4F72"/>
    <w:rsid w:val="00CA4FA9"/>
    <w:rsid w:val="00CA51F1"/>
    <w:rsid w:val="00CA540C"/>
    <w:rsid w:val="00CA68FC"/>
    <w:rsid w:val="00CA6C40"/>
    <w:rsid w:val="00CA6CC5"/>
    <w:rsid w:val="00CA7004"/>
    <w:rsid w:val="00CA70FE"/>
    <w:rsid w:val="00CA73E4"/>
    <w:rsid w:val="00CA7897"/>
    <w:rsid w:val="00CB030F"/>
    <w:rsid w:val="00CB055E"/>
    <w:rsid w:val="00CB07BF"/>
    <w:rsid w:val="00CB1515"/>
    <w:rsid w:val="00CB1779"/>
    <w:rsid w:val="00CB1C72"/>
    <w:rsid w:val="00CB1D1B"/>
    <w:rsid w:val="00CB1DFE"/>
    <w:rsid w:val="00CB23C3"/>
    <w:rsid w:val="00CB3253"/>
    <w:rsid w:val="00CB3372"/>
    <w:rsid w:val="00CB3904"/>
    <w:rsid w:val="00CB3F71"/>
    <w:rsid w:val="00CB4366"/>
    <w:rsid w:val="00CB4810"/>
    <w:rsid w:val="00CB4FA6"/>
    <w:rsid w:val="00CB5683"/>
    <w:rsid w:val="00CB56EF"/>
    <w:rsid w:val="00CB59A0"/>
    <w:rsid w:val="00CB664C"/>
    <w:rsid w:val="00CB67E3"/>
    <w:rsid w:val="00CB68D3"/>
    <w:rsid w:val="00CB74CA"/>
    <w:rsid w:val="00CB7534"/>
    <w:rsid w:val="00CB75D6"/>
    <w:rsid w:val="00CB76BB"/>
    <w:rsid w:val="00CB7962"/>
    <w:rsid w:val="00CB7E95"/>
    <w:rsid w:val="00CC0154"/>
    <w:rsid w:val="00CC033F"/>
    <w:rsid w:val="00CC1751"/>
    <w:rsid w:val="00CC19E0"/>
    <w:rsid w:val="00CC1B5F"/>
    <w:rsid w:val="00CC1DD8"/>
    <w:rsid w:val="00CC2631"/>
    <w:rsid w:val="00CC2707"/>
    <w:rsid w:val="00CC27AA"/>
    <w:rsid w:val="00CC27F4"/>
    <w:rsid w:val="00CC3653"/>
    <w:rsid w:val="00CC3ADA"/>
    <w:rsid w:val="00CC3E6E"/>
    <w:rsid w:val="00CC4128"/>
    <w:rsid w:val="00CC4257"/>
    <w:rsid w:val="00CC4A2C"/>
    <w:rsid w:val="00CC5847"/>
    <w:rsid w:val="00CC6092"/>
    <w:rsid w:val="00CC617A"/>
    <w:rsid w:val="00CC61B3"/>
    <w:rsid w:val="00CC62F3"/>
    <w:rsid w:val="00CC64CF"/>
    <w:rsid w:val="00CC6D12"/>
    <w:rsid w:val="00CC6E65"/>
    <w:rsid w:val="00CC6EA7"/>
    <w:rsid w:val="00CC6FC4"/>
    <w:rsid w:val="00CC72E5"/>
    <w:rsid w:val="00CC7736"/>
    <w:rsid w:val="00CC7ACF"/>
    <w:rsid w:val="00CD01C7"/>
    <w:rsid w:val="00CD0483"/>
    <w:rsid w:val="00CD0722"/>
    <w:rsid w:val="00CD0797"/>
    <w:rsid w:val="00CD080E"/>
    <w:rsid w:val="00CD0FBE"/>
    <w:rsid w:val="00CD15A4"/>
    <w:rsid w:val="00CD15E4"/>
    <w:rsid w:val="00CD196A"/>
    <w:rsid w:val="00CD1B02"/>
    <w:rsid w:val="00CD1E38"/>
    <w:rsid w:val="00CD1F4D"/>
    <w:rsid w:val="00CD2077"/>
    <w:rsid w:val="00CD27A1"/>
    <w:rsid w:val="00CD2936"/>
    <w:rsid w:val="00CD3413"/>
    <w:rsid w:val="00CD3443"/>
    <w:rsid w:val="00CD3BE8"/>
    <w:rsid w:val="00CD3DCE"/>
    <w:rsid w:val="00CD40AC"/>
    <w:rsid w:val="00CD4183"/>
    <w:rsid w:val="00CD44F1"/>
    <w:rsid w:val="00CD4517"/>
    <w:rsid w:val="00CD4666"/>
    <w:rsid w:val="00CD4ADD"/>
    <w:rsid w:val="00CD513A"/>
    <w:rsid w:val="00CD54B8"/>
    <w:rsid w:val="00CD559A"/>
    <w:rsid w:val="00CD5634"/>
    <w:rsid w:val="00CD65A5"/>
    <w:rsid w:val="00CD66E0"/>
    <w:rsid w:val="00CD68D8"/>
    <w:rsid w:val="00CD73A6"/>
    <w:rsid w:val="00CD7FBF"/>
    <w:rsid w:val="00CE04B0"/>
    <w:rsid w:val="00CE084A"/>
    <w:rsid w:val="00CE0A15"/>
    <w:rsid w:val="00CE0B28"/>
    <w:rsid w:val="00CE10AA"/>
    <w:rsid w:val="00CE13F5"/>
    <w:rsid w:val="00CE14C7"/>
    <w:rsid w:val="00CE1CED"/>
    <w:rsid w:val="00CE1DF4"/>
    <w:rsid w:val="00CE268A"/>
    <w:rsid w:val="00CE2D87"/>
    <w:rsid w:val="00CE313F"/>
    <w:rsid w:val="00CE31DA"/>
    <w:rsid w:val="00CE3454"/>
    <w:rsid w:val="00CE3559"/>
    <w:rsid w:val="00CE3A2E"/>
    <w:rsid w:val="00CE3A4A"/>
    <w:rsid w:val="00CE3B1D"/>
    <w:rsid w:val="00CE3C08"/>
    <w:rsid w:val="00CE3F3D"/>
    <w:rsid w:val="00CE422A"/>
    <w:rsid w:val="00CE4644"/>
    <w:rsid w:val="00CE48DA"/>
    <w:rsid w:val="00CE4EE2"/>
    <w:rsid w:val="00CE5399"/>
    <w:rsid w:val="00CE5563"/>
    <w:rsid w:val="00CE5AB0"/>
    <w:rsid w:val="00CE5BC9"/>
    <w:rsid w:val="00CE5FB3"/>
    <w:rsid w:val="00CE635C"/>
    <w:rsid w:val="00CE697C"/>
    <w:rsid w:val="00CE6B72"/>
    <w:rsid w:val="00CE6F96"/>
    <w:rsid w:val="00CE7156"/>
    <w:rsid w:val="00CE7968"/>
    <w:rsid w:val="00CE7A8F"/>
    <w:rsid w:val="00CF00A6"/>
    <w:rsid w:val="00CF0103"/>
    <w:rsid w:val="00CF01A7"/>
    <w:rsid w:val="00CF0A92"/>
    <w:rsid w:val="00CF0FED"/>
    <w:rsid w:val="00CF1161"/>
    <w:rsid w:val="00CF1324"/>
    <w:rsid w:val="00CF287F"/>
    <w:rsid w:val="00CF2C85"/>
    <w:rsid w:val="00CF4054"/>
    <w:rsid w:val="00CF4498"/>
    <w:rsid w:val="00CF4828"/>
    <w:rsid w:val="00CF4907"/>
    <w:rsid w:val="00CF5834"/>
    <w:rsid w:val="00CF586A"/>
    <w:rsid w:val="00CF5AD0"/>
    <w:rsid w:val="00CF5DFB"/>
    <w:rsid w:val="00CF5E7C"/>
    <w:rsid w:val="00CF5F36"/>
    <w:rsid w:val="00CF61A5"/>
    <w:rsid w:val="00CF6304"/>
    <w:rsid w:val="00CF6314"/>
    <w:rsid w:val="00CF75BD"/>
    <w:rsid w:val="00D00A69"/>
    <w:rsid w:val="00D00B4E"/>
    <w:rsid w:val="00D01534"/>
    <w:rsid w:val="00D019AD"/>
    <w:rsid w:val="00D01C33"/>
    <w:rsid w:val="00D021FB"/>
    <w:rsid w:val="00D022F2"/>
    <w:rsid w:val="00D035C4"/>
    <w:rsid w:val="00D03B1A"/>
    <w:rsid w:val="00D03D0E"/>
    <w:rsid w:val="00D03E92"/>
    <w:rsid w:val="00D0404E"/>
    <w:rsid w:val="00D046E0"/>
    <w:rsid w:val="00D047D0"/>
    <w:rsid w:val="00D0488C"/>
    <w:rsid w:val="00D0503C"/>
    <w:rsid w:val="00D0509C"/>
    <w:rsid w:val="00D05245"/>
    <w:rsid w:val="00D05638"/>
    <w:rsid w:val="00D05A74"/>
    <w:rsid w:val="00D05B73"/>
    <w:rsid w:val="00D05F7D"/>
    <w:rsid w:val="00D06E9E"/>
    <w:rsid w:val="00D07167"/>
    <w:rsid w:val="00D073D0"/>
    <w:rsid w:val="00D10AC8"/>
    <w:rsid w:val="00D10F8C"/>
    <w:rsid w:val="00D11B24"/>
    <w:rsid w:val="00D1209B"/>
    <w:rsid w:val="00D12240"/>
    <w:rsid w:val="00D12964"/>
    <w:rsid w:val="00D1324E"/>
    <w:rsid w:val="00D13363"/>
    <w:rsid w:val="00D13F73"/>
    <w:rsid w:val="00D14AF2"/>
    <w:rsid w:val="00D160F3"/>
    <w:rsid w:val="00D1629E"/>
    <w:rsid w:val="00D162AC"/>
    <w:rsid w:val="00D1637E"/>
    <w:rsid w:val="00D1693A"/>
    <w:rsid w:val="00D16DA2"/>
    <w:rsid w:val="00D16E2B"/>
    <w:rsid w:val="00D178BA"/>
    <w:rsid w:val="00D17A8F"/>
    <w:rsid w:val="00D17ABE"/>
    <w:rsid w:val="00D17CF5"/>
    <w:rsid w:val="00D20504"/>
    <w:rsid w:val="00D20A15"/>
    <w:rsid w:val="00D20AEF"/>
    <w:rsid w:val="00D20C22"/>
    <w:rsid w:val="00D20E26"/>
    <w:rsid w:val="00D2105D"/>
    <w:rsid w:val="00D215C1"/>
    <w:rsid w:val="00D22F38"/>
    <w:rsid w:val="00D23566"/>
    <w:rsid w:val="00D23915"/>
    <w:rsid w:val="00D245FB"/>
    <w:rsid w:val="00D248B1"/>
    <w:rsid w:val="00D2499A"/>
    <w:rsid w:val="00D2562D"/>
    <w:rsid w:val="00D25B8C"/>
    <w:rsid w:val="00D25DAD"/>
    <w:rsid w:val="00D26A87"/>
    <w:rsid w:val="00D26BD9"/>
    <w:rsid w:val="00D26E31"/>
    <w:rsid w:val="00D26E98"/>
    <w:rsid w:val="00D271B0"/>
    <w:rsid w:val="00D27272"/>
    <w:rsid w:val="00D27C12"/>
    <w:rsid w:val="00D27EB3"/>
    <w:rsid w:val="00D27F5F"/>
    <w:rsid w:val="00D3024C"/>
    <w:rsid w:val="00D30764"/>
    <w:rsid w:val="00D30B09"/>
    <w:rsid w:val="00D30D93"/>
    <w:rsid w:val="00D315AB"/>
    <w:rsid w:val="00D316A3"/>
    <w:rsid w:val="00D319F4"/>
    <w:rsid w:val="00D31E0C"/>
    <w:rsid w:val="00D32222"/>
    <w:rsid w:val="00D3276B"/>
    <w:rsid w:val="00D327BD"/>
    <w:rsid w:val="00D32AF4"/>
    <w:rsid w:val="00D32DDA"/>
    <w:rsid w:val="00D33489"/>
    <w:rsid w:val="00D338E9"/>
    <w:rsid w:val="00D339E4"/>
    <w:rsid w:val="00D34073"/>
    <w:rsid w:val="00D34B53"/>
    <w:rsid w:val="00D34B5F"/>
    <w:rsid w:val="00D34C12"/>
    <w:rsid w:val="00D3551C"/>
    <w:rsid w:val="00D35525"/>
    <w:rsid w:val="00D35AD4"/>
    <w:rsid w:val="00D35CC8"/>
    <w:rsid w:val="00D3621E"/>
    <w:rsid w:val="00D36A9F"/>
    <w:rsid w:val="00D36CA7"/>
    <w:rsid w:val="00D36D66"/>
    <w:rsid w:val="00D36E37"/>
    <w:rsid w:val="00D36FF5"/>
    <w:rsid w:val="00D3705A"/>
    <w:rsid w:val="00D374BD"/>
    <w:rsid w:val="00D37742"/>
    <w:rsid w:val="00D379C2"/>
    <w:rsid w:val="00D40093"/>
    <w:rsid w:val="00D40374"/>
    <w:rsid w:val="00D41068"/>
    <w:rsid w:val="00D41113"/>
    <w:rsid w:val="00D41217"/>
    <w:rsid w:val="00D414D6"/>
    <w:rsid w:val="00D41943"/>
    <w:rsid w:val="00D41ABB"/>
    <w:rsid w:val="00D41E1E"/>
    <w:rsid w:val="00D42060"/>
    <w:rsid w:val="00D4211F"/>
    <w:rsid w:val="00D42389"/>
    <w:rsid w:val="00D42FD0"/>
    <w:rsid w:val="00D43052"/>
    <w:rsid w:val="00D43CA5"/>
    <w:rsid w:val="00D43CAF"/>
    <w:rsid w:val="00D442F7"/>
    <w:rsid w:val="00D44673"/>
    <w:rsid w:val="00D44A13"/>
    <w:rsid w:val="00D44A28"/>
    <w:rsid w:val="00D44A45"/>
    <w:rsid w:val="00D44E8A"/>
    <w:rsid w:val="00D450E2"/>
    <w:rsid w:val="00D45165"/>
    <w:rsid w:val="00D455E1"/>
    <w:rsid w:val="00D45B43"/>
    <w:rsid w:val="00D4643A"/>
    <w:rsid w:val="00D466A2"/>
    <w:rsid w:val="00D466B6"/>
    <w:rsid w:val="00D473F1"/>
    <w:rsid w:val="00D478C8"/>
    <w:rsid w:val="00D47A4A"/>
    <w:rsid w:val="00D47F86"/>
    <w:rsid w:val="00D5037B"/>
    <w:rsid w:val="00D5038F"/>
    <w:rsid w:val="00D5080C"/>
    <w:rsid w:val="00D508E2"/>
    <w:rsid w:val="00D50988"/>
    <w:rsid w:val="00D50FE1"/>
    <w:rsid w:val="00D51100"/>
    <w:rsid w:val="00D5139E"/>
    <w:rsid w:val="00D51F64"/>
    <w:rsid w:val="00D528A5"/>
    <w:rsid w:val="00D52AA2"/>
    <w:rsid w:val="00D52B92"/>
    <w:rsid w:val="00D534FF"/>
    <w:rsid w:val="00D53825"/>
    <w:rsid w:val="00D54EA7"/>
    <w:rsid w:val="00D551B4"/>
    <w:rsid w:val="00D55232"/>
    <w:rsid w:val="00D5530B"/>
    <w:rsid w:val="00D5566D"/>
    <w:rsid w:val="00D55857"/>
    <w:rsid w:val="00D559B8"/>
    <w:rsid w:val="00D56619"/>
    <w:rsid w:val="00D5758D"/>
    <w:rsid w:val="00D57C74"/>
    <w:rsid w:val="00D57DAA"/>
    <w:rsid w:val="00D60AF0"/>
    <w:rsid w:val="00D60BAA"/>
    <w:rsid w:val="00D613D9"/>
    <w:rsid w:val="00D615D4"/>
    <w:rsid w:val="00D616AB"/>
    <w:rsid w:val="00D61D56"/>
    <w:rsid w:val="00D62179"/>
    <w:rsid w:val="00D626A9"/>
    <w:rsid w:val="00D626D6"/>
    <w:rsid w:val="00D62C5F"/>
    <w:rsid w:val="00D62D2D"/>
    <w:rsid w:val="00D62DC2"/>
    <w:rsid w:val="00D6312D"/>
    <w:rsid w:val="00D64CE5"/>
    <w:rsid w:val="00D65274"/>
    <w:rsid w:val="00D65403"/>
    <w:rsid w:val="00D658B9"/>
    <w:rsid w:val="00D65D57"/>
    <w:rsid w:val="00D65E37"/>
    <w:rsid w:val="00D6683F"/>
    <w:rsid w:val="00D66F79"/>
    <w:rsid w:val="00D67275"/>
    <w:rsid w:val="00D67FE6"/>
    <w:rsid w:val="00D70E6C"/>
    <w:rsid w:val="00D70FA8"/>
    <w:rsid w:val="00D71145"/>
    <w:rsid w:val="00D7149F"/>
    <w:rsid w:val="00D714A8"/>
    <w:rsid w:val="00D71793"/>
    <w:rsid w:val="00D719FF"/>
    <w:rsid w:val="00D71D3E"/>
    <w:rsid w:val="00D7218D"/>
    <w:rsid w:val="00D72725"/>
    <w:rsid w:val="00D7296D"/>
    <w:rsid w:val="00D72FE5"/>
    <w:rsid w:val="00D72FFF"/>
    <w:rsid w:val="00D731FA"/>
    <w:rsid w:val="00D735D3"/>
    <w:rsid w:val="00D738DB"/>
    <w:rsid w:val="00D73D4D"/>
    <w:rsid w:val="00D741DD"/>
    <w:rsid w:val="00D743FE"/>
    <w:rsid w:val="00D74483"/>
    <w:rsid w:val="00D745FF"/>
    <w:rsid w:val="00D749E6"/>
    <w:rsid w:val="00D75028"/>
    <w:rsid w:val="00D75093"/>
    <w:rsid w:val="00D75633"/>
    <w:rsid w:val="00D75935"/>
    <w:rsid w:val="00D75D3E"/>
    <w:rsid w:val="00D760CF"/>
    <w:rsid w:val="00D76676"/>
    <w:rsid w:val="00D76895"/>
    <w:rsid w:val="00D76F85"/>
    <w:rsid w:val="00D771B7"/>
    <w:rsid w:val="00D7729A"/>
    <w:rsid w:val="00D77789"/>
    <w:rsid w:val="00D777E5"/>
    <w:rsid w:val="00D77801"/>
    <w:rsid w:val="00D77872"/>
    <w:rsid w:val="00D778E6"/>
    <w:rsid w:val="00D77956"/>
    <w:rsid w:val="00D801B3"/>
    <w:rsid w:val="00D80371"/>
    <w:rsid w:val="00D8064B"/>
    <w:rsid w:val="00D80758"/>
    <w:rsid w:val="00D80DD1"/>
    <w:rsid w:val="00D81443"/>
    <w:rsid w:val="00D81486"/>
    <w:rsid w:val="00D815AC"/>
    <w:rsid w:val="00D8225A"/>
    <w:rsid w:val="00D82354"/>
    <w:rsid w:val="00D826C1"/>
    <w:rsid w:val="00D827E8"/>
    <w:rsid w:val="00D82903"/>
    <w:rsid w:val="00D82BC1"/>
    <w:rsid w:val="00D82FCD"/>
    <w:rsid w:val="00D830E0"/>
    <w:rsid w:val="00D83CA5"/>
    <w:rsid w:val="00D84344"/>
    <w:rsid w:val="00D84AB4"/>
    <w:rsid w:val="00D84E3B"/>
    <w:rsid w:val="00D84E99"/>
    <w:rsid w:val="00D85BCB"/>
    <w:rsid w:val="00D85FC6"/>
    <w:rsid w:val="00D86CBB"/>
    <w:rsid w:val="00D8709C"/>
    <w:rsid w:val="00D87E2F"/>
    <w:rsid w:val="00D87F68"/>
    <w:rsid w:val="00D87F78"/>
    <w:rsid w:val="00D900EE"/>
    <w:rsid w:val="00D901B6"/>
    <w:rsid w:val="00D909BA"/>
    <w:rsid w:val="00D90A4A"/>
    <w:rsid w:val="00D90BF7"/>
    <w:rsid w:val="00D90D93"/>
    <w:rsid w:val="00D90EE6"/>
    <w:rsid w:val="00D91334"/>
    <w:rsid w:val="00D918A9"/>
    <w:rsid w:val="00D919DA"/>
    <w:rsid w:val="00D92020"/>
    <w:rsid w:val="00D92285"/>
    <w:rsid w:val="00D92527"/>
    <w:rsid w:val="00D9282D"/>
    <w:rsid w:val="00D92ABA"/>
    <w:rsid w:val="00D92E75"/>
    <w:rsid w:val="00D93819"/>
    <w:rsid w:val="00D93F2F"/>
    <w:rsid w:val="00D9407B"/>
    <w:rsid w:val="00D94214"/>
    <w:rsid w:val="00D943DA"/>
    <w:rsid w:val="00D944C8"/>
    <w:rsid w:val="00D950CC"/>
    <w:rsid w:val="00D95B0A"/>
    <w:rsid w:val="00D95C84"/>
    <w:rsid w:val="00D960B9"/>
    <w:rsid w:val="00D9637A"/>
    <w:rsid w:val="00D9656B"/>
    <w:rsid w:val="00D978DD"/>
    <w:rsid w:val="00D97C7E"/>
    <w:rsid w:val="00D97FB3"/>
    <w:rsid w:val="00DA00A1"/>
    <w:rsid w:val="00DA0319"/>
    <w:rsid w:val="00DA19F2"/>
    <w:rsid w:val="00DA1BFE"/>
    <w:rsid w:val="00DA1CA5"/>
    <w:rsid w:val="00DA22D0"/>
    <w:rsid w:val="00DA272C"/>
    <w:rsid w:val="00DA3D17"/>
    <w:rsid w:val="00DA3F58"/>
    <w:rsid w:val="00DA4047"/>
    <w:rsid w:val="00DA40FF"/>
    <w:rsid w:val="00DA4277"/>
    <w:rsid w:val="00DA47B4"/>
    <w:rsid w:val="00DA4E24"/>
    <w:rsid w:val="00DA4F35"/>
    <w:rsid w:val="00DA570C"/>
    <w:rsid w:val="00DA59A0"/>
    <w:rsid w:val="00DA5C14"/>
    <w:rsid w:val="00DA5ED5"/>
    <w:rsid w:val="00DA63BD"/>
    <w:rsid w:val="00DA658C"/>
    <w:rsid w:val="00DA6DFC"/>
    <w:rsid w:val="00DA6E7E"/>
    <w:rsid w:val="00DA7058"/>
    <w:rsid w:val="00DA714E"/>
    <w:rsid w:val="00DA7265"/>
    <w:rsid w:val="00DA751E"/>
    <w:rsid w:val="00DB0AD6"/>
    <w:rsid w:val="00DB0BF0"/>
    <w:rsid w:val="00DB0D05"/>
    <w:rsid w:val="00DB0E72"/>
    <w:rsid w:val="00DB13B4"/>
    <w:rsid w:val="00DB164A"/>
    <w:rsid w:val="00DB1A58"/>
    <w:rsid w:val="00DB1B46"/>
    <w:rsid w:val="00DB1DFF"/>
    <w:rsid w:val="00DB255D"/>
    <w:rsid w:val="00DB2684"/>
    <w:rsid w:val="00DB2821"/>
    <w:rsid w:val="00DB2EDE"/>
    <w:rsid w:val="00DB36F4"/>
    <w:rsid w:val="00DB3BFC"/>
    <w:rsid w:val="00DB48A9"/>
    <w:rsid w:val="00DB4EFD"/>
    <w:rsid w:val="00DB4F5B"/>
    <w:rsid w:val="00DB5038"/>
    <w:rsid w:val="00DB585A"/>
    <w:rsid w:val="00DB60E8"/>
    <w:rsid w:val="00DB6783"/>
    <w:rsid w:val="00DB67C9"/>
    <w:rsid w:val="00DB6971"/>
    <w:rsid w:val="00DB6AB7"/>
    <w:rsid w:val="00DB7025"/>
    <w:rsid w:val="00DB70EF"/>
    <w:rsid w:val="00DB712B"/>
    <w:rsid w:val="00DB7934"/>
    <w:rsid w:val="00DB7D13"/>
    <w:rsid w:val="00DC0168"/>
    <w:rsid w:val="00DC039B"/>
    <w:rsid w:val="00DC0B04"/>
    <w:rsid w:val="00DC0B30"/>
    <w:rsid w:val="00DC0BC6"/>
    <w:rsid w:val="00DC22F9"/>
    <w:rsid w:val="00DC241E"/>
    <w:rsid w:val="00DC26C4"/>
    <w:rsid w:val="00DC2B86"/>
    <w:rsid w:val="00DC2E65"/>
    <w:rsid w:val="00DC32E2"/>
    <w:rsid w:val="00DC3468"/>
    <w:rsid w:val="00DC3BA9"/>
    <w:rsid w:val="00DC483F"/>
    <w:rsid w:val="00DC4A37"/>
    <w:rsid w:val="00DC4ED4"/>
    <w:rsid w:val="00DC50D7"/>
    <w:rsid w:val="00DC582D"/>
    <w:rsid w:val="00DC5CFF"/>
    <w:rsid w:val="00DC5D61"/>
    <w:rsid w:val="00DC61C6"/>
    <w:rsid w:val="00DC6650"/>
    <w:rsid w:val="00DC68A6"/>
    <w:rsid w:val="00DC694F"/>
    <w:rsid w:val="00DC6987"/>
    <w:rsid w:val="00DC6DD7"/>
    <w:rsid w:val="00DC6F51"/>
    <w:rsid w:val="00DC709E"/>
    <w:rsid w:val="00DC722E"/>
    <w:rsid w:val="00DC790C"/>
    <w:rsid w:val="00DC7A13"/>
    <w:rsid w:val="00DD0A66"/>
    <w:rsid w:val="00DD116B"/>
    <w:rsid w:val="00DD1244"/>
    <w:rsid w:val="00DD17EE"/>
    <w:rsid w:val="00DD1D04"/>
    <w:rsid w:val="00DD20FC"/>
    <w:rsid w:val="00DD2173"/>
    <w:rsid w:val="00DD2664"/>
    <w:rsid w:val="00DD28C1"/>
    <w:rsid w:val="00DD297D"/>
    <w:rsid w:val="00DD2C1E"/>
    <w:rsid w:val="00DD2E4C"/>
    <w:rsid w:val="00DD3169"/>
    <w:rsid w:val="00DD34AE"/>
    <w:rsid w:val="00DD38F3"/>
    <w:rsid w:val="00DD3E50"/>
    <w:rsid w:val="00DD41CF"/>
    <w:rsid w:val="00DD4BCE"/>
    <w:rsid w:val="00DD538E"/>
    <w:rsid w:val="00DD554B"/>
    <w:rsid w:val="00DD5C79"/>
    <w:rsid w:val="00DD5E43"/>
    <w:rsid w:val="00DD6086"/>
    <w:rsid w:val="00DD65BB"/>
    <w:rsid w:val="00DD66AD"/>
    <w:rsid w:val="00DD6D8C"/>
    <w:rsid w:val="00DD7417"/>
    <w:rsid w:val="00DE04E7"/>
    <w:rsid w:val="00DE086E"/>
    <w:rsid w:val="00DE0A3D"/>
    <w:rsid w:val="00DE117B"/>
    <w:rsid w:val="00DE15C0"/>
    <w:rsid w:val="00DE1909"/>
    <w:rsid w:val="00DE1F55"/>
    <w:rsid w:val="00DE2061"/>
    <w:rsid w:val="00DE2270"/>
    <w:rsid w:val="00DE2546"/>
    <w:rsid w:val="00DE29C2"/>
    <w:rsid w:val="00DE2B0F"/>
    <w:rsid w:val="00DE2CA8"/>
    <w:rsid w:val="00DE3588"/>
    <w:rsid w:val="00DE4235"/>
    <w:rsid w:val="00DE47B2"/>
    <w:rsid w:val="00DE4B09"/>
    <w:rsid w:val="00DE4B14"/>
    <w:rsid w:val="00DE4C77"/>
    <w:rsid w:val="00DE527F"/>
    <w:rsid w:val="00DE5325"/>
    <w:rsid w:val="00DE55DE"/>
    <w:rsid w:val="00DE5876"/>
    <w:rsid w:val="00DE5D22"/>
    <w:rsid w:val="00DE5FAC"/>
    <w:rsid w:val="00DE6287"/>
    <w:rsid w:val="00DE6449"/>
    <w:rsid w:val="00DE658D"/>
    <w:rsid w:val="00DE698F"/>
    <w:rsid w:val="00DE6C6C"/>
    <w:rsid w:val="00DE6C88"/>
    <w:rsid w:val="00DE73AA"/>
    <w:rsid w:val="00DE747B"/>
    <w:rsid w:val="00DE7BAB"/>
    <w:rsid w:val="00DE7BD4"/>
    <w:rsid w:val="00DE7EFD"/>
    <w:rsid w:val="00DF0BC3"/>
    <w:rsid w:val="00DF0FE7"/>
    <w:rsid w:val="00DF140C"/>
    <w:rsid w:val="00DF16B3"/>
    <w:rsid w:val="00DF1B3C"/>
    <w:rsid w:val="00DF1E07"/>
    <w:rsid w:val="00DF2704"/>
    <w:rsid w:val="00DF34D4"/>
    <w:rsid w:val="00DF35C3"/>
    <w:rsid w:val="00DF38B1"/>
    <w:rsid w:val="00DF39ED"/>
    <w:rsid w:val="00DF3D2A"/>
    <w:rsid w:val="00DF4629"/>
    <w:rsid w:val="00DF4F00"/>
    <w:rsid w:val="00DF5367"/>
    <w:rsid w:val="00DF55AA"/>
    <w:rsid w:val="00DF5EC5"/>
    <w:rsid w:val="00DF6D44"/>
    <w:rsid w:val="00DF747E"/>
    <w:rsid w:val="00DF75DC"/>
    <w:rsid w:val="00E00212"/>
    <w:rsid w:val="00E00455"/>
    <w:rsid w:val="00E00B80"/>
    <w:rsid w:val="00E00EC6"/>
    <w:rsid w:val="00E00ECE"/>
    <w:rsid w:val="00E01240"/>
    <w:rsid w:val="00E017E8"/>
    <w:rsid w:val="00E0189E"/>
    <w:rsid w:val="00E01C56"/>
    <w:rsid w:val="00E02635"/>
    <w:rsid w:val="00E0286D"/>
    <w:rsid w:val="00E02A6B"/>
    <w:rsid w:val="00E02D2A"/>
    <w:rsid w:val="00E02DB6"/>
    <w:rsid w:val="00E035EF"/>
    <w:rsid w:val="00E0386C"/>
    <w:rsid w:val="00E03874"/>
    <w:rsid w:val="00E039A3"/>
    <w:rsid w:val="00E04718"/>
    <w:rsid w:val="00E06098"/>
    <w:rsid w:val="00E06208"/>
    <w:rsid w:val="00E065C3"/>
    <w:rsid w:val="00E065FE"/>
    <w:rsid w:val="00E06726"/>
    <w:rsid w:val="00E069B5"/>
    <w:rsid w:val="00E06CA1"/>
    <w:rsid w:val="00E07054"/>
    <w:rsid w:val="00E07556"/>
    <w:rsid w:val="00E076B6"/>
    <w:rsid w:val="00E078A1"/>
    <w:rsid w:val="00E079A6"/>
    <w:rsid w:val="00E10229"/>
    <w:rsid w:val="00E10496"/>
    <w:rsid w:val="00E1074E"/>
    <w:rsid w:val="00E11261"/>
    <w:rsid w:val="00E117B1"/>
    <w:rsid w:val="00E1237C"/>
    <w:rsid w:val="00E13606"/>
    <w:rsid w:val="00E136A0"/>
    <w:rsid w:val="00E13B04"/>
    <w:rsid w:val="00E13D45"/>
    <w:rsid w:val="00E13DD3"/>
    <w:rsid w:val="00E13FAD"/>
    <w:rsid w:val="00E14299"/>
    <w:rsid w:val="00E14F68"/>
    <w:rsid w:val="00E150E8"/>
    <w:rsid w:val="00E159BD"/>
    <w:rsid w:val="00E15F44"/>
    <w:rsid w:val="00E16443"/>
    <w:rsid w:val="00E16904"/>
    <w:rsid w:val="00E16A66"/>
    <w:rsid w:val="00E16AAD"/>
    <w:rsid w:val="00E16EEF"/>
    <w:rsid w:val="00E178A1"/>
    <w:rsid w:val="00E178A2"/>
    <w:rsid w:val="00E17CE8"/>
    <w:rsid w:val="00E17F87"/>
    <w:rsid w:val="00E2055B"/>
    <w:rsid w:val="00E20829"/>
    <w:rsid w:val="00E20B57"/>
    <w:rsid w:val="00E20C2A"/>
    <w:rsid w:val="00E20C59"/>
    <w:rsid w:val="00E21A2F"/>
    <w:rsid w:val="00E21ACF"/>
    <w:rsid w:val="00E21E14"/>
    <w:rsid w:val="00E226F5"/>
    <w:rsid w:val="00E227C3"/>
    <w:rsid w:val="00E22F91"/>
    <w:rsid w:val="00E236AC"/>
    <w:rsid w:val="00E24481"/>
    <w:rsid w:val="00E245FE"/>
    <w:rsid w:val="00E2463A"/>
    <w:rsid w:val="00E24F79"/>
    <w:rsid w:val="00E25365"/>
    <w:rsid w:val="00E256A4"/>
    <w:rsid w:val="00E2576C"/>
    <w:rsid w:val="00E258E4"/>
    <w:rsid w:val="00E25923"/>
    <w:rsid w:val="00E25AEA"/>
    <w:rsid w:val="00E260F6"/>
    <w:rsid w:val="00E261B8"/>
    <w:rsid w:val="00E2684F"/>
    <w:rsid w:val="00E26903"/>
    <w:rsid w:val="00E26B60"/>
    <w:rsid w:val="00E27142"/>
    <w:rsid w:val="00E271C7"/>
    <w:rsid w:val="00E272EB"/>
    <w:rsid w:val="00E2752A"/>
    <w:rsid w:val="00E276DB"/>
    <w:rsid w:val="00E27864"/>
    <w:rsid w:val="00E27AAD"/>
    <w:rsid w:val="00E301AA"/>
    <w:rsid w:val="00E30890"/>
    <w:rsid w:val="00E30E80"/>
    <w:rsid w:val="00E30F2F"/>
    <w:rsid w:val="00E31C78"/>
    <w:rsid w:val="00E321B1"/>
    <w:rsid w:val="00E33218"/>
    <w:rsid w:val="00E336D8"/>
    <w:rsid w:val="00E33702"/>
    <w:rsid w:val="00E33F0F"/>
    <w:rsid w:val="00E34B49"/>
    <w:rsid w:val="00E35209"/>
    <w:rsid w:val="00E35216"/>
    <w:rsid w:val="00E35241"/>
    <w:rsid w:val="00E35332"/>
    <w:rsid w:val="00E357B5"/>
    <w:rsid w:val="00E358D7"/>
    <w:rsid w:val="00E36038"/>
    <w:rsid w:val="00E36137"/>
    <w:rsid w:val="00E37155"/>
    <w:rsid w:val="00E375FE"/>
    <w:rsid w:val="00E37A6F"/>
    <w:rsid w:val="00E37CE9"/>
    <w:rsid w:val="00E40088"/>
    <w:rsid w:val="00E4036D"/>
    <w:rsid w:val="00E41A46"/>
    <w:rsid w:val="00E41F8E"/>
    <w:rsid w:val="00E4286A"/>
    <w:rsid w:val="00E42C70"/>
    <w:rsid w:val="00E432A5"/>
    <w:rsid w:val="00E43365"/>
    <w:rsid w:val="00E436FA"/>
    <w:rsid w:val="00E43BE9"/>
    <w:rsid w:val="00E44670"/>
    <w:rsid w:val="00E44D3C"/>
    <w:rsid w:val="00E44F3D"/>
    <w:rsid w:val="00E4563B"/>
    <w:rsid w:val="00E456EE"/>
    <w:rsid w:val="00E45D3A"/>
    <w:rsid w:val="00E45EB7"/>
    <w:rsid w:val="00E46316"/>
    <w:rsid w:val="00E468C0"/>
    <w:rsid w:val="00E46933"/>
    <w:rsid w:val="00E46E23"/>
    <w:rsid w:val="00E46F97"/>
    <w:rsid w:val="00E46FC4"/>
    <w:rsid w:val="00E4769C"/>
    <w:rsid w:val="00E507C0"/>
    <w:rsid w:val="00E50D07"/>
    <w:rsid w:val="00E51000"/>
    <w:rsid w:val="00E5159E"/>
    <w:rsid w:val="00E516F6"/>
    <w:rsid w:val="00E51718"/>
    <w:rsid w:val="00E51862"/>
    <w:rsid w:val="00E51945"/>
    <w:rsid w:val="00E51A23"/>
    <w:rsid w:val="00E51CBF"/>
    <w:rsid w:val="00E51FAB"/>
    <w:rsid w:val="00E52717"/>
    <w:rsid w:val="00E5275E"/>
    <w:rsid w:val="00E52EBD"/>
    <w:rsid w:val="00E53345"/>
    <w:rsid w:val="00E53B57"/>
    <w:rsid w:val="00E53C25"/>
    <w:rsid w:val="00E53DED"/>
    <w:rsid w:val="00E543A1"/>
    <w:rsid w:val="00E54AE9"/>
    <w:rsid w:val="00E54CC8"/>
    <w:rsid w:val="00E557E0"/>
    <w:rsid w:val="00E5589B"/>
    <w:rsid w:val="00E558F5"/>
    <w:rsid w:val="00E55E02"/>
    <w:rsid w:val="00E5668E"/>
    <w:rsid w:val="00E5671A"/>
    <w:rsid w:val="00E5688B"/>
    <w:rsid w:val="00E56A39"/>
    <w:rsid w:val="00E56B36"/>
    <w:rsid w:val="00E56E48"/>
    <w:rsid w:val="00E56EE6"/>
    <w:rsid w:val="00E56FDE"/>
    <w:rsid w:val="00E57481"/>
    <w:rsid w:val="00E57925"/>
    <w:rsid w:val="00E57F80"/>
    <w:rsid w:val="00E60247"/>
    <w:rsid w:val="00E60596"/>
    <w:rsid w:val="00E608B8"/>
    <w:rsid w:val="00E60F31"/>
    <w:rsid w:val="00E61A6C"/>
    <w:rsid w:val="00E6212D"/>
    <w:rsid w:val="00E6225B"/>
    <w:rsid w:val="00E62280"/>
    <w:rsid w:val="00E623F3"/>
    <w:rsid w:val="00E62664"/>
    <w:rsid w:val="00E626C7"/>
    <w:rsid w:val="00E62B7F"/>
    <w:rsid w:val="00E6328F"/>
    <w:rsid w:val="00E6369D"/>
    <w:rsid w:val="00E636C2"/>
    <w:rsid w:val="00E63B19"/>
    <w:rsid w:val="00E63DB9"/>
    <w:rsid w:val="00E6508D"/>
    <w:rsid w:val="00E652CD"/>
    <w:rsid w:val="00E65899"/>
    <w:rsid w:val="00E65974"/>
    <w:rsid w:val="00E65BB9"/>
    <w:rsid w:val="00E66642"/>
    <w:rsid w:val="00E669B7"/>
    <w:rsid w:val="00E66C25"/>
    <w:rsid w:val="00E66E50"/>
    <w:rsid w:val="00E67282"/>
    <w:rsid w:val="00E677D8"/>
    <w:rsid w:val="00E67A66"/>
    <w:rsid w:val="00E70002"/>
    <w:rsid w:val="00E70662"/>
    <w:rsid w:val="00E70685"/>
    <w:rsid w:val="00E707E8"/>
    <w:rsid w:val="00E709C5"/>
    <w:rsid w:val="00E71366"/>
    <w:rsid w:val="00E718B3"/>
    <w:rsid w:val="00E71C30"/>
    <w:rsid w:val="00E72AF1"/>
    <w:rsid w:val="00E730B9"/>
    <w:rsid w:val="00E731FE"/>
    <w:rsid w:val="00E73347"/>
    <w:rsid w:val="00E7345D"/>
    <w:rsid w:val="00E735DB"/>
    <w:rsid w:val="00E73862"/>
    <w:rsid w:val="00E73D91"/>
    <w:rsid w:val="00E74CA9"/>
    <w:rsid w:val="00E750C9"/>
    <w:rsid w:val="00E754BC"/>
    <w:rsid w:val="00E75D90"/>
    <w:rsid w:val="00E76351"/>
    <w:rsid w:val="00E76675"/>
    <w:rsid w:val="00E773B5"/>
    <w:rsid w:val="00E77552"/>
    <w:rsid w:val="00E7797E"/>
    <w:rsid w:val="00E8031B"/>
    <w:rsid w:val="00E8037F"/>
    <w:rsid w:val="00E80867"/>
    <w:rsid w:val="00E80AE7"/>
    <w:rsid w:val="00E80C78"/>
    <w:rsid w:val="00E80F05"/>
    <w:rsid w:val="00E81590"/>
    <w:rsid w:val="00E8215F"/>
    <w:rsid w:val="00E823DA"/>
    <w:rsid w:val="00E82536"/>
    <w:rsid w:val="00E82B08"/>
    <w:rsid w:val="00E82BE6"/>
    <w:rsid w:val="00E82F7F"/>
    <w:rsid w:val="00E832B3"/>
    <w:rsid w:val="00E833E3"/>
    <w:rsid w:val="00E8356E"/>
    <w:rsid w:val="00E83C1B"/>
    <w:rsid w:val="00E83FD7"/>
    <w:rsid w:val="00E84100"/>
    <w:rsid w:val="00E8438B"/>
    <w:rsid w:val="00E852BB"/>
    <w:rsid w:val="00E85732"/>
    <w:rsid w:val="00E85BFB"/>
    <w:rsid w:val="00E85D36"/>
    <w:rsid w:val="00E8624E"/>
    <w:rsid w:val="00E8718F"/>
    <w:rsid w:val="00E87694"/>
    <w:rsid w:val="00E87BCA"/>
    <w:rsid w:val="00E90710"/>
    <w:rsid w:val="00E90B20"/>
    <w:rsid w:val="00E91573"/>
    <w:rsid w:val="00E91690"/>
    <w:rsid w:val="00E91A6A"/>
    <w:rsid w:val="00E91AA6"/>
    <w:rsid w:val="00E92701"/>
    <w:rsid w:val="00E93485"/>
    <w:rsid w:val="00E93DA6"/>
    <w:rsid w:val="00E942EC"/>
    <w:rsid w:val="00E94650"/>
    <w:rsid w:val="00E94A4C"/>
    <w:rsid w:val="00E95464"/>
    <w:rsid w:val="00E95771"/>
    <w:rsid w:val="00E95D47"/>
    <w:rsid w:val="00E95E0F"/>
    <w:rsid w:val="00E965D0"/>
    <w:rsid w:val="00E96BD5"/>
    <w:rsid w:val="00E96CFE"/>
    <w:rsid w:val="00E9750C"/>
    <w:rsid w:val="00E97BCA"/>
    <w:rsid w:val="00EA072B"/>
    <w:rsid w:val="00EA0B02"/>
    <w:rsid w:val="00EA0D5C"/>
    <w:rsid w:val="00EA165E"/>
    <w:rsid w:val="00EA1833"/>
    <w:rsid w:val="00EA1872"/>
    <w:rsid w:val="00EA1CE6"/>
    <w:rsid w:val="00EA1E0E"/>
    <w:rsid w:val="00EA248E"/>
    <w:rsid w:val="00EA2978"/>
    <w:rsid w:val="00EA2AD7"/>
    <w:rsid w:val="00EA3236"/>
    <w:rsid w:val="00EA41C5"/>
    <w:rsid w:val="00EA4DB6"/>
    <w:rsid w:val="00EA5600"/>
    <w:rsid w:val="00EA642E"/>
    <w:rsid w:val="00EA674D"/>
    <w:rsid w:val="00EA68B6"/>
    <w:rsid w:val="00EA6B8F"/>
    <w:rsid w:val="00EA700B"/>
    <w:rsid w:val="00EA71B4"/>
    <w:rsid w:val="00EA73A6"/>
    <w:rsid w:val="00EA77B7"/>
    <w:rsid w:val="00EA7957"/>
    <w:rsid w:val="00EA7F35"/>
    <w:rsid w:val="00EB00FA"/>
    <w:rsid w:val="00EB01CE"/>
    <w:rsid w:val="00EB02AD"/>
    <w:rsid w:val="00EB0322"/>
    <w:rsid w:val="00EB04BA"/>
    <w:rsid w:val="00EB0A58"/>
    <w:rsid w:val="00EB0EBD"/>
    <w:rsid w:val="00EB107D"/>
    <w:rsid w:val="00EB1100"/>
    <w:rsid w:val="00EB1208"/>
    <w:rsid w:val="00EB1808"/>
    <w:rsid w:val="00EB2AAC"/>
    <w:rsid w:val="00EB2B06"/>
    <w:rsid w:val="00EB2BBF"/>
    <w:rsid w:val="00EB31B8"/>
    <w:rsid w:val="00EB38C8"/>
    <w:rsid w:val="00EB4491"/>
    <w:rsid w:val="00EB44B5"/>
    <w:rsid w:val="00EB481E"/>
    <w:rsid w:val="00EB586E"/>
    <w:rsid w:val="00EB5BA8"/>
    <w:rsid w:val="00EB5F6D"/>
    <w:rsid w:val="00EB5F78"/>
    <w:rsid w:val="00EB6238"/>
    <w:rsid w:val="00EB682A"/>
    <w:rsid w:val="00EB6A78"/>
    <w:rsid w:val="00EB73DE"/>
    <w:rsid w:val="00EB747B"/>
    <w:rsid w:val="00EB75F2"/>
    <w:rsid w:val="00EB7C25"/>
    <w:rsid w:val="00EC0328"/>
    <w:rsid w:val="00EC0455"/>
    <w:rsid w:val="00EC07CF"/>
    <w:rsid w:val="00EC180D"/>
    <w:rsid w:val="00EC1AC3"/>
    <w:rsid w:val="00EC1B24"/>
    <w:rsid w:val="00EC1F5D"/>
    <w:rsid w:val="00EC22B5"/>
    <w:rsid w:val="00EC2EFE"/>
    <w:rsid w:val="00EC362B"/>
    <w:rsid w:val="00EC3A11"/>
    <w:rsid w:val="00EC3CDE"/>
    <w:rsid w:val="00EC3EC2"/>
    <w:rsid w:val="00EC41A0"/>
    <w:rsid w:val="00EC429E"/>
    <w:rsid w:val="00EC4873"/>
    <w:rsid w:val="00EC4A60"/>
    <w:rsid w:val="00EC4B4D"/>
    <w:rsid w:val="00EC4F13"/>
    <w:rsid w:val="00EC5440"/>
    <w:rsid w:val="00EC5FCB"/>
    <w:rsid w:val="00EC6205"/>
    <w:rsid w:val="00EC630B"/>
    <w:rsid w:val="00EC6459"/>
    <w:rsid w:val="00EC6D5F"/>
    <w:rsid w:val="00EC70C5"/>
    <w:rsid w:val="00EC79FE"/>
    <w:rsid w:val="00EC7D47"/>
    <w:rsid w:val="00ED007C"/>
    <w:rsid w:val="00ED00E3"/>
    <w:rsid w:val="00ED01B3"/>
    <w:rsid w:val="00ED0715"/>
    <w:rsid w:val="00ED072E"/>
    <w:rsid w:val="00ED0A2B"/>
    <w:rsid w:val="00ED0B26"/>
    <w:rsid w:val="00ED0B45"/>
    <w:rsid w:val="00ED0E7D"/>
    <w:rsid w:val="00ED1181"/>
    <w:rsid w:val="00ED1525"/>
    <w:rsid w:val="00ED218E"/>
    <w:rsid w:val="00ED2388"/>
    <w:rsid w:val="00ED2512"/>
    <w:rsid w:val="00ED2E10"/>
    <w:rsid w:val="00ED32C1"/>
    <w:rsid w:val="00ED3844"/>
    <w:rsid w:val="00ED39C4"/>
    <w:rsid w:val="00ED40C2"/>
    <w:rsid w:val="00ED45CF"/>
    <w:rsid w:val="00ED5915"/>
    <w:rsid w:val="00ED6123"/>
    <w:rsid w:val="00ED63AA"/>
    <w:rsid w:val="00ED65AE"/>
    <w:rsid w:val="00ED679B"/>
    <w:rsid w:val="00ED686C"/>
    <w:rsid w:val="00ED69A2"/>
    <w:rsid w:val="00ED6C50"/>
    <w:rsid w:val="00ED6E8E"/>
    <w:rsid w:val="00ED74A0"/>
    <w:rsid w:val="00ED78FC"/>
    <w:rsid w:val="00EE0086"/>
    <w:rsid w:val="00EE02C2"/>
    <w:rsid w:val="00EE055C"/>
    <w:rsid w:val="00EE08F8"/>
    <w:rsid w:val="00EE0D08"/>
    <w:rsid w:val="00EE1082"/>
    <w:rsid w:val="00EE1323"/>
    <w:rsid w:val="00EE136B"/>
    <w:rsid w:val="00EE13BE"/>
    <w:rsid w:val="00EE1544"/>
    <w:rsid w:val="00EE1603"/>
    <w:rsid w:val="00EE16F6"/>
    <w:rsid w:val="00EE196B"/>
    <w:rsid w:val="00EE1DB7"/>
    <w:rsid w:val="00EE1EBC"/>
    <w:rsid w:val="00EE20E3"/>
    <w:rsid w:val="00EE29B4"/>
    <w:rsid w:val="00EE2A97"/>
    <w:rsid w:val="00EE2C88"/>
    <w:rsid w:val="00EE3174"/>
    <w:rsid w:val="00EE3452"/>
    <w:rsid w:val="00EE3B18"/>
    <w:rsid w:val="00EE3B93"/>
    <w:rsid w:val="00EE3DEF"/>
    <w:rsid w:val="00EE3F0B"/>
    <w:rsid w:val="00EE3FF6"/>
    <w:rsid w:val="00EE40D9"/>
    <w:rsid w:val="00EE4491"/>
    <w:rsid w:val="00EE44B7"/>
    <w:rsid w:val="00EE4C3E"/>
    <w:rsid w:val="00EE5376"/>
    <w:rsid w:val="00EE5C11"/>
    <w:rsid w:val="00EE5E0D"/>
    <w:rsid w:val="00EE602D"/>
    <w:rsid w:val="00EE62B3"/>
    <w:rsid w:val="00EE6412"/>
    <w:rsid w:val="00EE643A"/>
    <w:rsid w:val="00EE6669"/>
    <w:rsid w:val="00EE6F00"/>
    <w:rsid w:val="00EE7F85"/>
    <w:rsid w:val="00EF0432"/>
    <w:rsid w:val="00EF079F"/>
    <w:rsid w:val="00EF084A"/>
    <w:rsid w:val="00EF0DAB"/>
    <w:rsid w:val="00EF1671"/>
    <w:rsid w:val="00EF1762"/>
    <w:rsid w:val="00EF1E57"/>
    <w:rsid w:val="00EF2213"/>
    <w:rsid w:val="00EF255B"/>
    <w:rsid w:val="00EF29C4"/>
    <w:rsid w:val="00EF2CC9"/>
    <w:rsid w:val="00EF2D42"/>
    <w:rsid w:val="00EF33D5"/>
    <w:rsid w:val="00EF3588"/>
    <w:rsid w:val="00EF3620"/>
    <w:rsid w:val="00EF3711"/>
    <w:rsid w:val="00EF3914"/>
    <w:rsid w:val="00EF3E5A"/>
    <w:rsid w:val="00EF40D9"/>
    <w:rsid w:val="00EF4633"/>
    <w:rsid w:val="00EF48E4"/>
    <w:rsid w:val="00EF4AF9"/>
    <w:rsid w:val="00EF4C54"/>
    <w:rsid w:val="00EF4DFD"/>
    <w:rsid w:val="00EF517C"/>
    <w:rsid w:val="00EF520B"/>
    <w:rsid w:val="00EF5298"/>
    <w:rsid w:val="00EF5476"/>
    <w:rsid w:val="00EF5A0E"/>
    <w:rsid w:val="00EF5BB9"/>
    <w:rsid w:val="00EF5C87"/>
    <w:rsid w:val="00EF5DCB"/>
    <w:rsid w:val="00EF6162"/>
    <w:rsid w:val="00EF64E8"/>
    <w:rsid w:val="00EF740E"/>
    <w:rsid w:val="00EF771F"/>
    <w:rsid w:val="00F00069"/>
    <w:rsid w:val="00F0022E"/>
    <w:rsid w:val="00F00264"/>
    <w:rsid w:val="00F00689"/>
    <w:rsid w:val="00F00701"/>
    <w:rsid w:val="00F00DD1"/>
    <w:rsid w:val="00F0113E"/>
    <w:rsid w:val="00F02315"/>
    <w:rsid w:val="00F02464"/>
    <w:rsid w:val="00F02A4D"/>
    <w:rsid w:val="00F0350A"/>
    <w:rsid w:val="00F037A2"/>
    <w:rsid w:val="00F037E4"/>
    <w:rsid w:val="00F03DE9"/>
    <w:rsid w:val="00F043E1"/>
    <w:rsid w:val="00F04653"/>
    <w:rsid w:val="00F0469C"/>
    <w:rsid w:val="00F04C53"/>
    <w:rsid w:val="00F05C35"/>
    <w:rsid w:val="00F05D01"/>
    <w:rsid w:val="00F05FE5"/>
    <w:rsid w:val="00F0612F"/>
    <w:rsid w:val="00F06B84"/>
    <w:rsid w:val="00F06E41"/>
    <w:rsid w:val="00F06F08"/>
    <w:rsid w:val="00F0771C"/>
    <w:rsid w:val="00F07C1D"/>
    <w:rsid w:val="00F07D41"/>
    <w:rsid w:val="00F07D5A"/>
    <w:rsid w:val="00F10615"/>
    <w:rsid w:val="00F10B62"/>
    <w:rsid w:val="00F10FE4"/>
    <w:rsid w:val="00F1101E"/>
    <w:rsid w:val="00F112D8"/>
    <w:rsid w:val="00F115DE"/>
    <w:rsid w:val="00F11D49"/>
    <w:rsid w:val="00F127BB"/>
    <w:rsid w:val="00F12B22"/>
    <w:rsid w:val="00F12B6B"/>
    <w:rsid w:val="00F12D16"/>
    <w:rsid w:val="00F13648"/>
    <w:rsid w:val="00F13DAD"/>
    <w:rsid w:val="00F1423E"/>
    <w:rsid w:val="00F14A33"/>
    <w:rsid w:val="00F150A8"/>
    <w:rsid w:val="00F152A4"/>
    <w:rsid w:val="00F157C8"/>
    <w:rsid w:val="00F159F1"/>
    <w:rsid w:val="00F15B03"/>
    <w:rsid w:val="00F15EEF"/>
    <w:rsid w:val="00F160C1"/>
    <w:rsid w:val="00F16152"/>
    <w:rsid w:val="00F16166"/>
    <w:rsid w:val="00F16209"/>
    <w:rsid w:val="00F16AEB"/>
    <w:rsid w:val="00F16FAD"/>
    <w:rsid w:val="00F1752D"/>
    <w:rsid w:val="00F175DD"/>
    <w:rsid w:val="00F1796B"/>
    <w:rsid w:val="00F17CA8"/>
    <w:rsid w:val="00F17F56"/>
    <w:rsid w:val="00F17FA1"/>
    <w:rsid w:val="00F2006A"/>
    <w:rsid w:val="00F20ADE"/>
    <w:rsid w:val="00F20D27"/>
    <w:rsid w:val="00F210BA"/>
    <w:rsid w:val="00F21592"/>
    <w:rsid w:val="00F21664"/>
    <w:rsid w:val="00F219F6"/>
    <w:rsid w:val="00F222CC"/>
    <w:rsid w:val="00F234F3"/>
    <w:rsid w:val="00F23560"/>
    <w:rsid w:val="00F236E2"/>
    <w:rsid w:val="00F2375D"/>
    <w:rsid w:val="00F24375"/>
    <w:rsid w:val="00F2495F"/>
    <w:rsid w:val="00F251D1"/>
    <w:rsid w:val="00F257D0"/>
    <w:rsid w:val="00F267DD"/>
    <w:rsid w:val="00F26DC1"/>
    <w:rsid w:val="00F26EB6"/>
    <w:rsid w:val="00F26F19"/>
    <w:rsid w:val="00F26FA6"/>
    <w:rsid w:val="00F276BD"/>
    <w:rsid w:val="00F27715"/>
    <w:rsid w:val="00F30A88"/>
    <w:rsid w:val="00F30B37"/>
    <w:rsid w:val="00F30C15"/>
    <w:rsid w:val="00F30CC1"/>
    <w:rsid w:val="00F30F0E"/>
    <w:rsid w:val="00F312EA"/>
    <w:rsid w:val="00F312FD"/>
    <w:rsid w:val="00F31391"/>
    <w:rsid w:val="00F31A2C"/>
    <w:rsid w:val="00F31BC2"/>
    <w:rsid w:val="00F31F4B"/>
    <w:rsid w:val="00F321A5"/>
    <w:rsid w:val="00F3226A"/>
    <w:rsid w:val="00F3230B"/>
    <w:rsid w:val="00F32661"/>
    <w:rsid w:val="00F332E3"/>
    <w:rsid w:val="00F33555"/>
    <w:rsid w:val="00F336DD"/>
    <w:rsid w:val="00F33B8F"/>
    <w:rsid w:val="00F34018"/>
    <w:rsid w:val="00F3454E"/>
    <w:rsid w:val="00F346DF"/>
    <w:rsid w:val="00F348C6"/>
    <w:rsid w:val="00F3492F"/>
    <w:rsid w:val="00F34EAF"/>
    <w:rsid w:val="00F353C3"/>
    <w:rsid w:val="00F35585"/>
    <w:rsid w:val="00F35954"/>
    <w:rsid w:val="00F35A30"/>
    <w:rsid w:val="00F35A3A"/>
    <w:rsid w:val="00F35CFB"/>
    <w:rsid w:val="00F36498"/>
    <w:rsid w:val="00F3664D"/>
    <w:rsid w:val="00F3709B"/>
    <w:rsid w:val="00F3731D"/>
    <w:rsid w:val="00F37523"/>
    <w:rsid w:val="00F40360"/>
    <w:rsid w:val="00F4065C"/>
    <w:rsid w:val="00F416E9"/>
    <w:rsid w:val="00F41701"/>
    <w:rsid w:val="00F41749"/>
    <w:rsid w:val="00F4189F"/>
    <w:rsid w:val="00F4287B"/>
    <w:rsid w:val="00F42908"/>
    <w:rsid w:val="00F42D6E"/>
    <w:rsid w:val="00F430CB"/>
    <w:rsid w:val="00F4353C"/>
    <w:rsid w:val="00F442DE"/>
    <w:rsid w:val="00F4460D"/>
    <w:rsid w:val="00F44733"/>
    <w:rsid w:val="00F44E76"/>
    <w:rsid w:val="00F44EA7"/>
    <w:rsid w:val="00F4500F"/>
    <w:rsid w:val="00F45100"/>
    <w:rsid w:val="00F4510A"/>
    <w:rsid w:val="00F451AE"/>
    <w:rsid w:val="00F452E6"/>
    <w:rsid w:val="00F45666"/>
    <w:rsid w:val="00F45B98"/>
    <w:rsid w:val="00F467C3"/>
    <w:rsid w:val="00F46C8C"/>
    <w:rsid w:val="00F46F58"/>
    <w:rsid w:val="00F47824"/>
    <w:rsid w:val="00F47D25"/>
    <w:rsid w:val="00F50737"/>
    <w:rsid w:val="00F515E0"/>
    <w:rsid w:val="00F5170D"/>
    <w:rsid w:val="00F51B79"/>
    <w:rsid w:val="00F535BA"/>
    <w:rsid w:val="00F53EAB"/>
    <w:rsid w:val="00F5469F"/>
    <w:rsid w:val="00F546D9"/>
    <w:rsid w:val="00F54A4C"/>
    <w:rsid w:val="00F54C44"/>
    <w:rsid w:val="00F54D0D"/>
    <w:rsid w:val="00F54EF6"/>
    <w:rsid w:val="00F54F1B"/>
    <w:rsid w:val="00F54F85"/>
    <w:rsid w:val="00F5511A"/>
    <w:rsid w:val="00F55506"/>
    <w:rsid w:val="00F555F8"/>
    <w:rsid w:val="00F5563E"/>
    <w:rsid w:val="00F557E4"/>
    <w:rsid w:val="00F559B8"/>
    <w:rsid w:val="00F559BA"/>
    <w:rsid w:val="00F55B5F"/>
    <w:rsid w:val="00F55B87"/>
    <w:rsid w:val="00F560A9"/>
    <w:rsid w:val="00F609E1"/>
    <w:rsid w:val="00F60C9C"/>
    <w:rsid w:val="00F60CBB"/>
    <w:rsid w:val="00F6111E"/>
    <w:rsid w:val="00F61426"/>
    <w:rsid w:val="00F6171E"/>
    <w:rsid w:val="00F61BB4"/>
    <w:rsid w:val="00F61CE2"/>
    <w:rsid w:val="00F621BD"/>
    <w:rsid w:val="00F621D2"/>
    <w:rsid w:val="00F6253A"/>
    <w:rsid w:val="00F62566"/>
    <w:rsid w:val="00F629DD"/>
    <w:rsid w:val="00F62A3B"/>
    <w:rsid w:val="00F647BA"/>
    <w:rsid w:val="00F64BF4"/>
    <w:rsid w:val="00F64FDD"/>
    <w:rsid w:val="00F652DE"/>
    <w:rsid w:val="00F6565E"/>
    <w:rsid w:val="00F6592E"/>
    <w:rsid w:val="00F65AC2"/>
    <w:rsid w:val="00F65C3F"/>
    <w:rsid w:val="00F65DD6"/>
    <w:rsid w:val="00F65FD7"/>
    <w:rsid w:val="00F660E6"/>
    <w:rsid w:val="00F661AE"/>
    <w:rsid w:val="00F661D5"/>
    <w:rsid w:val="00F662C5"/>
    <w:rsid w:val="00F66676"/>
    <w:rsid w:val="00F67138"/>
    <w:rsid w:val="00F675B0"/>
    <w:rsid w:val="00F67D9A"/>
    <w:rsid w:val="00F67F0B"/>
    <w:rsid w:val="00F67F83"/>
    <w:rsid w:val="00F7006F"/>
    <w:rsid w:val="00F709B2"/>
    <w:rsid w:val="00F709BC"/>
    <w:rsid w:val="00F71B8C"/>
    <w:rsid w:val="00F71F5D"/>
    <w:rsid w:val="00F71F6A"/>
    <w:rsid w:val="00F72096"/>
    <w:rsid w:val="00F72240"/>
    <w:rsid w:val="00F722F7"/>
    <w:rsid w:val="00F72518"/>
    <w:rsid w:val="00F728C1"/>
    <w:rsid w:val="00F728DC"/>
    <w:rsid w:val="00F72DAA"/>
    <w:rsid w:val="00F72E56"/>
    <w:rsid w:val="00F730AD"/>
    <w:rsid w:val="00F73653"/>
    <w:rsid w:val="00F738FB"/>
    <w:rsid w:val="00F739EC"/>
    <w:rsid w:val="00F73AB5"/>
    <w:rsid w:val="00F73C90"/>
    <w:rsid w:val="00F740A3"/>
    <w:rsid w:val="00F742E9"/>
    <w:rsid w:val="00F750A6"/>
    <w:rsid w:val="00F75424"/>
    <w:rsid w:val="00F75687"/>
    <w:rsid w:val="00F75883"/>
    <w:rsid w:val="00F75B3F"/>
    <w:rsid w:val="00F75C64"/>
    <w:rsid w:val="00F76472"/>
    <w:rsid w:val="00F7650D"/>
    <w:rsid w:val="00F7683D"/>
    <w:rsid w:val="00F76C24"/>
    <w:rsid w:val="00F76C60"/>
    <w:rsid w:val="00F77781"/>
    <w:rsid w:val="00F77CA4"/>
    <w:rsid w:val="00F803C2"/>
    <w:rsid w:val="00F80856"/>
    <w:rsid w:val="00F80929"/>
    <w:rsid w:val="00F80BAC"/>
    <w:rsid w:val="00F81451"/>
    <w:rsid w:val="00F81460"/>
    <w:rsid w:val="00F81704"/>
    <w:rsid w:val="00F81F69"/>
    <w:rsid w:val="00F82147"/>
    <w:rsid w:val="00F82458"/>
    <w:rsid w:val="00F82F51"/>
    <w:rsid w:val="00F8352B"/>
    <w:rsid w:val="00F83694"/>
    <w:rsid w:val="00F839E4"/>
    <w:rsid w:val="00F83E63"/>
    <w:rsid w:val="00F83FEF"/>
    <w:rsid w:val="00F84008"/>
    <w:rsid w:val="00F8416D"/>
    <w:rsid w:val="00F843E5"/>
    <w:rsid w:val="00F84B7C"/>
    <w:rsid w:val="00F84FB1"/>
    <w:rsid w:val="00F85163"/>
    <w:rsid w:val="00F8552B"/>
    <w:rsid w:val="00F85595"/>
    <w:rsid w:val="00F85B4C"/>
    <w:rsid w:val="00F85E4F"/>
    <w:rsid w:val="00F861F6"/>
    <w:rsid w:val="00F867D0"/>
    <w:rsid w:val="00F86A13"/>
    <w:rsid w:val="00F86AA4"/>
    <w:rsid w:val="00F86CC3"/>
    <w:rsid w:val="00F86F2E"/>
    <w:rsid w:val="00F905CF"/>
    <w:rsid w:val="00F9073A"/>
    <w:rsid w:val="00F90D52"/>
    <w:rsid w:val="00F90E05"/>
    <w:rsid w:val="00F90FF2"/>
    <w:rsid w:val="00F918D9"/>
    <w:rsid w:val="00F91E87"/>
    <w:rsid w:val="00F91ED2"/>
    <w:rsid w:val="00F91F11"/>
    <w:rsid w:val="00F91FE7"/>
    <w:rsid w:val="00F93738"/>
    <w:rsid w:val="00F93EE1"/>
    <w:rsid w:val="00F94677"/>
    <w:rsid w:val="00F95435"/>
    <w:rsid w:val="00F95502"/>
    <w:rsid w:val="00F9571B"/>
    <w:rsid w:val="00F95BA7"/>
    <w:rsid w:val="00F95E16"/>
    <w:rsid w:val="00F9639E"/>
    <w:rsid w:val="00F9653C"/>
    <w:rsid w:val="00F96630"/>
    <w:rsid w:val="00F96DCD"/>
    <w:rsid w:val="00F976BD"/>
    <w:rsid w:val="00FA0036"/>
    <w:rsid w:val="00FA01C2"/>
    <w:rsid w:val="00FA097A"/>
    <w:rsid w:val="00FA0B31"/>
    <w:rsid w:val="00FA0C1A"/>
    <w:rsid w:val="00FA0C8F"/>
    <w:rsid w:val="00FA1607"/>
    <w:rsid w:val="00FA1C4E"/>
    <w:rsid w:val="00FA2575"/>
    <w:rsid w:val="00FA25C6"/>
    <w:rsid w:val="00FA29E8"/>
    <w:rsid w:val="00FA343B"/>
    <w:rsid w:val="00FA3622"/>
    <w:rsid w:val="00FA36F9"/>
    <w:rsid w:val="00FA3810"/>
    <w:rsid w:val="00FA398E"/>
    <w:rsid w:val="00FA3A80"/>
    <w:rsid w:val="00FA3CAD"/>
    <w:rsid w:val="00FA3DDD"/>
    <w:rsid w:val="00FA3E70"/>
    <w:rsid w:val="00FA44EA"/>
    <w:rsid w:val="00FA4D41"/>
    <w:rsid w:val="00FA4E79"/>
    <w:rsid w:val="00FA506D"/>
    <w:rsid w:val="00FA57E3"/>
    <w:rsid w:val="00FA5B5B"/>
    <w:rsid w:val="00FA5DB8"/>
    <w:rsid w:val="00FA5DDE"/>
    <w:rsid w:val="00FA6156"/>
    <w:rsid w:val="00FA62A5"/>
    <w:rsid w:val="00FA6382"/>
    <w:rsid w:val="00FA6D2D"/>
    <w:rsid w:val="00FA6F10"/>
    <w:rsid w:val="00FA7308"/>
    <w:rsid w:val="00FA75D8"/>
    <w:rsid w:val="00FA7A34"/>
    <w:rsid w:val="00FB14D0"/>
    <w:rsid w:val="00FB1A60"/>
    <w:rsid w:val="00FB1A7E"/>
    <w:rsid w:val="00FB1EE3"/>
    <w:rsid w:val="00FB20F7"/>
    <w:rsid w:val="00FB235D"/>
    <w:rsid w:val="00FB23C8"/>
    <w:rsid w:val="00FB257E"/>
    <w:rsid w:val="00FB2722"/>
    <w:rsid w:val="00FB27EF"/>
    <w:rsid w:val="00FB2BCC"/>
    <w:rsid w:val="00FB31F8"/>
    <w:rsid w:val="00FB38AF"/>
    <w:rsid w:val="00FB3A80"/>
    <w:rsid w:val="00FB3A86"/>
    <w:rsid w:val="00FB4076"/>
    <w:rsid w:val="00FB4086"/>
    <w:rsid w:val="00FB4A07"/>
    <w:rsid w:val="00FB51C0"/>
    <w:rsid w:val="00FB52C7"/>
    <w:rsid w:val="00FB598A"/>
    <w:rsid w:val="00FB5C5B"/>
    <w:rsid w:val="00FB5CFF"/>
    <w:rsid w:val="00FB61B2"/>
    <w:rsid w:val="00FB6411"/>
    <w:rsid w:val="00FB6FCE"/>
    <w:rsid w:val="00FB75E0"/>
    <w:rsid w:val="00FB7FE7"/>
    <w:rsid w:val="00FC0A18"/>
    <w:rsid w:val="00FC0D54"/>
    <w:rsid w:val="00FC0DF4"/>
    <w:rsid w:val="00FC1A91"/>
    <w:rsid w:val="00FC2BBB"/>
    <w:rsid w:val="00FC2DED"/>
    <w:rsid w:val="00FC3537"/>
    <w:rsid w:val="00FC3938"/>
    <w:rsid w:val="00FC4753"/>
    <w:rsid w:val="00FC486D"/>
    <w:rsid w:val="00FC4895"/>
    <w:rsid w:val="00FC4A32"/>
    <w:rsid w:val="00FC4B86"/>
    <w:rsid w:val="00FC4C38"/>
    <w:rsid w:val="00FC4CC4"/>
    <w:rsid w:val="00FC5013"/>
    <w:rsid w:val="00FC5038"/>
    <w:rsid w:val="00FC57CF"/>
    <w:rsid w:val="00FC5D06"/>
    <w:rsid w:val="00FC6714"/>
    <w:rsid w:val="00FC6DC5"/>
    <w:rsid w:val="00FC6FCF"/>
    <w:rsid w:val="00FC6FE4"/>
    <w:rsid w:val="00FC70AF"/>
    <w:rsid w:val="00FC7177"/>
    <w:rsid w:val="00FC7277"/>
    <w:rsid w:val="00FC771F"/>
    <w:rsid w:val="00FC7945"/>
    <w:rsid w:val="00FD0761"/>
    <w:rsid w:val="00FD07C6"/>
    <w:rsid w:val="00FD08C2"/>
    <w:rsid w:val="00FD09AC"/>
    <w:rsid w:val="00FD1190"/>
    <w:rsid w:val="00FD147F"/>
    <w:rsid w:val="00FD1887"/>
    <w:rsid w:val="00FD1A2E"/>
    <w:rsid w:val="00FD1B90"/>
    <w:rsid w:val="00FD1D09"/>
    <w:rsid w:val="00FD1DDE"/>
    <w:rsid w:val="00FD2126"/>
    <w:rsid w:val="00FD256B"/>
    <w:rsid w:val="00FD284C"/>
    <w:rsid w:val="00FD2894"/>
    <w:rsid w:val="00FD2A2C"/>
    <w:rsid w:val="00FD3043"/>
    <w:rsid w:val="00FD34B9"/>
    <w:rsid w:val="00FD399A"/>
    <w:rsid w:val="00FD3CB7"/>
    <w:rsid w:val="00FD3D44"/>
    <w:rsid w:val="00FD3FDF"/>
    <w:rsid w:val="00FD41CB"/>
    <w:rsid w:val="00FD4359"/>
    <w:rsid w:val="00FD437F"/>
    <w:rsid w:val="00FD540C"/>
    <w:rsid w:val="00FD564D"/>
    <w:rsid w:val="00FD567A"/>
    <w:rsid w:val="00FD5ADF"/>
    <w:rsid w:val="00FD5C1E"/>
    <w:rsid w:val="00FD5DDD"/>
    <w:rsid w:val="00FD60E7"/>
    <w:rsid w:val="00FD612E"/>
    <w:rsid w:val="00FD620D"/>
    <w:rsid w:val="00FD6558"/>
    <w:rsid w:val="00FD74B7"/>
    <w:rsid w:val="00FD7872"/>
    <w:rsid w:val="00FD7AC8"/>
    <w:rsid w:val="00FD7B47"/>
    <w:rsid w:val="00FE087D"/>
    <w:rsid w:val="00FE09D4"/>
    <w:rsid w:val="00FE0ACD"/>
    <w:rsid w:val="00FE0C19"/>
    <w:rsid w:val="00FE0D34"/>
    <w:rsid w:val="00FE1005"/>
    <w:rsid w:val="00FE1856"/>
    <w:rsid w:val="00FE1882"/>
    <w:rsid w:val="00FE35D4"/>
    <w:rsid w:val="00FE3664"/>
    <w:rsid w:val="00FE38F8"/>
    <w:rsid w:val="00FE3ADD"/>
    <w:rsid w:val="00FE4288"/>
    <w:rsid w:val="00FE43A0"/>
    <w:rsid w:val="00FE43FE"/>
    <w:rsid w:val="00FE44AB"/>
    <w:rsid w:val="00FE4E53"/>
    <w:rsid w:val="00FE5363"/>
    <w:rsid w:val="00FE536E"/>
    <w:rsid w:val="00FE5C49"/>
    <w:rsid w:val="00FE5C79"/>
    <w:rsid w:val="00FE6647"/>
    <w:rsid w:val="00FE6BA8"/>
    <w:rsid w:val="00FE6C6C"/>
    <w:rsid w:val="00FE7062"/>
    <w:rsid w:val="00FE73B9"/>
    <w:rsid w:val="00FE7616"/>
    <w:rsid w:val="00FE7C4B"/>
    <w:rsid w:val="00FE7D58"/>
    <w:rsid w:val="00FE7F23"/>
    <w:rsid w:val="00FF0108"/>
    <w:rsid w:val="00FF0855"/>
    <w:rsid w:val="00FF0AED"/>
    <w:rsid w:val="00FF0C9E"/>
    <w:rsid w:val="00FF10A3"/>
    <w:rsid w:val="00FF12B1"/>
    <w:rsid w:val="00FF130E"/>
    <w:rsid w:val="00FF16A5"/>
    <w:rsid w:val="00FF18AB"/>
    <w:rsid w:val="00FF228B"/>
    <w:rsid w:val="00FF24E9"/>
    <w:rsid w:val="00FF2A82"/>
    <w:rsid w:val="00FF2F6C"/>
    <w:rsid w:val="00FF30E9"/>
    <w:rsid w:val="00FF30EB"/>
    <w:rsid w:val="00FF4373"/>
    <w:rsid w:val="00FF49E1"/>
    <w:rsid w:val="00FF4D71"/>
    <w:rsid w:val="00FF51BF"/>
    <w:rsid w:val="00FF5276"/>
    <w:rsid w:val="00FF5A2D"/>
    <w:rsid w:val="00FF5E25"/>
    <w:rsid w:val="00FF5F94"/>
    <w:rsid w:val="00FF601A"/>
    <w:rsid w:val="00FF60B5"/>
    <w:rsid w:val="00FF7939"/>
    <w:rsid w:val="00FF7A47"/>
    <w:rsid w:val="00FF7D73"/>
    <w:rsid w:val="00FF7EC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page" fillcolor="#ff9" stroke="f">
      <v:fill color="#ff9"/>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uiPriority="99"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476A4F"/>
    <w:pPr>
      <w:tabs>
        <w:tab w:val="right" w:leader="dot" w:pos="8931"/>
      </w:tabs>
      <w:spacing w:before="120" w:after="120"/>
      <w:ind w:leftChars="-84" w:left="611" w:hangingChars="203" w:hanging="813"/>
    </w:pPr>
    <w:rPr>
      <w:rFonts w:eastAsia="標楷體"/>
      <w:b/>
      <w:bCs/>
      <w:caps/>
      <w:noProof/>
      <w:sz w:val="40"/>
      <w:szCs w:val="40"/>
    </w:rPr>
  </w:style>
  <w:style w:type="paragraph" w:styleId="25">
    <w:name w:val="toc 2"/>
    <w:basedOn w:val="a2"/>
    <w:next w:val="a2"/>
    <w:autoRedefine/>
    <w:uiPriority w:val="39"/>
    <w:qFormat/>
    <w:rsid w:val="0058711C"/>
    <w:pPr>
      <w:tabs>
        <w:tab w:val="right" w:leader="dot" w:pos="8931"/>
      </w:tabs>
      <w:ind w:rightChars="96" w:right="230" w:firstLineChars="50" w:firstLine="180"/>
    </w:pPr>
    <w:rPr>
      <w:rFonts w:eastAsia="標楷體"/>
      <w:b/>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rsid w:val="00D05F7D"/>
    <w:rPr>
      <w:rFonts w:asciiTheme="minorHAnsi" w:eastAsiaTheme="minorEastAsia" w:hAnsiTheme="minorHAnsi" w:cstheme="minorBidi"/>
      <w:kern w:val="2"/>
      <w:sz w:val="24"/>
      <w:szCs w:val="22"/>
    </w:rPr>
  </w:style>
  <w:style w:type="character" w:styleId="affffff6">
    <w:name w:val="endnote reference"/>
    <w:basedOn w:val="a3"/>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uiPriority w:val="99"/>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0">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val="0"/>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uiPriority="99"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476A4F"/>
    <w:pPr>
      <w:tabs>
        <w:tab w:val="right" w:leader="dot" w:pos="8931"/>
      </w:tabs>
      <w:spacing w:before="120" w:after="120"/>
      <w:ind w:leftChars="-84" w:left="611" w:hangingChars="203" w:hanging="813"/>
    </w:pPr>
    <w:rPr>
      <w:rFonts w:eastAsia="標楷體"/>
      <w:b/>
      <w:bCs/>
      <w:caps/>
      <w:noProof/>
      <w:sz w:val="40"/>
      <w:szCs w:val="40"/>
    </w:rPr>
  </w:style>
  <w:style w:type="paragraph" w:styleId="25">
    <w:name w:val="toc 2"/>
    <w:basedOn w:val="a2"/>
    <w:next w:val="a2"/>
    <w:autoRedefine/>
    <w:uiPriority w:val="39"/>
    <w:qFormat/>
    <w:rsid w:val="0058711C"/>
    <w:pPr>
      <w:tabs>
        <w:tab w:val="right" w:leader="dot" w:pos="8931"/>
      </w:tabs>
      <w:ind w:rightChars="96" w:right="230" w:firstLineChars="50" w:firstLine="180"/>
    </w:pPr>
    <w:rPr>
      <w:rFonts w:eastAsia="標楷體"/>
      <w:b/>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rsid w:val="00D05F7D"/>
    <w:rPr>
      <w:rFonts w:asciiTheme="minorHAnsi" w:eastAsiaTheme="minorEastAsia" w:hAnsiTheme="minorHAnsi" w:cstheme="minorBidi"/>
      <w:kern w:val="2"/>
      <w:sz w:val="24"/>
      <w:szCs w:val="22"/>
    </w:rPr>
  </w:style>
  <w:style w:type="character" w:styleId="affffff6">
    <w:name w:val="endnote reference"/>
    <w:basedOn w:val="a3"/>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uiPriority w:val="99"/>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0">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val="0"/>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57757">
      <w:bodyDiv w:val="1"/>
      <w:marLeft w:val="0"/>
      <w:marRight w:val="0"/>
      <w:marTop w:val="0"/>
      <w:marBottom w:val="0"/>
      <w:divBdr>
        <w:top w:val="none" w:sz="0" w:space="0" w:color="auto"/>
        <w:left w:val="none" w:sz="0" w:space="0" w:color="auto"/>
        <w:bottom w:val="none" w:sz="0" w:space="0" w:color="auto"/>
        <w:right w:val="none" w:sz="0" w:space="0" w:color="auto"/>
      </w:divBdr>
    </w:div>
    <w:div w:id="41636658">
      <w:bodyDiv w:val="1"/>
      <w:marLeft w:val="0"/>
      <w:marRight w:val="0"/>
      <w:marTop w:val="0"/>
      <w:marBottom w:val="0"/>
      <w:divBdr>
        <w:top w:val="none" w:sz="0" w:space="0" w:color="auto"/>
        <w:left w:val="none" w:sz="0" w:space="0" w:color="auto"/>
        <w:bottom w:val="none" w:sz="0" w:space="0" w:color="auto"/>
        <w:right w:val="none" w:sz="0" w:space="0" w:color="auto"/>
      </w:divBdr>
    </w:div>
    <w:div w:id="157045329">
      <w:bodyDiv w:val="1"/>
      <w:marLeft w:val="0"/>
      <w:marRight w:val="0"/>
      <w:marTop w:val="0"/>
      <w:marBottom w:val="0"/>
      <w:divBdr>
        <w:top w:val="none" w:sz="0" w:space="0" w:color="auto"/>
        <w:left w:val="none" w:sz="0" w:space="0" w:color="auto"/>
        <w:bottom w:val="none" w:sz="0" w:space="0" w:color="auto"/>
        <w:right w:val="none" w:sz="0" w:space="0" w:color="auto"/>
      </w:divBdr>
    </w:div>
    <w:div w:id="172888388">
      <w:bodyDiv w:val="1"/>
      <w:marLeft w:val="0"/>
      <w:marRight w:val="0"/>
      <w:marTop w:val="0"/>
      <w:marBottom w:val="0"/>
      <w:divBdr>
        <w:top w:val="none" w:sz="0" w:space="0" w:color="auto"/>
        <w:left w:val="none" w:sz="0" w:space="0" w:color="auto"/>
        <w:bottom w:val="none" w:sz="0" w:space="0" w:color="auto"/>
        <w:right w:val="none" w:sz="0" w:space="0" w:color="auto"/>
      </w:divBdr>
    </w:div>
    <w:div w:id="275059886">
      <w:bodyDiv w:val="1"/>
      <w:marLeft w:val="0"/>
      <w:marRight w:val="0"/>
      <w:marTop w:val="0"/>
      <w:marBottom w:val="0"/>
      <w:divBdr>
        <w:top w:val="none" w:sz="0" w:space="0" w:color="auto"/>
        <w:left w:val="none" w:sz="0" w:space="0" w:color="auto"/>
        <w:bottom w:val="none" w:sz="0" w:space="0" w:color="auto"/>
        <w:right w:val="none" w:sz="0" w:space="0" w:color="auto"/>
      </w:divBdr>
    </w:div>
    <w:div w:id="291861321">
      <w:bodyDiv w:val="1"/>
      <w:marLeft w:val="0"/>
      <w:marRight w:val="0"/>
      <w:marTop w:val="0"/>
      <w:marBottom w:val="0"/>
      <w:divBdr>
        <w:top w:val="none" w:sz="0" w:space="0" w:color="auto"/>
        <w:left w:val="none" w:sz="0" w:space="0" w:color="auto"/>
        <w:bottom w:val="none" w:sz="0" w:space="0" w:color="auto"/>
        <w:right w:val="none" w:sz="0" w:space="0" w:color="auto"/>
      </w:divBdr>
    </w:div>
    <w:div w:id="426073887">
      <w:bodyDiv w:val="1"/>
      <w:marLeft w:val="0"/>
      <w:marRight w:val="0"/>
      <w:marTop w:val="0"/>
      <w:marBottom w:val="0"/>
      <w:divBdr>
        <w:top w:val="none" w:sz="0" w:space="0" w:color="auto"/>
        <w:left w:val="none" w:sz="0" w:space="0" w:color="auto"/>
        <w:bottom w:val="none" w:sz="0" w:space="0" w:color="auto"/>
        <w:right w:val="none" w:sz="0" w:space="0" w:color="auto"/>
      </w:divBdr>
    </w:div>
    <w:div w:id="498469341">
      <w:bodyDiv w:val="1"/>
      <w:marLeft w:val="0"/>
      <w:marRight w:val="0"/>
      <w:marTop w:val="0"/>
      <w:marBottom w:val="0"/>
      <w:divBdr>
        <w:top w:val="none" w:sz="0" w:space="0" w:color="auto"/>
        <w:left w:val="none" w:sz="0" w:space="0" w:color="auto"/>
        <w:bottom w:val="none" w:sz="0" w:space="0" w:color="auto"/>
        <w:right w:val="none" w:sz="0" w:space="0" w:color="auto"/>
      </w:divBdr>
    </w:div>
    <w:div w:id="508717645">
      <w:bodyDiv w:val="1"/>
      <w:marLeft w:val="0"/>
      <w:marRight w:val="0"/>
      <w:marTop w:val="0"/>
      <w:marBottom w:val="0"/>
      <w:divBdr>
        <w:top w:val="none" w:sz="0" w:space="0" w:color="auto"/>
        <w:left w:val="none" w:sz="0" w:space="0" w:color="auto"/>
        <w:bottom w:val="none" w:sz="0" w:space="0" w:color="auto"/>
        <w:right w:val="none" w:sz="0" w:space="0" w:color="auto"/>
      </w:divBdr>
    </w:div>
    <w:div w:id="592669807">
      <w:bodyDiv w:val="1"/>
      <w:marLeft w:val="0"/>
      <w:marRight w:val="0"/>
      <w:marTop w:val="0"/>
      <w:marBottom w:val="0"/>
      <w:divBdr>
        <w:top w:val="none" w:sz="0" w:space="0" w:color="auto"/>
        <w:left w:val="none" w:sz="0" w:space="0" w:color="auto"/>
        <w:bottom w:val="none" w:sz="0" w:space="0" w:color="auto"/>
        <w:right w:val="none" w:sz="0" w:space="0" w:color="auto"/>
      </w:divBdr>
    </w:div>
    <w:div w:id="626355324">
      <w:bodyDiv w:val="1"/>
      <w:marLeft w:val="0"/>
      <w:marRight w:val="0"/>
      <w:marTop w:val="0"/>
      <w:marBottom w:val="0"/>
      <w:divBdr>
        <w:top w:val="none" w:sz="0" w:space="0" w:color="auto"/>
        <w:left w:val="none" w:sz="0" w:space="0" w:color="auto"/>
        <w:bottom w:val="none" w:sz="0" w:space="0" w:color="auto"/>
        <w:right w:val="none" w:sz="0" w:space="0" w:color="auto"/>
      </w:divBdr>
    </w:div>
    <w:div w:id="653486789">
      <w:bodyDiv w:val="1"/>
      <w:marLeft w:val="0"/>
      <w:marRight w:val="0"/>
      <w:marTop w:val="0"/>
      <w:marBottom w:val="0"/>
      <w:divBdr>
        <w:top w:val="none" w:sz="0" w:space="0" w:color="auto"/>
        <w:left w:val="none" w:sz="0" w:space="0" w:color="auto"/>
        <w:bottom w:val="none" w:sz="0" w:space="0" w:color="auto"/>
        <w:right w:val="none" w:sz="0" w:space="0" w:color="auto"/>
      </w:divBdr>
    </w:div>
    <w:div w:id="657000421">
      <w:bodyDiv w:val="1"/>
      <w:marLeft w:val="0"/>
      <w:marRight w:val="0"/>
      <w:marTop w:val="0"/>
      <w:marBottom w:val="0"/>
      <w:divBdr>
        <w:top w:val="none" w:sz="0" w:space="0" w:color="auto"/>
        <w:left w:val="none" w:sz="0" w:space="0" w:color="auto"/>
        <w:bottom w:val="none" w:sz="0" w:space="0" w:color="auto"/>
        <w:right w:val="none" w:sz="0" w:space="0" w:color="auto"/>
      </w:divBdr>
    </w:div>
    <w:div w:id="696083429">
      <w:bodyDiv w:val="1"/>
      <w:marLeft w:val="0"/>
      <w:marRight w:val="0"/>
      <w:marTop w:val="0"/>
      <w:marBottom w:val="0"/>
      <w:divBdr>
        <w:top w:val="none" w:sz="0" w:space="0" w:color="auto"/>
        <w:left w:val="none" w:sz="0" w:space="0" w:color="auto"/>
        <w:bottom w:val="none" w:sz="0" w:space="0" w:color="auto"/>
        <w:right w:val="none" w:sz="0" w:space="0" w:color="auto"/>
      </w:divBdr>
    </w:div>
    <w:div w:id="770859048">
      <w:bodyDiv w:val="1"/>
      <w:marLeft w:val="0"/>
      <w:marRight w:val="0"/>
      <w:marTop w:val="0"/>
      <w:marBottom w:val="0"/>
      <w:divBdr>
        <w:top w:val="none" w:sz="0" w:space="0" w:color="auto"/>
        <w:left w:val="none" w:sz="0" w:space="0" w:color="auto"/>
        <w:bottom w:val="none" w:sz="0" w:space="0" w:color="auto"/>
        <w:right w:val="none" w:sz="0" w:space="0" w:color="auto"/>
      </w:divBdr>
      <w:divsChild>
        <w:div w:id="1635869110">
          <w:marLeft w:val="0"/>
          <w:marRight w:val="0"/>
          <w:marTop w:val="0"/>
          <w:marBottom w:val="0"/>
          <w:divBdr>
            <w:top w:val="none" w:sz="0" w:space="0" w:color="auto"/>
            <w:left w:val="none" w:sz="0" w:space="0" w:color="auto"/>
            <w:bottom w:val="none" w:sz="0" w:space="0" w:color="auto"/>
            <w:right w:val="none" w:sz="0" w:space="0" w:color="auto"/>
          </w:divBdr>
          <w:divsChild>
            <w:div w:id="1871142881">
              <w:marLeft w:val="150"/>
              <w:marRight w:val="0"/>
              <w:marTop w:val="75"/>
              <w:marBottom w:val="75"/>
              <w:divBdr>
                <w:top w:val="none" w:sz="0" w:space="0" w:color="auto"/>
                <w:left w:val="none" w:sz="0" w:space="0" w:color="auto"/>
                <w:bottom w:val="none" w:sz="0" w:space="0" w:color="auto"/>
                <w:right w:val="none" w:sz="0" w:space="0" w:color="auto"/>
              </w:divBdr>
              <w:divsChild>
                <w:div w:id="95213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21762">
      <w:bodyDiv w:val="1"/>
      <w:marLeft w:val="0"/>
      <w:marRight w:val="0"/>
      <w:marTop w:val="0"/>
      <w:marBottom w:val="0"/>
      <w:divBdr>
        <w:top w:val="none" w:sz="0" w:space="0" w:color="auto"/>
        <w:left w:val="none" w:sz="0" w:space="0" w:color="auto"/>
        <w:bottom w:val="none" w:sz="0" w:space="0" w:color="auto"/>
        <w:right w:val="none" w:sz="0" w:space="0" w:color="auto"/>
      </w:divBdr>
    </w:div>
    <w:div w:id="970281593">
      <w:bodyDiv w:val="1"/>
      <w:marLeft w:val="0"/>
      <w:marRight w:val="0"/>
      <w:marTop w:val="0"/>
      <w:marBottom w:val="0"/>
      <w:divBdr>
        <w:top w:val="none" w:sz="0" w:space="0" w:color="auto"/>
        <w:left w:val="none" w:sz="0" w:space="0" w:color="auto"/>
        <w:bottom w:val="none" w:sz="0" w:space="0" w:color="auto"/>
        <w:right w:val="none" w:sz="0" w:space="0" w:color="auto"/>
      </w:divBdr>
      <w:divsChild>
        <w:div w:id="1364211397">
          <w:marLeft w:val="0"/>
          <w:marRight w:val="0"/>
          <w:marTop w:val="0"/>
          <w:marBottom w:val="0"/>
          <w:divBdr>
            <w:top w:val="none" w:sz="0" w:space="0" w:color="auto"/>
            <w:left w:val="none" w:sz="0" w:space="0" w:color="auto"/>
            <w:bottom w:val="none" w:sz="0" w:space="0" w:color="auto"/>
            <w:right w:val="none" w:sz="0" w:space="0" w:color="auto"/>
          </w:divBdr>
        </w:div>
      </w:divsChild>
    </w:div>
    <w:div w:id="976759589">
      <w:bodyDiv w:val="1"/>
      <w:marLeft w:val="0"/>
      <w:marRight w:val="0"/>
      <w:marTop w:val="0"/>
      <w:marBottom w:val="0"/>
      <w:divBdr>
        <w:top w:val="none" w:sz="0" w:space="0" w:color="auto"/>
        <w:left w:val="none" w:sz="0" w:space="0" w:color="auto"/>
        <w:bottom w:val="none" w:sz="0" w:space="0" w:color="auto"/>
        <w:right w:val="none" w:sz="0" w:space="0" w:color="auto"/>
      </w:divBdr>
    </w:div>
    <w:div w:id="995912345">
      <w:bodyDiv w:val="1"/>
      <w:marLeft w:val="0"/>
      <w:marRight w:val="0"/>
      <w:marTop w:val="0"/>
      <w:marBottom w:val="0"/>
      <w:divBdr>
        <w:top w:val="none" w:sz="0" w:space="0" w:color="auto"/>
        <w:left w:val="none" w:sz="0" w:space="0" w:color="auto"/>
        <w:bottom w:val="none" w:sz="0" w:space="0" w:color="auto"/>
        <w:right w:val="none" w:sz="0" w:space="0" w:color="auto"/>
      </w:divBdr>
      <w:divsChild>
        <w:div w:id="305819457">
          <w:marLeft w:val="0"/>
          <w:marRight w:val="0"/>
          <w:marTop w:val="0"/>
          <w:marBottom w:val="0"/>
          <w:divBdr>
            <w:top w:val="none" w:sz="0" w:space="0" w:color="auto"/>
            <w:left w:val="none" w:sz="0" w:space="0" w:color="auto"/>
            <w:bottom w:val="none" w:sz="0" w:space="0" w:color="auto"/>
            <w:right w:val="none" w:sz="0" w:space="0" w:color="auto"/>
          </w:divBdr>
        </w:div>
      </w:divsChild>
    </w:div>
    <w:div w:id="1001473319">
      <w:bodyDiv w:val="1"/>
      <w:marLeft w:val="0"/>
      <w:marRight w:val="0"/>
      <w:marTop w:val="0"/>
      <w:marBottom w:val="0"/>
      <w:divBdr>
        <w:top w:val="none" w:sz="0" w:space="0" w:color="auto"/>
        <w:left w:val="none" w:sz="0" w:space="0" w:color="auto"/>
        <w:bottom w:val="none" w:sz="0" w:space="0" w:color="auto"/>
        <w:right w:val="none" w:sz="0" w:space="0" w:color="auto"/>
      </w:divBdr>
    </w:div>
    <w:div w:id="1087456258">
      <w:bodyDiv w:val="1"/>
      <w:marLeft w:val="0"/>
      <w:marRight w:val="0"/>
      <w:marTop w:val="0"/>
      <w:marBottom w:val="0"/>
      <w:divBdr>
        <w:top w:val="none" w:sz="0" w:space="0" w:color="auto"/>
        <w:left w:val="none" w:sz="0" w:space="0" w:color="auto"/>
        <w:bottom w:val="none" w:sz="0" w:space="0" w:color="auto"/>
        <w:right w:val="none" w:sz="0" w:space="0" w:color="auto"/>
      </w:divBdr>
      <w:divsChild>
        <w:div w:id="1600792915">
          <w:marLeft w:val="0"/>
          <w:marRight w:val="0"/>
          <w:marTop w:val="0"/>
          <w:marBottom w:val="0"/>
          <w:divBdr>
            <w:top w:val="none" w:sz="0" w:space="0" w:color="auto"/>
            <w:left w:val="none" w:sz="0" w:space="0" w:color="auto"/>
            <w:bottom w:val="none" w:sz="0" w:space="0" w:color="auto"/>
            <w:right w:val="none" w:sz="0" w:space="0" w:color="auto"/>
          </w:divBdr>
          <w:divsChild>
            <w:div w:id="371882008">
              <w:marLeft w:val="150"/>
              <w:marRight w:val="0"/>
              <w:marTop w:val="75"/>
              <w:marBottom w:val="75"/>
              <w:divBdr>
                <w:top w:val="none" w:sz="0" w:space="0" w:color="auto"/>
                <w:left w:val="none" w:sz="0" w:space="0" w:color="auto"/>
                <w:bottom w:val="none" w:sz="0" w:space="0" w:color="auto"/>
                <w:right w:val="none" w:sz="0" w:space="0" w:color="auto"/>
              </w:divBdr>
              <w:divsChild>
                <w:div w:id="166870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090559">
      <w:bodyDiv w:val="1"/>
      <w:marLeft w:val="0"/>
      <w:marRight w:val="0"/>
      <w:marTop w:val="0"/>
      <w:marBottom w:val="0"/>
      <w:divBdr>
        <w:top w:val="none" w:sz="0" w:space="0" w:color="auto"/>
        <w:left w:val="none" w:sz="0" w:space="0" w:color="auto"/>
        <w:bottom w:val="none" w:sz="0" w:space="0" w:color="auto"/>
        <w:right w:val="none" w:sz="0" w:space="0" w:color="auto"/>
      </w:divBdr>
      <w:divsChild>
        <w:div w:id="1251238520">
          <w:marLeft w:val="0"/>
          <w:marRight w:val="0"/>
          <w:marTop w:val="0"/>
          <w:marBottom w:val="0"/>
          <w:divBdr>
            <w:top w:val="none" w:sz="0" w:space="0" w:color="auto"/>
            <w:left w:val="none" w:sz="0" w:space="0" w:color="auto"/>
            <w:bottom w:val="none" w:sz="0" w:space="0" w:color="auto"/>
            <w:right w:val="none" w:sz="0" w:space="0" w:color="auto"/>
          </w:divBdr>
          <w:divsChild>
            <w:div w:id="1748305165">
              <w:marLeft w:val="150"/>
              <w:marRight w:val="0"/>
              <w:marTop w:val="75"/>
              <w:marBottom w:val="75"/>
              <w:divBdr>
                <w:top w:val="none" w:sz="0" w:space="0" w:color="auto"/>
                <w:left w:val="none" w:sz="0" w:space="0" w:color="auto"/>
                <w:bottom w:val="none" w:sz="0" w:space="0" w:color="auto"/>
                <w:right w:val="none" w:sz="0" w:space="0" w:color="auto"/>
              </w:divBdr>
              <w:divsChild>
                <w:div w:id="789981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610333">
      <w:bodyDiv w:val="1"/>
      <w:marLeft w:val="0"/>
      <w:marRight w:val="0"/>
      <w:marTop w:val="0"/>
      <w:marBottom w:val="0"/>
      <w:divBdr>
        <w:top w:val="none" w:sz="0" w:space="0" w:color="auto"/>
        <w:left w:val="none" w:sz="0" w:space="0" w:color="auto"/>
        <w:bottom w:val="none" w:sz="0" w:space="0" w:color="auto"/>
        <w:right w:val="none" w:sz="0" w:space="0" w:color="auto"/>
      </w:divBdr>
    </w:div>
    <w:div w:id="1152599639">
      <w:bodyDiv w:val="1"/>
      <w:marLeft w:val="0"/>
      <w:marRight w:val="0"/>
      <w:marTop w:val="0"/>
      <w:marBottom w:val="0"/>
      <w:divBdr>
        <w:top w:val="none" w:sz="0" w:space="0" w:color="auto"/>
        <w:left w:val="none" w:sz="0" w:space="0" w:color="auto"/>
        <w:bottom w:val="none" w:sz="0" w:space="0" w:color="auto"/>
        <w:right w:val="none" w:sz="0" w:space="0" w:color="auto"/>
      </w:divBdr>
    </w:div>
    <w:div w:id="1243444784">
      <w:bodyDiv w:val="1"/>
      <w:marLeft w:val="0"/>
      <w:marRight w:val="0"/>
      <w:marTop w:val="0"/>
      <w:marBottom w:val="0"/>
      <w:divBdr>
        <w:top w:val="none" w:sz="0" w:space="0" w:color="auto"/>
        <w:left w:val="none" w:sz="0" w:space="0" w:color="auto"/>
        <w:bottom w:val="none" w:sz="0" w:space="0" w:color="auto"/>
        <w:right w:val="none" w:sz="0" w:space="0" w:color="auto"/>
      </w:divBdr>
      <w:divsChild>
        <w:div w:id="139277514">
          <w:marLeft w:val="0"/>
          <w:marRight w:val="0"/>
          <w:marTop w:val="0"/>
          <w:marBottom w:val="0"/>
          <w:divBdr>
            <w:top w:val="none" w:sz="0" w:space="0" w:color="auto"/>
            <w:left w:val="none" w:sz="0" w:space="0" w:color="auto"/>
            <w:bottom w:val="none" w:sz="0" w:space="0" w:color="auto"/>
            <w:right w:val="none" w:sz="0" w:space="0" w:color="auto"/>
          </w:divBdr>
          <w:divsChild>
            <w:div w:id="253246718">
              <w:marLeft w:val="0"/>
              <w:marRight w:val="0"/>
              <w:marTop w:val="0"/>
              <w:marBottom w:val="0"/>
              <w:divBdr>
                <w:top w:val="none" w:sz="0" w:space="0" w:color="auto"/>
                <w:left w:val="none" w:sz="0" w:space="0" w:color="auto"/>
                <w:bottom w:val="none" w:sz="0" w:space="0" w:color="auto"/>
                <w:right w:val="none" w:sz="0" w:space="0" w:color="auto"/>
              </w:divBdr>
              <w:divsChild>
                <w:div w:id="2111048572">
                  <w:marLeft w:val="0"/>
                  <w:marRight w:val="0"/>
                  <w:marTop w:val="0"/>
                  <w:marBottom w:val="0"/>
                  <w:divBdr>
                    <w:top w:val="none" w:sz="0" w:space="0" w:color="auto"/>
                    <w:left w:val="none" w:sz="0" w:space="0" w:color="auto"/>
                    <w:bottom w:val="none" w:sz="0" w:space="0" w:color="auto"/>
                    <w:right w:val="none" w:sz="0" w:space="0" w:color="auto"/>
                  </w:divBdr>
                  <w:divsChild>
                    <w:div w:id="1773283894">
                      <w:marLeft w:val="0"/>
                      <w:marRight w:val="0"/>
                      <w:marTop w:val="0"/>
                      <w:marBottom w:val="0"/>
                      <w:divBdr>
                        <w:top w:val="none" w:sz="0" w:space="0" w:color="auto"/>
                        <w:left w:val="none" w:sz="0" w:space="0" w:color="auto"/>
                        <w:bottom w:val="none" w:sz="0" w:space="0" w:color="auto"/>
                        <w:right w:val="none" w:sz="0" w:space="0" w:color="auto"/>
                      </w:divBdr>
                      <w:divsChild>
                        <w:div w:id="187914416">
                          <w:marLeft w:val="0"/>
                          <w:marRight w:val="0"/>
                          <w:marTop w:val="0"/>
                          <w:marBottom w:val="0"/>
                          <w:divBdr>
                            <w:top w:val="none" w:sz="0" w:space="0" w:color="auto"/>
                            <w:left w:val="none" w:sz="0" w:space="0" w:color="auto"/>
                            <w:bottom w:val="none" w:sz="0" w:space="0" w:color="auto"/>
                            <w:right w:val="none" w:sz="0" w:space="0" w:color="auto"/>
                          </w:divBdr>
                          <w:divsChild>
                            <w:div w:id="2012489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6110693">
      <w:bodyDiv w:val="1"/>
      <w:marLeft w:val="0"/>
      <w:marRight w:val="0"/>
      <w:marTop w:val="0"/>
      <w:marBottom w:val="0"/>
      <w:divBdr>
        <w:top w:val="none" w:sz="0" w:space="0" w:color="auto"/>
        <w:left w:val="none" w:sz="0" w:space="0" w:color="auto"/>
        <w:bottom w:val="none" w:sz="0" w:space="0" w:color="auto"/>
        <w:right w:val="none" w:sz="0" w:space="0" w:color="auto"/>
      </w:divBdr>
    </w:div>
    <w:div w:id="1376585030">
      <w:bodyDiv w:val="1"/>
      <w:marLeft w:val="0"/>
      <w:marRight w:val="0"/>
      <w:marTop w:val="0"/>
      <w:marBottom w:val="0"/>
      <w:divBdr>
        <w:top w:val="none" w:sz="0" w:space="0" w:color="auto"/>
        <w:left w:val="none" w:sz="0" w:space="0" w:color="auto"/>
        <w:bottom w:val="none" w:sz="0" w:space="0" w:color="auto"/>
        <w:right w:val="none" w:sz="0" w:space="0" w:color="auto"/>
      </w:divBdr>
    </w:div>
    <w:div w:id="1651982846">
      <w:bodyDiv w:val="1"/>
      <w:marLeft w:val="0"/>
      <w:marRight w:val="0"/>
      <w:marTop w:val="0"/>
      <w:marBottom w:val="0"/>
      <w:divBdr>
        <w:top w:val="none" w:sz="0" w:space="0" w:color="auto"/>
        <w:left w:val="none" w:sz="0" w:space="0" w:color="auto"/>
        <w:bottom w:val="none" w:sz="0" w:space="0" w:color="auto"/>
        <w:right w:val="none" w:sz="0" w:space="0" w:color="auto"/>
      </w:divBdr>
    </w:div>
    <w:div w:id="1665235751">
      <w:bodyDiv w:val="1"/>
      <w:marLeft w:val="0"/>
      <w:marRight w:val="0"/>
      <w:marTop w:val="0"/>
      <w:marBottom w:val="0"/>
      <w:divBdr>
        <w:top w:val="none" w:sz="0" w:space="0" w:color="auto"/>
        <w:left w:val="none" w:sz="0" w:space="0" w:color="auto"/>
        <w:bottom w:val="none" w:sz="0" w:space="0" w:color="auto"/>
        <w:right w:val="none" w:sz="0" w:space="0" w:color="auto"/>
      </w:divBdr>
    </w:div>
    <w:div w:id="1763187531">
      <w:bodyDiv w:val="1"/>
      <w:marLeft w:val="0"/>
      <w:marRight w:val="0"/>
      <w:marTop w:val="0"/>
      <w:marBottom w:val="0"/>
      <w:divBdr>
        <w:top w:val="none" w:sz="0" w:space="0" w:color="auto"/>
        <w:left w:val="none" w:sz="0" w:space="0" w:color="auto"/>
        <w:bottom w:val="none" w:sz="0" w:space="0" w:color="auto"/>
        <w:right w:val="none" w:sz="0" w:space="0" w:color="auto"/>
      </w:divBdr>
    </w:div>
    <w:div w:id="1771001617">
      <w:bodyDiv w:val="1"/>
      <w:marLeft w:val="0"/>
      <w:marRight w:val="0"/>
      <w:marTop w:val="0"/>
      <w:marBottom w:val="0"/>
      <w:divBdr>
        <w:top w:val="none" w:sz="0" w:space="0" w:color="auto"/>
        <w:left w:val="none" w:sz="0" w:space="0" w:color="auto"/>
        <w:bottom w:val="none" w:sz="0" w:space="0" w:color="auto"/>
        <w:right w:val="none" w:sz="0" w:space="0" w:color="auto"/>
      </w:divBdr>
      <w:divsChild>
        <w:div w:id="589850363">
          <w:marLeft w:val="0"/>
          <w:marRight w:val="0"/>
          <w:marTop w:val="0"/>
          <w:marBottom w:val="0"/>
          <w:divBdr>
            <w:top w:val="none" w:sz="0" w:space="0" w:color="auto"/>
            <w:left w:val="none" w:sz="0" w:space="0" w:color="auto"/>
            <w:bottom w:val="none" w:sz="0" w:space="0" w:color="auto"/>
            <w:right w:val="none" w:sz="0" w:space="0" w:color="auto"/>
          </w:divBdr>
          <w:divsChild>
            <w:div w:id="183061607">
              <w:marLeft w:val="150"/>
              <w:marRight w:val="0"/>
              <w:marTop w:val="75"/>
              <w:marBottom w:val="75"/>
              <w:divBdr>
                <w:top w:val="none" w:sz="0" w:space="0" w:color="auto"/>
                <w:left w:val="none" w:sz="0" w:space="0" w:color="auto"/>
                <w:bottom w:val="none" w:sz="0" w:space="0" w:color="auto"/>
                <w:right w:val="none" w:sz="0" w:space="0" w:color="auto"/>
              </w:divBdr>
              <w:divsChild>
                <w:div w:id="523597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870678">
      <w:bodyDiv w:val="1"/>
      <w:marLeft w:val="0"/>
      <w:marRight w:val="0"/>
      <w:marTop w:val="0"/>
      <w:marBottom w:val="0"/>
      <w:divBdr>
        <w:top w:val="none" w:sz="0" w:space="0" w:color="auto"/>
        <w:left w:val="none" w:sz="0" w:space="0" w:color="auto"/>
        <w:bottom w:val="none" w:sz="0" w:space="0" w:color="auto"/>
        <w:right w:val="none" w:sz="0" w:space="0" w:color="auto"/>
      </w:divBdr>
    </w:div>
    <w:div w:id="1836802899">
      <w:bodyDiv w:val="1"/>
      <w:marLeft w:val="0"/>
      <w:marRight w:val="0"/>
      <w:marTop w:val="0"/>
      <w:marBottom w:val="0"/>
      <w:divBdr>
        <w:top w:val="none" w:sz="0" w:space="0" w:color="auto"/>
        <w:left w:val="none" w:sz="0" w:space="0" w:color="auto"/>
        <w:bottom w:val="none" w:sz="0" w:space="0" w:color="auto"/>
        <w:right w:val="none" w:sz="0" w:space="0" w:color="auto"/>
      </w:divBdr>
    </w:div>
    <w:div w:id="1861234180">
      <w:bodyDiv w:val="1"/>
      <w:marLeft w:val="0"/>
      <w:marRight w:val="0"/>
      <w:marTop w:val="0"/>
      <w:marBottom w:val="0"/>
      <w:divBdr>
        <w:top w:val="none" w:sz="0" w:space="0" w:color="auto"/>
        <w:left w:val="none" w:sz="0" w:space="0" w:color="auto"/>
        <w:bottom w:val="none" w:sz="0" w:space="0" w:color="auto"/>
        <w:right w:val="none" w:sz="0" w:space="0" w:color="auto"/>
      </w:divBdr>
      <w:divsChild>
        <w:div w:id="1125584129">
          <w:marLeft w:val="0"/>
          <w:marRight w:val="0"/>
          <w:marTop w:val="0"/>
          <w:marBottom w:val="0"/>
          <w:divBdr>
            <w:top w:val="none" w:sz="0" w:space="0" w:color="auto"/>
            <w:left w:val="none" w:sz="0" w:space="0" w:color="auto"/>
            <w:bottom w:val="none" w:sz="0" w:space="0" w:color="auto"/>
            <w:right w:val="none" w:sz="0" w:space="0" w:color="auto"/>
          </w:divBdr>
          <w:divsChild>
            <w:div w:id="912155356">
              <w:marLeft w:val="0"/>
              <w:marRight w:val="0"/>
              <w:marTop w:val="0"/>
              <w:marBottom w:val="0"/>
              <w:divBdr>
                <w:top w:val="none" w:sz="0" w:space="0" w:color="auto"/>
                <w:left w:val="none" w:sz="0" w:space="0" w:color="auto"/>
                <w:bottom w:val="none" w:sz="0" w:space="0" w:color="auto"/>
                <w:right w:val="none" w:sz="0" w:space="0" w:color="auto"/>
              </w:divBdr>
              <w:divsChild>
                <w:div w:id="624967202">
                  <w:marLeft w:val="0"/>
                  <w:marRight w:val="0"/>
                  <w:marTop w:val="0"/>
                  <w:marBottom w:val="0"/>
                  <w:divBdr>
                    <w:top w:val="none" w:sz="0" w:space="0" w:color="auto"/>
                    <w:left w:val="none" w:sz="0" w:space="0" w:color="auto"/>
                    <w:bottom w:val="none" w:sz="0" w:space="0" w:color="auto"/>
                    <w:right w:val="none" w:sz="0" w:space="0" w:color="auto"/>
                  </w:divBdr>
                  <w:divsChild>
                    <w:div w:id="583223135">
                      <w:marLeft w:val="0"/>
                      <w:marRight w:val="0"/>
                      <w:marTop w:val="0"/>
                      <w:marBottom w:val="0"/>
                      <w:divBdr>
                        <w:top w:val="none" w:sz="0" w:space="0" w:color="auto"/>
                        <w:left w:val="none" w:sz="0" w:space="0" w:color="auto"/>
                        <w:bottom w:val="none" w:sz="0" w:space="0" w:color="auto"/>
                        <w:right w:val="none" w:sz="0" w:space="0" w:color="auto"/>
                      </w:divBdr>
                      <w:divsChild>
                        <w:div w:id="1877229713">
                          <w:marLeft w:val="0"/>
                          <w:marRight w:val="0"/>
                          <w:marTop w:val="0"/>
                          <w:marBottom w:val="0"/>
                          <w:divBdr>
                            <w:top w:val="none" w:sz="0" w:space="0" w:color="auto"/>
                            <w:left w:val="none" w:sz="0" w:space="0" w:color="auto"/>
                            <w:bottom w:val="none" w:sz="0" w:space="0" w:color="auto"/>
                            <w:right w:val="none" w:sz="0" w:space="0" w:color="auto"/>
                          </w:divBdr>
                          <w:divsChild>
                            <w:div w:id="86259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7012965">
      <w:bodyDiv w:val="1"/>
      <w:marLeft w:val="0"/>
      <w:marRight w:val="0"/>
      <w:marTop w:val="0"/>
      <w:marBottom w:val="0"/>
      <w:divBdr>
        <w:top w:val="none" w:sz="0" w:space="0" w:color="auto"/>
        <w:left w:val="none" w:sz="0" w:space="0" w:color="auto"/>
        <w:bottom w:val="none" w:sz="0" w:space="0" w:color="auto"/>
        <w:right w:val="none" w:sz="0" w:space="0" w:color="auto"/>
      </w:divBdr>
    </w:div>
    <w:div w:id="1906837818">
      <w:bodyDiv w:val="1"/>
      <w:marLeft w:val="0"/>
      <w:marRight w:val="0"/>
      <w:marTop w:val="0"/>
      <w:marBottom w:val="0"/>
      <w:divBdr>
        <w:top w:val="none" w:sz="0" w:space="0" w:color="auto"/>
        <w:left w:val="none" w:sz="0" w:space="0" w:color="auto"/>
        <w:bottom w:val="none" w:sz="0" w:space="0" w:color="auto"/>
        <w:right w:val="none" w:sz="0" w:space="0" w:color="auto"/>
      </w:divBdr>
    </w:div>
    <w:div w:id="1911846127">
      <w:bodyDiv w:val="1"/>
      <w:marLeft w:val="0"/>
      <w:marRight w:val="0"/>
      <w:marTop w:val="0"/>
      <w:marBottom w:val="0"/>
      <w:divBdr>
        <w:top w:val="none" w:sz="0" w:space="0" w:color="auto"/>
        <w:left w:val="none" w:sz="0" w:space="0" w:color="auto"/>
        <w:bottom w:val="none" w:sz="0" w:space="0" w:color="auto"/>
        <w:right w:val="none" w:sz="0" w:space="0" w:color="auto"/>
      </w:divBdr>
    </w:div>
    <w:div w:id="1969893361">
      <w:bodyDiv w:val="1"/>
      <w:marLeft w:val="0"/>
      <w:marRight w:val="0"/>
      <w:marTop w:val="0"/>
      <w:marBottom w:val="0"/>
      <w:divBdr>
        <w:top w:val="none" w:sz="0" w:space="0" w:color="auto"/>
        <w:left w:val="none" w:sz="0" w:space="0" w:color="auto"/>
        <w:bottom w:val="none" w:sz="0" w:space="0" w:color="auto"/>
        <w:right w:val="none" w:sz="0" w:space="0" w:color="auto"/>
      </w:divBdr>
    </w:div>
    <w:div w:id="2006130137">
      <w:bodyDiv w:val="1"/>
      <w:marLeft w:val="0"/>
      <w:marRight w:val="0"/>
      <w:marTop w:val="0"/>
      <w:marBottom w:val="0"/>
      <w:divBdr>
        <w:top w:val="none" w:sz="0" w:space="0" w:color="auto"/>
        <w:left w:val="none" w:sz="0" w:space="0" w:color="auto"/>
        <w:bottom w:val="none" w:sz="0" w:space="0" w:color="auto"/>
        <w:right w:val="none" w:sz="0" w:space="0" w:color="auto"/>
      </w:divBdr>
    </w:div>
    <w:div w:id="2043241837">
      <w:bodyDiv w:val="1"/>
      <w:marLeft w:val="0"/>
      <w:marRight w:val="0"/>
      <w:marTop w:val="0"/>
      <w:marBottom w:val="0"/>
      <w:divBdr>
        <w:top w:val="none" w:sz="0" w:space="0" w:color="auto"/>
        <w:left w:val="none" w:sz="0" w:space="0" w:color="auto"/>
        <w:bottom w:val="none" w:sz="0" w:space="0" w:color="auto"/>
        <w:right w:val="none" w:sz="0" w:space="0" w:color="auto"/>
      </w:divBdr>
    </w:div>
    <w:div w:id="2069959921">
      <w:bodyDiv w:val="1"/>
      <w:marLeft w:val="0"/>
      <w:marRight w:val="0"/>
      <w:marTop w:val="0"/>
      <w:marBottom w:val="0"/>
      <w:divBdr>
        <w:top w:val="none" w:sz="0" w:space="0" w:color="auto"/>
        <w:left w:val="none" w:sz="0" w:space="0" w:color="auto"/>
        <w:bottom w:val="none" w:sz="0" w:space="0" w:color="auto"/>
        <w:right w:val="none" w:sz="0" w:space="0" w:color="auto"/>
      </w:divBdr>
    </w:div>
    <w:div w:id="2078698252">
      <w:bodyDiv w:val="1"/>
      <w:marLeft w:val="0"/>
      <w:marRight w:val="0"/>
      <w:marTop w:val="0"/>
      <w:marBottom w:val="0"/>
      <w:divBdr>
        <w:top w:val="none" w:sz="0" w:space="0" w:color="auto"/>
        <w:left w:val="none" w:sz="0" w:space="0" w:color="auto"/>
        <w:bottom w:val="none" w:sz="0" w:space="0" w:color="auto"/>
        <w:right w:val="none" w:sz="0" w:space="0" w:color="auto"/>
      </w:divBdr>
    </w:div>
    <w:div w:id="2087416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2.xml"/><Relationship Id="rId18" Type="http://schemas.openxmlformats.org/officeDocument/2006/relationships/chart" Target="charts/chart6.xml"/><Relationship Id="rId26" Type="http://schemas.openxmlformats.org/officeDocument/2006/relationships/chart" Target="charts/chart14.xml"/><Relationship Id="rId3" Type="http://schemas.openxmlformats.org/officeDocument/2006/relationships/styles" Target="styles.xml"/><Relationship Id="rId21" Type="http://schemas.openxmlformats.org/officeDocument/2006/relationships/chart" Target="charts/chart9.xml"/><Relationship Id="rId34" Type="http://schemas.openxmlformats.org/officeDocument/2006/relationships/image" Target="media/image7.jpeg"/><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chart" Target="charts/chart5.xml"/><Relationship Id="rId25" Type="http://schemas.openxmlformats.org/officeDocument/2006/relationships/chart" Target="charts/chart13.xml"/><Relationship Id="rId33" Type="http://schemas.openxmlformats.org/officeDocument/2006/relationships/image" Target="media/image6.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8.xml"/><Relationship Id="rId29" Type="http://schemas.openxmlformats.org/officeDocument/2006/relationships/image" Target="media/image3.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chart" Target="charts/chart12.xml"/><Relationship Id="rId32" Type="http://schemas.openxmlformats.org/officeDocument/2006/relationships/image" Target="media/image5.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chart" Target="charts/chart11.xml"/><Relationship Id="rId28" Type="http://schemas.openxmlformats.org/officeDocument/2006/relationships/image" Target="media/image2.emf"/><Relationship Id="rId36" Type="http://schemas.openxmlformats.org/officeDocument/2006/relationships/image" Target="media/image9.jpeg"/><Relationship Id="rId10" Type="http://schemas.openxmlformats.org/officeDocument/2006/relationships/footer" Target="footer2.xml"/><Relationship Id="rId19" Type="http://schemas.openxmlformats.org/officeDocument/2006/relationships/chart" Target="charts/chart7.xml"/><Relationship Id="rId31" Type="http://schemas.openxmlformats.org/officeDocument/2006/relationships/image" Target="media/image4.emf"/><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1.jpeg"/><Relationship Id="rId22" Type="http://schemas.openxmlformats.org/officeDocument/2006/relationships/chart" Target="charts/chart10.xml"/><Relationship Id="rId27" Type="http://schemas.openxmlformats.org/officeDocument/2006/relationships/chart" Target="charts/chart15.xml"/><Relationship Id="rId30" Type="http://schemas.openxmlformats.org/officeDocument/2006/relationships/chart" Target="charts/chart16.xml"/><Relationship Id="rId35" Type="http://schemas.openxmlformats.org/officeDocument/2006/relationships/image" Target="media/image8.emf"/></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7.2462097972215561E-3"/>
                  <c:y val="-3.9753893283278795E-2"/>
                </c:manualLayout>
              </c:layout>
              <c:tx>
                <c:rich>
                  <a:bodyPr/>
                  <a:lstStyle/>
                  <a:p>
                    <a:r>
                      <a:rPr lang="en-US" altLang="en-US"/>
                      <a:t>-0.</a:t>
                    </a:r>
                    <a:r>
                      <a:rPr lang="en-US" altLang="zh-TW"/>
                      <a:t>58</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Sheet1!$A$122:$A$197</c:f>
              <c:strCache>
                <c:ptCount val="76"/>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strCache>
            </c:strRef>
          </c:cat>
          <c:val>
            <c:numRef>
              <c:f>Sheet1!$C$134:$C$197</c:f>
              <c:numCache>
                <c:formatCode>0.00_ </c:formatCode>
                <c:ptCount val="64"/>
                <c:pt idx="0">
                  <c:v>0.38962273116032176</c:v>
                </c:pt>
                <c:pt idx="1">
                  <c:v>0.22718667171526263</c:v>
                </c:pt>
                <c:pt idx="2">
                  <c:v>2.8333962976945237E-2</c:v>
                </c:pt>
                <c:pt idx="3">
                  <c:v>-0.16995562269851439</c:v>
                </c:pt>
                <c:pt idx="4">
                  <c:v>-0.26482549891232443</c:v>
                </c:pt>
                <c:pt idx="5">
                  <c:v>-0.34139402560454668</c:v>
                </c:pt>
                <c:pt idx="6">
                  <c:v>-0.33304786373585804</c:v>
                </c:pt>
                <c:pt idx="7">
                  <c:v>-0.32461332824135214</c:v>
                </c:pt>
                <c:pt idx="8">
                  <c:v>-0.29693486590038898</c:v>
                </c:pt>
                <c:pt idx="9">
                  <c:v>-0.25939091171103268</c:v>
                </c:pt>
                <c:pt idx="10">
                  <c:v>-0.20227316509342508</c:v>
                </c:pt>
                <c:pt idx="11">
                  <c:v>-0.20268313869317156</c:v>
                </c:pt>
                <c:pt idx="12">
                  <c:v>-0.25145067698260082</c:v>
                </c:pt>
                <c:pt idx="13">
                  <c:v>-0.3199534613147148</c:v>
                </c:pt>
                <c:pt idx="14">
                  <c:v>-0.37934053107674393</c:v>
                </c:pt>
                <c:pt idx="15">
                  <c:v>-0.45889474711969802</c:v>
                </c:pt>
                <c:pt idx="16">
                  <c:v>-0.56890632663070262</c:v>
                </c:pt>
                <c:pt idx="17">
                  <c:v>-0.65108020124298172</c:v>
                </c:pt>
                <c:pt idx="18">
                  <c:v>-0.71492403932081894</c:v>
                </c:pt>
                <c:pt idx="19">
                  <c:v>-0.72007200720072273</c:v>
                </c:pt>
                <c:pt idx="20">
                  <c:v>-0.58426513548907044</c:v>
                </c:pt>
                <c:pt idx="21">
                  <c:v>-0.34451312189685002</c:v>
                </c:pt>
                <c:pt idx="22">
                  <c:v>-0.10167768174884628</c:v>
                </c:pt>
                <c:pt idx="23">
                  <c:v>5.0890585241725184E-2</c:v>
                </c:pt>
                <c:pt idx="24">
                  <c:v>0.13224821973552014</c:v>
                </c:pt>
                <c:pt idx="25">
                  <c:v>6.0957025297159184E-2</c:v>
                </c:pt>
                <c:pt idx="26">
                  <c:v>-6.0919890344179883E-2</c:v>
                </c:pt>
                <c:pt idx="27">
                  <c:v>-0.26414710962106014</c:v>
                </c:pt>
                <c:pt idx="28">
                  <c:v>-0.40745645309158141</c:v>
                </c:pt>
                <c:pt idx="29">
                  <c:v>-0.45003579830213969</c:v>
                </c:pt>
                <c:pt idx="30">
                  <c:v>-0.38015000513716979</c:v>
                </c:pt>
                <c:pt idx="31">
                  <c:v>-0.16501650165016146</c:v>
                </c:pt>
                <c:pt idx="32">
                  <c:v>0.13429752066116407</c:v>
                </c:pt>
                <c:pt idx="33">
                  <c:v>0.38171876611987621</c:v>
                </c:pt>
                <c:pt idx="34">
                  <c:v>0.58581706063720596</c:v>
                </c:pt>
                <c:pt idx="35">
                  <c:v>0.60284050270766887</c:v>
                </c:pt>
                <c:pt idx="36">
                  <c:v>0.4976640260004217</c:v>
                </c:pt>
                <c:pt idx="37">
                  <c:v>0.31328954017180166</c:v>
                </c:pt>
                <c:pt idx="38">
                  <c:v>0.1712673786016472</c:v>
                </c:pt>
                <c:pt idx="39">
                  <c:v>0.10057326762547003</c:v>
                </c:pt>
                <c:pt idx="40">
                  <c:v>7.0330553601927193E-2</c:v>
                </c:pt>
                <c:pt idx="41">
                  <c:v>5.020080321285203E-2</c:v>
                </c:pt>
                <c:pt idx="42">
                  <c:v>0.12042147516306834</c:v>
                </c:pt>
                <c:pt idx="43">
                  <c:v>0.1804149543951139</c:v>
                </c:pt>
                <c:pt idx="44">
                  <c:v>0.19009504752376394</c:v>
                </c:pt>
                <c:pt idx="45">
                  <c:v>0.15977631316157481</c:v>
                </c:pt>
                <c:pt idx="46">
                  <c:v>0.11964107676969427</c:v>
                </c:pt>
                <c:pt idx="47">
                  <c:v>8.9623580959963256E-2</c:v>
                </c:pt>
                <c:pt idx="48">
                  <c:v>3.979703512086985E-2</c:v>
                </c:pt>
                <c:pt idx="49">
                  <c:v>1.9890601690697451E-2</c:v>
                </c:pt>
                <c:pt idx="50">
                  <c:v>-3.9773292234257518E-2</c:v>
                </c:pt>
                <c:pt idx="51">
                  <c:v>-5.9683676514477035E-2</c:v>
                </c:pt>
                <c:pt idx="52">
                  <c:v>-8.9578978799642606E-2</c:v>
                </c:pt>
                <c:pt idx="53">
                  <c:v>-6.9735006973492553E-2</c:v>
                </c:pt>
                <c:pt idx="54">
                  <c:v>-8.9721862227098992E-2</c:v>
                </c:pt>
                <c:pt idx="55">
                  <c:v>-9.978048293752817E-2</c:v>
                </c:pt>
                <c:pt idx="56">
                  <c:v>-0.1198561725928915</c:v>
                </c:pt>
                <c:pt idx="57">
                  <c:v>-0.10999999999999899</c:v>
                </c:pt>
                <c:pt idx="58">
                  <c:v>-7.0077084793285227E-2</c:v>
                </c:pt>
                <c:pt idx="59">
                  <c:v>-5.0090162292126816E-2</c:v>
                </c:pt>
                <c:pt idx="60">
                  <c:v>-7.0161371153643071E-2</c:v>
                </c:pt>
                <c:pt idx="61">
                  <c:v>-0.10030090270812808</c:v>
                </c:pt>
                <c:pt idx="62">
                  <c:v>-0.47</c:v>
                </c:pt>
                <c:pt idx="63">
                  <c:v>-0.57999999999999996</c:v>
                </c:pt>
              </c:numCache>
            </c:numRef>
          </c:val>
        </c:ser>
        <c:dLbls>
          <c:showLegendKey val="0"/>
          <c:showVal val="0"/>
          <c:showCatName val="0"/>
          <c:showSerName val="0"/>
          <c:showPercent val="0"/>
          <c:showBubbleSize val="0"/>
        </c:dLbls>
        <c:gapWidth val="150"/>
        <c:axId val="185566336"/>
        <c:axId val="185567872"/>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3.8757184161197215E-2"/>
                  <c:y val="-4.4781273712673438E-2"/>
                </c:manualLayout>
              </c:layout>
              <c:tx>
                <c:rich>
                  <a:bodyPr/>
                  <a:lstStyle/>
                  <a:p>
                    <a:r>
                      <a:rPr lang="en-US" altLang="en-US"/>
                      <a:t>9</a:t>
                    </a:r>
                    <a:r>
                      <a:rPr lang="en-US" altLang="zh-TW"/>
                      <a:t>7.74</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Sheet1!$A$134:$A$196</c:f>
              <c:strCache>
                <c:ptCount val="63"/>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strCache>
            </c:strRef>
          </c:cat>
          <c:val>
            <c:numRef>
              <c:f>Sheet1!$B$134:$B$197</c:f>
              <c:numCache>
                <c:formatCode>0.00_ </c:formatCode>
                <c:ptCount val="64"/>
                <c:pt idx="0">
                  <c:v>105.64</c:v>
                </c:pt>
                <c:pt idx="1">
                  <c:v>105.88</c:v>
                </c:pt>
                <c:pt idx="2">
                  <c:v>105.91</c:v>
                </c:pt>
                <c:pt idx="3">
                  <c:v>105.73</c:v>
                </c:pt>
                <c:pt idx="4">
                  <c:v>105.45</c:v>
                </c:pt>
                <c:pt idx="5">
                  <c:v>105.09</c:v>
                </c:pt>
                <c:pt idx="6">
                  <c:v>104.74</c:v>
                </c:pt>
                <c:pt idx="7">
                  <c:v>104.4</c:v>
                </c:pt>
                <c:pt idx="8">
                  <c:v>104.09</c:v>
                </c:pt>
                <c:pt idx="9">
                  <c:v>103.82</c:v>
                </c:pt>
                <c:pt idx="10">
                  <c:v>103.61</c:v>
                </c:pt>
                <c:pt idx="11">
                  <c:v>103.4</c:v>
                </c:pt>
                <c:pt idx="12">
                  <c:v>103.14</c:v>
                </c:pt>
                <c:pt idx="13">
                  <c:v>102.81</c:v>
                </c:pt>
                <c:pt idx="14">
                  <c:v>102.42</c:v>
                </c:pt>
                <c:pt idx="15">
                  <c:v>101.95</c:v>
                </c:pt>
                <c:pt idx="16">
                  <c:v>101.37</c:v>
                </c:pt>
                <c:pt idx="17">
                  <c:v>100.71</c:v>
                </c:pt>
                <c:pt idx="18">
                  <c:v>99.99</c:v>
                </c:pt>
                <c:pt idx="19">
                  <c:v>99.27</c:v>
                </c:pt>
                <c:pt idx="20">
                  <c:v>98.69</c:v>
                </c:pt>
                <c:pt idx="21">
                  <c:v>98.35</c:v>
                </c:pt>
                <c:pt idx="22">
                  <c:v>98.25</c:v>
                </c:pt>
                <c:pt idx="23">
                  <c:v>98.3</c:v>
                </c:pt>
                <c:pt idx="24">
                  <c:v>98.43</c:v>
                </c:pt>
                <c:pt idx="25">
                  <c:v>98.49</c:v>
                </c:pt>
                <c:pt idx="26">
                  <c:v>98.43</c:v>
                </c:pt>
                <c:pt idx="27">
                  <c:v>98.17</c:v>
                </c:pt>
                <c:pt idx="28">
                  <c:v>97.77</c:v>
                </c:pt>
                <c:pt idx="29">
                  <c:v>97.33</c:v>
                </c:pt>
                <c:pt idx="30">
                  <c:v>96.96</c:v>
                </c:pt>
                <c:pt idx="31">
                  <c:v>96.8</c:v>
                </c:pt>
                <c:pt idx="32">
                  <c:v>96.93</c:v>
                </c:pt>
                <c:pt idx="33">
                  <c:v>97.3</c:v>
                </c:pt>
                <c:pt idx="34">
                  <c:v>97.87</c:v>
                </c:pt>
                <c:pt idx="35">
                  <c:v>98.46</c:v>
                </c:pt>
                <c:pt idx="36">
                  <c:v>98.95</c:v>
                </c:pt>
                <c:pt idx="37">
                  <c:v>99.26</c:v>
                </c:pt>
                <c:pt idx="38">
                  <c:v>99.43</c:v>
                </c:pt>
                <c:pt idx="39">
                  <c:v>99.53</c:v>
                </c:pt>
                <c:pt idx="40">
                  <c:v>99.6</c:v>
                </c:pt>
                <c:pt idx="41">
                  <c:v>99.65</c:v>
                </c:pt>
                <c:pt idx="42">
                  <c:v>99.77</c:v>
                </c:pt>
                <c:pt idx="43">
                  <c:v>99.95</c:v>
                </c:pt>
                <c:pt idx="44">
                  <c:v>100.14</c:v>
                </c:pt>
                <c:pt idx="45">
                  <c:v>100.3</c:v>
                </c:pt>
                <c:pt idx="46">
                  <c:v>100.42</c:v>
                </c:pt>
                <c:pt idx="47">
                  <c:v>100.51</c:v>
                </c:pt>
                <c:pt idx="48">
                  <c:v>100.55</c:v>
                </c:pt>
                <c:pt idx="49">
                  <c:v>100.57</c:v>
                </c:pt>
                <c:pt idx="50">
                  <c:v>100.53</c:v>
                </c:pt>
                <c:pt idx="51">
                  <c:v>100.47</c:v>
                </c:pt>
                <c:pt idx="52">
                  <c:v>100.38</c:v>
                </c:pt>
                <c:pt idx="53">
                  <c:v>100.31</c:v>
                </c:pt>
                <c:pt idx="54">
                  <c:v>100.22</c:v>
                </c:pt>
                <c:pt idx="55">
                  <c:v>100.12</c:v>
                </c:pt>
                <c:pt idx="56">
                  <c:v>100</c:v>
                </c:pt>
                <c:pt idx="57">
                  <c:v>99.89</c:v>
                </c:pt>
                <c:pt idx="58">
                  <c:v>99.82</c:v>
                </c:pt>
                <c:pt idx="59">
                  <c:v>99.77</c:v>
                </c:pt>
                <c:pt idx="60">
                  <c:v>99.7</c:v>
                </c:pt>
                <c:pt idx="61">
                  <c:v>99.6</c:v>
                </c:pt>
                <c:pt idx="62">
                  <c:v>98.62</c:v>
                </c:pt>
                <c:pt idx="63">
                  <c:v>97.74</c:v>
                </c:pt>
              </c:numCache>
            </c:numRef>
          </c:val>
          <c:smooth val="0"/>
        </c:ser>
        <c:dLbls>
          <c:showLegendKey val="0"/>
          <c:showVal val="0"/>
          <c:showCatName val="0"/>
          <c:showSerName val="0"/>
          <c:showPercent val="0"/>
          <c:showBubbleSize val="0"/>
        </c:dLbls>
        <c:marker val="1"/>
        <c:smooth val="0"/>
        <c:axId val="185533568"/>
        <c:axId val="185535488"/>
      </c:lineChart>
      <c:catAx>
        <c:axId val="185533568"/>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85535488"/>
        <c:crossesAt val="60"/>
        <c:auto val="0"/>
        <c:lblAlgn val="ctr"/>
        <c:lblOffset val="100"/>
        <c:tickLblSkip val="2"/>
        <c:tickMarkSkip val="1"/>
        <c:noMultiLvlLbl val="0"/>
      </c:catAx>
      <c:valAx>
        <c:axId val="185535488"/>
        <c:scaling>
          <c:orientation val="minMax"/>
          <c:max val="110"/>
          <c:min val="6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3469900079616317E-2"/>
              <c:y val="3.0692615957796529E-2"/>
            </c:manualLayout>
          </c:layout>
          <c:overlay val="0"/>
          <c:spPr>
            <a:noFill/>
            <a:ln w="22372">
              <a:noFill/>
            </a:ln>
          </c:spPr>
        </c:title>
        <c:numFmt formatCode="0_);[Red]\(0\)"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5533568"/>
        <c:crosses val="autoZero"/>
        <c:crossBetween val="between"/>
        <c:majorUnit val="10"/>
        <c:minorUnit val="5"/>
      </c:valAx>
      <c:catAx>
        <c:axId val="185566336"/>
        <c:scaling>
          <c:orientation val="minMax"/>
        </c:scaling>
        <c:delete val="1"/>
        <c:axPos val="b"/>
        <c:majorTickMark val="out"/>
        <c:minorTickMark val="none"/>
        <c:tickLblPos val="nextTo"/>
        <c:crossAx val="185567872"/>
        <c:crosses val="autoZero"/>
        <c:auto val="0"/>
        <c:lblAlgn val="ctr"/>
        <c:lblOffset val="100"/>
        <c:noMultiLvlLbl val="0"/>
      </c:catAx>
      <c:valAx>
        <c:axId val="185567872"/>
        <c:scaling>
          <c:orientation val="minMax"/>
          <c:max val="4"/>
          <c:min val="-4"/>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5566336"/>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9.6180062740369686E-3"/>
                  <c:y val="-9.8498742498868575E-3"/>
                </c:manualLayout>
              </c:layout>
              <c:tx>
                <c:rich>
                  <a:bodyPr/>
                  <a:lstStyle/>
                  <a:p>
                    <a:r>
                      <a:rPr lang="en-US" altLang="en-US"/>
                      <a:t>-0.</a:t>
                    </a:r>
                    <a:r>
                      <a:rPr lang="en-US" altLang="zh-TW"/>
                      <a:t>55</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Sheet1!$A$122:$A$197</c:f>
              <c:strCache>
                <c:ptCount val="76"/>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strCache>
            </c:strRef>
          </c:cat>
          <c:val>
            <c:numRef>
              <c:f>Sheet1!$C$134:$C$197</c:f>
              <c:numCache>
                <c:formatCode>0.00_ </c:formatCode>
                <c:ptCount val="64"/>
                <c:pt idx="0">
                  <c:v>1.0297940411917672</c:v>
                </c:pt>
                <c:pt idx="1">
                  <c:v>0.95002474022762851</c:v>
                </c:pt>
                <c:pt idx="2">
                  <c:v>0.77443387903146643</c:v>
                </c:pt>
                <c:pt idx="3">
                  <c:v>0.56420233463034819</c:v>
                </c:pt>
                <c:pt idx="4">
                  <c:v>0.45463339137163938</c:v>
                </c:pt>
                <c:pt idx="5">
                  <c:v>0.39480019258546495</c:v>
                </c:pt>
                <c:pt idx="6">
                  <c:v>0.43161327450602638</c:v>
                </c:pt>
                <c:pt idx="7">
                  <c:v>0.45840893897430846</c:v>
                </c:pt>
                <c:pt idx="8">
                  <c:v>0.48483696168837298</c:v>
                </c:pt>
                <c:pt idx="9">
                  <c:v>0.52034058656575954</c:v>
                </c:pt>
                <c:pt idx="10">
                  <c:v>0.49882352941177377</c:v>
                </c:pt>
                <c:pt idx="11">
                  <c:v>0.40269713429479381</c:v>
                </c:pt>
                <c:pt idx="12">
                  <c:v>0.13991232161179035</c:v>
                </c:pt>
                <c:pt idx="13">
                  <c:v>-0.12108792846496907</c:v>
                </c:pt>
                <c:pt idx="14">
                  <c:v>-0.4103329292175717</c:v>
                </c:pt>
                <c:pt idx="15">
                  <c:v>-0.64612791459875973</c:v>
                </c:pt>
                <c:pt idx="16">
                  <c:v>-0.77285579641847013</c:v>
                </c:pt>
                <c:pt idx="17">
                  <c:v>-0.85486322188450536</c:v>
                </c:pt>
                <c:pt idx="18">
                  <c:v>-0.88139490323817515</c:v>
                </c:pt>
                <c:pt idx="19">
                  <c:v>-0.8988981248791772</c:v>
                </c:pt>
                <c:pt idx="20">
                  <c:v>-0.85828537988881237</c:v>
                </c:pt>
                <c:pt idx="21">
                  <c:v>-0.70831283817018864</c:v>
                </c:pt>
                <c:pt idx="22">
                  <c:v>-0.57465570197167137</c:v>
                </c:pt>
                <c:pt idx="23">
                  <c:v>-0.4085700049825558</c:v>
                </c:pt>
                <c:pt idx="24">
                  <c:v>-0.20012007204323057</c:v>
                </c:pt>
                <c:pt idx="25">
                  <c:v>-4.010427110486825E-2</c:v>
                </c:pt>
                <c:pt idx="26">
                  <c:v>0.17051153460381219</c:v>
                </c:pt>
                <c:pt idx="27">
                  <c:v>0.13016921998598718</c:v>
                </c:pt>
                <c:pt idx="28">
                  <c:v>2.9999999999996696E-2</c:v>
                </c:pt>
                <c:pt idx="29">
                  <c:v>-9.9970008997296578E-2</c:v>
                </c:pt>
                <c:pt idx="30">
                  <c:v>-6.004202942059278E-2</c:v>
                </c:pt>
                <c:pt idx="31">
                  <c:v>-7.0091118453996515E-2</c:v>
                </c:pt>
                <c:pt idx="32">
                  <c:v>-9.0180360721447972E-2</c:v>
                </c:pt>
                <c:pt idx="33">
                  <c:v>-0.13037809647978849</c:v>
                </c:pt>
                <c:pt idx="34">
                  <c:v>-0.17071701144808493</c:v>
                </c:pt>
                <c:pt idx="35">
                  <c:v>-0.15089025248967713</c:v>
                </c:pt>
                <c:pt idx="36">
                  <c:v>-9.0670965142058968E-2</c:v>
                </c:pt>
                <c:pt idx="37">
                  <c:v>-0.1512554199858851</c:v>
                </c:pt>
                <c:pt idx="38">
                  <c:v>-0.12118763886083128</c:v>
                </c:pt>
                <c:pt idx="39">
                  <c:v>-5.0556117290201374E-2</c:v>
                </c:pt>
                <c:pt idx="40">
                  <c:v>3.0349013657060553E-2</c:v>
                </c:pt>
                <c:pt idx="41">
                  <c:v>4.045307443365509E-2</c:v>
                </c:pt>
                <c:pt idx="42">
                  <c:v>-5.0545895673270724E-2</c:v>
                </c:pt>
                <c:pt idx="43">
                  <c:v>2.0228582987757981E-2</c:v>
                </c:pt>
                <c:pt idx="44">
                  <c:v>0.11123470522802492</c:v>
                </c:pt>
                <c:pt idx="45">
                  <c:v>0.1919191919191876</c:v>
                </c:pt>
                <c:pt idx="46">
                  <c:v>0.24195987498740745</c:v>
                </c:pt>
                <c:pt idx="47">
                  <c:v>0.26149049582619988</c:v>
                </c:pt>
                <c:pt idx="48">
                  <c:v>0.16049754238138814</c:v>
                </c:pt>
                <c:pt idx="49">
                  <c:v>0.12018027040561208</c:v>
                </c:pt>
                <c:pt idx="50">
                  <c:v>0.12003601080323723</c:v>
                </c:pt>
                <c:pt idx="51">
                  <c:v>0.16984713757617342</c:v>
                </c:pt>
                <c:pt idx="52">
                  <c:v>0.19948134849390176</c:v>
                </c:pt>
                <c:pt idx="53">
                  <c:v>0.22894684451524316</c:v>
                </c:pt>
                <c:pt idx="54">
                  <c:v>0.2383553480981293</c:v>
                </c:pt>
                <c:pt idx="55">
                  <c:v>0.19815713861091044</c:v>
                </c:pt>
                <c:pt idx="56">
                  <c:v>0.11865915158706386</c:v>
                </c:pt>
                <c:pt idx="57">
                  <c:v>3.9506172839520737E-2</c:v>
                </c:pt>
                <c:pt idx="58">
                  <c:v>-4.9363214532538446E-2</c:v>
                </c:pt>
                <c:pt idx="59">
                  <c:v>-0.15804030027656291</c:v>
                </c:pt>
                <c:pt idx="60">
                  <c:v>-0.23743569449939939</c:v>
                </c:pt>
                <c:pt idx="61">
                  <c:v>-0.2181673938913109</c:v>
                </c:pt>
                <c:pt idx="62">
                  <c:v>-0.32</c:v>
                </c:pt>
                <c:pt idx="63">
                  <c:v>-0.55000000000000004</c:v>
                </c:pt>
              </c:numCache>
            </c:numRef>
          </c:val>
        </c:ser>
        <c:dLbls>
          <c:showLegendKey val="0"/>
          <c:showVal val="0"/>
          <c:showCatName val="0"/>
          <c:showSerName val="0"/>
          <c:showPercent val="0"/>
          <c:showBubbleSize val="0"/>
        </c:dLbls>
        <c:gapWidth val="150"/>
        <c:axId val="186481280"/>
        <c:axId val="186487168"/>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4.0877236697208795E-2"/>
                  <c:y val="-4.4515890276945996E-2"/>
                </c:manualLayout>
              </c:layout>
              <c:tx>
                <c:rich>
                  <a:bodyPr/>
                  <a:lstStyle/>
                  <a:p>
                    <a:r>
                      <a:rPr lang="en-US" altLang="zh-TW"/>
                      <a:t>99.29</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Sheet1!$A$134:$A$196</c:f>
              <c:strCache>
                <c:ptCount val="63"/>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strCache>
            </c:strRef>
          </c:cat>
          <c:val>
            <c:numRef>
              <c:f>Sheet1!$B$134:$B$197</c:f>
              <c:numCache>
                <c:formatCode>0.00_ </c:formatCode>
                <c:ptCount val="64"/>
                <c:pt idx="0">
                  <c:v>101.05</c:v>
                </c:pt>
                <c:pt idx="1">
                  <c:v>102.01</c:v>
                </c:pt>
                <c:pt idx="2">
                  <c:v>102.8</c:v>
                </c:pt>
                <c:pt idx="3">
                  <c:v>103.38</c:v>
                </c:pt>
                <c:pt idx="4">
                  <c:v>103.85</c:v>
                </c:pt>
                <c:pt idx="5">
                  <c:v>104.26</c:v>
                </c:pt>
                <c:pt idx="6">
                  <c:v>104.71</c:v>
                </c:pt>
                <c:pt idx="7">
                  <c:v>105.19</c:v>
                </c:pt>
                <c:pt idx="8">
                  <c:v>105.7</c:v>
                </c:pt>
                <c:pt idx="9">
                  <c:v>106.25</c:v>
                </c:pt>
                <c:pt idx="10">
                  <c:v>106.78</c:v>
                </c:pt>
                <c:pt idx="11">
                  <c:v>107.21</c:v>
                </c:pt>
                <c:pt idx="12">
                  <c:v>107.36</c:v>
                </c:pt>
                <c:pt idx="13">
                  <c:v>107.23</c:v>
                </c:pt>
                <c:pt idx="14">
                  <c:v>106.79</c:v>
                </c:pt>
                <c:pt idx="15">
                  <c:v>106.1</c:v>
                </c:pt>
                <c:pt idx="16">
                  <c:v>105.28</c:v>
                </c:pt>
                <c:pt idx="17">
                  <c:v>104.38</c:v>
                </c:pt>
                <c:pt idx="18">
                  <c:v>103.46</c:v>
                </c:pt>
                <c:pt idx="19">
                  <c:v>102.53</c:v>
                </c:pt>
                <c:pt idx="20">
                  <c:v>101.65</c:v>
                </c:pt>
                <c:pt idx="21">
                  <c:v>100.93</c:v>
                </c:pt>
                <c:pt idx="22">
                  <c:v>100.35</c:v>
                </c:pt>
                <c:pt idx="23">
                  <c:v>99.94</c:v>
                </c:pt>
                <c:pt idx="24">
                  <c:v>99.74</c:v>
                </c:pt>
                <c:pt idx="25">
                  <c:v>99.7</c:v>
                </c:pt>
                <c:pt idx="26">
                  <c:v>99.87</c:v>
                </c:pt>
                <c:pt idx="27">
                  <c:v>100</c:v>
                </c:pt>
                <c:pt idx="28">
                  <c:v>100.03</c:v>
                </c:pt>
                <c:pt idx="29">
                  <c:v>99.93</c:v>
                </c:pt>
                <c:pt idx="30">
                  <c:v>99.87</c:v>
                </c:pt>
                <c:pt idx="31">
                  <c:v>99.8</c:v>
                </c:pt>
                <c:pt idx="32">
                  <c:v>99.71</c:v>
                </c:pt>
                <c:pt idx="33">
                  <c:v>99.58</c:v>
                </c:pt>
                <c:pt idx="34">
                  <c:v>99.41</c:v>
                </c:pt>
                <c:pt idx="35">
                  <c:v>99.26</c:v>
                </c:pt>
                <c:pt idx="36">
                  <c:v>99.17</c:v>
                </c:pt>
                <c:pt idx="37">
                  <c:v>99.02</c:v>
                </c:pt>
                <c:pt idx="38">
                  <c:v>98.9</c:v>
                </c:pt>
                <c:pt idx="39">
                  <c:v>98.85</c:v>
                </c:pt>
                <c:pt idx="40">
                  <c:v>98.88</c:v>
                </c:pt>
                <c:pt idx="41">
                  <c:v>98.92</c:v>
                </c:pt>
                <c:pt idx="42">
                  <c:v>98.87</c:v>
                </c:pt>
                <c:pt idx="43">
                  <c:v>98.89</c:v>
                </c:pt>
                <c:pt idx="44">
                  <c:v>99</c:v>
                </c:pt>
                <c:pt idx="45">
                  <c:v>99.19</c:v>
                </c:pt>
                <c:pt idx="46">
                  <c:v>99.43</c:v>
                </c:pt>
                <c:pt idx="47">
                  <c:v>99.69</c:v>
                </c:pt>
                <c:pt idx="48">
                  <c:v>99.85</c:v>
                </c:pt>
                <c:pt idx="49">
                  <c:v>99.97</c:v>
                </c:pt>
                <c:pt idx="50">
                  <c:v>100.09</c:v>
                </c:pt>
                <c:pt idx="51">
                  <c:v>100.26</c:v>
                </c:pt>
                <c:pt idx="52">
                  <c:v>100.46</c:v>
                </c:pt>
                <c:pt idx="53">
                  <c:v>100.69</c:v>
                </c:pt>
                <c:pt idx="54">
                  <c:v>100.93</c:v>
                </c:pt>
                <c:pt idx="55">
                  <c:v>101.13</c:v>
                </c:pt>
                <c:pt idx="56">
                  <c:v>101.25</c:v>
                </c:pt>
                <c:pt idx="57">
                  <c:v>101.29</c:v>
                </c:pt>
                <c:pt idx="58">
                  <c:v>101.24</c:v>
                </c:pt>
                <c:pt idx="59">
                  <c:v>101.08</c:v>
                </c:pt>
                <c:pt idx="60">
                  <c:v>100.84</c:v>
                </c:pt>
                <c:pt idx="61">
                  <c:v>100.62</c:v>
                </c:pt>
                <c:pt idx="62">
                  <c:v>100.08</c:v>
                </c:pt>
                <c:pt idx="63">
                  <c:v>99.29</c:v>
                </c:pt>
              </c:numCache>
            </c:numRef>
          </c:val>
          <c:smooth val="0"/>
        </c:ser>
        <c:dLbls>
          <c:showLegendKey val="0"/>
          <c:showVal val="0"/>
          <c:showCatName val="0"/>
          <c:showSerName val="0"/>
          <c:showPercent val="0"/>
          <c:showBubbleSize val="0"/>
        </c:dLbls>
        <c:marker val="1"/>
        <c:smooth val="0"/>
        <c:axId val="186464896"/>
        <c:axId val="186479360"/>
      </c:lineChart>
      <c:catAx>
        <c:axId val="186464896"/>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86479360"/>
        <c:crossesAt val="60"/>
        <c:auto val="0"/>
        <c:lblAlgn val="ctr"/>
        <c:lblOffset val="100"/>
        <c:tickLblSkip val="2"/>
        <c:tickMarkSkip val="1"/>
        <c:noMultiLvlLbl val="0"/>
      </c:catAx>
      <c:valAx>
        <c:axId val="186479360"/>
        <c:scaling>
          <c:orientation val="minMax"/>
          <c:max val="110"/>
          <c:min val="6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587322853569043E-2"/>
              <c:y val="2.5854994489549588E-2"/>
            </c:manualLayout>
          </c:layout>
          <c:overlay val="0"/>
          <c:spPr>
            <a:noFill/>
            <a:ln w="22372">
              <a:noFill/>
            </a:ln>
          </c:spPr>
        </c:title>
        <c:numFmt formatCode="0_);[Red]\(0\)"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6464896"/>
        <c:crosses val="autoZero"/>
        <c:crossBetween val="between"/>
        <c:majorUnit val="10"/>
        <c:minorUnit val="5"/>
      </c:valAx>
      <c:catAx>
        <c:axId val="186481280"/>
        <c:scaling>
          <c:orientation val="minMax"/>
        </c:scaling>
        <c:delete val="1"/>
        <c:axPos val="b"/>
        <c:majorTickMark val="out"/>
        <c:minorTickMark val="none"/>
        <c:tickLblPos val="nextTo"/>
        <c:crossAx val="186487168"/>
        <c:crosses val="autoZero"/>
        <c:auto val="0"/>
        <c:lblAlgn val="ctr"/>
        <c:lblOffset val="100"/>
        <c:noMultiLvlLbl val="0"/>
      </c:catAx>
      <c:valAx>
        <c:axId val="186487168"/>
        <c:scaling>
          <c:orientation val="minMax"/>
          <c:max val="5"/>
          <c:min val="-5"/>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6481280"/>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000000"/>
                </a:solidFill>
                <a:latin typeface="標楷體"/>
                <a:ea typeface="標楷體"/>
                <a:cs typeface="標楷體"/>
              </a:defRPr>
            </a:pPr>
            <a:r>
              <a:rPr lang="zh-TW" altLang="en-US" sz="1400" b="1" i="0" u="none" strike="noStrike" baseline="0">
                <a:solidFill>
                  <a:srgbClr val="000000"/>
                </a:solidFill>
                <a:latin typeface="標楷體"/>
                <a:ea typeface="標楷體"/>
              </a:rPr>
              <a:t>圖</a:t>
            </a:r>
            <a:r>
              <a:rPr lang="zh-TW" altLang="en-US" sz="1400" b="1" i="0" u="none" strike="noStrike" baseline="0">
                <a:solidFill>
                  <a:srgbClr val="000000"/>
                </a:solidFill>
                <a:latin typeface="Times New Roman"/>
                <a:ea typeface="標楷體"/>
                <a:cs typeface="Times New Roman"/>
              </a:rPr>
              <a:t>2-2-1 </a:t>
            </a:r>
            <a:r>
              <a:rPr lang="zh-TW" altLang="en-US" sz="1400" b="1" i="0" u="none" strike="noStrike" baseline="0">
                <a:solidFill>
                  <a:srgbClr val="000000"/>
                </a:solidFill>
                <a:latin typeface="標楷體"/>
                <a:ea typeface="標楷體"/>
                <a:cs typeface="Times New Roman"/>
              </a:rPr>
              <a:t>工業生產</a:t>
            </a:r>
            <a:endParaRPr lang="zh-TW" altLang="en-US"/>
          </a:p>
        </c:rich>
      </c:tx>
      <c:layout>
        <c:manualLayout>
          <c:xMode val="edge"/>
          <c:yMode val="edge"/>
          <c:x val="0.38647340643470568"/>
          <c:y val="1.2820564811372828E-2"/>
        </c:manualLayout>
      </c:layout>
      <c:overlay val="0"/>
      <c:spPr>
        <a:noFill/>
        <a:ln w="25401">
          <a:noFill/>
        </a:ln>
      </c:spPr>
    </c:title>
    <c:autoTitleDeleted val="0"/>
    <c:plotArea>
      <c:layout>
        <c:manualLayout>
          <c:layoutTarget val="inner"/>
          <c:xMode val="edge"/>
          <c:yMode val="edge"/>
          <c:x val="0.1046698850143732"/>
          <c:y val="0.17933201477777364"/>
          <c:w val="0.76972624798711753"/>
          <c:h val="0.67094017094017089"/>
        </c:manualLayout>
      </c:layout>
      <c:barChart>
        <c:barDir val="col"/>
        <c:grouping val="clustered"/>
        <c:varyColors val="0"/>
        <c:ser>
          <c:idx val="1"/>
          <c:order val="0"/>
          <c:spPr>
            <a:solidFill>
              <a:srgbClr val="99CCFF"/>
            </a:solidFill>
            <a:ln w="12701">
              <a:solidFill>
                <a:srgbClr val="000000"/>
              </a:solidFill>
              <a:prstDash val="solid"/>
            </a:ln>
          </c:spPr>
          <c:invertIfNegative val="0"/>
          <c:cat>
            <c:strRef>
              <c:f>Sheet1!$A$57:$A$120</c:f>
              <c:strCache>
                <c:ptCount val="64"/>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strCache>
            </c:strRef>
          </c:cat>
          <c:val>
            <c:numRef>
              <c:f>Sheet1!$B$57:$B$120</c:f>
              <c:numCache>
                <c:formatCode>@</c:formatCode>
                <c:ptCount val="64"/>
                <c:pt idx="0">
                  <c:v>88.22</c:v>
                </c:pt>
                <c:pt idx="1">
                  <c:v>76.16</c:v>
                </c:pt>
                <c:pt idx="2">
                  <c:v>94.97</c:v>
                </c:pt>
                <c:pt idx="3">
                  <c:v>95.05</c:v>
                </c:pt>
                <c:pt idx="4">
                  <c:v>96.88</c:v>
                </c:pt>
                <c:pt idx="5">
                  <c:v>97.42</c:v>
                </c:pt>
                <c:pt idx="6">
                  <c:v>100.57</c:v>
                </c:pt>
                <c:pt idx="7">
                  <c:v>99.45</c:v>
                </c:pt>
                <c:pt idx="8">
                  <c:v>96.17</c:v>
                </c:pt>
                <c:pt idx="9">
                  <c:v>98.15</c:v>
                </c:pt>
                <c:pt idx="10">
                  <c:v>100.15</c:v>
                </c:pt>
                <c:pt idx="11">
                  <c:v>105.83</c:v>
                </c:pt>
                <c:pt idx="12">
                  <c:v>103.68</c:v>
                </c:pt>
                <c:pt idx="13">
                  <c:v>85.43</c:v>
                </c:pt>
                <c:pt idx="14">
                  <c:v>107.42</c:v>
                </c:pt>
                <c:pt idx="15">
                  <c:v>102.95</c:v>
                </c:pt>
                <c:pt idx="16">
                  <c:v>104.78</c:v>
                </c:pt>
                <c:pt idx="17">
                  <c:v>102.28</c:v>
                </c:pt>
                <c:pt idx="18">
                  <c:v>103.72</c:v>
                </c:pt>
                <c:pt idx="19">
                  <c:v>102.84</c:v>
                </c:pt>
                <c:pt idx="20">
                  <c:v>96.76</c:v>
                </c:pt>
                <c:pt idx="21">
                  <c:v>98.56</c:v>
                </c:pt>
                <c:pt idx="22">
                  <c:v>95.12</c:v>
                </c:pt>
                <c:pt idx="23">
                  <c:v>96.46</c:v>
                </c:pt>
                <c:pt idx="24">
                  <c:v>86.29</c:v>
                </c:pt>
                <c:pt idx="25">
                  <c:v>92.63</c:v>
                </c:pt>
                <c:pt idx="26">
                  <c:v>104.19</c:v>
                </c:pt>
                <c:pt idx="27">
                  <c:v>100.49</c:v>
                </c:pt>
                <c:pt idx="28">
                  <c:v>104.6</c:v>
                </c:pt>
                <c:pt idx="29">
                  <c:v>99.88</c:v>
                </c:pt>
                <c:pt idx="30">
                  <c:v>103.68</c:v>
                </c:pt>
                <c:pt idx="31">
                  <c:v>104.4</c:v>
                </c:pt>
                <c:pt idx="32">
                  <c:v>99.12</c:v>
                </c:pt>
                <c:pt idx="33">
                  <c:v>102.45</c:v>
                </c:pt>
                <c:pt idx="34">
                  <c:v>100.79</c:v>
                </c:pt>
                <c:pt idx="35">
                  <c:v>98.49</c:v>
                </c:pt>
                <c:pt idx="36">
                  <c:v>102.74</c:v>
                </c:pt>
                <c:pt idx="37">
                  <c:v>82.23</c:v>
                </c:pt>
                <c:pt idx="38">
                  <c:v>100.84</c:v>
                </c:pt>
                <c:pt idx="39" formatCode="0.00">
                  <c:v>99.56</c:v>
                </c:pt>
                <c:pt idx="40" formatCode="General">
                  <c:v>104.15</c:v>
                </c:pt>
                <c:pt idx="41" formatCode="General">
                  <c:v>99.36</c:v>
                </c:pt>
                <c:pt idx="42" formatCode="General">
                  <c:v>105.83</c:v>
                </c:pt>
                <c:pt idx="43" formatCode="General">
                  <c:v>103.39</c:v>
                </c:pt>
                <c:pt idx="44" formatCode="General">
                  <c:v>98.91</c:v>
                </c:pt>
                <c:pt idx="45" formatCode="General">
                  <c:v>103.29</c:v>
                </c:pt>
                <c:pt idx="46" formatCode="General">
                  <c:v>100.57</c:v>
                </c:pt>
                <c:pt idx="47" formatCode="General">
                  <c:v>103.96</c:v>
                </c:pt>
                <c:pt idx="48" formatCode="General">
                  <c:v>101.25</c:v>
                </c:pt>
                <c:pt idx="49" formatCode="General">
                  <c:v>88.28</c:v>
                </c:pt>
                <c:pt idx="50" formatCode="General">
                  <c:v>104.76</c:v>
                </c:pt>
                <c:pt idx="51" formatCode="General">
                  <c:v>105.25</c:v>
                </c:pt>
                <c:pt idx="52" formatCode="General">
                  <c:v>110.21</c:v>
                </c:pt>
                <c:pt idx="53" formatCode="General">
                  <c:v>107.88</c:v>
                </c:pt>
                <c:pt idx="54" formatCode="General">
                  <c:v>112.53</c:v>
                </c:pt>
                <c:pt idx="55" formatCode="General">
                  <c:v>110.5</c:v>
                </c:pt>
                <c:pt idx="56" formatCode="General">
                  <c:v>108.74</c:v>
                </c:pt>
                <c:pt idx="57" formatCode="General">
                  <c:v>112.79</c:v>
                </c:pt>
                <c:pt idx="58" formatCode="General">
                  <c:v>107.4</c:v>
                </c:pt>
                <c:pt idx="59" formatCode="General">
                  <c:v>112.03</c:v>
                </c:pt>
                <c:pt idx="60" formatCode="General">
                  <c:v>108.92</c:v>
                </c:pt>
                <c:pt idx="61" formatCode="General">
                  <c:v>91.21</c:v>
                </c:pt>
                <c:pt idx="62" formatCode="General">
                  <c:v>111.56</c:v>
                </c:pt>
                <c:pt idx="63" formatCode="General">
                  <c:v>106.37</c:v>
                </c:pt>
              </c:numCache>
            </c:numRef>
          </c:val>
        </c:ser>
        <c:dLbls>
          <c:showLegendKey val="0"/>
          <c:showVal val="0"/>
          <c:showCatName val="0"/>
          <c:showSerName val="0"/>
          <c:showPercent val="0"/>
          <c:showBubbleSize val="0"/>
        </c:dLbls>
        <c:gapWidth val="150"/>
        <c:axId val="153917312"/>
        <c:axId val="190783872"/>
      </c:barChart>
      <c:lineChart>
        <c:grouping val="standard"/>
        <c:varyColors val="0"/>
        <c:ser>
          <c:idx val="0"/>
          <c:order val="1"/>
          <c:spPr>
            <a:ln w="12701">
              <a:solidFill>
                <a:srgbClr val="000080"/>
              </a:solidFill>
              <a:prstDash val="solid"/>
            </a:ln>
          </c:spPr>
          <c:marker>
            <c:symbol val="diamond"/>
            <c:size val="5"/>
            <c:spPr>
              <a:solidFill>
                <a:srgbClr val="000080"/>
              </a:solidFill>
              <a:ln>
                <a:solidFill>
                  <a:srgbClr val="000080"/>
                </a:solidFill>
                <a:prstDash val="solid"/>
              </a:ln>
            </c:spPr>
          </c:marker>
          <c:cat>
            <c:strRef>
              <c:f>Sheet1!$A$50:$A$120</c:f>
              <c:strCache>
                <c:ptCount val="71"/>
                <c:pt idx="0">
                  <c:v>98/6</c:v>
                </c:pt>
                <c:pt idx="1">
                  <c:v>98/7</c:v>
                </c:pt>
                <c:pt idx="2">
                  <c:v>98/8</c:v>
                </c:pt>
                <c:pt idx="3">
                  <c:v>98/9</c:v>
                </c:pt>
                <c:pt idx="4">
                  <c:v>98/10</c:v>
                </c:pt>
                <c:pt idx="5">
                  <c:v>98/11</c:v>
                </c:pt>
                <c:pt idx="6">
                  <c:v>98/12</c:v>
                </c:pt>
                <c:pt idx="7">
                  <c:v>99/1</c:v>
                </c:pt>
                <c:pt idx="8">
                  <c:v>99/2</c:v>
                </c:pt>
                <c:pt idx="9">
                  <c:v>99/3</c:v>
                </c:pt>
                <c:pt idx="10">
                  <c:v>99/4</c:v>
                </c:pt>
                <c:pt idx="11">
                  <c:v>99/5</c:v>
                </c:pt>
                <c:pt idx="12">
                  <c:v>99/6</c:v>
                </c:pt>
                <c:pt idx="13">
                  <c:v>99/7</c:v>
                </c:pt>
                <c:pt idx="14">
                  <c:v>99/8</c:v>
                </c:pt>
                <c:pt idx="15">
                  <c:v>99/9</c:v>
                </c:pt>
                <c:pt idx="16">
                  <c:v>99/10</c:v>
                </c:pt>
                <c:pt idx="17">
                  <c:v>99/11</c:v>
                </c:pt>
                <c:pt idx="18">
                  <c:v>99/12</c:v>
                </c:pt>
                <c:pt idx="19">
                  <c:v>100/1</c:v>
                </c:pt>
                <c:pt idx="20">
                  <c:v>100/2</c:v>
                </c:pt>
                <c:pt idx="21">
                  <c:v>100/3</c:v>
                </c:pt>
                <c:pt idx="22">
                  <c:v>100/4</c:v>
                </c:pt>
                <c:pt idx="23">
                  <c:v>100/5</c:v>
                </c:pt>
                <c:pt idx="24">
                  <c:v>100/6</c:v>
                </c:pt>
                <c:pt idx="25">
                  <c:v>100/7</c:v>
                </c:pt>
                <c:pt idx="26">
                  <c:v>100/8</c:v>
                </c:pt>
                <c:pt idx="27">
                  <c:v>100/9</c:v>
                </c:pt>
                <c:pt idx="28">
                  <c:v>100/10</c:v>
                </c:pt>
                <c:pt idx="29">
                  <c:v>100/11</c:v>
                </c:pt>
                <c:pt idx="30">
                  <c:v>100/12</c:v>
                </c:pt>
                <c:pt idx="31">
                  <c:v>101/1</c:v>
                </c:pt>
                <c:pt idx="32">
                  <c:v>101/2</c:v>
                </c:pt>
                <c:pt idx="33">
                  <c:v>101/3</c:v>
                </c:pt>
                <c:pt idx="34">
                  <c:v>101/4</c:v>
                </c:pt>
                <c:pt idx="35">
                  <c:v>101/5</c:v>
                </c:pt>
                <c:pt idx="36">
                  <c:v>101/6</c:v>
                </c:pt>
                <c:pt idx="37">
                  <c:v>101/7</c:v>
                </c:pt>
                <c:pt idx="38">
                  <c:v>101/8</c:v>
                </c:pt>
                <c:pt idx="39">
                  <c:v>101/9</c:v>
                </c:pt>
                <c:pt idx="40">
                  <c:v>101/10</c:v>
                </c:pt>
                <c:pt idx="41">
                  <c:v>101/11</c:v>
                </c:pt>
                <c:pt idx="42">
                  <c:v>101/12</c:v>
                </c:pt>
                <c:pt idx="43">
                  <c:v>102/1</c:v>
                </c:pt>
                <c:pt idx="44">
                  <c:v>102/2</c:v>
                </c:pt>
                <c:pt idx="45">
                  <c:v>102/3</c:v>
                </c:pt>
                <c:pt idx="46">
                  <c:v>102/4</c:v>
                </c:pt>
                <c:pt idx="47">
                  <c:v>102/5</c:v>
                </c:pt>
                <c:pt idx="48">
                  <c:v>102/6</c:v>
                </c:pt>
                <c:pt idx="49">
                  <c:v>102/7</c:v>
                </c:pt>
                <c:pt idx="50">
                  <c:v>102/8</c:v>
                </c:pt>
                <c:pt idx="51">
                  <c:v>102/9</c:v>
                </c:pt>
                <c:pt idx="52">
                  <c:v>102/10</c:v>
                </c:pt>
                <c:pt idx="53">
                  <c:v>102/11</c:v>
                </c:pt>
                <c:pt idx="54">
                  <c:v>102/12</c:v>
                </c:pt>
                <c:pt idx="55">
                  <c:v>103/1</c:v>
                </c:pt>
                <c:pt idx="56">
                  <c:v>103/2</c:v>
                </c:pt>
                <c:pt idx="57">
                  <c:v>103/3</c:v>
                </c:pt>
                <c:pt idx="58">
                  <c:v>103/4</c:v>
                </c:pt>
                <c:pt idx="59">
                  <c:v>103/5</c:v>
                </c:pt>
                <c:pt idx="60">
                  <c:v>103/6</c:v>
                </c:pt>
                <c:pt idx="61">
                  <c:v>103/7</c:v>
                </c:pt>
                <c:pt idx="62">
                  <c:v>103/8</c:v>
                </c:pt>
                <c:pt idx="63">
                  <c:v>103/9</c:v>
                </c:pt>
                <c:pt idx="64">
                  <c:v>103/10</c:v>
                </c:pt>
                <c:pt idx="65">
                  <c:v>103/11</c:v>
                </c:pt>
                <c:pt idx="66">
                  <c:v>103/12</c:v>
                </c:pt>
                <c:pt idx="67">
                  <c:v>104/1</c:v>
                </c:pt>
                <c:pt idx="68">
                  <c:v>104/2</c:v>
                </c:pt>
                <c:pt idx="69">
                  <c:v>104/3</c:v>
                </c:pt>
                <c:pt idx="70">
                  <c:v>104/4</c:v>
                </c:pt>
              </c:strCache>
            </c:strRef>
          </c:cat>
          <c:val>
            <c:numRef>
              <c:f>Sheet1!$C$57:$C$120</c:f>
              <c:numCache>
                <c:formatCode>0.00_ </c:formatCode>
                <c:ptCount val="64"/>
                <c:pt idx="0">
                  <c:v>62.737502305847599</c:v>
                </c:pt>
                <c:pt idx="1">
                  <c:v>30.299401197604698</c:v>
                </c:pt>
                <c:pt idx="2">
                  <c:v>36.001718459114898</c:v>
                </c:pt>
                <c:pt idx="3">
                  <c:v>28.8638828633405</c:v>
                </c:pt>
                <c:pt idx="4">
                  <c:v>28.4710250629889</c:v>
                </c:pt>
                <c:pt idx="5">
                  <c:v>21.093847110006202</c:v>
                </c:pt>
                <c:pt idx="6">
                  <c:v>19.7261904761904</c:v>
                </c:pt>
                <c:pt idx="7">
                  <c:v>22.4</c:v>
                </c:pt>
                <c:pt idx="8">
                  <c:v>11.9687972988706</c:v>
                </c:pt>
                <c:pt idx="9">
                  <c:v>13.638995021419399</c:v>
                </c:pt>
                <c:pt idx="10">
                  <c:v>18.380614657210401</c:v>
                </c:pt>
                <c:pt idx="11">
                  <c:v>16.130802150773601</c:v>
                </c:pt>
                <c:pt idx="12">
                  <c:v>17.524370890954401</c:v>
                </c:pt>
                <c:pt idx="13">
                  <c:v>12.171743697478901</c:v>
                </c:pt>
                <c:pt idx="14">
                  <c:v>13.109402969358699</c:v>
                </c:pt>
                <c:pt idx="15">
                  <c:v>8.3114150447132999</c:v>
                </c:pt>
                <c:pt idx="16">
                  <c:v>8.1544178364987605</c:v>
                </c:pt>
                <c:pt idx="17">
                  <c:v>4.9887086840484498</c:v>
                </c:pt>
                <c:pt idx="18">
                  <c:v>3.1321467634483402</c:v>
                </c:pt>
                <c:pt idx="19">
                  <c:v>3.4087481146304599</c:v>
                </c:pt>
                <c:pt idx="20">
                  <c:v>0.61349693251533699</c:v>
                </c:pt>
                <c:pt idx="21">
                  <c:v>0.41772796739684098</c:v>
                </c:pt>
                <c:pt idx="22">
                  <c:v>-5.0224663005491701</c:v>
                </c:pt>
                <c:pt idx="23">
                  <c:v>-8.8538221676273192</c:v>
                </c:pt>
                <c:pt idx="24">
                  <c:v>-16.772762345678998</c:v>
                </c:pt>
                <c:pt idx="25">
                  <c:v>8.4279527098209002</c:v>
                </c:pt>
                <c:pt idx="26">
                  <c:v>-3.00688884751442</c:v>
                </c:pt>
                <c:pt idx="27">
                  <c:v>-2.3895094706168001</c:v>
                </c:pt>
                <c:pt idx="28">
                  <c:v>-0.17178850925749101</c:v>
                </c:pt>
                <c:pt idx="29">
                  <c:v>-2.3464998044583401</c:v>
                </c:pt>
                <c:pt idx="30">
                  <c:v>-3.8565368299267197E-2</c:v>
                </c:pt>
                <c:pt idx="31">
                  <c:v>1.51691948658109</c:v>
                </c:pt>
                <c:pt idx="32">
                  <c:v>2.4390243902439002</c:v>
                </c:pt>
                <c:pt idx="33">
                  <c:v>3.9468344155844099</c:v>
                </c:pt>
                <c:pt idx="34">
                  <c:v>5.9608915054667699</c:v>
                </c:pt>
                <c:pt idx="35">
                  <c:v>2.1044992743105899</c:v>
                </c:pt>
                <c:pt idx="36">
                  <c:v>19.063622667748199</c:v>
                </c:pt>
                <c:pt idx="37">
                  <c:v>-11.227464104501699</c:v>
                </c:pt>
                <c:pt idx="38">
                  <c:v>-3.21527977732987</c:v>
                </c:pt>
                <c:pt idx="39">
                  <c:v>-0.92546522041994195</c:v>
                </c:pt>
                <c:pt idx="40">
                  <c:v>-0.43021032504780099</c:v>
                </c:pt>
                <c:pt idx="41">
                  <c:v>-0.52062474969963901</c:v>
                </c:pt>
                <c:pt idx="42">
                  <c:v>2.0736882716049299</c:v>
                </c:pt>
                <c:pt idx="43">
                  <c:v>-0.96743295019157005</c:v>
                </c:pt>
                <c:pt idx="44">
                  <c:v>-0.21186440677966101</c:v>
                </c:pt>
                <c:pt idx="45">
                  <c:v>0.81991215226939895</c:v>
                </c:pt>
                <c:pt idx="46">
                  <c:v>-0.21827562258160499</c:v>
                </c:pt>
                <c:pt idx="47">
                  <c:v>5.5538633363793197</c:v>
                </c:pt>
                <c:pt idx="48">
                  <c:v>-1.4502627992992001</c:v>
                </c:pt>
                <c:pt idx="49">
                  <c:v>7.3574121366897698</c:v>
                </c:pt>
                <c:pt idx="50">
                  <c:v>3.8873462911543002</c:v>
                </c:pt>
                <c:pt idx="51">
                  <c:v>5.7151466452390496</c:v>
                </c:pt>
                <c:pt idx="52">
                  <c:v>5.8185309649543902</c:v>
                </c:pt>
                <c:pt idx="53">
                  <c:v>8.57487922705314</c:v>
                </c:pt>
                <c:pt idx="54">
                  <c:v>6.3309080600963803</c:v>
                </c:pt>
                <c:pt idx="55">
                  <c:v>6.8768739723377497</c:v>
                </c:pt>
                <c:pt idx="56">
                  <c:v>9.9383277727226709</c:v>
                </c:pt>
                <c:pt idx="57">
                  <c:v>9.1974053635395396</c:v>
                </c:pt>
                <c:pt idx="58">
                  <c:v>6.7912896490006904</c:v>
                </c:pt>
                <c:pt idx="59">
                  <c:v>7.7626010003847599</c:v>
                </c:pt>
                <c:pt idx="60" formatCode="General">
                  <c:v>7.58</c:v>
                </c:pt>
                <c:pt idx="61" formatCode="General">
                  <c:v>3.32</c:v>
                </c:pt>
                <c:pt idx="62" formatCode="General">
                  <c:v>6.49</c:v>
                </c:pt>
                <c:pt idx="63" formatCode="General">
                  <c:v>1.06</c:v>
                </c:pt>
              </c:numCache>
            </c:numRef>
          </c:val>
          <c:smooth val="0"/>
        </c:ser>
        <c:dLbls>
          <c:showLegendKey val="0"/>
          <c:showVal val="0"/>
          <c:showCatName val="0"/>
          <c:showSerName val="0"/>
          <c:showPercent val="0"/>
          <c:showBubbleSize val="0"/>
        </c:dLbls>
        <c:marker val="1"/>
        <c:smooth val="0"/>
        <c:axId val="190785792"/>
        <c:axId val="190787584"/>
      </c:lineChart>
      <c:catAx>
        <c:axId val="153917312"/>
        <c:scaling>
          <c:orientation val="minMax"/>
        </c:scaling>
        <c:delete val="0"/>
        <c:axPos val="b"/>
        <c:title>
          <c:tx>
            <c:rich>
              <a:bodyPr/>
              <a:lstStyle/>
              <a:p>
                <a:pP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年(月)別</a:t>
                </a:r>
                <a:endParaRPr lang="zh-TW" altLang="en-US"/>
              </a:p>
            </c:rich>
          </c:tx>
          <c:layout>
            <c:manualLayout>
              <c:xMode val="edge"/>
              <c:yMode val="edge"/>
              <c:x val="0.8582930302182088"/>
              <c:y val="0.88461536728509804"/>
            </c:manualLayout>
          </c:layout>
          <c:overlay val="0"/>
          <c:spPr>
            <a:noFill/>
            <a:ln w="25401">
              <a:noFill/>
            </a:ln>
          </c:spPr>
        </c:title>
        <c:numFmt formatCode="@" sourceLinked="1"/>
        <c:majorTickMark val="in"/>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Arial"/>
                <a:ea typeface="Arial"/>
                <a:cs typeface="Arial"/>
              </a:defRPr>
            </a:pPr>
            <a:endParaRPr lang="zh-TW"/>
          </a:p>
        </c:txPr>
        <c:crossAx val="190783872"/>
        <c:crosses val="autoZero"/>
        <c:auto val="0"/>
        <c:lblAlgn val="ctr"/>
        <c:lblOffset val="100"/>
        <c:tickLblSkip val="3"/>
        <c:tickMarkSkip val="1"/>
        <c:noMultiLvlLbl val="0"/>
      </c:catAx>
      <c:valAx>
        <c:axId val="190783872"/>
        <c:scaling>
          <c:orientation val="minMax"/>
          <c:min val="5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a:t>指數</a:t>
                </a:r>
              </a:p>
            </c:rich>
          </c:tx>
          <c:layout>
            <c:manualLayout>
              <c:xMode val="edge"/>
              <c:yMode val="edge"/>
              <c:x val="7.0853484890895602E-2"/>
              <c:y val="2.5641129622745656E-2"/>
            </c:manualLayout>
          </c:layout>
          <c:overlay val="0"/>
          <c:spPr>
            <a:noFill/>
            <a:ln w="25401">
              <a:noFill/>
            </a:ln>
          </c:spPr>
        </c:title>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53917312"/>
        <c:crosses val="autoZero"/>
        <c:crossBetween val="between"/>
        <c:majorUnit val="10"/>
      </c:valAx>
      <c:catAx>
        <c:axId val="190785792"/>
        <c:scaling>
          <c:orientation val="minMax"/>
        </c:scaling>
        <c:delete val="1"/>
        <c:axPos val="b"/>
        <c:majorTickMark val="out"/>
        <c:minorTickMark val="none"/>
        <c:tickLblPos val="nextTo"/>
        <c:crossAx val="190787584"/>
        <c:crosses val="autoZero"/>
        <c:auto val="0"/>
        <c:lblAlgn val="ctr"/>
        <c:lblOffset val="100"/>
        <c:noMultiLvlLbl val="0"/>
      </c:catAx>
      <c:valAx>
        <c:axId val="190787584"/>
        <c:scaling>
          <c:orientation val="minMax"/>
        </c:scaling>
        <c:delete val="0"/>
        <c:axPos val="r"/>
        <c:title>
          <c:tx>
            <c:rich>
              <a:bodyPr rot="0" vert="horz"/>
              <a:lstStyle/>
              <a:p>
                <a:pPr algn="ct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年增率(％)</a:t>
                </a:r>
                <a:endParaRPr lang="zh-TW" altLang="en-US"/>
              </a:p>
            </c:rich>
          </c:tx>
          <c:layout>
            <c:manualLayout>
              <c:xMode val="edge"/>
              <c:yMode val="edge"/>
              <c:x val="0.8132044931786927"/>
              <c:y val="2.9914501030718802E-2"/>
            </c:manualLayout>
          </c:layout>
          <c:overlay val="0"/>
          <c:spPr>
            <a:noFill/>
            <a:ln w="25401">
              <a:noFill/>
            </a:ln>
          </c:spPr>
        </c:title>
        <c:numFmt formatCode="0.00_ "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90785792"/>
        <c:crosses val="max"/>
        <c:crossBetween val="between"/>
      </c:valAx>
    </c:plotArea>
    <c:plotVisOnly val="1"/>
    <c:dispBlanksAs val="gap"/>
    <c:showDLblsOverMax val="0"/>
  </c:chart>
  <c:spPr>
    <a:noFill/>
    <a:ln>
      <a:noFill/>
    </a:ln>
  </c:spPr>
  <c:txPr>
    <a:bodyPr/>
    <a:lstStyle/>
    <a:p>
      <a:pPr>
        <a:defRPr sz="10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工作表1!$B$2</c:f>
              <c:strCache>
                <c:ptCount val="1"/>
                <c:pt idx="0">
                  <c:v>WPI年增率%</c:v>
                </c:pt>
              </c:strCache>
            </c:strRef>
          </c:tx>
          <c:marker>
            <c:symbol val="circle"/>
            <c:size val="5"/>
          </c:marker>
          <c:dPt>
            <c:idx val="53"/>
            <c:marker>
              <c:symbol val="circle"/>
              <c:size val="4"/>
            </c:marker>
            <c:bubble3D val="0"/>
          </c:dPt>
          <c:cat>
            <c:strRef>
              <c:f>工作表1!$A$39:$A$102</c:f>
              <c:strCache>
                <c:ptCount val="64"/>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strCache>
            </c:strRef>
          </c:cat>
          <c:val>
            <c:numRef>
              <c:f>工作表1!$B$39:$B$102</c:f>
              <c:numCache>
                <c:formatCode>General</c:formatCode>
                <c:ptCount val="64"/>
                <c:pt idx="0">
                  <c:v>6.8</c:v>
                </c:pt>
                <c:pt idx="1">
                  <c:v>6.08</c:v>
                </c:pt>
                <c:pt idx="2">
                  <c:v>6.83</c:v>
                </c:pt>
                <c:pt idx="3">
                  <c:v>9.09</c:v>
                </c:pt>
                <c:pt idx="4">
                  <c:v>9.43</c:v>
                </c:pt>
                <c:pt idx="5">
                  <c:v>7.01</c:v>
                </c:pt>
                <c:pt idx="6">
                  <c:v>5.31</c:v>
                </c:pt>
                <c:pt idx="7">
                  <c:v>3.33</c:v>
                </c:pt>
                <c:pt idx="8">
                  <c:v>3.79</c:v>
                </c:pt>
                <c:pt idx="9">
                  <c:v>3.67</c:v>
                </c:pt>
                <c:pt idx="10">
                  <c:v>2.39</c:v>
                </c:pt>
                <c:pt idx="11">
                  <c:v>2.2200000000000002</c:v>
                </c:pt>
                <c:pt idx="12">
                  <c:v>1.64</c:v>
                </c:pt>
                <c:pt idx="13">
                  <c:v>3.46</c:v>
                </c:pt>
                <c:pt idx="14">
                  <c:v>5.51</c:v>
                </c:pt>
                <c:pt idx="15">
                  <c:v>4.53</c:v>
                </c:pt>
                <c:pt idx="16">
                  <c:v>3.42</c:v>
                </c:pt>
                <c:pt idx="17">
                  <c:v>3.84</c:v>
                </c:pt>
                <c:pt idx="18">
                  <c:v>4.04</c:v>
                </c:pt>
                <c:pt idx="19">
                  <c:v>4.08</c:v>
                </c:pt>
                <c:pt idx="20">
                  <c:v>5.08</c:v>
                </c:pt>
                <c:pt idx="21">
                  <c:v>5.75</c:v>
                </c:pt>
                <c:pt idx="22">
                  <c:v>4.91</c:v>
                </c:pt>
                <c:pt idx="23">
                  <c:v>4.28</c:v>
                </c:pt>
                <c:pt idx="24">
                  <c:v>4.37</c:v>
                </c:pt>
                <c:pt idx="25">
                  <c:v>1.84</c:v>
                </c:pt>
                <c:pt idx="26">
                  <c:v>-0.22</c:v>
                </c:pt>
                <c:pt idx="27">
                  <c:v>-0.56000000000000005</c:v>
                </c:pt>
                <c:pt idx="28">
                  <c:v>-0.37</c:v>
                </c:pt>
                <c:pt idx="29">
                  <c:v>-1.87</c:v>
                </c:pt>
                <c:pt idx="30">
                  <c:v>-1.71</c:v>
                </c:pt>
                <c:pt idx="31">
                  <c:v>-0.91</c:v>
                </c:pt>
                <c:pt idx="32">
                  <c:v>-2.35</c:v>
                </c:pt>
                <c:pt idx="33">
                  <c:v>-3.68</c:v>
                </c:pt>
                <c:pt idx="34">
                  <c:v>-3.87</c:v>
                </c:pt>
                <c:pt idx="35">
                  <c:v>-3.96</c:v>
                </c:pt>
                <c:pt idx="36">
                  <c:v>-3.83</c:v>
                </c:pt>
                <c:pt idx="37">
                  <c:v>-2.2799999999999998</c:v>
                </c:pt>
                <c:pt idx="38">
                  <c:v>-3.08</c:v>
                </c:pt>
                <c:pt idx="39">
                  <c:v>-3.73</c:v>
                </c:pt>
                <c:pt idx="40">
                  <c:v>-3.54</c:v>
                </c:pt>
                <c:pt idx="41">
                  <c:v>-2.1</c:v>
                </c:pt>
                <c:pt idx="42">
                  <c:v>-2.21</c:v>
                </c:pt>
                <c:pt idx="43">
                  <c:v>-2.82</c:v>
                </c:pt>
                <c:pt idx="44">
                  <c:v>-2.56</c:v>
                </c:pt>
                <c:pt idx="45">
                  <c:v>-1.84</c:v>
                </c:pt>
                <c:pt idx="46">
                  <c:v>-0.93</c:v>
                </c:pt>
                <c:pt idx="47">
                  <c:v>-0.01</c:v>
                </c:pt>
                <c:pt idx="48">
                  <c:v>0.59</c:v>
                </c:pt>
                <c:pt idx="49">
                  <c:v>-0.36</c:v>
                </c:pt>
                <c:pt idx="50">
                  <c:v>-0.02</c:v>
                </c:pt>
                <c:pt idx="51">
                  <c:v>7.0000000000000007E-2</c:v>
                </c:pt>
                <c:pt idx="52">
                  <c:v>1.1499999999999999</c:v>
                </c:pt>
                <c:pt idx="53">
                  <c:v>0.8</c:v>
                </c:pt>
                <c:pt idx="54">
                  <c:v>0.85</c:v>
                </c:pt>
                <c:pt idx="55">
                  <c:v>0.03</c:v>
                </c:pt>
                <c:pt idx="56">
                  <c:v>-0.85</c:v>
                </c:pt>
                <c:pt idx="57">
                  <c:v>-1.38</c:v>
                </c:pt>
                <c:pt idx="58">
                  <c:v>-2.88</c:v>
                </c:pt>
                <c:pt idx="59">
                  <c:v>-4.62</c:v>
                </c:pt>
                <c:pt idx="60">
                  <c:v>-7.57</c:v>
                </c:pt>
                <c:pt idx="61">
                  <c:v>-8.49</c:v>
                </c:pt>
                <c:pt idx="62">
                  <c:v>-8.5500000000000007</c:v>
                </c:pt>
                <c:pt idx="63">
                  <c:v>-9.15</c:v>
                </c:pt>
              </c:numCache>
            </c:numRef>
          </c:val>
          <c:smooth val="0"/>
        </c:ser>
        <c:ser>
          <c:idx val="1"/>
          <c:order val="1"/>
          <c:tx>
            <c:strRef>
              <c:f>工作表1!$C$2</c:f>
              <c:strCache>
                <c:ptCount val="1"/>
                <c:pt idx="0">
                  <c:v>CPI年增率</c:v>
                </c:pt>
              </c:strCache>
            </c:strRef>
          </c:tx>
          <c:marker>
            <c:symbol val="triangle"/>
            <c:size val="4"/>
          </c:marker>
          <c:cat>
            <c:strRef>
              <c:f>工作表1!$A$39:$A$102</c:f>
              <c:strCache>
                <c:ptCount val="64"/>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strCache>
            </c:strRef>
          </c:cat>
          <c:val>
            <c:numRef>
              <c:f>工作表1!$C$39:$C$102</c:f>
              <c:numCache>
                <c:formatCode>General</c:formatCode>
                <c:ptCount val="64"/>
                <c:pt idx="0">
                  <c:v>0.26</c:v>
                </c:pt>
                <c:pt idx="1">
                  <c:v>2.34</c:v>
                </c:pt>
                <c:pt idx="2">
                  <c:v>1.26</c:v>
                </c:pt>
                <c:pt idx="3">
                  <c:v>1.34</c:v>
                </c:pt>
                <c:pt idx="4">
                  <c:v>0.76</c:v>
                </c:pt>
                <c:pt idx="5">
                  <c:v>1.19</c:v>
                </c:pt>
                <c:pt idx="6">
                  <c:v>1.31</c:v>
                </c:pt>
                <c:pt idx="7">
                  <c:v>-0.47</c:v>
                </c:pt>
                <c:pt idx="8">
                  <c:v>0.28000000000000003</c:v>
                </c:pt>
                <c:pt idx="9">
                  <c:v>0.56000000000000005</c:v>
                </c:pt>
                <c:pt idx="10">
                  <c:v>1.52</c:v>
                </c:pt>
                <c:pt idx="11">
                  <c:v>1.24</c:v>
                </c:pt>
                <c:pt idx="12">
                  <c:v>1.1100000000000001</c:v>
                </c:pt>
                <c:pt idx="13">
                  <c:v>1.33</c:v>
                </c:pt>
                <c:pt idx="14">
                  <c:v>1.41</c:v>
                </c:pt>
                <c:pt idx="15">
                  <c:v>1.34</c:v>
                </c:pt>
                <c:pt idx="16">
                  <c:v>1.66</c:v>
                </c:pt>
                <c:pt idx="17">
                  <c:v>1.94</c:v>
                </c:pt>
                <c:pt idx="18">
                  <c:v>1.33</c:v>
                </c:pt>
                <c:pt idx="19">
                  <c:v>1.34</c:v>
                </c:pt>
                <c:pt idx="20">
                  <c:v>1.37</c:v>
                </c:pt>
                <c:pt idx="21">
                  <c:v>1.26</c:v>
                </c:pt>
                <c:pt idx="22">
                  <c:v>1.03</c:v>
                </c:pt>
                <c:pt idx="23">
                  <c:v>2.02</c:v>
                </c:pt>
                <c:pt idx="24">
                  <c:v>2.36</c:v>
                </c:pt>
                <c:pt idx="25">
                  <c:v>0.24</c:v>
                </c:pt>
                <c:pt idx="26">
                  <c:v>1.26</c:v>
                </c:pt>
                <c:pt idx="27">
                  <c:v>1.44</c:v>
                </c:pt>
                <c:pt idx="28">
                  <c:v>1.74</c:v>
                </c:pt>
                <c:pt idx="29">
                  <c:v>1.77</c:v>
                </c:pt>
                <c:pt idx="30">
                  <c:v>2.46</c:v>
                </c:pt>
                <c:pt idx="31">
                  <c:v>3.43</c:v>
                </c:pt>
                <c:pt idx="32">
                  <c:v>2.96</c:v>
                </c:pt>
                <c:pt idx="33">
                  <c:v>2.34</c:v>
                </c:pt>
                <c:pt idx="34">
                  <c:v>1.59</c:v>
                </c:pt>
                <c:pt idx="35">
                  <c:v>1.61</c:v>
                </c:pt>
                <c:pt idx="36">
                  <c:v>1.1200000000000001</c:v>
                </c:pt>
                <c:pt idx="37">
                  <c:v>2.96</c:v>
                </c:pt>
                <c:pt idx="38">
                  <c:v>1.36</c:v>
                </c:pt>
                <c:pt idx="39">
                  <c:v>1.05</c:v>
                </c:pt>
                <c:pt idx="40">
                  <c:v>0.74</c:v>
                </c:pt>
                <c:pt idx="41">
                  <c:v>0.6</c:v>
                </c:pt>
                <c:pt idx="42">
                  <c:v>0.06</c:v>
                </c:pt>
                <c:pt idx="43">
                  <c:v>-0.78</c:v>
                </c:pt>
                <c:pt idx="44">
                  <c:v>0.84</c:v>
                </c:pt>
                <c:pt idx="45">
                  <c:v>0.64</c:v>
                </c:pt>
                <c:pt idx="46">
                  <c:v>0.68</c:v>
                </c:pt>
                <c:pt idx="47">
                  <c:v>0.34</c:v>
                </c:pt>
                <c:pt idx="48">
                  <c:v>0.83</c:v>
                </c:pt>
                <c:pt idx="49">
                  <c:v>-0.04</c:v>
                </c:pt>
                <c:pt idx="50">
                  <c:v>1.61</c:v>
                </c:pt>
                <c:pt idx="51">
                  <c:v>1.66</c:v>
                </c:pt>
                <c:pt idx="52">
                  <c:v>1.62</c:v>
                </c:pt>
                <c:pt idx="53">
                  <c:v>1.64</c:v>
                </c:pt>
                <c:pt idx="54">
                  <c:v>1.76</c:v>
                </c:pt>
                <c:pt idx="55">
                  <c:v>2.0699999999999998</c:v>
                </c:pt>
                <c:pt idx="56">
                  <c:v>0.71</c:v>
                </c:pt>
                <c:pt idx="57">
                  <c:v>1.05</c:v>
                </c:pt>
                <c:pt idx="58">
                  <c:v>0.86</c:v>
                </c:pt>
                <c:pt idx="59">
                  <c:v>0.61</c:v>
                </c:pt>
                <c:pt idx="60">
                  <c:v>-0.94</c:v>
                </c:pt>
                <c:pt idx="61">
                  <c:v>-0.19</c:v>
                </c:pt>
                <c:pt idx="62">
                  <c:v>-0.61</c:v>
                </c:pt>
                <c:pt idx="63">
                  <c:v>-0.8</c:v>
                </c:pt>
              </c:numCache>
            </c:numRef>
          </c:val>
          <c:smooth val="0"/>
        </c:ser>
        <c:dLbls>
          <c:showLegendKey val="0"/>
          <c:showVal val="0"/>
          <c:showCatName val="0"/>
          <c:showSerName val="0"/>
          <c:showPercent val="0"/>
          <c:showBubbleSize val="0"/>
        </c:dLbls>
        <c:marker val="1"/>
        <c:smooth val="0"/>
        <c:axId val="190892288"/>
        <c:axId val="190898176"/>
      </c:lineChart>
      <c:dateAx>
        <c:axId val="190892288"/>
        <c:scaling>
          <c:orientation val="minMax"/>
        </c:scaling>
        <c:delete val="0"/>
        <c:axPos val="b"/>
        <c:majorTickMark val="none"/>
        <c:minorTickMark val="none"/>
        <c:tickLblPos val="low"/>
        <c:txPr>
          <a:bodyPr/>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898176"/>
        <c:crosses val="autoZero"/>
        <c:auto val="0"/>
        <c:lblOffset val="100"/>
        <c:baseTimeUnit val="days"/>
        <c:majorUnit val="3"/>
      </c:dateAx>
      <c:valAx>
        <c:axId val="190898176"/>
        <c:scaling>
          <c:orientation val="minMax"/>
          <c:max val="14"/>
          <c:min val="-14"/>
        </c:scaling>
        <c:delete val="0"/>
        <c:axPos val="l"/>
        <c:majorGridlines/>
        <c:minorGridlines/>
        <c:numFmt formatCode="General" sourceLinked="1"/>
        <c:majorTickMark val="out"/>
        <c:minorTickMark val="none"/>
        <c:tickLblPos val="nextTo"/>
        <c:crossAx val="190892288"/>
        <c:crosses val="autoZero"/>
        <c:crossBetween val="between"/>
        <c:majorUnit val="2"/>
        <c:minorUnit val="2"/>
      </c:valAx>
    </c:plotArea>
    <c:legend>
      <c:legendPos val="b"/>
      <c:overlay val="0"/>
      <c:txPr>
        <a:bodyPr/>
        <a:lstStyle/>
        <a:p>
          <a:pPr rtl="0">
            <a:defRPr>
              <a:latin typeface="新細明體" panose="02020500000000000000" pitchFamily="18" charset="-120"/>
              <a:ea typeface="新細明體" panose="02020500000000000000" pitchFamily="18" charset="-120"/>
            </a:defRPr>
          </a:pPr>
          <a:endParaRPr lang="zh-TW"/>
        </a:p>
      </c:txPr>
    </c:legend>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4321329639889197E-2"/>
          <c:y val="9.0742325687549932E-2"/>
          <c:w val="0.89704591769396957"/>
          <c:h val="0.74335069529352304"/>
        </c:manualLayout>
      </c:layout>
      <c:lineChart>
        <c:grouping val="standard"/>
        <c:varyColors val="0"/>
        <c:ser>
          <c:idx val="0"/>
          <c:order val="0"/>
          <c:tx>
            <c:strRef>
              <c:f>物價圖!$D$19</c:f>
              <c:strCache>
                <c:ptCount val="1"/>
                <c:pt idx="0">
                  <c:v>進口物價(US)</c:v>
                </c:pt>
              </c:strCache>
            </c:strRef>
          </c:tx>
          <c:spPr>
            <a:ln w="25408">
              <a:solidFill>
                <a:srgbClr val="FF0000"/>
              </a:solidFill>
              <a:prstDash val="solid"/>
            </a:ln>
          </c:spPr>
          <c:marker>
            <c:symbol val="circle"/>
            <c:size val="3"/>
            <c:spPr>
              <a:solidFill>
                <a:srgbClr val="FF0000"/>
              </a:solidFill>
              <a:ln>
                <a:solidFill>
                  <a:srgbClr val="FF0000"/>
                </a:solidFill>
                <a:prstDash val="solid"/>
              </a:ln>
            </c:spPr>
          </c:marker>
          <c:dLbls>
            <c:dLbl>
              <c:idx val="60"/>
              <c:layout>
                <c:manualLayout>
                  <c:x val="1.8403931456526652E-2"/>
                  <c:y val="2.5970018392572437E-2"/>
                </c:manualLayout>
              </c:layout>
              <c:tx>
                <c:rich>
                  <a:bodyPr/>
                  <a:lstStyle/>
                  <a:p>
                    <a:r>
                      <a:rPr lang="en-US" altLang="en-US"/>
                      <a:t>-16</a:t>
                    </a:r>
                    <a:r>
                      <a:rPr lang="en-US" altLang="zh-TW"/>
                      <a:t>.02</a:t>
                    </a:r>
                    <a:r>
                      <a:rPr lang="en-US" altLang="en-US"/>
                      <a:t> </a:t>
                    </a:r>
                  </a:p>
                </c:rich>
              </c:tx>
              <c:showLegendKey val="0"/>
              <c:showVal val="1"/>
              <c:showCatName val="0"/>
              <c:showSerName val="0"/>
              <c:showPercent val="0"/>
              <c:showBubbleSize val="0"/>
            </c:dLbl>
            <c:dLbl>
              <c:idx val="71"/>
              <c:layout>
                <c:manualLayout>
                  <c:x val="0"/>
                  <c:y val="4.1539241499991823E-2"/>
                </c:manualLayout>
              </c:layout>
              <c:tx>
                <c:rich>
                  <a:bodyPr/>
                  <a:lstStyle/>
                  <a:p>
                    <a:r>
                      <a:rPr lang="en-US" altLang="en-US"/>
                      <a:t>-16.83 </a:t>
                    </a:r>
                  </a:p>
                </c:rich>
              </c:tx>
              <c:showLegendKey val="0"/>
              <c:showVal val="1"/>
              <c:showCatName val="0"/>
              <c:showSerName val="0"/>
              <c:showPercent val="0"/>
              <c:showBubbleSize val="0"/>
            </c:dLbl>
            <c:dLbl>
              <c:idx val="72"/>
              <c:layout>
                <c:manualLayout>
                  <c:x val="0"/>
                  <c:y val="0.17579362805402168"/>
                </c:manualLayout>
              </c:layout>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物價圖!$B$96:$C$159</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物價圖!$D$96:$D$159</c:f>
              <c:numCache>
                <c:formatCode>General</c:formatCode>
                <c:ptCount val="64"/>
                <c:pt idx="0">
                  <c:v>13.56</c:v>
                </c:pt>
                <c:pt idx="1">
                  <c:v>15.54</c:v>
                </c:pt>
                <c:pt idx="2">
                  <c:v>17.45</c:v>
                </c:pt>
                <c:pt idx="3">
                  <c:v>20.8</c:v>
                </c:pt>
                <c:pt idx="4">
                  <c:v>14.62</c:v>
                </c:pt>
                <c:pt idx="5">
                  <c:v>9.0500000000000007</c:v>
                </c:pt>
                <c:pt idx="6">
                  <c:v>8.94</c:v>
                </c:pt>
                <c:pt idx="7">
                  <c:v>7.75</c:v>
                </c:pt>
                <c:pt idx="8">
                  <c:v>8.6300000000000008</c:v>
                </c:pt>
                <c:pt idx="9">
                  <c:v>10.1</c:v>
                </c:pt>
                <c:pt idx="10">
                  <c:v>9.56</c:v>
                </c:pt>
                <c:pt idx="11">
                  <c:v>11.94</c:v>
                </c:pt>
                <c:pt idx="12">
                  <c:v>13.9</c:v>
                </c:pt>
                <c:pt idx="13">
                  <c:v>17.03</c:v>
                </c:pt>
                <c:pt idx="14">
                  <c:v>18.04</c:v>
                </c:pt>
                <c:pt idx="15">
                  <c:v>17.29</c:v>
                </c:pt>
                <c:pt idx="16">
                  <c:v>18.45</c:v>
                </c:pt>
                <c:pt idx="17">
                  <c:v>20.2</c:v>
                </c:pt>
                <c:pt idx="18">
                  <c:v>19.72</c:v>
                </c:pt>
                <c:pt idx="19">
                  <c:v>17.8</c:v>
                </c:pt>
                <c:pt idx="20">
                  <c:v>15.5</c:v>
                </c:pt>
                <c:pt idx="21">
                  <c:v>11.47</c:v>
                </c:pt>
                <c:pt idx="22">
                  <c:v>9.76</c:v>
                </c:pt>
                <c:pt idx="23">
                  <c:v>6.8</c:v>
                </c:pt>
                <c:pt idx="24">
                  <c:v>4.34</c:v>
                </c:pt>
                <c:pt idx="25">
                  <c:v>3.44</c:v>
                </c:pt>
                <c:pt idx="26">
                  <c:v>1.48</c:v>
                </c:pt>
                <c:pt idx="27">
                  <c:v>-1.77</c:v>
                </c:pt>
                <c:pt idx="28">
                  <c:v>-3.05</c:v>
                </c:pt>
                <c:pt idx="29">
                  <c:v>-6.13</c:v>
                </c:pt>
                <c:pt idx="30">
                  <c:v>-5.85</c:v>
                </c:pt>
                <c:pt idx="31">
                  <c:v>-4.3600000000000003</c:v>
                </c:pt>
                <c:pt idx="32">
                  <c:v>-2.66</c:v>
                </c:pt>
                <c:pt idx="33" formatCode="0.00_ ">
                  <c:v>-2.1800000000000002</c:v>
                </c:pt>
                <c:pt idx="34" formatCode="0.00_ ">
                  <c:v>-2.73</c:v>
                </c:pt>
                <c:pt idx="35" formatCode="0.00_ ">
                  <c:v>-2.85</c:v>
                </c:pt>
                <c:pt idx="36" formatCode="0.00_ ">
                  <c:v>-3.27</c:v>
                </c:pt>
                <c:pt idx="37" formatCode="0.00_ ">
                  <c:v>-4.79</c:v>
                </c:pt>
                <c:pt idx="38" formatCode="0.00_ ">
                  <c:v>-6.37</c:v>
                </c:pt>
                <c:pt idx="39" formatCode="0.00_ ">
                  <c:v>-7.28</c:v>
                </c:pt>
                <c:pt idx="40" formatCode="0.00_ ">
                  <c:v>-6.73</c:v>
                </c:pt>
                <c:pt idx="41">
                  <c:v>-3.46</c:v>
                </c:pt>
                <c:pt idx="42" formatCode="0.00_ ">
                  <c:v>-4.0999999999999996</c:v>
                </c:pt>
                <c:pt idx="43" formatCode="0.00_ ">
                  <c:v>-4.66</c:v>
                </c:pt>
                <c:pt idx="44" formatCode="0.00_ ">
                  <c:v>-5.22</c:v>
                </c:pt>
                <c:pt idx="45" formatCode="0.00_ ">
                  <c:v>-4.4000000000000004</c:v>
                </c:pt>
                <c:pt idx="46" formatCode="0.00_ ">
                  <c:v>-4</c:v>
                </c:pt>
                <c:pt idx="47" formatCode="0.00_ ">
                  <c:v>-3.2</c:v>
                </c:pt>
                <c:pt idx="48" formatCode="0.00_ ">
                  <c:v>-3.73</c:v>
                </c:pt>
                <c:pt idx="49" formatCode="0.00_ ">
                  <c:v>-3.86</c:v>
                </c:pt>
                <c:pt idx="50" formatCode="0.00_ ">
                  <c:v>-3.23</c:v>
                </c:pt>
                <c:pt idx="51" formatCode="0.00_ ">
                  <c:v>-1.87</c:v>
                </c:pt>
                <c:pt idx="52" formatCode="0.00_ ">
                  <c:v>-0.16</c:v>
                </c:pt>
                <c:pt idx="53" formatCode="0.00_ ">
                  <c:v>0.11</c:v>
                </c:pt>
                <c:pt idx="54" formatCode="0.00_ ">
                  <c:v>0.09</c:v>
                </c:pt>
                <c:pt idx="55" formatCode="0.00_ ">
                  <c:v>-1.65</c:v>
                </c:pt>
                <c:pt idx="56" formatCode="0.00_ ">
                  <c:v>-3.97</c:v>
                </c:pt>
                <c:pt idx="57" formatCode="0.00_ ">
                  <c:v>-6.09</c:v>
                </c:pt>
                <c:pt idx="58" formatCode="0.00_ ">
                  <c:v>-8.75</c:v>
                </c:pt>
                <c:pt idx="59" formatCode="0.00_ ">
                  <c:v>-13.54</c:v>
                </c:pt>
                <c:pt idx="60" formatCode="0.00_ ">
                  <c:v>-17.21</c:v>
                </c:pt>
                <c:pt idx="61" formatCode="0.00_ ">
                  <c:v>-16.75</c:v>
                </c:pt>
                <c:pt idx="62" formatCode="0.00_ ">
                  <c:v>-16.38</c:v>
                </c:pt>
                <c:pt idx="63" formatCode="0.00_ ">
                  <c:v>-16.02</c:v>
                </c:pt>
              </c:numCache>
            </c:numRef>
          </c:val>
          <c:smooth val="0"/>
        </c:ser>
        <c:ser>
          <c:idx val="1"/>
          <c:order val="1"/>
          <c:tx>
            <c:strRef>
              <c:f>物價圖!$E$19</c:f>
              <c:strCache>
                <c:ptCount val="1"/>
                <c:pt idx="0">
                  <c:v>進口物價(NT)</c:v>
                </c:pt>
              </c:strCache>
            </c:strRef>
          </c:tx>
          <c:spPr>
            <a:ln w="12704">
              <a:solidFill>
                <a:srgbClr val="333333"/>
              </a:solidFill>
              <a:prstDash val="solid"/>
            </a:ln>
          </c:spPr>
          <c:marker>
            <c:symbol val="diamond"/>
            <c:size val="3"/>
            <c:spPr>
              <a:solidFill>
                <a:srgbClr val="993366"/>
              </a:solidFill>
              <a:ln>
                <a:solidFill>
                  <a:srgbClr val="993366"/>
                </a:solidFill>
                <a:prstDash val="solid"/>
              </a:ln>
            </c:spPr>
          </c:marker>
          <c:dLbls>
            <c:dLbl>
              <c:idx val="60"/>
              <c:layout>
                <c:manualLayout>
                  <c:x val="1.8404108708849766E-2"/>
                  <c:y val="2.5953283029280357E-2"/>
                </c:manualLayout>
              </c:layout>
              <c:tx>
                <c:rich>
                  <a:bodyPr/>
                  <a:lstStyle/>
                  <a:p>
                    <a:r>
                      <a:rPr lang="en-US" altLang="en-US"/>
                      <a:t>-</a:t>
                    </a:r>
                    <a:r>
                      <a:rPr lang="en-US" altLang="zh-TW"/>
                      <a:t>13.69</a:t>
                    </a:r>
                    <a:endParaRPr lang="en-US" altLang="en-US"/>
                  </a:p>
                </c:rich>
              </c:tx>
              <c:showLegendKey val="0"/>
              <c:showVal val="1"/>
              <c:showCatName val="0"/>
              <c:showSerName val="0"/>
              <c:showPercent val="0"/>
              <c:showBubbleSize val="0"/>
            </c:dLbl>
            <c:dLbl>
              <c:idx val="71"/>
              <c:layout>
                <c:manualLayout>
                  <c:x val="0"/>
                  <c:y val="3.1154431124993866E-2"/>
                </c:manualLayout>
              </c:layout>
              <c:tx>
                <c:rich>
                  <a:bodyPr/>
                  <a:lstStyle/>
                  <a:p>
                    <a:r>
                      <a:rPr lang="en-US" altLang="en-US"/>
                      <a:t>-12.58</a:t>
                    </a:r>
                  </a:p>
                </c:rich>
              </c:tx>
              <c:showLegendKey val="0"/>
              <c:showVal val="1"/>
              <c:showCatName val="0"/>
              <c:showSerName val="0"/>
              <c:showPercent val="0"/>
              <c:showBubbleSize val="0"/>
            </c:dLbl>
            <c:dLbl>
              <c:idx val="72"/>
              <c:layout>
                <c:manualLayout>
                  <c:x val="0"/>
                  <c:y val="7.2430776989653153E-2"/>
                </c:manualLayout>
              </c:layout>
              <c:tx>
                <c:rich>
                  <a:bodyPr/>
                  <a:lstStyle/>
                  <a:p>
                    <a:r>
                      <a:rPr lang="en-US" altLang="en-US">
                        <a:latin typeface="Times New Roman" panose="02020603050405020304" pitchFamily="18" charset="0"/>
                        <a:cs typeface="Times New Roman" panose="02020603050405020304" pitchFamily="18" charset="0"/>
                      </a:rPr>
                      <a:t>-0.39</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物價圖!$B$96:$C$159</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物價圖!$E$96:$E$159</c:f>
              <c:numCache>
                <c:formatCode>General</c:formatCode>
                <c:ptCount val="64"/>
                <c:pt idx="0">
                  <c:v>8.84</c:v>
                </c:pt>
                <c:pt idx="1">
                  <c:v>8.16</c:v>
                </c:pt>
                <c:pt idx="2">
                  <c:v>9</c:v>
                </c:pt>
                <c:pt idx="3">
                  <c:v>12.91</c:v>
                </c:pt>
                <c:pt idx="4">
                  <c:v>11.06</c:v>
                </c:pt>
                <c:pt idx="5">
                  <c:v>7.19</c:v>
                </c:pt>
                <c:pt idx="6">
                  <c:v>6.37</c:v>
                </c:pt>
                <c:pt idx="7">
                  <c:v>4.58</c:v>
                </c:pt>
                <c:pt idx="8">
                  <c:v>5.8</c:v>
                </c:pt>
                <c:pt idx="9">
                  <c:v>5.0999999999999996</c:v>
                </c:pt>
                <c:pt idx="10">
                  <c:v>2.81</c:v>
                </c:pt>
                <c:pt idx="11">
                  <c:v>3.77</c:v>
                </c:pt>
                <c:pt idx="12">
                  <c:v>4.0199999999999996</c:v>
                </c:pt>
                <c:pt idx="13">
                  <c:v>7.01</c:v>
                </c:pt>
                <c:pt idx="14">
                  <c:v>9.35</c:v>
                </c:pt>
                <c:pt idx="15">
                  <c:v>7.84</c:v>
                </c:pt>
                <c:pt idx="16">
                  <c:v>6.8</c:v>
                </c:pt>
                <c:pt idx="17">
                  <c:v>7.54</c:v>
                </c:pt>
                <c:pt idx="18">
                  <c:v>7.41</c:v>
                </c:pt>
                <c:pt idx="19">
                  <c:v>6.92</c:v>
                </c:pt>
                <c:pt idx="20">
                  <c:v>8.0500000000000007</c:v>
                </c:pt>
                <c:pt idx="21">
                  <c:v>9.3800000000000008</c:v>
                </c:pt>
                <c:pt idx="22">
                  <c:v>9.3699999999999992</c:v>
                </c:pt>
                <c:pt idx="23">
                  <c:v>8.01</c:v>
                </c:pt>
                <c:pt idx="24">
                  <c:v>7.68</c:v>
                </c:pt>
                <c:pt idx="25">
                  <c:v>4.2300000000000004</c:v>
                </c:pt>
                <c:pt idx="26">
                  <c:v>1.53</c:v>
                </c:pt>
                <c:pt idx="27">
                  <c:v>-0.04</c:v>
                </c:pt>
                <c:pt idx="28">
                  <c:v>-0.55000000000000004</c:v>
                </c:pt>
                <c:pt idx="29">
                  <c:v>-2.5499999999999998</c:v>
                </c:pt>
                <c:pt idx="30">
                  <c:v>-2.0699999999999998</c:v>
                </c:pt>
                <c:pt idx="31">
                  <c:v>-1.06</c:v>
                </c:pt>
                <c:pt idx="32">
                  <c:v>-3.21</c:v>
                </c:pt>
                <c:pt idx="33">
                  <c:v>-5.4</c:v>
                </c:pt>
                <c:pt idx="34">
                  <c:v>-6.24</c:v>
                </c:pt>
                <c:pt idx="35">
                  <c:v>-6.7</c:v>
                </c:pt>
                <c:pt idx="36">
                  <c:v>-6.35</c:v>
                </c:pt>
                <c:pt idx="37">
                  <c:v>-4.5999999999999996</c:v>
                </c:pt>
                <c:pt idx="38">
                  <c:v>-5.67</c:v>
                </c:pt>
                <c:pt idx="39">
                  <c:v>-6.15</c:v>
                </c:pt>
                <c:pt idx="40">
                  <c:v>-5.78</c:v>
                </c:pt>
                <c:pt idx="41">
                  <c:v>-3.36</c:v>
                </c:pt>
                <c:pt idx="42">
                  <c:v>-4.13</c:v>
                </c:pt>
                <c:pt idx="43">
                  <c:v>-4.66</c:v>
                </c:pt>
                <c:pt idx="44">
                  <c:v>-4.75</c:v>
                </c:pt>
                <c:pt idx="45">
                  <c:v>-3.92</c:v>
                </c:pt>
                <c:pt idx="46">
                  <c:v>-2.72</c:v>
                </c:pt>
                <c:pt idx="47">
                  <c:v>-0.97</c:v>
                </c:pt>
                <c:pt idx="48">
                  <c:v>-0.42</c:v>
                </c:pt>
                <c:pt idx="49">
                  <c:v>-1.55</c:v>
                </c:pt>
                <c:pt idx="50">
                  <c:v>-1.1299999999999999</c:v>
                </c:pt>
                <c:pt idx="51">
                  <c:v>-0.64</c:v>
                </c:pt>
                <c:pt idx="52">
                  <c:v>1.03</c:v>
                </c:pt>
                <c:pt idx="53">
                  <c:v>0.23</c:v>
                </c:pt>
                <c:pt idx="54">
                  <c:v>-0.01</c:v>
                </c:pt>
                <c:pt idx="55">
                  <c:v>-1.59</c:v>
                </c:pt>
                <c:pt idx="56">
                  <c:v>-2.58</c:v>
                </c:pt>
                <c:pt idx="57">
                  <c:v>-3.32</c:v>
                </c:pt>
                <c:pt idx="58">
                  <c:v>-6.09</c:v>
                </c:pt>
                <c:pt idx="59">
                  <c:v>-8.75</c:v>
                </c:pt>
                <c:pt idx="60">
                  <c:v>-12.98</c:v>
                </c:pt>
                <c:pt idx="61">
                  <c:v>-13.52</c:v>
                </c:pt>
                <c:pt idx="62">
                  <c:v>-13.46</c:v>
                </c:pt>
                <c:pt idx="63">
                  <c:v>-13.69</c:v>
                </c:pt>
              </c:numCache>
            </c:numRef>
          </c:val>
          <c:smooth val="0"/>
        </c:ser>
        <c:ser>
          <c:idx val="2"/>
          <c:order val="2"/>
          <c:tx>
            <c:strRef>
              <c:f>物價圖!$F$19</c:f>
              <c:strCache>
                <c:ptCount val="1"/>
                <c:pt idx="0">
                  <c:v>出口物價(US)</c:v>
                </c:pt>
              </c:strCache>
            </c:strRef>
          </c:tx>
          <c:spPr>
            <a:ln w="38112">
              <a:solidFill>
                <a:srgbClr val="000080"/>
              </a:solidFill>
              <a:prstDash val="sysDash"/>
            </a:ln>
          </c:spPr>
          <c:marker>
            <c:symbol val="circle"/>
            <c:size val="3"/>
            <c:spPr>
              <a:solidFill>
                <a:srgbClr val="000080"/>
              </a:solidFill>
              <a:ln>
                <a:solidFill>
                  <a:srgbClr val="000080"/>
                </a:solidFill>
                <a:prstDash val="solid"/>
              </a:ln>
            </c:spPr>
          </c:marker>
          <c:dLbls>
            <c:dLbl>
              <c:idx val="60"/>
              <c:layout>
                <c:manualLayout>
                  <c:x val="2.7912191142254673E-2"/>
                  <c:y val="2.5953637599343628E-2"/>
                </c:manualLayout>
              </c:layout>
              <c:tx>
                <c:rich>
                  <a:bodyPr/>
                  <a:lstStyle/>
                  <a:p>
                    <a:r>
                      <a:rPr lang="en-US" altLang="en-US"/>
                      <a:t>-7.</a:t>
                    </a:r>
                    <a:r>
                      <a:rPr lang="en-US" altLang="zh-TW"/>
                      <a:t>74</a:t>
                    </a:r>
                    <a:endParaRPr lang="en-US" altLang="en-US"/>
                  </a:p>
                </c:rich>
              </c:tx>
              <c:showLegendKey val="0"/>
              <c:showVal val="1"/>
              <c:showCatName val="0"/>
              <c:showSerName val="0"/>
              <c:showPercent val="0"/>
              <c:showBubbleSize val="0"/>
            </c:dLbl>
            <c:dLbl>
              <c:idx val="71"/>
              <c:layout>
                <c:manualLayout>
                  <c:x val="0"/>
                  <c:y val="1.5577215562496933E-2"/>
                </c:manualLayout>
              </c:layout>
              <c:tx>
                <c:rich>
                  <a:bodyPr/>
                  <a:lstStyle/>
                  <a:p>
                    <a:r>
                      <a:rPr lang="en-US" altLang="en-US" sz="1050" b="1">
                        <a:latin typeface="Times New Roman" panose="02020603050405020304" pitchFamily="18" charset="0"/>
                        <a:cs typeface="Times New Roman" panose="02020603050405020304" pitchFamily="18" charset="0"/>
                      </a:rPr>
                      <a:t>-7.42</a:t>
                    </a:r>
                    <a:endParaRPr lang="en-US" altLang="en-US"/>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物價圖!$B$96:$C$159</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物價圖!$F$96:$F$159</c:f>
              <c:numCache>
                <c:formatCode>General</c:formatCode>
                <c:ptCount val="64"/>
                <c:pt idx="0">
                  <c:v>6.7</c:v>
                </c:pt>
                <c:pt idx="1">
                  <c:v>8.01</c:v>
                </c:pt>
                <c:pt idx="2">
                  <c:v>10.24</c:v>
                </c:pt>
                <c:pt idx="3">
                  <c:v>10.199999999999999</c:v>
                </c:pt>
                <c:pt idx="4">
                  <c:v>9.59</c:v>
                </c:pt>
                <c:pt idx="5">
                  <c:v>7.11</c:v>
                </c:pt>
                <c:pt idx="6">
                  <c:v>6.01</c:v>
                </c:pt>
                <c:pt idx="7">
                  <c:v>4.41</c:v>
                </c:pt>
                <c:pt idx="8">
                  <c:v>3.93</c:v>
                </c:pt>
                <c:pt idx="9">
                  <c:v>5.39</c:v>
                </c:pt>
                <c:pt idx="10">
                  <c:v>5.64</c:v>
                </c:pt>
                <c:pt idx="11">
                  <c:v>6.05</c:v>
                </c:pt>
                <c:pt idx="12">
                  <c:v>6.37</c:v>
                </c:pt>
                <c:pt idx="13">
                  <c:v>7.9</c:v>
                </c:pt>
                <c:pt idx="14">
                  <c:v>8.61</c:v>
                </c:pt>
                <c:pt idx="15">
                  <c:v>8.92</c:v>
                </c:pt>
                <c:pt idx="16">
                  <c:v>8.98</c:v>
                </c:pt>
                <c:pt idx="17">
                  <c:v>9.52</c:v>
                </c:pt>
                <c:pt idx="18">
                  <c:v>9.89</c:v>
                </c:pt>
                <c:pt idx="19">
                  <c:v>9.3699999999999992</c:v>
                </c:pt>
                <c:pt idx="20">
                  <c:v>8.24</c:v>
                </c:pt>
                <c:pt idx="21">
                  <c:v>5.55</c:v>
                </c:pt>
                <c:pt idx="22">
                  <c:v>3.52</c:v>
                </c:pt>
                <c:pt idx="23">
                  <c:v>1.81</c:v>
                </c:pt>
                <c:pt idx="24">
                  <c:v>1.29</c:v>
                </c:pt>
                <c:pt idx="25">
                  <c:v>0.5</c:v>
                </c:pt>
                <c:pt idx="26">
                  <c:v>-0.84</c:v>
                </c:pt>
                <c:pt idx="27">
                  <c:v>-2.0099999999999998</c:v>
                </c:pt>
                <c:pt idx="28">
                  <c:v>-3.11</c:v>
                </c:pt>
                <c:pt idx="29">
                  <c:v>-4.53</c:v>
                </c:pt>
                <c:pt idx="30">
                  <c:v>-5.04</c:v>
                </c:pt>
                <c:pt idx="31">
                  <c:v>-4.55</c:v>
                </c:pt>
                <c:pt idx="32">
                  <c:v>-3.11</c:v>
                </c:pt>
                <c:pt idx="33">
                  <c:v>-2.23</c:v>
                </c:pt>
                <c:pt idx="34">
                  <c:v>-2.0099999999999998</c:v>
                </c:pt>
                <c:pt idx="35">
                  <c:v>-1.1200000000000001</c:v>
                </c:pt>
                <c:pt idx="36">
                  <c:v>-2.0099999999999998</c:v>
                </c:pt>
                <c:pt idx="37">
                  <c:v>-2.81</c:v>
                </c:pt>
                <c:pt idx="38">
                  <c:v>-3.45</c:v>
                </c:pt>
                <c:pt idx="39">
                  <c:v>-4</c:v>
                </c:pt>
                <c:pt idx="40">
                  <c:v>-3.63</c:v>
                </c:pt>
                <c:pt idx="41">
                  <c:v>-1.65</c:v>
                </c:pt>
                <c:pt idx="42">
                  <c:v>-1.41</c:v>
                </c:pt>
                <c:pt idx="43">
                  <c:v>-2.04</c:v>
                </c:pt>
                <c:pt idx="44">
                  <c:v>-2.36</c:v>
                </c:pt>
                <c:pt idx="45">
                  <c:v>-2.0299999999999998</c:v>
                </c:pt>
                <c:pt idx="46">
                  <c:v>-1.76</c:v>
                </c:pt>
                <c:pt idx="47">
                  <c:v>-1.95</c:v>
                </c:pt>
                <c:pt idx="48">
                  <c:v>-1.88</c:v>
                </c:pt>
                <c:pt idx="49">
                  <c:v>-1.92</c:v>
                </c:pt>
                <c:pt idx="50">
                  <c:v>-2</c:v>
                </c:pt>
                <c:pt idx="51">
                  <c:v>-1.62</c:v>
                </c:pt>
                <c:pt idx="52">
                  <c:v>-0.62</c:v>
                </c:pt>
                <c:pt idx="53">
                  <c:v>-0.35</c:v>
                </c:pt>
                <c:pt idx="54">
                  <c:v>0.1</c:v>
                </c:pt>
                <c:pt idx="55">
                  <c:v>-0.26</c:v>
                </c:pt>
                <c:pt idx="56">
                  <c:v>-1.57</c:v>
                </c:pt>
                <c:pt idx="57">
                  <c:v>-3.01</c:v>
                </c:pt>
                <c:pt idx="58">
                  <c:v>-3.93</c:v>
                </c:pt>
                <c:pt idx="59">
                  <c:v>-5.79</c:v>
                </c:pt>
                <c:pt idx="60">
                  <c:v>-7.68</c:v>
                </c:pt>
                <c:pt idx="61">
                  <c:v>-8.2799999999999994</c:v>
                </c:pt>
                <c:pt idx="62">
                  <c:v>-7.87</c:v>
                </c:pt>
                <c:pt idx="63">
                  <c:v>-7.74</c:v>
                </c:pt>
              </c:numCache>
            </c:numRef>
          </c:val>
          <c:smooth val="0"/>
        </c:ser>
        <c:ser>
          <c:idx val="3"/>
          <c:order val="3"/>
          <c:tx>
            <c:strRef>
              <c:f>物價圖!$G$19</c:f>
              <c:strCache>
                <c:ptCount val="1"/>
                <c:pt idx="0">
                  <c:v>出口物價(NT)</c:v>
                </c:pt>
              </c:strCache>
            </c:strRef>
          </c:tx>
          <c:spPr>
            <a:ln w="25408">
              <a:solidFill>
                <a:srgbClr val="800000"/>
              </a:solidFill>
              <a:prstDash val="sysDash"/>
            </a:ln>
          </c:spPr>
          <c:marker>
            <c:symbol val="diamond"/>
            <c:size val="3"/>
            <c:spPr>
              <a:solidFill>
                <a:srgbClr val="800000"/>
              </a:solidFill>
              <a:ln>
                <a:solidFill>
                  <a:srgbClr val="800000"/>
                </a:solidFill>
                <a:prstDash val="solid"/>
              </a:ln>
            </c:spPr>
          </c:marker>
          <c:dLbls>
            <c:dLbl>
              <c:idx val="60"/>
              <c:layout>
                <c:manualLayout>
                  <c:x val="2.7912191142254673E-2"/>
                  <c:y val="5.2056673320189564E-3"/>
                </c:manualLayout>
              </c:layout>
              <c:tx>
                <c:rich>
                  <a:bodyPr/>
                  <a:lstStyle/>
                  <a:p>
                    <a:r>
                      <a:rPr lang="en-US" altLang="zh-TW"/>
                      <a:t>-5.15</a:t>
                    </a:r>
                    <a:endParaRPr lang="en-US" altLang="en-US"/>
                  </a:p>
                </c:rich>
              </c:tx>
              <c:showLegendKey val="0"/>
              <c:showVal val="1"/>
              <c:showCatName val="0"/>
              <c:showSerName val="0"/>
              <c:showPercent val="0"/>
              <c:showBubbleSize val="0"/>
            </c:dLbl>
            <c:dLbl>
              <c:idx val="71"/>
              <c:layout>
                <c:manualLayout>
                  <c:x val="0"/>
                  <c:y val="1.0384810374997956E-2"/>
                </c:manualLayout>
              </c:layout>
              <c:tx>
                <c:rich>
                  <a:bodyPr/>
                  <a:lstStyle/>
                  <a:p>
                    <a:r>
                      <a:rPr lang="en-US" altLang="en-US"/>
                      <a:t>-2.67</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物價圖!$B$96:$C$159</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物價圖!$G$96:$G$159</c:f>
              <c:numCache>
                <c:formatCode>General</c:formatCode>
                <c:ptCount val="64"/>
                <c:pt idx="0">
                  <c:v>2.2799999999999998</c:v>
                </c:pt>
                <c:pt idx="1">
                  <c:v>1.0900000000000001</c:v>
                </c:pt>
                <c:pt idx="2">
                  <c:v>2.31</c:v>
                </c:pt>
                <c:pt idx="3">
                  <c:v>2.99</c:v>
                </c:pt>
                <c:pt idx="4">
                  <c:v>6.19</c:v>
                </c:pt>
                <c:pt idx="5">
                  <c:v>5.29</c:v>
                </c:pt>
                <c:pt idx="6">
                  <c:v>3.5</c:v>
                </c:pt>
                <c:pt idx="7">
                  <c:v>1.7</c:v>
                </c:pt>
                <c:pt idx="8">
                  <c:v>1.21</c:v>
                </c:pt>
                <c:pt idx="9">
                  <c:v>0.6</c:v>
                </c:pt>
                <c:pt idx="10">
                  <c:v>-0.87</c:v>
                </c:pt>
                <c:pt idx="11">
                  <c:v>-1.72</c:v>
                </c:pt>
                <c:pt idx="12">
                  <c:v>-2.89</c:v>
                </c:pt>
                <c:pt idx="13">
                  <c:v>-1.36</c:v>
                </c:pt>
                <c:pt idx="14">
                  <c:v>0.56999999999999995</c:v>
                </c:pt>
                <c:pt idx="15">
                  <c:v>0.11</c:v>
                </c:pt>
                <c:pt idx="16">
                  <c:v>-1.78</c:v>
                </c:pt>
                <c:pt idx="17">
                  <c:v>-2.0499999999999998</c:v>
                </c:pt>
                <c:pt idx="18">
                  <c:v>-1.44</c:v>
                </c:pt>
                <c:pt idx="19">
                  <c:v>-0.76</c:v>
                </c:pt>
                <c:pt idx="20">
                  <c:v>1.26</c:v>
                </c:pt>
                <c:pt idx="21">
                  <c:v>3.56</c:v>
                </c:pt>
                <c:pt idx="22">
                  <c:v>3.14</c:v>
                </c:pt>
                <c:pt idx="23">
                  <c:v>2.97</c:v>
                </c:pt>
                <c:pt idx="24">
                  <c:v>4.54</c:v>
                </c:pt>
                <c:pt idx="25">
                  <c:v>1.26</c:v>
                </c:pt>
                <c:pt idx="26">
                  <c:v>-0.79</c:v>
                </c:pt>
                <c:pt idx="27">
                  <c:v>-0.28000000000000003</c:v>
                </c:pt>
                <c:pt idx="28">
                  <c:v>-0.6</c:v>
                </c:pt>
                <c:pt idx="29">
                  <c:v>-0.89</c:v>
                </c:pt>
                <c:pt idx="30">
                  <c:v>-1.22</c:v>
                </c:pt>
                <c:pt idx="31">
                  <c:v>-1.26</c:v>
                </c:pt>
                <c:pt idx="32">
                  <c:v>-3.68</c:v>
                </c:pt>
                <c:pt idx="33">
                  <c:v>-5.47</c:v>
                </c:pt>
                <c:pt idx="34">
                  <c:v>-5.56</c:v>
                </c:pt>
                <c:pt idx="35">
                  <c:v>-5.04</c:v>
                </c:pt>
                <c:pt idx="36">
                  <c:v>-5.13</c:v>
                </c:pt>
                <c:pt idx="37">
                  <c:v>-2.63</c:v>
                </c:pt>
                <c:pt idx="38">
                  <c:v>-2.74</c:v>
                </c:pt>
                <c:pt idx="39">
                  <c:v>-2.83</c:v>
                </c:pt>
                <c:pt idx="40">
                  <c:v>-2.66</c:v>
                </c:pt>
                <c:pt idx="41">
                  <c:v>-1.55</c:v>
                </c:pt>
                <c:pt idx="42">
                  <c:v>-1.44</c:v>
                </c:pt>
                <c:pt idx="43">
                  <c:v>-2.0299999999999998</c:v>
                </c:pt>
                <c:pt idx="44">
                  <c:v>-1.86</c:v>
                </c:pt>
                <c:pt idx="45">
                  <c:v>-1.53</c:v>
                </c:pt>
                <c:pt idx="46">
                  <c:v>-0.45</c:v>
                </c:pt>
                <c:pt idx="47">
                  <c:v>0.31</c:v>
                </c:pt>
                <c:pt idx="48">
                  <c:v>1.51</c:v>
                </c:pt>
                <c:pt idx="49">
                  <c:v>0.45</c:v>
                </c:pt>
                <c:pt idx="50">
                  <c:v>0.14000000000000001</c:v>
                </c:pt>
                <c:pt idx="51">
                  <c:v>-0.4</c:v>
                </c:pt>
                <c:pt idx="52">
                  <c:v>0.59</c:v>
                </c:pt>
                <c:pt idx="53">
                  <c:v>-0.22</c:v>
                </c:pt>
                <c:pt idx="54">
                  <c:v>-0.01</c:v>
                </c:pt>
                <c:pt idx="55">
                  <c:v>-0.21</c:v>
                </c:pt>
                <c:pt idx="56">
                  <c:v>-0.15</c:v>
                </c:pt>
                <c:pt idx="57">
                  <c:v>0.25</c:v>
                </c:pt>
                <c:pt idx="58">
                  <c:v>-0.04</c:v>
                </c:pt>
                <c:pt idx="59">
                  <c:v>-0.55000000000000004</c:v>
                </c:pt>
                <c:pt idx="60">
                  <c:v>-2.95</c:v>
                </c:pt>
                <c:pt idx="61">
                  <c:v>-4.71</c:v>
                </c:pt>
                <c:pt idx="62">
                  <c:v>-4.66</c:v>
                </c:pt>
                <c:pt idx="63">
                  <c:v>-5.15</c:v>
                </c:pt>
              </c:numCache>
            </c:numRef>
          </c:val>
          <c:smooth val="0"/>
        </c:ser>
        <c:dLbls>
          <c:showLegendKey val="0"/>
          <c:showVal val="0"/>
          <c:showCatName val="0"/>
          <c:showSerName val="0"/>
          <c:showPercent val="0"/>
          <c:showBubbleSize val="0"/>
        </c:dLbls>
        <c:marker val="1"/>
        <c:smooth val="0"/>
        <c:axId val="190861312"/>
        <c:axId val="190862848"/>
      </c:lineChart>
      <c:catAx>
        <c:axId val="190861312"/>
        <c:scaling>
          <c:orientation val="minMax"/>
        </c:scaling>
        <c:delete val="0"/>
        <c:axPos val="b"/>
        <c:numFmt formatCode="General" sourceLinked="1"/>
        <c:majorTickMark val="in"/>
        <c:minorTickMark val="none"/>
        <c:tickLblPos val="low"/>
        <c:spPr>
          <a:ln w="3176">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862848"/>
        <c:crosses val="autoZero"/>
        <c:auto val="1"/>
        <c:lblAlgn val="ctr"/>
        <c:lblOffset val="0"/>
        <c:tickLblSkip val="3"/>
        <c:tickMarkSkip val="1"/>
        <c:noMultiLvlLbl val="1"/>
      </c:catAx>
      <c:valAx>
        <c:axId val="190862848"/>
        <c:scaling>
          <c:orientation val="minMax"/>
          <c:max val="25"/>
          <c:min val="-25"/>
        </c:scaling>
        <c:delete val="0"/>
        <c:axPos val="l"/>
        <c:numFmt formatCode="0_ " sourceLinked="0"/>
        <c:majorTickMark val="in"/>
        <c:minorTickMark val="none"/>
        <c:tickLblPos val="nextTo"/>
        <c:spPr>
          <a:ln w="3176">
            <a:solidFill>
              <a:srgbClr val="000000"/>
            </a:solidFill>
            <a:prstDash val="solid"/>
          </a:ln>
        </c:spPr>
        <c:txPr>
          <a:bodyPr rot="0" vert="horz"/>
          <a:lstStyle/>
          <a:p>
            <a:pPr>
              <a:defRPr sz="800" b="0" i="0" u="none" strike="noStrike" baseline="0">
                <a:solidFill>
                  <a:srgbClr val="000000"/>
                </a:solidFill>
                <a:latin typeface="Times New Roman"/>
                <a:ea typeface="Times New Roman"/>
                <a:cs typeface="Times New Roman"/>
              </a:defRPr>
            </a:pPr>
            <a:endParaRPr lang="zh-TW"/>
          </a:p>
        </c:txPr>
        <c:crossAx val="190861312"/>
        <c:crosses val="autoZero"/>
        <c:crossBetween val="between"/>
        <c:majorUnit val="5"/>
        <c:minorUnit val="1"/>
      </c:valAx>
      <c:spPr>
        <a:noFill/>
        <a:ln w="25408">
          <a:noFill/>
        </a:ln>
      </c:spPr>
    </c:plotArea>
    <c:legend>
      <c:legendPos val="r"/>
      <c:legendEntry>
        <c:idx val="0"/>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1"/>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2"/>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3"/>
        <c:txPr>
          <a:bodyPr/>
          <a:lstStyle/>
          <a:p>
            <a:pPr>
              <a:defRPr sz="825" b="0" i="0" u="none" strike="noStrike" baseline="0">
                <a:solidFill>
                  <a:srgbClr val="000000"/>
                </a:solidFill>
                <a:latin typeface="Times New Roman"/>
                <a:ea typeface="Times New Roman"/>
                <a:cs typeface="Times New Roman"/>
              </a:defRPr>
            </a:pPr>
            <a:endParaRPr lang="zh-TW"/>
          </a:p>
        </c:txPr>
      </c:legendEntry>
      <c:layout>
        <c:manualLayout>
          <c:xMode val="edge"/>
          <c:yMode val="edge"/>
          <c:x val="0.47342810515636247"/>
          <c:y val="3.5792828426131815E-3"/>
          <c:w val="0.47495682210708118"/>
          <c:h val="0.15441176470588236"/>
        </c:manualLayout>
      </c:layout>
      <c:overlay val="0"/>
      <c:spPr>
        <a:noFill/>
        <a:ln w="25408">
          <a:noFill/>
        </a:ln>
      </c:spPr>
      <c:txPr>
        <a:bodyPr/>
        <a:lstStyle/>
        <a:p>
          <a:pPr>
            <a:defRPr sz="825" b="0" i="0" u="none" strike="noStrike" baseline="0">
              <a:solidFill>
                <a:srgbClr val="000000"/>
              </a:solidFill>
              <a:latin typeface="Times New Roman"/>
              <a:ea typeface="Times New Roman"/>
              <a:cs typeface="Times New Roman"/>
            </a:defRPr>
          </a:pPr>
          <a:endParaRPr lang="zh-TW"/>
        </a:p>
      </c:txPr>
    </c:legend>
    <c:plotVisOnly val="1"/>
    <c:dispBlanksAs val="gap"/>
    <c:showDLblsOverMax val="0"/>
  </c:chart>
  <c:spPr>
    <a:noFill/>
    <a:ln>
      <a:noFill/>
    </a:ln>
  </c:spPr>
  <c:txPr>
    <a:bodyPr/>
    <a:lstStyle/>
    <a:p>
      <a:pPr>
        <a:defRPr sz="1726"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405881957063054E-2"/>
          <c:y val="0.12732427433912533"/>
          <c:w val="0.89843896504968757"/>
          <c:h val="0.73305470678105533"/>
        </c:manualLayout>
      </c:layout>
      <c:lineChart>
        <c:grouping val="standard"/>
        <c:varyColors val="0"/>
        <c:ser>
          <c:idx val="2"/>
          <c:order val="0"/>
          <c:tx>
            <c:strRef>
              <c:f>原油價格!$C$7</c:f>
              <c:strCache>
                <c:ptCount val="1"/>
                <c:pt idx="0">
                  <c:v>西德州</c:v>
                </c:pt>
              </c:strCache>
            </c:strRef>
          </c:tx>
          <c:spPr>
            <a:ln w="12686">
              <a:solidFill>
                <a:srgbClr val="FF0000"/>
              </a:solidFill>
              <a:prstDash val="solid"/>
            </a:ln>
          </c:spPr>
          <c:marker>
            <c:symbol val="triangle"/>
            <c:size val="4"/>
            <c:spPr>
              <a:solidFill>
                <a:srgbClr val="FFFF00"/>
              </a:solidFill>
              <a:ln>
                <a:solidFill>
                  <a:srgbClr val="FF0000"/>
                </a:solidFill>
                <a:prstDash val="solid"/>
              </a:ln>
            </c:spPr>
          </c:marker>
          <c:cat>
            <c:multiLvlStrRef>
              <c:f>原油價格!$A$80:$B$143</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原油價格!$C$80:$C$143</c:f>
              <c:numCache>
                <c:formatCode>General</c:formatCode>
                <c:ptCount val="64"/>
                <c:pt idx="0">
                  <c:v>78.325999999999993</c:v>
                </c:pt>
                <c:pt idx="1">
                  <c:v>76.191999999999993</c:v>
                </c:pt>
                <c:pt idx="2">
                  <c:v>81.25</c:v>
                </c:pt>
                <c:pt idx="3">
                  <c:v>84.5</c:v>
                </c:pt>
                <c:pt idx="4">
                  <c:v>73.739999999999995</c:v>
                </c:pt>
                <c:pt idx="5">
                  <c:v>75.290000000000006</c:v>
                </c:pt>
                <c:pt idx="6">
                  <c:v>76.099999999999994</c:v>
                </c:pt>
                <c:pt idx="7">
                  <c:v>76.61</c:v>
                </c:pt>
                <c:pt idx="8">
                  <c:v>75.209999999999994</c:v>
                </c:pt>
                <c:pt idx="9">
                  <c:v>81.94</c:v>
                </c:pt>
                <c:pt idx="10">
                  <c:v>84.29</c:v>
                </c:pt>
                <c:pt idx="11">
                  <c:v>89.21</c:v>
                </c:pt>
                <c:pt idx="12">
                  <c:v>89.64</c:v>
                </c:pt>
                <c:pt idx="13">
                  <c:v>89.45</c:v>
                </c:pt>
                <c:pt idx="14">
                  <c:v>102.97</c:v>
                </c:pt>
                <c:pt idx="15">
                  <c:v>110.06</c:v>
                </c:pt>
                <c:pt idx="16">
                  <c:v>101.26</c:v>
                </c:pt>
                <c:pt idx="17">
                  <c:v>96.26</c:v>
                </c:pt>
                <c:pt idx="18">
                  <c:v>97.19</c:v>
                </c:pt>
                <c:pt idx="19">
                  <c:v>86.32</c:v>
                </c:pt>
                <c:pt idx="20">
                  <c:v>85.63</c:v>
                </c:pt>
                <c:pt idx="21">
                  <c:v>86.51</c:v>
                </c:pt>
                <c:pt idx="22">
                  <c:v>97.22</c:v>
                </c:pt>
                <c:pt idx="23">
                  <c:v>98.77</c:v>
                </c:pt>
                <c:pt idx="24">
                  <c:v>100.26</c:v>
                </c:pt>
                <c:pt idx="25">
                  <c:v>102.33</c:v>
                </c:pt>
                <c:pt idx="26">
                  <c:v>106.3</c:v>
                </c:pt>
                <c:pt idx="27">
                  <c:v>103.36</c:v>
                </c:pt>
                <c:pt idx="28">
                  <c:v>94.53</c:v>
                </c:pt>
                <c:pt idx="29">
                  <c:v>82.37</c:v>
                </c:pt>
                <c:pt idx="30">
                  <c:v>87.87</c:v>
                </c:pt>
                <c:pt idx="31">
                  <c:v>94.12</c:v>
                </c:pt>
                <c:pt idx="32">
                  <c:v>94.66</c:v>
                </c:pt>
                <c:pt idx="33">
                  <c:v>89.53</c:v>
                </c:pt>
                <c:pt idx="34">
                  <c:v>86.62</c:v>
                </c:pt>
                <c:pt idx="35">
                  <c:v>88.19</c:v>
                </c:pt>
                <c:pt idx="36">
                  <c:v>94.81</c:v>
                </c:pt>
                <c:pt idx="37">
                  <c:v>95.33</c:v>
                </c:pt>
                <c:pt idx="38">
                  <c:v>92.92</c:v>
                </c:pt>
                <c:pt idx="39">
                  <c:v>92.02</c:v>
                </c:pt>
                <c:pt idx="40">
                  <c:v>94.69</c:v>
                </c:pt>
                <c:pt idx="41">
                  <c:v>95.79</c:v>
                </c:pt>
                <c:pt idx="42">
                  <c:v>104.54</c:v>
                </c:pt>
                <c:pt idx="43">
                  <c:v>106.55</c:v>
                </c:pt>
                <c:pt idx="44">
                  <c:v>106.3</c:v>
                </c:pt>
                <c:pt idx="45">
                  <c:v>100.54</c:v>
                </c:pt>
                <c:pt idx="46">
                  <c:v>93.9</c:v>
                </c:pt>
                <c:pt idx="47">
                  <c:v>97.91</c:v>
                </c:pt>
                <c:pt idx="48">
                  <c:v>94.87</c:v>
                </c:pt>
                <c:pt idx="49">
                  <c:v>100.72</c:v>
                </c:pt>
                <c:pt idx="50">
                  <c:v>100.53</c:v>
                </c:pt>
                <c:pt idx="51">
                  <c:v>102.14</c:v>
                </c:pt>
                <c:pt idx="52">
                  <c:v>101.97</c:v>
                </c:pt>
                <c:pt idx="53">
                  <c:v>105.2</c:v>
                </c:pt>
                <c:pt idx="54">
                  <c:v>102.7</c:v>
                </c:pt>
                <c:pt idx="55">
                  <c:v>96.36</c:v>
                </c:pt>
                <c:pt idx="56">
                  <c:v>93.28</c:v>
                </c:pt>
                <c:pt idx="57">
                  <c:v>84.43</c:v>
                </c:pt>
                <c:pt idx="58">
                  <c:v>76.16</c:v>
                </c:pt>
                <c:pt idx="59">
                  <c:v>59.19</c:v>
                </c:pt>
                <c:pt idx="60">
                  <c:v>47.67</c:v>
                </c:pt>
                <c:pt idx="61">
                  <c:v>50.83</c:v>
                </c:pt>
                <c:pt idx="62">
                  <c:v>47.85</c:v>
                </c:pt>
                <c:pt idx="63">
                  <c:v>54.44</c:v>
                </c:pt>
              </c:numCache>
            </c:numRef>
          </c:val>
          <c:smooth val="0"/>
        </c:ser>
        <c:ser>
          <c:idx val="3"/>
          <c:order val="1"/>
          <c:tx>
            <c:strRef>
              <c:f>原油價格!$D$7</c:f>
              <c:strCache>
                <c:ptCount val="1"/>
                <c:pt idx="0">
                  <c:v>杜拜</c:v>
                </c:pt>
              </c:strCache>
            </c:strRef>
          </c:tx>
          <c:spPr>
            <a:ln w="12686">
              <a:solidFill>
                <a:srgbClr val="00FFFF"/>
              </a:solidFill>
              <a:prstDash val="solid"/>
            </a:ln>
          </c:spPr>
          <c:marker>
            <c:symbol val="x"/>
            <c:size val="4"/>
            <c:spPr>
              <a:noFill/>
              <a:ln>
                <a:solidFill>
                  <a:srgbClr val="00FFFF"/>
                </a:solidFill>
                <a:prstDash val="solid"/>
              </a:ln>
            </c:spPr>
          </c:marker>
          <c:cat>
            <c:multiLvlStrRef>
              <c:f>原油價格!$A$80:$B$143</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原油價格!$D$80:$D$143</c:f>
              <c:numCache>
                <c:formatCode>General</c:formatCode>
                <c:ptCount val="64"/>
                <c:pt idx="0">
                  <c:v>76.745999999999995</c:v>
                </c:pt>
                <c:pt idx="1">
                  <c:v>73.516999999999996</c:v>
                </c:pt>
                <c:pt idx="2">
                  <c:v>77.349999999999994</c:v>
                </c:pt>
                <c:pt idx="3">
                  <c:v>83.65</c:v>
                </c:pt>
                <c:pt idx="4">
                  <c:v>76.55</c:v>
                </c:pt>
                <c:pt idx="5">
                  <c:v>74.05</c:v>
                </c:pt>
                <c:pt idx="6">
                  <c:v>72.61</c:v>
                </c:pt>
                <c:pt idx="7">
                  <c:v>74.37</c:v>
                </c:pt>
                <c:pt idx="8">
                  <c:v>75.209999999999994</c:v>
                </c:pt>
                <c:pt idx="9">
                  <c:v>80.28</c:v>
                </c:pt>
                <c:pt idx="10">
                  <c:v>83.65</c:v>
                </c:pt>
                <c:pt idx="11">
                  <c:v>89.05</c:v>
                </c:pt>
                <c:pt idx="12">
                  <c:v>92.37</c:v>
                </c:pt>
                <c:pt idx="13">
                  <c:v>99.83</c:v>
                </c:pt>
                <c:pt idx="14">
                  <c:v>108.45</c:v>
                </c:pt>
                <c:pt idx="15">
                  <c:v>115.83</c:v>
                </c:pt>
                <c:pt idx="16">
                  <c:v>108.42</c:v>
                </c:pt>
                <c:pt idx="17">
                  <c:v>107.51</c:v>
                </c:pt>
                <c:pt idx="18">
                  <c:v>110.15</c:v>
                </c:pt>
                <c:pt idx="19">
                  <c:v>104.94</c:v>
                </c:pt>
                <c:pt idx="20">
                  <c:v>105.75</c:v>
                </c:pt>
                <c:pt idx="21">
                  <c:v>103.7</c:v>
                </c:pt>
                <c:pt idx="22">
                  <c:v>107.87</c:v>
                </c:pt>
                <c:pt idx="23">
                  <c:v>105.51</c:v>
                </c:pt>
                <c:pt idx="24">
                  <c:v>109.3</c:v>
                </c:pt>
                <c:pt idx="25">
                  <c:v>116.18</c:v>
                </c:pt>
                <c:pt idx="26">
                  <c:v>122.49</c:v>
                </c:pt>
                <c:pt idx="27">
                  <c:v>117.5</c:v>
                </c:pt>
                <c:pt idx="28">
                  <c:v>107.72</c:v>
                </c:pt>
                <c:pt idx="29">
                  <c:v>94.38</c:v>
                </c:pt>
                <c:pt idx="30">
                  <c:v>99.09</c:v>
                </c:pt>
                <c:pt idx="31">
                  <c:v>108.61</c:v>
                </c:pt>
                <c:pt idx="32">
                  <c:v>111.19</c:v>
                </c:pt>
                <c:pt idx="33">
                  <c:v>108.87</c:v>
                </c:pt>
                <c:pt idx="34">
                  <c:v>107.27</c:v>
                </c:pt>
                <c:pt idx="35">
                  <c:v>106.35</c:v>
                </c:pt>
                <c:pt idx="36">
                  <c:v>107.93</c:v>
                </c:pt>
                <c:pt idx="37">
                  <c:v>111.25</c:v>
                </c:pt>
                <c:pt idx="38">
                  <c:v>105.56</c:v>
                </c:pt>
                <c:pt idx="39">
                  <c:v>101.69</c:v>
                </c:pt>
                <c:pt idx="40">
                  <c:v>100.31</c:v>
                </c:pt>
                <c:pt idx="41">
                  <c:v>100.17</c:v>
                </c:pt>
                <c:pt idx="42">
                  <c:v>103.55</c:v>
                </c:pt>
                <c:pt idx="43">
                  <c:v>106.77</c:v>
                </c:pt>
                <c:pt idx="44">
                  <c:v>107.94</c:v>
                </c:pt>
                <c:pt idx="45">
                  <c:v>105.68</c:v>
                </c:pt>
                <c:pt idx="46">
                  <c:v>105.49</c:v>
                </c:pt>
                <c:pt idx="47">
                  <c:v>107.51</c:v>
                </c:pt>
                <c:pt idx="48">
                  <c:v>103.99</c:v>
                </c:pt>
                <c:pt idx="49">
                  <c:v>104.98</c:v>
                </c:pt>
                <c:pt idx="50">
                  <c:v>104.36</c:v>
                </c:pt>
                <c:pt idx="51">
                  <c:v>104.69</c:v>
                </c:pt>
                <c:pt idx="52">
                  <c:v>105.52</c:v>
                </c:pt>
                <c:pt idx="53">
                  <c:v>107.93</c:v>
                </c:pt>
                <c:pt idx="54">
                  <c:v>106.09</c:v>
                </c:pt>
                <c:pt idx="55">
                  <c:v>101.94</c:v>
                </c:pt>
                <c:pt idx="56">
                  <c:v>96.64</c:v>
                </c:pt>
                <c:pt idx="57">
                  <c:v>86.71</c:v>
                </c:pt>
                <c:pt idx="58">
                  <c:v>77.09</c:v>
                </c:pt>
                <c:pt idx="59">
                  <c:v>60.1</c:v>
                </c:pt>
                <c:pt idx="60">
                  <c:v>46.13</c:v>
                </c:pt>
                <c:pt idx="61">
                  <c:v>56.05</c:v>
                </c:pt>
                <c:pt idx="62">
                  <c:v>54.69</c:v>
                </c:pt>
                <c:pt idx="63">
                  <c:v>58.8</c:v>
                </c:pt>
              </c:numCache>
            </c:numRef>
          </c:val>
          <c:smooth val="0"/>
        </c:ser>
        <c:ser>
          <c:idx val="0"/>
          <c:order val="2"/>
          <c:tx>
            <c:strRef>
              <c:f>原油價格!$E$7</c:f>
              <c:strCache>
                <c:ptCount val="1"/>
                <c:pt idx="0">
                  <c:v>北海布蘭特</c:v>
                </c:pt>
              </c:strCache>
            </c:strRef>
          </c:tx>
          <c:cat>
            <c:multiLvlStrRef>
              <c:f>原油價格!$A$80:$B$143</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原油價格!$E$80:$E$143</c:f>
              <c:numCache>
                <c:formatCode>General</c:formatCode>
                <c:ptCount val="64"/>
                <c:pt idx="0">
                  <c:v>76.388000000000005</c:v>
                </c:pt>
                <c:pt idx="1">
                  <c:v>73.822000000000003</c:v>
                </c:pt>
                <c:pt idx="2">
                  <c:v>78.95</c:v>
                </c:pt>
                <c:pt idx="3">
                  <c:v>84.81</c:v>
                </c:pt>
                <c:pt idx="4">
                  <c:v>75.680000000000007</c:v>
                </c:pt>
                <c:pt idx="5">
                  <c:v>74.92</c:v>
                </c:pt>
                <c:pt idx="6">
                  <c:v>75.7</c:v>
                </c:pt>
                <c:pt idx="7">
                  <c:v>77.09</c:v>
                </c:pt>
                <c:pt idx="8">
                  <c:v>77.86</c:v>
                </c:pt>
                <c:pt idx="9">
                  <c:v>83.17</c:v>
                </c:pt>
                <c:pt idx="10">
                  <c:v>85.75</c:v>
                </c:pt>
                <c:pt idx="11">
                  <c:v>91.95</c:v>
                </c:pt>
                <c:pt idx="12">
                  <c:v>96.63</c:v>
                </c:pt>
                <c:pt idx="13">
                  <c:v>103.9</c:v>
                </c:pt>
                <c:pt idx="14">
                  <c:v>114.64</c:v>
                </c:pt>
                <c:pt idx="15">
                  <c:v>123.44</c:v>
                </c:pt>
                <c:pt idx="16">
                  <c:v>114.82</c:v>
                </c:pt>
                <c:pt idx="17">
                  <c:v>113.97</c:v>
                </c:pt>
                <c:pt idx="18">
                  <c:v>116.88</c:v>
                </c:pt>
                <c:pt idx="19">
                  <c:v>110.04</c:v>
                </c:pt>
                <c:pt idx="20">
                  <c:v>111.52</c:v>
                </c:pt>
                <c:pt idx="21">
                  <c:v>109.13</c:v>
                </c:pt>
                <c:pt idx="22">
                  <c:v>110.53</c:v>
                </c:pt>
                <c:pt idx="23">
                  <c:v>107.78</c:v>
                </c:pt>
                <c:pt idx="24">
                  <c:v>110.84</c:v>
                </c:pt>
                <c:pt idx="25">
                  <c:v>119.31</c:v>
                </c:pt>
                <c:pt idx="26">
                  <c:v>124.94</c:v>
                </c:pt>
                <c:pt idx="27">
                  <c:v>120.27</c:v>
                </c:pt>
                <c:pt idx="28">
                  <c:v>110.29</c:v>
                </c:pt>
                <c:pt idx="29">
                  <c:v>95.54</c:v>
                </c:pt>
                <c:pt idx="30">
                  <c:v>102.66</c:v>
                </c:pt>
                <c:pt idx="31">
                  <c:v>113.11</c:v>
                </c:pt>
                <c:pt idx="32">
                  <c:v>112.95</c:v>
                </c:pt>
                <c:pt idx="33">
                  <c:v>111.57</c:v>
                </c:pt>
                <c:pt idx="34">
                  <c:v>109.32</c:v>
                </c:pt>
                <c:pt idx="35">
                  <c:v>109.2</c:v>
                </c:pt>
                <c:pt idx="36">
                  <c:v>112.67</c:v>
                </c:pt>
                <c:pt idx="37">
                  <c:v>116.12</c:v>
                </c:pt>
                <c:pt idx="38">
                  <c:v>109.02</c:v>
                </c:pt>
                <c:pt idx="39">
                  <c:v>102.83</c:v>
                </c:pt>
                <c:pt idx="40">
                  <c:v>102.87</c:v>
                </c:pt>
                <c:pt idx="41">
                  <c:v>103.13</c:v>
                </c:pt>
                <c:pt idx="42">
                  <c:v>107.69</c:v>
                </c:pt>
                <c:pt idx="43">
                  <c:v>110.86</c:v>
                </c:pt>
                <c:pt idx="44">
                  <c:v>111.58</c:v>
                </c:pt>
                <c:pt idx="45">
                  <c:v>109.32</c:v>
                </c:pt>
                <c:pt idx="46">
                  <c:v>107.99</c:v>
                </c:pt>
                <c:pt idx="47">
                  <c:v>110.77</c:v>
                </c:pt>
                <c:pt idx="48">
                  <c:v>107.69</c:v>
                </c:pt>
                <c:pt idx="49">
                  <c:v>108.89</c:v>
                </c:pt>
                <c:pt idx="50">
                  <c:v>107.65</c:v>
                </c:pt>
                <c:pt idx="51">
                  <c:v>107.94</c:v>
                </c:pt>
                <c:pt idx="52">
                  <c:v>109.47</c:v>
                </c:pt>
                <c:pt idx="53">
                  <c:v>111.82</c:v>
                </c:pt>
                <c:pt idx="54">
                  <c:v>107.44</c:v>
                </c:pt>
                <c:pt idx="55">
                  <c:v>102.51</c:v>
                </c:pt>
                <c:pt idx="56">
                  <c:v>97.97</c:v>
                </c:pt>
                <c:pt idx="57">
                  <c:v>87.76</c:v>
                </c:pt>
                <c:pt idx="58">
                  <c:v>79.3</c:v>
                </c:pt>
                <c:pt idx="59">
                  <c:v>62.63</c:v>
                </c:pt>
                <c:pt idx="60">
                  <c:v>50.02</c:v>
                </c:pt>
                <c:pt idx="61">
                  <c:v>58.8</c:v>
                </c:pt>
                <c:pt idx="62">
                  <c:v>56.94</c:v>
                </c:pt>
                <c:pt idx="63">
                  <c:v>60.59</c:v>
                </c:pt>
              </c:numCache>
            </c:numRef>
          </c:val>
          <c:smooth val="0"/>
        </c:ser>
        <c:dLbls>
          <c:showLegendKey val="0"/>
          <c:showVal val="0"/>
          <c:showCatName val="0"/>
          <c:showSerName val="0"/>
          <c:showPercent val="0"/>
          <c:showBubbleSize val="0"/>
        </c:dLbls>
        <c:marker val="1"/>
        <c:smooth val="0"/>
        <c:axId val="190944384"/>
        <c:axId val="190945920"/>
      </c:lineChart>
      <c:catAx>
        <c:axId val="190944384"/>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945920"/>
        <c:crosses val="autoZero"/>
        <c:auto val="1"/>
        <c:lblAlgn val="ctr"/>
        <c:lblOffset val="100"/>
        <c:tickLblSkip val="2"/>
        <c:tickMarkSkip val="2"/>
        <c:noMultiLvlLbl val="1"/>
      </c:catAx>
      <c:valAx>
        <c:axId val="190945920"/>
        <c:scaling>
          <c:orientation val="minMax"/>
        </c:scaling>
        <c:delete val="0"/>
        <c:axPos val="l"/>
        <c:numFmt formatCode="General" sourceLinked="1"/>
        <c:majorTickMark val="in"/>
        <c:minorTickMark val="none"/>
        <c:tickLblPos val="nextTo"/>
        <c:spPr>
          <a:ln w="3171">
            <a:solidFill>
              <a:srgbClr val="000000"/>
            </a:solidFill>
            <a:prstDash val="solid"/>
          </a:ln>
        </c:spPr>
        <c:txPr>
          <a:bodyPr rot="0" vert="horz"/>
          <a:lstStyle/>
          <a:p>
            <a:pPr>
              <a:defRPr/>
            </a:pPr>
            <a:endParaRPr lang="zh-TW"/>
          </a:p>
        </c:txPr>
        <c:crossAx val="190944384"/>
        <c:crosses val="autoZero"/>
        <c:crossBetween val="between"/>
      </c:valAx>
      <c:spPr>
        <a:noFill/>
        <a:ln w="25371">
          <a:noFill/>
        </a:ln>
      </c:spPr>
    </c:plotArea>
    <c:legend>
      <c:legendPos val="r"/>
      <c:layout>
        <c:manualLayout>
          <c:xMode val="edge"/>
          <c:yMode val="edge"/>
          <c:x val="9.0483276717475261E-2"/>
          <c:y val="0.53643580017951598"/>
          <c:w val="0.21870967694146962"/>
          <c:h val="0.27240105209274573"/>
        </c:manualLayout>
      </c:layout>
      <c:overlay val="0"/>
      <c:spPr>
        <a:noFill/>
        <a:ln w="25371">
          <a:noFill/>
        </a:ln>
      </c:spPr>
      <c:txPr>
        <a:bodyPr/>
        <a:lstStyle/>
        <a:p>
          <a:pPr>
            <a:lnSpc>
              <a:spcPts val="1000"/>
            </a:lnSpc>
            <a:defRPr sz="1100">
              <a:latin typeface="標楷體" panose="03000509000000000000" pitchFamily="65" charset="-120"/>
              <a:ea typeface="標楷體" panose="03000509000000000000" pitchFamily="65" charset="-120"/>
            </a:defRPr>
          </a:pPr>
          <a:endParaRPr lang="zh-TW"/>
        </a:p>
      </c:txPr>
    </c:legend>
    <c:plotVisOnly val="1"/>
    <c:dispBlanksAs val="gap"/>
    <c:showDLblsOverMax val="0"/>
  </c:chart>
  <c:spPr>
    <a:solidFill>
      <a:srgbClr val="FFFFFF"/>
    </a:solidFill>
    <a:ln>
      <a:noFill/>
    </a:ln>
  </c:spPr>
  <c:txPr>
    <a:bodyPr/>
    <a:lstStyle/>
    <a:p>
      <a:pPr>
        <a:defRPr sz="1099" b="0" i="0" u="none" strike="noStrike" baseline="0">
          <a:solidFill>
            <a:srgbClr val="000000"/>
          </a:solidFill>
          <a:latin typeface="Times New Roman" pitchFamily="18" charset="0"/>
          <a:ea typeface="Arial Unicode MS"/>
          <a:cs typeface="Times New Roman" pitchFamily="18" charset="0"/>
        </a:defRPr>
      </a:pPr>
      <a:endParaRPr lang="zh-TW"/>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7667355318208988E-2"/>
          <c:y val="0.10358301754067484"/>
          <c:w val="0.8883504322392467"/>
          <c:h val="0.72437881504005086"/>
        </c:manualLayout>
      </c:layout>
      <c:lineChart>
        <c:grouping val="standard"/>
        <c:varyColors val="0"/>
        <c:ser>
          <c:idx val="0"/>
          <c:order val="0"/>
          <c:tx>
            <c:strRef>
              <c:f>Sheet1!$C$1</c:f>
              <c:strCache>
                <c:ptCount val="1"/>
                <c:pt idx="0">
                  <c:v>玉米</c:v>
                </c:pt>
              </c:strCache>
            </c:strRef>
          </c:tx>
          <c:spPr>
            <a:ln w="12696">
              <a:solidFill>
                <a:srgbClr val="000080"/>
              </a:solidFill>
              <a:prstDash val="solid"/>
            </a:ln>
          </c:spPr>
          <c:marker>
            <c:symbol val="diamond"/>
            <c:size val="4"/>
            <c:spPr>
              <a:solidFill>
                <a:srgbClr val="000080"/>
              </a:solidFill>
              <a:ln>
                <a:solidFill>
                  <a:srgbClr val="000080"/>
                </a:solidFill>
                <a:prstDash val="solid"/>
              </a:ln>
            </c:spPr>
          </c:marker>
          <c:cat>
            <c:multiLvlStrRef>
              <c:f>Sheet1!$A$39:$B$102</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Sheet1!$C$39:$C$102</c:f>
              <c:numCache>
                <c:formatCode>General</c:formatCode>
                <c:ptCount val="64"/>
                <c:pt idx="0">
                  <c:v>3.57</c:v>
                </c:pt>
                <c:pt idx="1">
                  <c:v>3.78</c:v>
                </c:pt>
                <c:pt idx="2">
                  <c:v>3.45</c:v>
                </c:pt>
                <c:pt idx="3">
                  <c:v>3.66</c:v>
                </c:pt>
                <c:pt idx="4">
                  <c:v>3.59</c:v>
                </c:pt>
                <c:pt idx="5">
                  <c:v>3.54</c:v>
                </c:pt>
                <c:pt idx="6">
                  <c:v>3.93</c:v>
                </c:pt>
                <c:pt idx="7">
                  <c:v>4.25</c:v>
                </c:pt>
                <c:pt idx="8">
                  <c:v>4.96</c:v>
                </c:pt>
                <c:pt idx="9">
                  <c:v>5.82</c:v>
                </c:pt>
                <c:pt idx="10">
                  <c:v>5.3</c:v>
                </c:pt>
                <c:pt idx="11">
                  <c:v>6.29</c:v>
                </c:pt>
                <c:pt idx="12">
                  <c:v>6.6</c:v>
                </c:pt>
                <c:pt idx="13">
                  <c:v>7.23</c:v>
                </c:pt>
                <c:pt idx="14">
                  <c:v>6.93</c:v>
                </c:pt>
                <c:pt idx="15">
                  <c:v>7.54</c:v>
                </c:pt>
                <c:pt idx="16">
                  <c:v>7.48</c:v>
                </c:pt>
                <c:pt idx="17">
                  <c:v>6.29</c:v>
                </c:pt>
                <c:pt idx="18">
                  <c:v>6.66</c:v>
                </c:pt>
                <c:pt idx="19">
                  <c:v>7.58</c:v>
                </c:pt>
                <c:pt idx="20">
                  <c:v>5.93</c:v>
                </c:pt>
                <c:pt idx="21">
                  <c:v>6.47</c:v>
                </c:pt>
                <c:pt idx="22">
                  <c:v>6.01</c:v>
                </c:pt>
                <c:pt idx="23">
                  <c:v>6.47</c:v>
                </c:pt>
                <c:pt idx="24">
                  <c:v>6.39</c:v>
                </c:pt>
                <c:pt idx="25">
                  <c:v>6.57</c:v>
                </c:pt>
                <c:pt idx="26">
                  <c:v>6.44</c:v>
                </c:pt>
                <c:pt idx="27">
                  <c:v>6.6</c:v>
                </c:pt>
                <c:pt idx="28">
                  <c:v>5.55</c:v>
                </c:pt>
                <c:pt idx="29">
                  <c:v>6.73</c:v>
                </c:pt>
                <c:pt idx="30">
                  <c:v>8.07</c:v>
                </c:pt>
                <c:pt idx="31">
                  <c:v>8.0299999999999994</c:v>
                </c:pt>
                <c:pt idx="32">
                  <c:v>7.56</c:v>
                </c:pt>
                <c:pt idx="33">
                  <c:v>7.56</c:v>
                </c:pt>
                <c:pt idx="34">
                  <c:v>7.48</c:v>
                </c:pt>
                <c:pt idx="35">
                  <c:v>6.98</c:v>
                </c:pt>
                <c:pt idx="36">
                  <c:v>7.41</c:v>
                </c:pt>
                <c:pt idx="37">
                  <c:v>7.2</c:v>
                </c:pt>
                <c:pt idx="38">
                  <c:v>6.95</c:v>
                </c:pt>
                <c:pt idx="39">
                  <c:v>6.83</c:v>
                </c:pt>
                <c:pt idx="40">
                  <c:v>6.62</c:v>
                </c:pt>
                <c:pt idx="41">
                  <c:v>6.79</c:v>
                </c:pt>
                <c:pt idx="42">
                  <c:v>4.99</c:v>
                </c:pt>
                <c:pt idx="43">
                  <c:v>4.95</c:v>
                </c:pt>
                <c:pt idx="44">
                  <c:v>4.42</c:v>
                </c:pt>
                <c:pt idx="45">
                  <c:v>4.28</c:v>
                </c:pt>
                <c:pt idx="46">
                  <c:v>4.1500000000000004</c:v>
                </c:pt>
                <c:pt idx="47">
                  <c:v>4.22</c:v>
                </c:pt>
                <c:pt idx="48">
                  <c:v>4.34</c:v>
                </c:pt>
                <c:pt idx="49">
                  <c:v>4.58</c:v>
                </c:pt>
                <c:pt idx="50">
                  <c:v>5.0199999999999996</c:v>
                </c:pt>
                <c:pt idx="51">
                  <c:v>5.14</c:v>
                </c:pt>
                <c:pt idx="52">
                  <c:v>4.66</c:v>
                </c:pt>
                <c:pt idx="53">
                  <c:v>4.24</c:v>
                </c:pt>
                <c:pt idx="54">
                  <c:v>3.57</c:v>
                </c:pt>
                <c:pt idx="55">
                  <c:v>3.59</c:v>
                </c:pt>
                <c:pt idx="56">
                  <c:v>3.21</c:v>
                </c:pt>
                <c:pt idx="57">
                  <c:v>3.77</c:v>
                </c:pt>
                <c:pt idx="58">
                  <c:v>3.76</c:v>
                </c:pt>
                <c:pt idx="59">
                  <c:v>3.97</c:v>
                </c:pt>
                <c:pt idx="60">
                  <c:v>3.7</c:v>
                </c:pt>
                <c:pt idx="61">
                  <c:v>3.85</c:v>
                </c:pt>
                <c:pt idx="62">
                  <c:v>3.76</c:v>
                </c:pt>
                <c:pt idx="63">
                  <c:v>3.63</c:v>
                </c:pt>
              </c:numCache>
            </c:numRef>
          </c:val>
          <c:smooth val="0"/>
        </c:ser>
        <c:ser>
          <c:idx val="1"/>
          <c:order val="1"/>
          <c:tx>
            <c:strRef>
              <c:f>Sheet1!$D$1</c:f>
              <c:strCache>
                <c:ptCount val="1"/>
                <c:pt idx="0">
                  <c:v>黃豆</c:v>
                </c:pt>
              </c:strCache>
            </c:strRef>
          </c:tx>
          <c:spPr>
            <a:ln w="12696">
              <a:solidFill>
                <a:srgbClr val="FF00FF"/>
              </a:solidFill>
              <a:prstDash val="solid"/>
            </a:ln>
          </c:spPr>
          <c:marker>
            <c:symbol val="square"/>
            <c:size val="4"/>
            <c:spPr>
              <a:solidFill>
                <a:srgbClr val="FF00FF"/>
              </a:solidFill>
              <a:ln>
                <a:solidFill>
                  <a:srgbClr val="FF00FF"/>
                </a:solidFill>
                <a:prstDash val="solid"/>
              </a:ln>
            </c:spPr>
          </c:marker>
          <c:cat>
            <c:multiLvlStrRef>
              <c:f>Sheet1!$A$39:$B$102</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Sheet1!$D$39:$D$102</c:f>
              <c:numCache>
                <c:formatCode>General</c:formatCode>
                <c:ptCount val="64"/>
                <c:pt idx="0">
                  <c:v>9.14</c:v>
                </c:pt>
                <c:pt idx="1">
                  <c:v>9.51</c:v>
                </c:pt>
                <c:pt idx="2">
                  <c:v>9.41</c:v>
                </c:pt>
                <c:pt idx="3">
                  <c:v>9.9</c:v>
                </c:pt>
                <c:pt idx="4">
                  <c:v>9.3800000000000008</c:v>
                </c:pt>
                <c:pt idx="5">
                  <c:v>9.49</c:v>
                </c:pt>
                <c:pt idx="6">
                  <c:v>10.53</c:v>
                </c:pt>
                <c:pt idx="7">
                  <c:v>10.08</c:v>
                </c:pt>
                <c:pt idx="8">
                  <c:v>11.07</c:v>
                </c:pt>
                <c:pt idx="9">
                  <c:v>12.26</c:v>
                </c:pt>
                <c:pt idx="10">
                  <c:v>12.43</c:v>
                </c:pt>
                <c:pt idx="11">
                  <c:v>13.94</c:v>
                </c:pt>
                <c:pt idx="12">
                  <c:v>14.13</c:v>
                </c:pt>
                <c:pt idx="13">
                  <c:v>13.57</c:v>
                </c:pt>
                <c:pt idx="14">
                  <c:v>14.1</c:v>
                </c:pt>
                <c:pt idx="15">
                  <c:v>13.9</c:v>
                </c:pt>
                <c:pt idx="16">
                  <c:v>13.76</c:v>
                </c:pt>
                <c:pt idx="17">
                  <c:v>13.06</c:v>
                </c:pt>
                <c:pt idx="18">
                  <c:v>13.54</c:v>
                </c:pt>
                <c:pt idx="19">
                  <c:v>14.49</c:v>
                </c:pt>
                <c:pt idx="20">
                  <c:v>11.79</c:v>
                </c:pt>
                <c:pt idx="21">
                  <c:v>12.08</c:v>
                </c:pt>
                <c:pt idx="22">
                  <c:v>11.31</c:v>
                </c:pt>
                <c:pt idx="23">
                  <c:v>11.99</c:v>
                </c:pt>
                <c:pt idx="24">
                  <c:v>11.99</c:v>
                </c:pt>
                <c:pt idx="25">
                  <c:v>13.14</c:v>
                </c:pt>
                <c:pt idx="26">
                  <c:v>14.03</c:v>
                </c:pt>
                <c:pt idx="27">
                  <c:v>15.03</c:v>
                </c:pt>
                <c:pt idx="28">
                  <c:v>13.4</c:v>
                </c:pt>
                <c:pt idx="29">
                  <c:v>15.13</c:v>
                </c:pt>
                <c:pt idx="30">
                  <c:v>17.21</c:v>
                </c:pt>
                <c:pt idx="31">
                  <c:v>17.649999999999999</c:v>
                </c:pt>
                <c:pt idx="32">
                  <c:v>16.010000000000002</c:v>
                </c:pt>
                <c:pt idx="33">
                  <c:v>15.47</c:v>
                </c:pt>
                <c:pt idx="34">
                  <c:v>14.39</c:v>
                </c:pt>
                <c:pt idx="35">
                  <c:v>14.19</c:v>
                </c:pt>
                <c:pt idx="36">
                  <c:v>14.69</c:v>
                </c:pt>
                <c:pt idx="37">
                  <c:v>14.74</c:v>
                </c:pt>
                <c:pt idx="38">
                  <c:v>14.05</c:v>
                </c:pt>
                <c:pt idx="39">
                  <c:v>14.68</c:v>
                </c:pt>
                <c:pt idx="40">
                  <c:v>15.1</c:v>
                </c:pt>
                <c:pt idx="41">
                  <c:v>15.65</c:v>
                </c:pt>
                <c:pt idx="42">
                  <c:v>13.74</c:v>
                </c:pt>
                <c:pt idx="43">
                  <c:v>14.24</c:v>
                </c:pt>
                <c:pt idx="44">
                  <c:v>12.83</c:v>
                </c:pt>
                <c:pt idx="45">
                  <c:v>12.8</c:v>
                </c:pt>
                <c:pt idx="46">
                  <c:v>13.37</c:v>
                </c:pt>
                <c:pt idx="47">
                  <c:v>13.13</c:v>
                </c:pt>
                <c:pt idx="48">
                  <c:v>12.83</c:v>
                </c:pt>
                <c:pt idx="49">
                  <c:v>14.14</c:v>
                </c:pt>
                <c:pt idx="50">
                  <c:v>14.64</c:v>
                </c:pt>
                <c:pt idx="51">
                  <c:v>15.31</c:v>
                </c:pt>
                <c:pt idx="52">
                  <c:v>14.93</c:v>
                </c:pt>
                <c:pt idx="53">
                  <c:v>14.01</c:v>
                </c:pt>
                <c:pt idx="54">
                  <c:v>12.25</c:v>
                </c:pt>
                <c:pt idx="55">
                  <c:v>10.9</c:v>
                </c:pt>
                <c:pt idx="56">
                  <c:v>9.1300000000000008</c:v>
                </c:pt>
                <c:pt idx="57">
                  <c:v>10.47</c:v>
                </c:pt>
                <c:pt idx="58">
                  <c:v>10.16</c:v>
                </c:pt>
                <c:pt idx="59">
                  <c:v>10.19</c:v>
                </c:pt>
                <c:pt idx="60">
                  <c:v>9.61</c:v>
                </c:pt>
                <c:pt idx="61">
                  <c:v>10.31</c:v>
                </c:pt>
                <c:pt idx="62">
                  <c:v>9.73</c:v>
                </c:pt>
                <c:pt idx="63">
                  <c:v>9.7899999999999991</c:v>
                </c:pt>
              </c:numCache>
            </c:numRef>
          </c:val>
          <c:smooth val="0"/>
        </c:ser>
        <c:ser>
          <c:idx val="2"/>
          <c:order val="2"/>
          <c:tx>
            <c:strRef>
              <c:f>Sheet1!$E$1</c:f>
              <c:strCache>
                <c:ptCount val="1"/>
                <c:pt idx="0">
                  <c:v>小麥</c:v>
                </c:pt>
              </c:strCache>
            </c:strRef>
          </c:tx>
          <c:spPr>
            <a:ln w="12696">
              <a:solidFill>
                <a:srgbClr val="800000"/>
              </a:solidFill>
              <a:prstDash val="solid"/>
            </a:ln>
          </c:spPr>
          <c:marker>
            <c:symbol val="triangle"/>
            <c:size val="4"/>
            <c:spPr>
              <a:solidFill>
                <a:srgbClr val="800000"/>
              </a:solidFill>
              <a:ln>
                <a:solidFill>
                  <a:srgbClr val="800000"/>
                </a:solidFill>
                <a:prstDash val="solid"/>
              </a:ln>
            </c:spPr>
          </c:marker>
          <c:cat>
            <c:multiLvlStrRef>
              <c:f>Sheet1!$A$39:$B$102</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Sheet1!$E$39:$E$102</c:f>
              <c:numCache>
                <c:formatCode>General</c:formatCode>
                <c:ptCount val="64"/>
                <c:pt idx="0">
                  <c:v>4.74</c:v>
                </c:pt>
                <c:pt idx="1">
                  <c:v>5.07</c:v>
                </c:pt>
                <c:pt idx="2">
                  <c:v>4.51</c:v>
                </c:pt>
                <c:pt idx="3">
                  <c:v>4.92</c:v>
                </c:pt>
                <c:pt idx="4">
                  <c:v>4.58</c:v>
                </c:pt>
                <c:pt idx="5">
                  <c:v>4.6500000000000004</c:v>
                </c:pt>
                <c:pt idx="6">
                  <c:v>6.62</c:v>
                </c:pt>
                <c:pt idx="7">
                  <c:v>6.53</c:v>
                </c:pt>
                <c:pt idx="8">
                  <c:v>6.74</c:v>
                </c:pt>
                <c:pt idx="9">
                  <c:v>7.17</c:v>
                </c:pt>
                <c:pt idx="10">
                  <c:v>6.5</c:v>
                </c:pt>
                <c:pt idx="11">
                  <c:v>7.94</c:v>
                </c:pt>
                <c:pt idx="12">
                  <c:v>8.41</c:v>
                </c:pt>
                <c:pt idx="13">
                  <c:v>7.83</c:v>
                </c:pt>
                <c:pt idx="14">
                  <c:v>7.63</c:v>
                </c:pt>
                <c:pt idx="15">
                  <c:v>7.69</c:v>
                </c:pt>
                <c:pt idx="16">
                  <c:v>7.82</c:v>
                </c:pt>
                <c:pt idx="17">
                  <c:v>5.85</c:v>
                </c:pt>
                <c:pt idx="18">
                  <c:v>6.73</c:v>
                </c:pt>
                <c:pt idx="19">
                  <c:v>7.45</c:v>
                </c:pt>
                <c:pt idx="20">
                  <c:v>6.09</c:v>
                </c:pt>
                <c:pt idx="21">
                  <c:v>6.28</c:v>
                </c:pt>
                <c:pt idx="22">
                  <c:v>5.96</c:v>
                </c:pt>
                <c:pt idx="23">
                  <c:v>6.53</c:v>
                </c:pt>
                <c:pt idx="24">
                  <c:v>6.66</c:v>
                </c:pt>
                <c:pt idx="25">
                  <c:v>6.64</c:v>
                </c:pt>
                <c:pt idx="26">
                  <c:v>6.61</c:v>
                </c:pt>
                <c:pt idx="27">
                  <c:v>6.48</c:v>
                </c:pt>
                <c:pt idx="28">
                  <c:v>6.44</c:v>
                </c:pt>
                <c:pt idx="29">
                  <c:v>7.39</c:v>
                </c:pt>
                <c:pt idx="30">
                  <c:v>8.8800000000000008</c:v>
                </c:pt>
                <c:pt idx="31">
                  <c:v>8.6999999999999993</c:v>
                </c:pt>
                <c:pt idx="32">
                  <c:v>9.0299999999999994</c:v>
                </c:pt>
                <c:pt idx="33">
                  <c:v>8.65</c:v>
                </c:pt>
                <c:pt idx="34">
                  <c:v>8.4499999999999993</c:v>
                </c:pt>
                <c:pt idx="35">
                  <c:v>7.78</c:v>
                </c:pt>
                <c:pt idx="36">
                  <c:v>7.8</c:v>
                </c:pt>
                <c:pt idx="37">
                  <c:v>7.08</c:v>
                </c:pt>
                <c:pt idx="38">
                  <c:v>6.88</c:v>
                </c:pt>
                <c:pt idx="39">
                  <c:v>7.22</c:v>
                </c:pt>
                <c:pt idx="40">
                  <c:v>7.06</c:v>
                </c:pt>
                <c:pt idx="41">
                  <c:v>6.49</c:v>
                </c:pt>
                <c:pt idx="42">
                  <c:v>6.64</c:v>
                </c:pt>
                <c:pt idx="43">
                  <c:v>6.43</c:v>
                </c:pt>
                <c:pt idx="44">
                  <c:v>6.79</c:v>
                </c:pt>
                <c:pt idx="45">
                  <c:v>6.68</c:v>
                </c:pt>
                <c:pt idx="46">
                  <c:v>6.55</c:v>
                </c:pt>
                <c:pt idx="47">
                  <c:v>6.05</c:v>
                </c:pt>
                <c:pt idx="48">
                  <c:v>5.56</c:v>
                </c:pt>
                <c:pt idx="49">
                  <c:v>5.99</c:v>
                </c:pt>
                <c:pt idx="50">
                  <c:v>6.97</c:v>
                </c:pt>
                <c:pt idx="51">
                  <c:v>7.13</c:v>
                </c:pt>
                <c:pt idx="52">
                  <c:v>6.27</c:v>
                </c:pt>
                <c:pt idx="53">
                  <c:v>5.65</c:v>
                </c:pt>
                <c:pt idx="54">
                  <c:v>5.3</c:v>
                </c:pt>
                <c:pt idx="55">
                  <c:v>5.5</c:v>
                </c:pt>
                <c:pt idx="56">
                  <c:v>4.78</c:v>
                </c:pt>
                <c:pt idx="57">
                  <c:v>5.33</c:v>
                </c:pt>
                <c:pt idx="58">
                  <c:v>5.77</c:v>
                </c:pt>
                <c:pt idx="59">
                  <c:v>5.9</c:v>
                </c:pt>
                <c:pt idx="60">
                  <c:v>5.03</c:v>
                </c:pt>
                <c:pt idx="61">
                  <c:v>5.18</c:v>
                </c:pt>
                <c:pt idx="62">
                  <c:v>5.12</c:v>
                </c:pt>
                <c:pt idx="63">
                  <c:v>4.67</c:v>
                </c:pt>
              </c:numCache>
            </c:numRef>
          </c:val>
          <c:smooth val="0"/>
        </c:ser>
        <c:dLbls>
          <c:showLegendKey val="0"/>
          <c:showVal val="0"/>
          <c:showCatName val="0"/>
          <c:showSerName val="0"/>
          <c:showPercent val="0"/>
          <c:showBubbleSize val="0"/>
        </c:dLbls>
        <c:marker val="1"/>
        <c:smooth val="0"/>
        <c:axId val="190971904"/>
        <c:axId val="190973824"/>
      </c:lineChart>
      <c:catAx>
        <c:axId val="190971904"/>
        <c:scaling>
          <c:orientation val="minMax"/>
        </c:scaling>
        <c:delete val="0"/>
        <c:axPos val="b"/>
        <c:numFmt formatCode="General" sourceLinked="1"/>
        <c:majorTickMark val="in"/>
        <c:minorTickMark val="none"/>
        <c:tickLblPos val="low"/>
        <c:spPr>
          <a:ln w="3174">
            <a:solidFill>
              <a:srgbClr val="000000"/>
            </a:solidFill>
            <a:prstDash val="solid"/>
          </a:ln>
        </c:spPr>
        <c:txPr>
          <a:bodyPr rot="0" vert="horz" anchor="ctr" anchorCtr="1"/>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973824"/>
        <c:crosses val="autoZero"/>
        <c:auto val="1"/>
        <c:lblAlgn val="ctr"/>
        <c:lblOffset val="50"/>
        <c:tickLblSkip val="3"/>
        <c:tickMarkSkip val="1"/>
        <c:noMultiLvlLbl val="1"/>
      </c:catAx>
      <c:valAx>
        <c:axId val="190973824"/>
        <c:scaling>
          <c:orientation val="minMax"/>
          <c:max val="18"/>
          <c:min val="0"/>
        </c:scaling>
        <c:delete val="0"/>
        <c:axPos val="l"/>
        <c:title>
          <c:tx>
            <c:rich>
              <a:bodyPr rot="0" vert="horz"/>
              <a:lstStyle/>
              <a:p>
                <a:pPr algn="ctr">
                  <a:defRPr sz="800" b="0" i="0" u="none" strike="noStrike" baseline="0">
                    <a:solidFill>
                      <a:srgbClr val="000000"/>
                    </a:solidFill>
                    <a:latin typeface="新細明體"/>
                    <a:ea typeface="新細明體"/>
                    <a:cs typeface="新細明體"/>
                  </a:defRPr>
                </a:pPr>
                <a:r>
                  <a:rPr lang="zh-TW" altLang="en-US" sz="1000" b="0" i="0" u="none" strike="noStrike" baseline="0">
                    <a:solidFill>
                      <a:srgbClr val="000000"/>
                    </a:solidFill>
                    <a:latin typeface="標楷體"/>
                    <a:ea typeface="標楷體"/>
                  </a:rPr>
                  <a:t>美元/英斗</a:t>
                </a:r>
                <a:endParaRPr lang="zh-TW" altLang="en-US"/>
              </a:p>
            </c:rich>
          </c:tx>
          <c:layout>
            <c:manualLayout>
              <c:xMode val="edge"/>
              <c:yMode val="edge"/>
              <c:x val="3.290997294068895E-4"/>
              <c:y val="2.7464317320565475E-2"/>
            </c:manualLayout>
          </c:layout>
          <c:overlay val="0"/>
          <c:spPr>
            <a:noFill/>
            <a:ln w="25392">
              <a:noFill/>
            </a:ln>
          </c:spPr>
        </c:title>
        <c:numFmt formatCode="General" sourceLinked="1"/>
        <c:majorTickMark val="in"/>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Arial" pitchFamily="34" charset="0"/>
                <a:ea typeface="Times New Roman"/>
                <a:cs typeface="Arial" pitchFamily="34" charset="0"/>
              </a:defRPr>
            </a:pPr>
            <a:endParaRPr lang="zh-TW"/>
          </a:p>
        </c:txPr>
        <c:crossAx val="190971904"/>
        <c:crosses val="autoZero"/>
        <c:crossBetween val="between"/>
        <c:majorUnit val="2"/>
        <c:minorUnit val="1"/>
      </c:valAx>
      <c:spPr>
        <a:solidFill>
          <a:srgbClr val="FFFFFF"/>
        </a:solidFill>
        <a:ln w="12696">
          <a:solidFill>
            <a:srgbClr val="808080"/>
          </a:solidFill>
          <a:prstDash val="solid"/>
        </a:ln>
      </c:spPr>
    </c:plotArea>
    <c:legend>
      <c:legendPos val="r"/>
      <c:layout>
        <c:manualLayout>
          <c:xMode val="edge"/>
          <c:yMode val="edge"/>
          <c:x val="9.2100602023558353E-2"/>
          <c:y val="0.74703569904541445"/>
          <c:w val="0.31220282042886488"/>
          <c:h val="6.3157798975475243E-2"/>
        </c:manualLayout>
      </c:layout>
      <c:overlay val="0"/>
      <c:spPr>
        <a:solidFill>
          <a:srgbClr val="FFFFFF"/>
        </a:solidFill>
        <a:ln w="3174">
          <a:solidFill>
            <a:srgbClr val="000000"/>
          </a:solidFill>
          <a:prstDash val="solid"/>
        </a:ln>
      </c:spPr>
      <c:txPr>
        <a:bodyPr/>
        <a:lstStyle/>
        <a:p>
          <a:pPr>
            <a:defRPr sz="920" b="0" i="0" u="none" strike="noStrike" baseline="0">
              <a:solidFill>
                <a:srgbClr val="000000"/>
              </a:solidFill>
              <a:latin typeface="標楷體"/>
              <a:ea typeface="標楷體"/>
              <a:cs typeface="標楷體"/>
            </a:defRPr>
          </a:pPr>
          <a:endParaRPr lang="zh-TW"/>
        </a:p>
      </c:txPr>
    </c:legend>
    <c:plotVisOnly val="1"/>
    <c:dispBlanksAs val="gap"/>
    <c:showDLblsOverMax val="0"/>
  </c:chart>
  <c:spPr>
    <a:noFill/>
    <a:ln>
      <a:noFill/>
    </a:ln>
  </c:spPr>
  <c:txPr>
    <a:bodyPr/>
    <a:lstStyle/>
    <a:p>
      <a:pPr>
        <a:defRPr sz="80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58993361123977"/>
          <c:y val="8.1969153149142576E-2"/>
          <c:w val="0.8522110704584912"/>
          <c:h val="0.78606247165279974"/>
        </c:manualLayout>
      </c:layout>
      <c:lineChart>
        <c:grouping val="standard"/>
        <c:varyColors val="0"/>
        <c:ser>
          <c:idx val="1"/>
          <c:order val="0"/>
          <c:tx>
            <c:strRef>
              <c:f>'M2&amp;M1B'!$C$1</c:f>
              <c:strCache>
                <c:ptCount val="1"/>
                <c:pt idx="0">
                  <c:v>M1B</c:v>
                </c:pt>
              </c:strCache>
            </c:strRef>
          </c:tx>
          <c:spPr>
            <a:ln w="38092">
              <a:solidFill>
                <a:srgbClr val="FF00FF"/>
              </a:solidFill>
              <a:prstDash val="solid"/>
            </a:ln>
          </c:spPr>
          <c:marker>
            <c:symbol val="diamond"/>
            <c:size val="2"/>
            <c:spPr>
              <a:noFill/>
              <a:ln w="9523">
                <a:noFill/>
              </a:ln>
            </c:spPr>
          </c:marker>
          <c:dPt>
            <c:idx val="37"/>
            <c:bubble3D val="0"/>
            <c:spPr>
              <a:ln w="25394">
                <a:solidFill>
                  <a:srgbClr val="FF00FF"/>
                </a:solidFill>
                <a:prstDash val="solid"/>
              </a:ln>
            </c:spPr>
          </c:dPt>
          <c:dPt>
            <c:idx val="41"/>
            <c:marker>
              <c:symbol val="diamond"/>
              <c:size val="3"/>
            </c:marker>
            <c:bubble3D val="0"/>
          </c:dPt>
          <c:dLbls>
            <c:dLbl>
              <c:idx val="37"/>
              <c:layout>
                <c:manualLayout>
                  <c:x val="0.12834588486896653"/>
                  <c:y val="0.16768670961584348"/>
                </c:manualLayout>
              </c:layout>
              <c:tx>
                <c:rich>
                  <a:bodyPr/>
                  <a:lstStyle/>
                  <a:p>
                    <a:pPr>
                      <a:defRPr sz="900" b="0" i="0" u="none" strike="noStrike" baseline="0">
                        <a:solidFill>
                          <a:srgbClr val="FF00FF"/>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5.85
(104/4) </a:t>
                    </a:r>
                  </a:p>
                </c:rich>
              </c:tx>
              <c:spPr>
                <a:noFill/>
                <a:ln w="25394">
                  <a:noFill/>
                </a:ln>
              </c:spPr>
              <c:dLblPos val="r"/>
              <c:showLegendKey val="0"/>
              <c:showVal val="0"/>
              <c:showCatName val="0"/>
              <c:showSerName val="0"/>
              <c:showPercent val="0"/>
              <c:showBubbleSize val="0"/>
            </c:dLbl>
            <c:showLegendKey val="0"/>
            <c:showVal val="0"/>
            <c:showCatName val="0"/>
            <c:showSerName val="0"/>
            <c:showPercent val="0"/>
            <c:showBubbleSize val="0"/>
          </c:dLbls>
          <c:cat>
            <c:strRef>
              <c:f>'M2&amp;M1B'!$B$175:$B$238</c:f>
              <c:strCache>
                <c:ptCount val="64"/>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strCache>
            </c:strRef>
          </c:cat>
          <c:val>
            <c:numRef>
              <c:f>'M2&amp;M1B'!$C$175:$C$238</c:f>
              <c:numCache>
                <c:formatCode>0.00_ </c:formatCode>
                <c:ptCount val="64"/>
                <c:pt idx="0">
                  <c:v>26.14</c:v>
                </c:pt>
                <c:pt idx="1">
                  <c:v>25.27</c:v>
                </c:pt>
                <c:pt idx="2">
                  <c:v>21.57</c:v>
                </c:pt>
                <c:pt idx="3">
                  <c:v>17.920000000000002</c:v>
                </c:pt>
                <c:pt idx="4">
                  <c:v>14.67</c:v>
                </c:pt>
                <c:pt idx="5">
                  <c:v>13.22</c:v>
                </c:pt>
                <c:pt idx="6">
                  <c:v>12.49</c:v>
                </c:pt>
                <c:pt idx="7">
                  <c:v>12.29</c:v>
                </c:pt>
                <c:pt idx="8">
                  <c:v>12.15</c:v>
                </c:pt>
                <c:pt idx="9">
                  <c:v>10.050000000000001</c:v>
                </c:pt>
                <c:pt idx="10">
                  <c:v>9.18</c:v>
                </c:pt>
                <c:pt idx="11">
                  <c:v>8.77</c:v>
                </c:pt>
                <c:pt idx="12">
                  <c:v>9.35</c:v>
                </c:pt>
                <c:pt idx="13">
                  <c:v>9.4</c:v>
                </c:pt>
                <c:pt idx="14">
                  <c:v>9.2200000000000006</c:v>
                </c:pt>
                <c:pt idx="15">
                  <c:v>8.17</c:v>
                </c:pt>
                <c:pt idx="16">
                  <c:v>8</c:v>
                </c:pt>
                <c:pt idx="17">
                  <c:v>8.06</c:v>
                </c:pt>
                <c:pt idx="18">
                  <c:v>7.6</c:v>
                </c:pt>
                <c:pt idx="19">
                  <c:v>7.44</c:v>
                </c:pt>
                <c:pt idx="20">
                  <c:v>6.28</c:v>
                </c:pt>
                <c:pt idx="21">
                  <c:v>5.12</c:v>
                </c:pt>
                <c:pt idx="22">
                  <c:v>4.22</c:v>
                </c:pt>
                <c:pt idx="23">
                  <c:v>3.51</c:v>
                </c:pt>
                <c:pt idx="24">
                  <c:v>3.86</c:v>
                </c:pt>
                <c:pt idx="25">
                  <c:v>2.84</c:v>
                </c:pt>
                <c:pt idx="26">
                  <c:v>3.47</c:v>
                </c:pt>
                <c:pt idx="27">
                  <c:v>3.77</c:v>
                </c:pt>
                <c:pt idx="28">
                  <c:v>3.24</c:v>
                </c:pt>
                <c:pt idx="29">
                  <c:v>3.18</c:v>
                </c:pt>
                <c:pt idx="30">
                  <c:v>2.88</c:v>
                </c:pt>
                <c:pt idx="31">
                  <c:v>2.73</c:v>
                </c:pt>
                <c:pt idx="32">
                  <c:v>3.35</c:v>
                </c:pt>
                <c:pt idx="33">
                  <c:v>3.57</c:v>
                </c:pt>
                <c:pt idx="34">
                  <c:v>3.65</c:v>
                </c:pt>
                <c:pt idx="35">
                  <c:v>4.91</c:v>
                </c:pt>
                <c:pt idx="36">
                  <c:v>3.97</c:v>
                </c:pt>
                <c:pt idx="37">
                  <c:v>5.66</c:v>
                </c:pt>
                <c:pt idx="38">
                  <c:v>6.03</c:v>
                </c:pt>
                <c:pt idx="39">
                  <c:v>5.72</c:v>
                </c:pt>
                <c:pt idx="40">
                  <c:v>7.04</c:v>
                </c:pt>
                <c:pt idx="41">
                  <c:v>7.89</c:v>
                </c:pt>
                <c:pt idx="42">
                  <c:v>8.6300000000000008</c:v>
                </c:pt>
                <c:pt idx="43">
                  <c:v>8.31</c:v>
                </c:pt>
                <c:pt idx="44">
                  <c:v>8.0500000000000007</c:v>
                </c:pt>
                <c:pt idx="45">
                  <c:v>8.58</c:v>
                </c:pt>
                <c:pt idx="46">
                  <c:v>8.85</c:v>
                </c:pt>
                <c:pt idx="47">
                  <c:v>8.5</c:v>
                </c:pt>
                <c:pt idx="48">
                  <c:v>9.93</c:v>
                </c:pt>
                <c:pt idx="49">
                  <c:v>8.6300000000000008</c:v>
                </c:pt>
                <c:pt idx="50">
                  <c:v>8.8699999999999992</c:v>
                </c:pt>
                <c:pt idx="51">
                  <c:v>9.1</c:v>
                </c:pt>
                <c:pt idx="52">
                  <c:v>8.14</c:v>
                </c:pt>
                <c:pt idx="53">
                  <c:v>7.46</c:v>
                </c:pt>
                <c:pt idx="54">
                  <c:v>7.65</c:v>
                </c:pt>
                <c:pt idx="55">
                  <c:v>7.56</c:v>
                </c:pt>
                <c:pt idx="56">
                  <c:v>7.36</c:v>
                </c:pt>
                <c:pt idx="57">
                  <c:v>7.18</c:v>
                </c:pt>
                <c:pt idx="58">
                  <c:v>6.95</c:v>
                </c:pt>
                <c:pt idx="59">
                  <c:v>6.9</c:v>
                </c:pt>
                <c:pt idx="60">
                  <c:v>5.03</c:v>
                </c:pt>
                <c:pt idx="61">
                  <c:v>6.12</c:v>
                </c:pt>
                <c:pt idx="62">
                  <c:v>5.87</c:v>
                </c:pt>
                <c:pt idx="63">
                  <c:v>5.85</c:v>
                </c:pt>
              </c:numCache>
            </c:numRef>
          </c:val>
          <c:smooth val="0"/>
        </c:ser>
        <c:ser>
          <c:idx val="0"/>
          <c:order val="1"/>
          <c:tx>
            <c:strRef>
              <c:f>'M2&amp;M1B'!$D$1</c:f>
              <c:strCache>
                <c:ptCount val="1"/>
                <c:pt idx="0">
                  <c:v>M2</c:v>
                </c:pt>
              </c:strCache>
            </c:strRef>
          </c:tx>
          <c:spPr>
            <a:ln w="38092">
              <a:solidFill>
                <a:srgbClr val="000080"/>
              </a:solidFill>
              <a:prstDash val="solid"/>
            </a:ln>
          </c:spPr>
          <c:marker>
            <c:symbol val="none"/>
          </c:marker>
          <c:dPt>
            <c:idx val="37"/>
            <c:bubble3D val="0"/>
          </c:dPt>
          <c:dLbls>
            <c:dLbl>
              <c:idx val="37"/>
              <c:layout>
                <c:manualLayout>
                  <c:x val="0.18077070431555534"/>
                  <c:y val="-0.25597629841724329"/>
                </c:manualLayout>
              </c:layout>
              <c:tx>
                <c:rich>
                  <a:bodyPr/>
                  <a:lstStyle/>
                  <a:p>
                    <a:pPr>
                      <a:defRPr sz="900" b="0" i="0" u="none" strike="noStrike" baseline="0">
                        <a:solidFill>
                          <a:srgbClr val="000080"/>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6.53
(104/4) </a:t>
                    </a:r>
                    <a:endParaRPr lang="en-US" altLang="zh-TW"/>
                  </a:p>
                </c:rich>
              </c:tx>
              <c:spPr>
                <a:noFill/>
                <a:ln w="25394">
                  <a:noFill/>
                </a:ln>
              </c:spPr>
              <c:dLblPos val="r"/>
              <c:showLegendKey val="0"/>
              <c:showVal val="0"/>
              <c:showCatName val="0"/>
              <c:showSerName val="0"/>
              <c:showPercent val="0"/>
              <c:showBubbleSize val="0"/>
            </c:dLbl>
            <c:txPr>
              <a:bodyPr/>
              <a:lstStyle/>
              <a:p>
                <a:pPr>
                  <a:defRPr>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strRef>
              <c:f>'M2&amp;M1B'!$B$175:$B$238</c:f>
              <c:strCache>
                <c:ptCount val="64"/>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strCache>
            </c:strRef>
          </c:cat>
          <c:val>
            <c:numRef>
              <c:f>'M2&amp;M1B'!$D$175:$D$238</c:f>
              <c:numCache>
                <c:formatCode>0.00_ </c:formatCode>
                <c:ptCount val="64"/>
                <c:pt idx="0">
                  <c:v>5.34</c:v>
                </c:pt>
                <c:pt idx="1">
                  <c:v>4.9000000000000004</c:v>
                </c:pt>
                <c:pt idx="2">
                  <c:v>4.4400000000000004</c:v>
                </c:pt>
                <c:pt idx="3">
                  <c:v>3.99</c:v>
                </c:pt>
                <c:pt idx="4">
                  <c:v>3.38</c:v>
                </c:pt>
                <c:pt idx="5">
                  <c:v>3.67</c:v>
                </c:pt>
                <c:pt idx="6">
                  <c:v>4.03</c:v>
                </c:pt>
                <c:pt idx="7">
                  <c:v>4.5999999999999996</c:v>
                </c:pt>
                <c:pt idx="8">
                  <c:v>4.67</c:v>
                </c:pt>
                <c:pt idx="9">
                  <c:v>4.8600000000000003</c:v>
                </c:pt>
                <c:pt idx="10">
                  <c:v>5.26</c:v>
                </c:pt>
                <c:pt idx="11">
                  <c:v>5.25</c:v>
                </c:pt>
                <c:pt idx="12">
                  <c:v>5.63</c:v>
                </c:pt>
                <c:pt idx="13">
                  <c:v>6.24</c:v>
                </c:pt>
                <c:pt idx="14">
                  <c:v>6.02</c:v>
                </c:pt>
                <c:pt idx="15">
                  <c:v>6</c:v>
                </c:pt>
                <c:pt idx="16">
                  <c:v>6.2</c:v>
                </c:pt>
                <c:pt idx="17">
                  <c:v>6.07</c:v>
                </c:pt>
                <c:pt idx="18">
                  <c:v>6.24</c:v>
                </c:pt>
                <c:pt idx="19">
                  <c:v>6.16</c:v>
                </c:pt>
                <c:pt idx="20">
                  <c:v>5.85</c:v>
                </c:pt>
                <c:pt idx="21">
                  <c:v>5.54</c:v>
                </c:pt>
                <c:pt idx="22">
                  <c:v>5.0999999999999996</c:v>
                </c:pt>
                <c:pt idx="23">
                  <c:v>5.01</c:v>
                </c:pt>
                <c:pt idx="24">
                  <c:v>5.22</c:v>
                </c:pt>
                <c:pt idx="25">
                  <c:v>4.92</c:v>
                </c:pt>
                <c:pt idx="26">
                  <c:v>5.05</c:v>
                </c:pt>
                <c:pt idx="27">
                  <c:v>4.72</c:v>
                </c:pt>
                <c:pt idx="28">
                  <c:v>4.4000000000000004</c:v>
                </c:pt>
                <c:pt idx="29">
                  <c:v>4.1900000000000004</c:v>
                </c:pt>
                <c:pt idx="30">
                  <c:v>3.8</c:v>
                </c:pt>
                <c:pt idx="31">
                  <c:v>3.69</c:v>
                </c:pt>
                <c:pt idx="32">
                  <c:v>3.96</c:v>
                </c:pt>
                <c:pt idx="33">
                  <c:v>3.29</c:v>
                </c:pt>
                <c:pt idx="34">
                  <c:v>3.26</c:v>
                </c:pt>
                <c:pt idx="35">
                  <c:v>3.67</c:v>
                </c:pt>
                <c:pt idx="36">
                  <c:v>2.99</c:v>
                </c:pt>
                <c:pt idx="37">
                  <c:v>3.53</c:v>
                </c:pt>
                <c:pt idx="38">
                  <c:v>3.78</c:v>
                </c:pt>
                <c:pt idx="39">
                  <c:v>3.71</c:v>
                </c:pt>
                <c:pt idx="40">
                  <c:v>4.32</c:v>
                </c:pt>
                <c:pt idx="41">
                  <c:v>4.82</c:v>
                </c:pt>
                <c:pt idx="42">
                  <c:v>5.42</c:v>
                </c:pt>
                <c:pt idx="43">
                  <c:v>5.41</c:v>
                </c:pt>
                <c:pt idx="44">
                  <c:v>5.54</c:v>
                </c:pt>
                <c:pt idx="45">
                  <c:v>5.99</c:v>
                </c:pt>
                <c:pt idx="46">
                  <c:v>6.05</c:v>
                </c:pt>
                <c:pt idx="47">
                  <c:v>5.75</c:v>
                </c:pt>
                <c:pt idx="48">
                  <c:v>5.97</c:v>
                </c:pt>
                <c:pt idx="49">
                  <c:v>5.61</c:v>
                </c:pt>
                <c:pt idx="50">
                  <c:v>5.81</c:v>
                </c:pt>
                <c:pt idx="51">
                  <c:v>6.24</c:v>
                </c:pt>
                <c:pt idx="52">
                  <c:v>5.91</c:v>
                </c:pt>
                <c:pt idx="53">
                  <c:v>5.74</c:v>
                </c:pt>
                <c:pt idx="54">
                  <c:v>5.63</c:v>
                </c:pt>
                <c:pt idx="55">
                  <c:v>5.64</c:v>
                </c:pt>
                <c:pt idx="56">
                  <c:v>5.31</c:v>
                </c:pt>
                <c:pt idx="57">
                  <c:v>4.9800000000000004</c:v>
                </c:pt>
                <c:pt idx="58">
                  <c:v>5.22</c:v>
                </c:pt>
                <c:pt idx="59">
                  <c:v>5.85</c:v>
                </c:pt>
                <c:pt idx="60">
                  <c:v>5.86</c:v>
                </c:pt>
                <c:pt idx="61">
                  <c:v>6.51</c:v>
                </c:pt>
                <c:pt idx="62">
                  <c:v>6.57</c:v>
                </c:pt>
                <c:pt idx="63">
                  <c:v>6.53</c:v>
                </c:pt>
              </c:numCache>
            </c:numRef>
          </c:val>
          <c:smooth val="0"/>
        </c:ser>
        <c:dLbls>
          <c:showLegendKey val="0"/>
          <c:showVal val="0"/>
          <c:showCatName val="0"/>
          <c:showSerName val="0"/>
          <c:showPercent val="0"/>
          <c:showBubbleSize val="0"/>
        </c:dLbls>
        <c:marker val="1"/>
        <c:smooth val="0"/>
        <c:axId val="193494400"/>
        <c:axId val="193512576"/>
      </c:lineChart>
      <c:catAx>
        <c:axId val="193494400"/>
        <c:scaling>
          <c:orientation val="minMax"/>
        </c:scaling>
        <c:delete val="0"/>
        <c:axPos val="b"/>
        <c:numFmt formatCode="General" sourceLinked="1"/>
        <c:majorTickMark val="none"/>
        <c:minorTickMark val="none"/>
        <c:tickLblPos val="low"/>
        <c:spPr>
          <a:ln w="3174">
            <a:solidFill>
              <a:srgbClr val="C0C0C0"/>
            </a:solidFill>
            <a:prstDash val="solid"/>
          </a:ln>
        </c:spPr>
        <c:txPr>
          <a:bodyPr rot="0" vert="horz"/>
          <a:lstStyle/>
          <a:p>
            <a:pPr>
              <a:defRPr sz="6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3512576"/>
        <c:crossesAt val="0"/>
        <c:auto val="1"/>
        <c:lblAlgn val="ctr"/>
        <c:lblOffset val="100"/>
        <c:tickLblSkip val="3"/>
        <c:tickMarkSkip val="5"/>
        <c:noMultiLvlLbl val="0"/>
      </c:catAx>
      <c:valAx>
        <c:axId val="193512576"/>
        <c:scaling>
          <c:orientation val="minMax"/>
          <c:max val="35"/>
          <c:min val="-5"/>
        </c:scaling>
        <c:delete val="0"/>
        <c:axPos val="l"/>
        <c:majorGridlines>
          <c:spPr>
            <a:ln w="3174">
              <a:solidFill>
                <a:srgbClr val="C0C0C0"/>
              </a:solidFill>
              <a:prstDash val="solid"/>
            </a:ln>
          </c:spPr>
        </c:majorGridlines>
        <c:numFmt formatCode="0_ " sourceLinked="0"/>
        <c:majorTickMark val="none"/>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3494400"/>
        <c:crosses val="autoZero"/>
        <c:crossBetween val="between"/>
        <c:majorUnit val="5"/>
      </c:valAx>
      <c:spPr>
        <a:noFill/>
        <a:ln w="25394">
          <a:noFill/>
        </a:ln>
      </c:spPr>
    </c:plotArea>
    <c:plotVisOnly val="1"/>
    <c:dispBlanksAs val="gap"/>
    <c:showDLblsOverMax val="0"/>
  </c:chart>
  <c:spPr>
    <a:noFill/>
    <a:ln>
      <a:noFill/>
    </a:ln>
  </c:spPr>
  <c:txPr>
    <a:bodyPr/>
    <a:lstStyle/>
    <a:p>
      <a:pPr>
        <a:defRPr sz="16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5130482667868"/>
          <c:y val="8.3482064741907266E-2"/>
          <c:w val="0.87234042553191493"/>
          <c:h val="0.81176470588235294"/>
        </c:manualLayout>
      </c:layout>
      <c:lineChart>
        <c:grouping val="standard"/>
        <c:varyColors val="0"/>
        <c:ser>
          <c:idx val="0"/>
          <c:order val="0"/>
          <c:tx>
            <c:strRef>
              <c:f>Sheet5!$J$1</c:f>
              <c:strCache>
                <c:ptCount val="1"/>
                <c:pt idx="0">
                  <c:v>隔夜拆款利率</c:v>
                </c:pt>
              </c:strCache>
            </c:strRef>
          </c:tx>
          <c:spPr>
            <a:ln w="12698">
              <a:solidFill>
                <a:srgbClr val="000080"/>
              </a:solidFill>
              <a:prstDash val="solid"/>
            </a:ln>
          </c:spPr>
          <c:marker>
            <c:symbol val="diamond"/>
            <c:size val="4"/>
            <c:spPr>
              <a:solidFill>
                <a:srgbClr val="000080"/>
              </a:solidFill>
              <a:ln>
                <a:solidFill>
                  <a:srgbClr val="000080"/>
                </a:solidFill>
                <a:prstDash val="solid"/>
              </a:ln>
            </c:spPr>
          </c:marker>
          <c:cat>
            <c:multiLvlStrRef>
              <c:f>Sheet5!$H$98:$I$161</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3">
                    <c:v>8</c:v>
                  </c:pt>
                  <c:pt idx="44">
                    <c:v>9</c:v>
                  </c:pt>
                  <c:pt idx="48">
                    <c:v>103年</c:v>
                  </c:pt>
                  <c:pt idx="60">
                    <c:v>104年</c:v>
                  </c:pt>
                </c:lvl>
              </c:multiLvlStrCache>
            </c:multiLvlStrRef>
          </c:cat>
          <c:val>
            <c:numRef>
              <c:f>Sheet5!$J$98:$J$161</c:f>
              <c:numCache>
                <c:formatCode>0.000_ </c:formatCode>
                <c:ptCount val="64"/>
                <c:pt idx="0">
                  <c:v>0.108</c:v>
                </c:pt>
                <c:pt idx="1">
                  <c:v>0.104</c:v>
                </c:pt>
                <c:pt idx="2">
                  <c:v>0.13</c:v>
                </c:pt>
                <c:pt idx="3">
                  <c:v>0.16400000000000001</c:v>
                </c:pt>
                <c:pt idx="4">
                  <c:v>0.17399999999999999</c:v>
                </c:pt>
                <c:pt idx="5">
                  <c:v>0.183</c:v>
                </c:pt>
                <c:pt idx="6">
                  <c:v>0.19600000000000001</c:v>
                </c:pt>
                <c:pt idx="7">
                  <c:v>0.20300000000000001</c:v>
                </c:pt>
                <c:pt idx="8">
                  <c:v>0.21</c:v>
                </c:pt>
                <c:pt idx="9">
                  <c:v>0.22600000000000001</c:v>
                </c:pt>
                <c:pt idx="10">
                  <c:v>0.23100000000000001</c:v>
                </c:pt>
                <c:pt idx="11">
                  <c:v>0.23899999999999999</c:v>
                </c:pt>
                <c:pt idx="12">
                  <c:v>0.25700000000000001</c:v>
                </c:pt>
                <c:pt idx="13">
                  <c:v>0.26200000000000001</c:v>
                </c:pt>
                <c:pt idx="14">
                  <c:v>0.27400000000000002</c:v>
                </c:pt>
                <c:pt idx="15">
                  <c:v>0.29599999999999999</c:v>
                </c:pt>
                <c:pt idx="16">
                  <c:v>0.31900000000000001</c:v>
                </c:pt>
                <c:pt idx="17">
                  <c:v>0.34399999999999997</c:v>
                </c:pt>
                <c:pt idx="18">
                  <c:v>0.375</c:v>
                </c:pt>
                <c:pt idx="19">
                  <c:v>0.38800000000000001</c:v>
                </c:pt>
                <c:pt idx="20">
                  <c:v>0.39400000000000002</c:v>
                </c:pt>
                <c:pt idx="21">
                  <c:v>0.39500000000000002</c:v>
                </c:pt>
                <c:pt idx="22">
                  <c:v>0.39600000000000002</c:v>
                </c:pt>
                <c:pt idx="23">
                  <c:v>0.4</c:v>
                </c:pt>
                <c:pt idx="24">
                  <c:v>0.40300000000000002</c:v>
                </c:pt>
                <c:pt idx="25">
                  <c:v>0.39900000000000002</c:v>
                </c:pt>
                <c:pt idx="26">
                  <c:v>0.40200000000000002</c:v>
                </c:pt>
                <c:pt idx="27">
                  <c:v>0.47599999999999998</c:v>
                </c:pt>
                <c:pt idx="28">
                  <c:v>0.51200000000000001</c:v>
                </c:pt>
                <c:pt idx="29">
                  <c:v>0.51300000000000001</c:v>
                </c:pt>
                <c:pt idx="30">
                  <c:v>0.44500000000000001</c:v>
                </c:pt>
                <c:pt idx="31">
                  <c:v>0.38800000000000001</c:v>
                </c:pt>
                <c:pt idx="32">
                  <c:v>0.38900000000000001</c:v>
                </c:pt>
                <c:pt idx="33">
                  <c:v>0.38800000000000001</c:v>
                </c:pt>
                <c:pt idx="34">
                  <c:v>0.38600000000000001</c:v>
                </c:pt>
                <c:pt idx="35">
                  <c:v>0.38800000000000001</c:v>
                </c:pt>
                <c:pt idx="36">
                  <c:v>0.38700000000000001</c:v>
                </c:pt>
                <c:pt idx="37">
                  <c:v>0.38700000000000001</c:v>
                </c:pt>
                <c:pt idx="38">
                  <c:v>0.38700000000000001</c:v>
                </c:pt>
                <c:pt idx="39">
                  <c:v>0.38600000000000001</c:v>
                </c:pt>
                <c:pt idx="40">
                  <c:v>0.38600000000000001</c:v>
                </c:pt>
                <c:pt idx="41">
                  <c:v>0.38600000000000001</c:v>
                </c:pt>
                <c:pt idx="42">
                  <c:v>0.38600000000000001</c:v>
                </c:pt>
                <c:pt idx="43">
                  <c:v>0.38600000000000001</c:v>
                </c:pt>
                <c:pt idx="44">
                  <c:v>0.38600000000000001</c:v>
                </c:pt>
                <c:pt idx="45">
                  <c:v>0.38700000000000001</c:v>
                </c:pt>
                <c:pt idx="46">
                  <c:v>0.38600000000000001</c:v>
                </c:pt>
                <c:pt idx="47">
                  <c:v>0.38700000000000001</c:v>
                </c:pt>
                <c:pt idx="48">
                  <c:v>0.38800000000000001</c:v>
                </c:pt>
                <c:pt idx="49">
                  <c:v>0.38700000000000001</c:v>
                </c:pt>
                <c:pt idx="50">
                  <c:v>0.38700000000000001</c:v>
                </c:pt>
                <c:pt idx="51">
                  <c:v>0.38700000000000001</c:v>
                </c:pt>
                <c:pt idx="52">
                  <c:v>0.38800000000000001</c:v>
                </c:pt>
                <c:pt idx="53">
                  <c:v>0.38700000000000001</c:v>
                </c:pt>
                <c:pt idx="54">
                  <c:v>0.38700000000000001</c:v>
                </c:pt>
                <c:pt idx="55">
                  <c:v>0.38600000000000001</c:v>
                </c:pt>
                <c:pt idx="56">
                  <c:v>0.38700000000000001</c:v>
                </c:pt>
                <c:pt idx="57">
                  <c:v>0.38700000000000001</c:v>
                </c:pt>
                <c:pt idx="58">
                  <c:v>0.38700000000000001</c:v>
                </c:pt>
                <c:pt idx="59">
                  <c:v>0.38700000000000001</c:v>
                </c:pt>
                <c:pt idx="60">
                  <c:v>0.38700000000000001</c:v>
                </c:pt>
                <c:pt idx="61">
                  <c:v>0.38800000000000001</c:v>
                </c:pt>
                <c:pt idx="62">
                  <c:v>0.38700000000000001</c:v>
                </c:pt>
                <c:pt idx="63">
                  <c:v>0.38700000000000001</c:v>
                </c:pt>
              </c:numCache>
            </c:numRef>
          </c:val>
          <c:smooth val="0"/>
        </c:ser>
        <c:ser>
          <c:idx val="1"/>
          <c:order val="1"/>
          <c:tx>
            <c:strRef>
              <c:f>Sheet5!$K$1</c:f>
              <c:strCache>
                <c:ptCount val="1"/>
                <c:pt idx="0">
                  <c:v>商業本票利率</c:v>
                </c:pt>
              </c:strCache>
            </c:strRef>
          </c:tx>
          <c:spPr>
            <a:ln w="12698">
              <a:solidFill>
                <a:srgbClr val="FF00FF"/>
              </a:solidFill>
              <a:prstDash val="solid"/>
            </a:ln>
          </c:spPr>
          <c:marker>
            <c:symbol val="square"/>
            <c:size val="3"/>
            <c:spPr>
              <a:solidFill>
                <a:srgbClr val="FF00FF"/>
              </a:solidFill>
              <a:ln>
                <a:solidFill>
                  <a:srgbClr val="FF00FF"/>
                </a:solidFill>
                <a:prstDash val="solid"/>
              </a:ln>
            </c:spPr>
          </c:marker>
          <c:cat>
            <c:multiLvlStrRef>
              <c:f>Sheet5!$H$98:$I$161</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3">
                    <c:v>8</c:v>
                  </c:pt>
                  <c:pt idx="44">
                    <c:v>9</c:v>
                  </c:pt>
                  <c:pt idx="48">
                    <c:v>103年</c:v>
                  </c:pt>
                  <c:pt idx="60">
                    <c:v>104年</c:v>
                  </c:pt>
                </c:lvl>
              </c:multiLvlStrCache>
            </c:multiLvlStrRef>
          </c:cat>
          <c:val>
            <c:numRef>
              <c:f>Sheet5!$K$98:$K$161</c:f>
              <c:numCache>
                <c:formatCode>0.00_ </c:formatCode>
                <c:ptCount val="64"/>
                <c:pt idx="0">
                  <c:v>0.4</c:v>
                </c:pt>
                <c:pt idx="1">
                  <c:v>0.43</c:v>
                </c:pt>
                <c:pt idx="2">
                  <c:v>0.42</c:v>
                </c:pt>
                <c:pt idx="3">
                  <c:v>0.43</c:v>
                </c:pt>
                <c:pt idx="4">
                  <c:v>0.4</c:v>
                </c:pt>
                <c:pt idx="5">
                  <c:v>0.44</c:v>
                </c:pt>
                <c:pt idx="6">
                  <c:v>0.44</c:v>
                </c:pt>
                <c:pt idx="7">
                  <c:v>0.47</c:v>
                </c:pt>
                <c:pt idx="8">
                  <c:v>0.47</c:v>
                </c:pt>
                <c:pt idx="9">
                  <c:v>0.51</c:v>
                </c:pt>
                <c:pt idx="10">
                  <c:v>0.56999999999999995</c:v>
                </c:pt>
                <c:pt idx="11">
                  <c:v>0.6</c:v>
                </c:pt>
                <c:pt idx="12">
                  <c:v>0.63</c:v>
                </c:pt>
                <c:pt idx="13">
                  <c:v>0.65</c:v>
                </c:pt>
                <c:pt idx="14">
                  <c:v>0.68</c:v>
                </c:pt>
                <c:pt idx="15">
                  <c:v>0.8</c:v>
                </c:pt>
                <c:pt idx="16">
                  <c:v>0.81</c:v>
                </c:pt>
                <c:pt idx="17">
                  <c:v>0.83</c:v>
                </c:pt>
                <c:pt idx="18">
                  <c:v>0.88</c:v>
                </c:pt>
                <c:pt idx="19">
                  <c:v>0.89</c:v>
                </c:pt>
                <c:pt idx="20">
                  <c:v>0.9</c:v>
                </c:pt>
                <c:pt idx="21">
                  <c:v>0.9</c:v>
                </c:pt>
                <c:pt idx="22">
                  <c:v>0.9</c:v>
                </c:pt>
                <c:pt idx="23">
                  <c:v>0.92</c:v>
                </c:pt>
                <c:pt idx="24">
                  <c:v>0.93</c:v>
                </c:pt>
                <c:pt idx="25">
                  <c:v>0.93</c:v>
                </c:pt>
                <c:pt idx="26">
                  <c:v>0.92</c:v>
                </c:pt>
                <c:pt idx="27">
                  <c:v>0.93</c:v>
                </c:pt>
                <c:pt idx="28">
                  <c:v>0.86</c:v>
                </c:pt>
                <c:pt idx="29">
                  <c:v>0.86</c:v>
                </c:pt>
                <c:pt idx="30">
                  <c:v>0.86</c:v>
                </c:pt>
                <c:pt idx="31">
                  <c:v>0.84</c:v>
                </c:pt>
                <c:pt idx="32">
                  <c:v>0.83</c:v>
                </c:pt>
                <c:pt idx="33">
                  <c:v>0.84</c:v>
                </c:pt>
                <c:pt idx="34">
                  <c:v>0.82</c:v>
                </c:pt>
                <c:pt idx="35">
                  <c:v>0.83</c:v>
                </c:pt>
                <c:pt idx="36">
                  <c:v>0.82</c:v>
                </c:pt>
                <c:pt idx="37">
                  <c:v>0.82</c:v>
                </c:pt>
                <c:pt idx="38">
                  <c:v>0.87</c:v>
                </c:pt>
                <c:pt idx="39">
                  <c:v>0.86</c:v>
                </c:pt>
                <c:pt idx="40">
                  <c:v>0.87</c:v>
                </c:pt>
                <c:pt idx="41">
                  <c:v>0.86</c:v>
                </c:pt>
                <c:pt idx="42">
                  <c:v>0.86</c:v>
                </c:pt>
                <c:pt idx="43">
                  <c:v>0.86</c:v>
                </c:pt>
                <c:pt idx="44">
                  <c:v>0.85</c:v>
                </c:pt>
                <c:pt idx="45">
                  <c:v>0.83</c:v>
                </c:pt>
                <c:pt idx="46">
                  <c:v>0.84</c:v>
                </c:pt>
                <c:pt idx="47">
                  <c:v>0.86</c:v>
                </c:pt>
                <c:pt idx="48">
                  <c:v>0.83</c:v>
                </c:pt>
                <c:pt idx="49">
                  <c:v>0.84</c:v>
                </c:pt>
                <c:pt idx="50">
                  <c:v>0.83</c:v>
                </c:pt>
                <c:pt idx="51">
                  <c:v>0.81</c:v>
                </c:pt>
                <c:pt idx="52">
                  <c:v>0.79</c:v>
                </c:pt>
                <c:pt idx="53">
                  <c:v>0.81</c:v>
                </c:pt>
                <c:pt idx="54">
                  <c:v>0.8</c:v>
                </c:pt>
                <c:pt idx="55">
                  <c:v>0.79</c:v>
                </c:pt>
                <c:pt idx="56">
                  <c:v>0.81</c:v>
                </c:pt>
                <c:pt idx="57">
                  <c:v>0.8</c:v>
                </c:pt>
                <c:pt idx="58">
                  <c:v>0.82</c:v>
                </c:pt>
                <c:pt idx="59">
                  <c:v>0.85</c:v>
                </c:pt>
                <c:pt idx="60">
                  <c:v>0.83</c:v>
                </c:pt>
                <c:pt idx="61">
                  <c:v>0.81</c:v>
                </c:pt>
                <c:pt idx="62">
                  <c:v>0.79</c:v>
                </c:pt>
                <c:pt idx="63">
                  <c:v>0.79</c:v>
                </c:pt>
              </c:numCache>
            </c:numRef>
          </c:val>
          <c:smooth val="0"/>
        </c:ser>
        <c:dLbls>
          <c:showLegendKey val="0"/>
          <c:showVal val="0"/>
          <c:showCatName val="0"/>
          <c:showSerName val="0"/>
          <c:showPercent val="0"/>
          <c:showBubbleSize val="0"/>
        </c:dLbls>
        <c:marker val="1"/>
        <c:smooth val="0"/>
        <c:axId val="191023744"/>
        <c:axId val="191025920"/>
      </c:lineChart>
      <c:catAx>
        <c:axId val="191023744"/>
        <c:scaling>
          <c:orientation val="minMax"/>
        </c:scaling>
        <c:delete val="0"/>
        <c:axPos val="b"/>
        <c:numFmt formatCode="General"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191025920"/>
        <c:crosses val="autoZero"/>
        <c:auto val="1"/>
        <c:lblAlgn val="ctr"/>
        <c:lblOffset val="100"/>
        <c:tickLblSkip val="3"/>
        <c:tickMarkSkip val="3"/>
        <c:noMultiLvlLbl val="1"/>
      </c:catAx>
      <c:valAx>
        <c:axId val="191025920"/>
        <c:scaling>
          <c:orientation val="minMax"/>
          <c:max val="1.4"/>
        </c:scaling>
        <c:delete val="0"/>
        <c:axPos val="l"/>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pitchFamily="34" charset="0"/>
                <a:ea typeface="新細明體"/>
                <a:cs typeface="Arial" pitchFamily="34" charset="0"/>
              </a:defRPr>
            </a:pPr>
            <a:endParaRPr lang="zh-TW"/>
          </a:p>
        </c:txPr>
        <c:crossAx val="191023744"/>
        <c:crosses val="autoZero"/>
        <c:crossBetween val="between"/>
      </c:valAx>
      <c:spPr>
        <a:solidFill>
          <a:srgbClr val="FFFFFF"/>
        </a:solidFill>
        <a:ln w="12698">
          <a:solidFill>
            <a:srgbClr val="FFFFFF"/>
          </a:solidFill>
          <a:prstDash val="solid"/>
        </a:ln>
      </c:spPr>
    </c:plotArea>
    <c:legend>
      <c:legendPos val="r"/>
      <c:layout>
        <c:manualLayout>
          <c:xMode val="edge"/>
          <c:yMode val="edge"/>
          <c:x val="0.23670203617710181"/>
          <c:y val="7.4509880479816049E-2"/>
          <c:w val="0.32978710994459026"/>
          <c:h val="0.17647079239062058"/>
        </c:manualLayout>
      </c:layout>
      <c:overlay val="0"/>
      <c:spPr>
        <a:solidFill>
          <a:srgbClr val="FFFFFF"/>
        </a:solidFill>
        <a:ln w="3175">
          <a:solidFill>
            <a:srgbClr val="FFFFFF"/>
          </a:solidFill>
          <a:prstDash val="solid"/>
        </a:ln>
      </c:spPr>
      <c:txPr>
        <a:bodyPr/>
        <a:lstStyle/>
        <a:p>
          <a:pPr>
            <a:defRPr sz="870"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w="12698">
      <a:solidFill>
        <a:srgbClr val="FFFFFF"/>
      </a:solidFill>
      <a:prstDash val="solid"/>
    </a:ln>
  </c:spPr>
  <c:txPr>
    <a:bodyPr/>
    <a:lstStyle/>
    <a:p>
      <a:pPr>
        <a:defRPr sz="95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9958847736625515E-2"/>
          <c:y val="9.7649186256781192E-2"/>
          <c:w val="0.87105624142661175"/>
          <c:h val="0.74141048824593125"/>
        </c:manualLayout>
      </c:layout>
      <c:lineChart>
        <c:grouping val="standard"/>
        <c:varyColors val="0"/>
        <c:ser>
          <c:idx val="0"/>
          <c:order val="0"/>
          <c:tx>
            <c:strRef>
              <c:f>Sheet1!$E$1</c:f>
              <c:strCache>
                <c:ptCount val="1"/>
                <c:pt idx="0">
                  <c:v>放款餘額年增率</c:v>
                </c:pt>
              </c:strCache>
            </c:strRef>
          </c:tx>
          <c:spPr>
            <a:ln w="19383">
              <a:solidFill>
                <a:srgbClr val="000080"/>
              </a:solidFill>
              <a:prstDash val="solid"/>
            </a:ln>
          </c:spPr>
          <c:marker>
            <c:symbol val="none"/>
          </c:marker>
          <c:cat>
            <c:multiLvlStrRef>
              <c:f>Sheet1!$A$176:$B$239</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Sheet1!$E$176:$E$239</c:f>
              <c:numCache>
                <c:formatCode>0.00_ </c:formatCode>
                <c:ptCount val="64"/>
                <c:pt idx="0">
                  <c:v>1.73</c:v>
                </c:pt>
                <c:pt idx="1">
                  <c:v>2.95</c:v>
                </c:pt>
                <c:pt idx="2">
                  <c:v>2.89</c:v>
                </c:pt>
                <c:pt idx="3" formatCode="General">
                  <c:v>3.59</c:v>
                </c:pt>
                <c:pt idx="4" formatCode="General">
                  <c:v>4.91</c:v>
                </c:pt>
                <c:pt idx="5" formatCode="General">
                  <c:v>5.23</c:v>
                </c:pt>
                <c:pt idx="6" formatCode="General">
                  <c:v>5.84</c:v>
                </c:pt>
                <c:pt idx="7" formatCode="General">
                  <c:v>6.25</c:v>
                </c:pt>
                <c:pt idx="8" formatCode="General">
                  <c:v>6</c:v>
                </c:pt>
                <c:pt idx="9" formatCode="General">
                  <c:v>6.97</c:v>
                </c:pt>
                <c:pt idx="10" formatCode="General">
                  <c:v>6.69</c:v>
                </c:pt>
                <c:pt idx="11" formatCode="General">
                  <c:v>6.72</c:v>
                </c:pt>
                <c:pt idx="12" formatCode="General">
                  <c:v>8.2899999999999991</c:v>
                </c:pt>
                <c:pt idx="13" formatCode="General">
                  <c:v>8.5</c:v>
                </c:pt>
                <c:pt idx="14" formatCode="General">
                  <c:v>8.9</c:v>
                </c:pt>
                <c:pt idx="15" formatCode="General">
                  <c:v>8.4</c:v>
                </c:pt>
                <c:pt idx="16" formatCode="General">
                  <c:v>8</c:v>
                </c:pt>
                <c:pt idx="17" formatCode="General">
                  <c:v>7.49</c:v>
                </c:pt>
                <c:pt idx="18" formatCode="General">
                  <c:v>7.34</c:v>
                </c:pt>
                <c:pt idx="19" formatCode="General">
                  <c:v>7.29</c:v>
                </c:pt>
                <c:pt idx="20" formatCode="General">
                  <c:v>7.92</c:v>
                </c:pt>
                <c:pt idx="21" formatCode="General">
                  <c:v>7.02</c:v>
                </c:pt>
                <c:pt idx="22" formatCode="General">
                  <c:v>6.78</c:v>
                </c:pt>
                <c:pt idx="23" formatCode="General">
                  <c:v>5.58</c:v>
                </c:pt>
                <c:pt idx="24" formatCode="General">
                  <c:v>4.5199999999999996</c:v>
                </c:pt>
                <c:pt idx="25">
                  <c:v>4.4400000000000004</c:v>
                </c:pt>
                <c:pt idx="26">
                  <c:v>4.54</c:v>
                </c:pt>
                <c:pt idx="27">
                  <c:v>4.68</c:v>
                </c:pt>
                <c:pt idx="28">
                  <c:v>4</c:v>
                </c:pt>
                <c:pt idx="29">
                  <c:v>3.12</c:v>
                </c:pt>
                <c:pt idx="30">
                  <c:v>3.47</c:v>
                </c:pt>
                <c:pt idx="31">
                  <c:v>2.4900000000000002</c:v>
                </c:pt>
                <c:pt idx="32">
                  <c:v>2.37</c:v>
                </c:pt>
                <c:pt idx="33">
                  <c:v>2.84</c:v>
                </c:pt>
                <c:pt idx="34">
                  <c:v>2.5099999999999998</c:v>
                </c:pt>
                <c:pt idx="35">
                  <c:v>3.29</c:v>
                </c:pt>
                <c:pt idx="36">
                  <c:v>2.77</c:v>
                </c:pt>
                <c:pt idx="37">
                  <c:v>2.83</c:v>
                </c:pt>
                <c:pt idx="38">
                  <c:v>2.84</c:v>
                </c:pt>
                <c:pt idx="39">
                  <c:v>2.59</c:v>
                </c:pt>
                <c:pt idx="40">
                  <c:v>2.16</c:v>
                </c:pt>
                <c:pt idx="41">
                  <c:v>3.53</c:v>
                </c:pt>
                <c:pt idx="42">
                  <c:v>3.46</c:v>
                </c:pt>
                <c:pt idx="43">
                  <c:v>3.41</c:v>
                </c:pt>
                <c:pt idx="44">
                  <c:v>3.83</c:v>
                </c:pt>
                <c:pt idx="45">
                  <c:v>3.55</c:v>
                </c:pt>
                <c:pt idx="46">
                  <c:v>4.1100000000000003</c:v>
                </c:pt>
                <c:pt idx="47">
                  <c:v>3.48</c:v>
                </c:pt>
                <c:pt idx="48">
                  <c:v>4.17</c:v>
                </c:pt>
                <c:pt idx="49">
                  <c:v>4.16</c:v>
                </c:pt>
                <c:pt idx="50">
                  <c:v>4.38</c:v>
                </c:pt>
                <c:pt idx="51">
                  <c:v>5</c:v>
                </c:pt>
                <c:pt idx="52">
                  <c:v>5.27</c:v>
                </c:pt>
                <c:pt idx="53">
                  <c:v>4.74</c:v>
                </c:pt>
                <c:pt idx="54">
                  <c:v>4.55</c:v>
                </c:pt>
                <c:pt idx="55">
                  <c:v>4.9800000000000004</c:v>
                </c:pt>
                <c:pt idx="56">
                  <c:v>4.87</c:v>
                </c:pt>
                <c:pt idx="57">
                  <c:v>4.96</c:v>
                </c:pt>
                <c:pt idx="58">
                  <c:v>4.7</c:v>
                </c:pt>
                <c:pt idx="59">
                  <c:v>4.7699999999999996</c:v>
                </c:pt>
                <c:pt idx="60">
                  <c:v>3.6</c:v>
                </c:pt>
                <c:pt idx="61">
                  <c:v>4.25</c:v>
                </c:pt>
                <c:pt idx="62">
                  <c:v>4.12</c:v>
                </c:pt>
                <c:pt idx="63">
                  <c:v>3.21</c:v>
                </c:pt>
              </c:numCache>
            </c:numRef>
          </c:val>
          <c:smooth val="0"/>
        </c:ser>
        <c:ser>
          <c:idx val="1"/>
          <c:order val="1"/>
          <c:tx>
            <c:strRef>
              <c:f>Sheet1!$H$1</c:f>
              <c:strCache>
                <c:ptCount val="1"/>
                <c:pt idx="0">
                  <c:v>放款與投資年增率</c:v>
                </c:pt>
              </c:strCache>
            </c:strRef>
          </c:tx>
          <c:spPr>
            <a:ln w="19383">
              <a:solidFill>
                <a:srgbClr val="FF0000"/>
              </a:solidFill>
              <a:prstDash val="sysDash"/>
            </a:ln>
          </c:spPr>
          <c:marker>
            <c:symbol val="none"/>
          </c:marker>
          <c:dPt>
            <c:idx val="41"/>
            <c:bubble3D val="0"/>
          </c:dPt>
          <c:cat>
            <c:multiLvlStrRef>
              <c:f>Sheet1!$A$176:$B$239</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Sheet1!$F$176:$F$239</c:f>
              <c:numCache>
                <c:formatCode>0.00_ </c:formatCode>
                <c:ptCount val="64"/>
                <c:pt idx="0">
                  <c:v>0.91</c:v>
                </c:pt>
                <c:pt idx="1">
                  <c:v>1.97</c:v>
                </c:pt>
                <c:pt idx="2" formatCode="General">
                  <c:v>1.45</c:v>
                </c:pt>
                <c:pt idx="3" formatCode="General">
                  <c:v>2.1</c:v>
                </c:pt>
                <c:pt idx="4">
                  <c:v>3.03</c:v>
                </c:pt>
                <c:pt idx="5">
                  <c:v>3.75</c:v>
                </c:pt>
                <c:pt idx="6" formatCode="General">
                  <c:v>4.6399999999999997</c:v>
                </c:pt>
                <c:pt idx="7" formatCode="General">
                  <c:v>5.68</c:v>
                </c:pt>
                <c:pt idx="8" formatCode="General">
                  <c:v>5.29</c:v>
                </c:pt>
                <c:pt idx="9" formatCode="General">
                  <c:v>5.96</c:v>
                </c:pt>
                <c:pt idx="10" formatCode="General">
                  <c:v>3.34</c:v>
                </c:pt>
                <c:pt idx="11" formatCode="General">
                  <c:v>6.19</c:v>
                </c:pt>
                <c:pt idx="12" formatCode="General">
                  <c:v>7.62</c:v>
                </c:pt>
                <c:pt idx="13" formatCode="General">
                  <c:v>7.63</c:v>
                </c:pt>
                <c:pt idx="14" formatCode="General">
                  <c:v>8.1999999999999993</c:v>
                </c:pt>
                <c:pt idx="15" formatCode="General">
                  <c:v>7.9</c:v>
                </c:pt>
                <c:pt idx="16" formatCode="General">
                  <c:v>7.8</c:v>
                </c:pt>
                <c:pt idx="17" formatCode="General">
                  <c:v>7.48</c:v>
                </c:pt>
                <c:pt idx="18" formatCode="General">
                  <c:v>7.2</c:v>
                </c:pt>
                <c:pt idx="19" formatCode="General">
                  <c:v>7.28</c:v>
                </c:pt>
                <c:pt idx="20" formatCode="General">
                  <c:v>7.53</c:v>
                </c:pt>
                <c:pt idx="21" formatCode="General">
                  <c:v>7.41</c:v>
                </c:pt>
                <c:pt idx="22" formatCode="General">
                  <c:v>6.88</c:v>
                </c:pt>
                <c:pt idx="23" formatCode="General">
                  <c:v>6</c:v>
                </c:pt>
                <c:pt idx="24" formatCode="General">
                  <c:v>5.2</c:v>
                </c:pt>
                <c:pt idx="25">
                  <c:v>5.15</c:v>
                </c:pt>
                <c:pt idx="26">
                  <c:v>5.3</c:v>
                </c:pt>
                <c:pt idx="27">
                  <c:v>5.53</c:v>
                </c:pt>
                <c:pt idx="28">
                  <c:v>5.23</c:v>
                </c:pt>
                <c:pt idx="29">
                  <c:v>4.58</c:v>
                </c:pt>
                <c:pt idx="30">
                  <c:v>5.21</c:v>
                </c:pt>
                <c:pt idx="31">
                  <c:v>4.7</c:v>
                </c:pt>
                <c:pt idx="32">
                  <c:v>4.51</c:v>
                </c:pt>
                <c:pt idx="33">
                  <c:v>4.91</c:v>
                </c:pt>
                <c:pt idx="34">
                  <c:v>4.96</c:v>
                </c:pt>
                <c:pt idx="35">
                  <c:v>5.69</c:v>
                </c:pt>
                <c:pt idx="36">
                  <c:v>5.63</c:v>
                </c:pt>
                <c:pt idx="37">
                  <c:v>5.68</c:v>
                </c:pt>
                <c:pt idx="38">
                  <c:v>6.02</c:v>
                </c:pt>
                <c:pt idx="39">
                  <c:v>5.64</c:v>
                </c:pt>
                <c:pt idx="40">
                  <c:v>5.22</c:v>
                </c:pt>
                <c:pt idx="41">
                  <c:v>5.93</c:v>
                </c:pt>
                <c:pt idx="42">
                  <c:v>5.91</c:v>
                </c:pt>
                <c:pt idx="43">
                  <c:v>5.75</c:v>
                </c:pt>
                <c:pt idx="44">
                  <c:v>5.83</c:v>
                </c:pt>
                <c:pt idx="45">
                  <c:v>5.47</c:v>
                </c:pt>
                <c:pt idx="46">
                  <c:v>5.6</c:v>
                </c:pt>
                <c:pt idx="47">
                  <c:v>4.59</c:v>
                </c:pt>
                <c:pt idx="48">
                  <c:v>4.95</c:v>
                </c:pt>
                <c:pt idx="49">
                  <c:v>4.95</c:v>
                </c:pt>
                <c:pt idx="50">
                  <c:v>4.53</c:v>
                </c:pt>
                <c:pt idx="51">
                  <c:v>4.99</c:v>
                </c:pt>
                <c:pt idx="52">
                  <c:v>5.2</c:v>
                </c:pt>
                <c:pt idx="53">
                  <c:v>4.95</c:v>
                </c:pt>
                <c:pt idx="54">
                  <c:v>5.1100000000000003</c:v>
                </c:pt>
                <c:pt idx="55">
                  <c:v>5.17</c:v>
                </c:pt>
                <c:pt idx="56">
                  <c:v>4.7699999999999996</c:v>
                </c:pt>
                <c:pt idx="57">
                  <c:v>4.88</c:v>
                </c:pt>
                <c:pt idx="58">
                  <c:v>4.78</c:v>
                </c:pt>
                <c:pt idx="59">
                  <c:v>5.2</c:v>
                </c:pt>
                <c:pt idx="60">
                  <c:v>4.59</c:v>
                </c:pt>
                <c:pt idx="61">
                  <c:v>5.26</c:v>
                </c:pt>
                <c:pt idx="62">
                  <c:v>5.14</c:v>
                </c:pt>
                <c:pt idx="63">
                  <c:v>4.71</c:v>
                </c:pt>
              </c:numCache>
            </c:numRef>
          </c:val>
          <c:smooth val="1"/>
        </c:ser>
        <c:dLbls>
          <c:showLegendKey val="0"/>
          <c:showVal val="0"/>
          <c:showCatName val="0"/>
          <c:showSerName val="0"/>
          <c:showPercent val="0"/>
          <c:showBubbleSize val="0"/>
        </c:dLbls>
        <c:marker val="1"/>
        <c:smooth val="0"/>
        <c:axId val="191054592"/>
        <c:axId val="191056128"/>
      </c:lineChart>
      <c:lineChart>
        <c:grouping val="stacked"/>
        <c:varyColors val="0"/>
        <c:ser>
          <c:idx val="2"/>
          <c:order val="2"/>
          <c:tx>
            <c:strRef>
              <c:f>Sheet1!$C$1</c:f>
              <c:strCache>
                <c:ptCount val="1"/>
                <c:pt idx="0">
                  <c:v>放款與投資餘額</c:v>
                </c:pt>
              </c:strCache>
            </c:strRef>
          </c:tx>
          <c:spPr>
            <a:ln w="12922">
              <a:solidFill>
                <a:srgbClr val="FF00FF"/>
              </a:solidFill>
              <a:prstDash val="lgDashDotDot"/>
            </a:ln>
          </c:spPr>
          <c:marker>
            <c:symbol val="none"/>
          </c:marker>
          <c:dPt>
            <c:idx val="41"/>
            <c:bubble3D val="0"/>
          </c:dPt>
          <c:cat>
            <c:multiLvlStrRef>
              <c:f>Sheet1!$A$176:$B$236</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Sheet1!$C$176:$C$239</c:f>
              <c:numCache>
                <c:formatCode>General</c:formatCode>
                <c:ptCount val="64"/>
                <c:pt idx="0">
                  <c:v>21.5</c:v>
                </c:pt>
                <c:pt idx="1">
                  <c:v>21.6</c:v>
                </c:pt>
                <c:pt idx="2">
                  <c:v>21.5</c:v>
                </c:pt>
                <c:pt idx="3">
                  <c:v>21.7</c:v>
                </c:pt>
                <c:pt idx="4">
                  <c:v>21.8</c:v>
                </c:pt>
                <c:pt idx="5">
                  <c:v>21.9</c:v>
                </c:pt>
                <c:pt idx="6">
                  <c:v>22</c:v>
                </c:pt>
                <c:pt idx="7">
                  <c:v>22.2</c:v>
                </c:pt>
                <c:pt idx="8">
                  <c:v>22.1</c:v>
                </c:pt>
                <c:pt idx="9">
                  <c:v>22.3</c:v>
                </c:pt>
                <c:pt idx="10">
                  <c:v>22.5</c:v>
                </c:pt>
                <c:pt idx="11">
                  <c:v>22.8</c:v>
                </c:pt>
                <c:pt idx="12">
                  <c:v>23.2</c:v>
                </c:pt>
                <c:pt idx="13">
                  <c:v>23.3</c:v>
                </c:pt>
                <c:pt idx="14">
                  <c:v>23.3</c:v>
                </c:pt>
                <c:pt idx="15">
                  <c:v>23.4</c:v>
                </c:pt>
                <c:pt idx="16">
                  <c:v>23.5</c:v>
                </c:pt>
                <c:pt idx="17">
                  <c:v>23.5</c:v>
                </c:pt>
                <c:pt idx="18">
                  <c:v>23.6</c:v>
                </c:pt>
                <c:pt idx="19">
                  <c:v>23.83</c:v>
                </c:pt>
                <c:pt idx="20">
                  <c:v>23.94</c:v>
                </c:pt>
                <c:pt idx="21">
                  <c:v>24</c:v>
                </c:pt>
                <c:pt idx="22">
                  <c:v>24.09</c:v>
                </c:pt>
                <c:pt idx="23">
                  <c:v>24.17</c:v>
                </c:pt>
                <c:pt idx="24">
                  <c:v>24.39</c:v>
                </c:pt>
                <c:pt idx="25">
                  <c:v>24.41</c:v>
                </c:pt>
                <c:pt idx="26">
                  <c:v>24.49</c:v>
                </c:pt>
                <c:pt idx="27">
                  <c:v>24.64</c:v>
                </c:pt>
                <c:pt idx="28">
                  <c:v>24.74</c:v>
                </c:pt>
                <c:pt idx="29">
                  <c:v>24.59</c:v>
                </c:pt>
                <c:pt idx="30">
                  <c:v>24.83</c:v>
                </c:pt>
                <c:pt idx="31">
                  <c:v>24.94</c:v>
                </c:pt>
                <c:pt idx="32">
                  <c:v>25.01</c:v>
                </c:pt>
                <c:pt idx="33">
                  <c:v>25.17</c:v>
                </c:pt>
                <c:pt idx="34">
                  <c:v>25.27</c:v>
                </c:pt>
                <c:pt idx="35">
                  <c:v>25.55</c:v>
                </c:pt>
                <c:pt idx="36">
                  <c:v>25.77</c:v>
                </c:pt>
                <c:pt idx="37">
                  <c:v>25.83</c:v>
                </c:pt>
                <c:pt idx="38">
                  <c:v>25.97</c:v>
                </c:pt>
                <c:pt idx="39">
                  <c:v>26.03</c:v>
                </c:pt>
                <c:pt idx="40">
                  <c:v>26.03</c:v>
                </c:pt>
                <c:pt idx="41">
                  <c:v>26.05</c:v>
                </c:pt>
                <c:pt idx="42">
                  <c:v>26.3</c:v>
                </c:pt>
                <c:pt idx="43">
                  <c:v>26.37</c:v>
                </c:pt>
                <c:pt idx="44">
                  <c:v>26.47</c:v>
                </c:pt>
                <c:pt idx="45">
                  <c:v>26.54</c:v>
                </c:pt>
                <c:pt idx="46">
                  <c:v>26.69</c:v>
                </c:pt>
                <c:pt idx="47">
                  <c:v>26.72</c:v>
                </c:pt>
                <c:pt idx="48">
                  <c:v>27.04</c:v>
                </c:pt>
                <c:pt idx="49">
                  <c:v>27.11</c:v>
                </c:pt>
                <c:pt idx="50">
                  <c:v>27.14</c:v>
                </c:pt>
                <c:pt idx="51">
                  <c:v>27.33</c:v>
                </c:pt>
                <c:pt idx="52">
                  <c:v>27.38</c:v>
                </c:pt>
                <c:pt idx="53">
                  <c:v>27.33</c:v>
                </c:pt>
                <c:pt idx="54">
                  <c:v>27.64</c:v>
                </c:pt>
                <c:pt idx="55">
                  <c:v>27.73</c:v>
                </c:pt>
                <c:pt idx="56">
                  <c:v>27.72</c:v>
                </c:pt>
                <c:pt idx="57">
                  <c:v>27.83</c:v>
                </c:pt>
                <c:pt idx="58">
                  <c:v>27.96</c:v>
                </c:pt>
                <c:pt idx="59">
                  <c:v>28.11</c:v>
                </c:pt>
                <c:pt idx="60">
                  <c:v>28.28</c:v>
                </c:pt>
                <c:pt idx="61">
                  <c:v>28.54</c:v>
                </c:pt>
                <c:pt idx="62">
                  <c:v>28.54</c:v>
                </c:pt>
                <c:pt idx="63">
                  <c:v>28.62</c:v>
                </c:pt>
              </c:numCache>
            </c:numRef>
          </c:val>
          <c:smooth val="0"/>
        </c:ser>
        <c:dLbls>
          <c:showLegendKey val="0"/>
          <c:showVal val="0"/>
          <c:showCatName val="0"/>
          <c:showSerName val="0"/>
          <c:showPercent val="0"/>
          <c:showBubbleSize val="0"/>
        </c:dLbls>
        <c:marker val="1"/>
        <c:smooth val="0"/>
        <c:axId val="193462272"/>
        <c:axId val="193463808"/>
      </c:lineChart>
      <c:catAx>
        <c:axId val="191054592"/>
        <c:scaling>
          <c:orientation val="minMax"/>
        </c:scaling>
        <c:delete val="0"/>
        <c:axPos val="b"/>
        <c:numFmt formatCode="General" sourceLinked="1"/>
        <c:majorTickMark val="none"/>
        <c:minorTickMark val="none"/>
        <c:tickLblPos val="low"/>
        <c:spPr>
          <a:ln w="6461">
            <a:solidFill>
              <a:srgbClr val="000000"/>
            </a:solidFill>
            <a:prstDash val="solid"/>
          </a:ln>
        </c:spPr>
        <c:txPr>
          <a:bodyPr rot="0" vert="horz"/>
          <a:lstStyle/>
          <a:p>
            <a:pPr>
              <a:defRPr sz="800">
                <a:latin typeface="Times New Roman" panose="02020603050405020304" pitchFamily="18" charset="0"/>
                <a:cs typeface="Times New Roman" panose="02020603050405020304" pitchFamily="18" charset="0"/>
              </a:defRPr>
            </a:pPr>
            <a:endParaRPr lang="zh-TW"/>
          </a:p>
        </c:txPr>
        <c:crossAx val="191056128"/>
        <c:crosses val="autoZero"/>
        <c:auto val="0"/>
        <c:lblAlgn val="ctr"/>
        <c:lblOffset val="100"/>
        <c:tickLblSkip val="3"/>
        <c:tickMarkSkip val="3"/>
        <c:noMultiLvlLbl val="1"/>
      </c:catAx>
      <c:valAx>
        <c:axId val="191056128"/>
        <c:scaling>
          <c:orientation val="minMax"/>
          <c:max val="15"/>
          <c:min val="-5"/>
        </c:scaling>
        <c:delete val="0"/>
        <c:axPos val="l"/>
        <c:majorGridlines>
          <c:spPr>
            <a:ln w="1615">
              <a:solidFill>
                <a:srgbClr val="808080"/>
              </a:solidFill>
              <a:prstDash val="sysDash"/>
            </a:ln>
          </c:spPr>
        </c:majorGridlines>
        <c:numFmt formatCode="0_ " sourceLinked="0"/>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1054592"/>
        <c:crosses val="autoZero"/>
        <c:crossBetween val="midCat"/>
        <c:majorUnit val="2"/>
        <c:minorUnit val="2"/>
      </c:valAx>
      <c:catAx>
        <c:axId val="193462272"/>
        <c:scaling>
          <c:orientation val="minMax"/>
        </c:scaling>
        <c:delete val="1"/>
        <c:axPos val="b"/>
        <c:majorTickMark val="out"/>
        <c:minorTickMark val="none"/>
        <c:tickLblPos val="nextTo"/>
        <c:crossAx val="193463808"/>
        <c:crossesAt val="13"/>
        <c:auto val="1"/>
        <c:lblAlgn val="ctr"/>
        <c:lblOffset val="100"/>
        <c:noMultiLvlLbl val="0"/>
      </c:catAx>
      <c:valAx>
        <c:axId val="193463808"/>
        <c:scaling>
          <c:orientation val="minMax"/>
          <c:max val="30"/>
          <c:min val="15"/>
        </c:scaling>
        <c:delete val="0"/>
        <c:axPos val="r"/>
        <c:numFmt formatCode="General" sourceLinked="1"/>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3462272"/>
        <c:crosses val="max"/>
        <c:crossBetween val="midCat"/>
        <c:majorUnit val="2"/>
        <c:minorUnit val="2"/>
      </c:valAx>
      <c:spPr>
        <a:noFill/>
        <a:ln w="12922">
          <a:noFill/>
        </a:ln>
      </c:spPr>
    </c:plotArea>
    <c:legend>
      <c:legendPos val="r"/>
      <c:layout>
        <c:manualLayout>
          <c:xMode val="edge"/>
          <c:yMode val="edge"/>
          <c:x val="7.3331422652628195E-2"/>
          <c:y val="0.10230061242344707"/>
          <c:w val="0.46227709190672156"/>
          <c:h val="0.20433996383363473"/>
        </c:manualLayout>
      </c:layout>
      <c:overlay val="0"/>
      <c:spPr>
        <a:solidFill>
          <a:srgbClr val="FFFFFF"/>
        </a:solidFill>
        <a:ln w="12922">
          <a:noFill/>
        </a:ln>
      </c:spPr>
    </c:legend>
    <c:plotVisOnly val="1"/>
    <c:dispBlanksAs val="gap"/>
    <c:showDLblsOverMax val="0"/>
  </c:chart>
  <c:spPr>
    <a:solidFill>
      <a:srgbClr val="FFFFFF"/>
    </a:solidFill>
    <a:ln>
      <a:noFill/>
    </a:ln>
  </c:spPr>
  <c:txPr>
    <a:bodyPr/>
    <a:lstStyle/>
    <a:p>
      <a:pPr>
        <a:defRPr sz="1000" b="0" i="0" u="none" strike="noStrike" baseline="0">
          <a:solidFill>
            <a:srgbClr val="000000"/>
          </a:solidFill>
          <a:latin typeface="Times New Roman" pitchFamily="18" charset="0"/>
          <a:ea typeface="標楷體" pitchFamily="65" charset="-120"/>
          <a:cs typeface="Times New Roman" pitchFamily="18" charset="0"/>
        </a:defRPr>
      </a:pPr>
      <a:endParaRPr lang="zh-TW"/>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98" b="1" i="0" u="none" strike="noStrike" baseline="0">
                <a:solidFill>
                  <a:srgbClr val="000000"/>
                </a:solidFill>
                <a:latin typeface="標楷體"/>
                <a:ea typeface="標楷體"/>
                <a:cs typeface="標楷體"/>
              </a:defRPr>
            </a:pPr>
            <a:r>
              <a:rPr lang="zh-TW" altLang="en-US"/>
              <a:t>外匯存底變化</a:t>
            </a:r>
          </a:p>
        </c:rich>
      </c:tx>
      <c:layout>
        <c:manualLayout>
          <c:xMode val="edge"/>
          <c:yMode val="edge"/>
          <c:x val="0.3520409916037982"/>
          <c:y val="2.962338330796272E-3"/>
        </c:manualLayout>
      </c:layout>
      <c:overlay val="0"/>
      <c:spPr>
        <a:noFill/>
        <a:ln w="25344">
          <a:noFill/>
        </a:ln>
      </c:spPr>
    </c:title>
    <c:autoTitleDeleted val="0"/>
    <c:plotArea>
      <c:layout>
        <c:manualLayout>
          <c:layoutTarget val="inner"/>
          <c:xMode val="edge"/>
          <c:yMode val="edge"/>
          <c:x val="0.11479591836734694"/>
          <c:y val="0.12721893491124259"/>
          <c:w val="0.85714285714285721"/>
          <c:h val="0.75147928994082835"/>
        </c:manualLayout>
      </c:layout>
      <c:barChart>
        <c:barDir val="col"/>
        <c:grouping val="clustered"/>
        <c:varyColors val="0"/>
        <c:ser>
          <c:idx val="0"/>
          <c:order val="0"/>
          <c:tx>
            <c:strRef>
              <c:f>貨幣!$B$20</c:f>
              <c:strCache>
                <c:ptCount val="1"/>
                <c:pt idx="0">
                  <c:v>月</c:v>
                </c:pt>
              </c:strCache>
            </c:strRef>
          </c:tx>
          <c:invertIfNegative val="0"/>
          <c:cat>
            <c:strRef>
              <c:f>貨幣!$A$81:$A$132</c:f>
              <c:strCache>
                <c:ptCount val="49"/>
                <c:pt idx="0">
                  <c:v>100年</c:v>
                </c:pt>
                <c:pt idx="12">
                  <c:v>101年</c:v>
                </c:pt>
                <c:pt idx="24">
                  <c:v>102年</c:v>
                </c:pt>
                <c:pt idx="36">
                  <c:v>103年</c:v>
                </c:pt>
                <c:pt idx="48">
                  <c:v>104年</c:v>
                </c:pt>
              </c:strCache>
            </c:strRef>
          </c:cat>
          <c:val>
            <c:numRef>
              <c:f>貨幣!$B$81:$B$132</c:f>
              <c:numCache>
                <c:formatCode>General</c:formatCode>
                <c:ptCount val="52"/>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numCache>
            </c:numRef>
          </c:val>
        </c:ser>
        <c:ser>
          <c:idx val="1"/>
          <c:order val="1"/>
          <c:tx>
            <c:strRef>
              <c:f>貨幣!$C$20</c:f>
              <c:strCache>
                <c:ptCount val="1"/>
                <c:pt idx="0">
                  <c:v>外匯存底</c:v>
                </c:pt>
              </c:strCache>
            </c:strRef>
          </c:tx>
          <c:invertIfNegative val="0"/>
          <c:cat>
            <c:strRef>
              <c:f>貨幣!$A$81:$A$132</c:f>
              <c:strCache>
                <c:ptCount val="49"/>
                <c:pt idx="0">
                  <c:v>100年</c:v>
                </c:pt>
                <c:pt idx="12">
                  <c:v>101年</c:v>
                </c:pt>
                <c:pt idx="24">
                  <c:v>102年</c:v>
                </c:pt>
                <c:pt idx="36">
                  <c:v>103年</c:v>
                </c:pt>
                <c:pt idx="48">
                  <c:v>104年</c:v>
                </c:pt>
              </c:strCache>
            </c:strRef>
          </c:cat>
          <c:val>
            <c:numRef>
              <c:f>貨幣!$C$81:$C$132</c:f>
              <c:numCache>
                <c:formatCode>General</c:formatCode>
                <c:ptCount val="52"/>
                <c:pt idx="0">
                  <c:v>3871.11</c:v>
                </c:pt>
                <c:pt idx="1">
                  <c:v>3906.9</c:v>
                </c:pt>
                <c:pt idx="2">
                  <c:v>3926.3</c:v>
                </c:pt>
                <c:pt idx="3">
                  <c:v>3995.41</c:v>
                </c:pt>
                <c:pt idx="4">
                  <c:v>3986.83</c:v>
                </c:pt>
                <c:pt idx="5">
                  <c:v>4003.26</c:v>
                </c:pt>
                <c:pt idx="6">
                  <c:v>4007.66</c:v>
                </c:pt>
                <c:pt idx="7">
                  <c:v>4002.94</c:v>
                </c:pt>
                <c:pt idx="8">
                  <c:v>3891.74</c:v>
                </c:pt>
                <c:pt idx="9">
                  <c:v>3933.27</c:v>
                </c:pt>
                <c:pt idx="10">
                  <c:v>3879.68</c:v>
                </c:pt>
                <c:pt idx="11">
                  <c:v>3855.47</c:v>
                </c:pt>
                <c:pt idx="12">
                  <c:v>3904.04</c:v>
                </c:pt>
                <c:pt idx="13">
                  <c:v>3944.26</c:v>
                </c:pt>
                <c:pt idx="14">
                  <c:v>3938.71</c:v>
                </c:pt>
                <c:pt idx="15">
                  <c:v>3950.72</c:v>
                </c:pt>
                <c:pt idx="16">
                  <c:v>3892.75</c:v>
                </c:pt>
                <c:pt idx="17">
                  <c:v>3912.35</c:v>
                </c:pt>
                <c:pt idx="18">
                  <c:v>3911.08</c:v>
                </c:pt>
                <c:pt idx="19">
                  <c:v>3942.26</c:v>
                </c:pt>
                <c:pt idx="20">
                  <c:v>3979.54</c:v>
                </c:pt>
                <c:pt idx="21">
                  <c:v>3992.16</c:v>
                </c:pt>
                <c:pt idx="22">
                  <c:v>4009.56</c:v>
                </c:pt>
                <c:pt idx="23">
                  <c:v>4031.69</c:v>
                </c:pt>
                <c:pt idx="24">
                  <c:v>4065.57</c:v>
                </c:pt>
                <c:pt idx="25">
                  <c:v>4040.8</c:v>
                </c:pt>
                <c:pt idx="26">
                  <c:v>4018.9</c:v>
                </c:pt>
                <c:pt idx="27">
                  <c:v>4051.94</c:v>
                </c:pt>
                <c:pt idx="28">
                  <c:v>4066.16</c:v>
                </c:pt>
                <c:pt idx="29">
                  <c:v>4066.06</c:v>
                </c:pt>
                <c:pt idx="30">
                  <c:v>4091.18</c:v>
                </c:pt>
                <c:pt idx="31">
                  <c:v>4093.88</c:v>
                </c:pt>
                <c:pt idx="32">
                  <c:v>4126.1099999999997</c:v>
                </c:pt>
                <c:pt idx="33" formatCode="#,##0.00">
                  <c:v>4156.01</c:v>
                </c:pt>
                <c:pt idx="34">
                  <c:v>4155.59</c:v>
                </c:pt>
                <c:pt idx="35">
                  <c:v>4168.1099999999997</c:v>
                </c:pt>
                <c:pt idx="36">
                  <c:v>4169.3500000000004</c:v>
                </c:pt>
                <c:pt idx="37">
                  <c:v>4179.78</c:v>
                </c:pt>
                <c:pt idx="38">
                  <c:v>4191.99</c:v>
                </c:pt>
                <c:pt idx="39">
                  <c:v>4214.95</c:v>
                </c:pt>
                <c:pt idx="40">
                  <c:v>4216.51</c:v>
                </c:pt>
                <c:pt idx="41">
                  <c:v>4234.54</c:v>
                </c:pt>
                <c:pt idx="42">
                  <c:v>4236.6099999999997</c:v>
                </c:pt>
                <c:pt idx="43">
                  <c:v>4230.66</c:v>
                </c:pt>
                <c:pt idx="44">
                  <c:v>4206.96</c:v>
                </c:pt>
                <c:pt idx="45">
                  <c:v>4214.76</c:v>
                </c:pt>
                <c:pt idx="46">
                  <c:v>4214.66</c:v>
                </c:pt>
                <c:pt idx="47">
                  <c:v>4189.8</c:v>
                </c:pt>
                <c:pt idx="48">
                  <c:v>4159.03</c:v>
                </c:pt>
                <c:pt idx="49">
                  <c:v>4178.26</c:v>
                </c:pt>
                <c:pt idx="50">
                  <c:v>4146.8900000000003</c:v>
                </c:pt>
                <c:pt idx="51">
                  <c:v>4181.74</c:v>
                </c:pt>
              </c:numCache>
            </c:numRef>
          </c:val>
        </c:ser>
        <c:dLbls>
          <c:showLegendKey val="0"/>
          <c:showVal val="0"/>
          <c:showCatName val="0"/>
          <c:showSerName val="0"/>
          <c:showPercent val="0"/>
          <c:showBubbleSize val="0"/>
        </c:dLbls>
        <c:gapWidth val="50"/>
        <c:axId val="196813184"/>
        <c:axId val="196814720"/>
      </c:barChart>
      <c:catAx>
        <c:axId val="196813184"/>
        <c:scaling>
          <c:orientation val="minMax"/>
        </c:scaling>
        <c:delete val="0"/>
        <c:axPos val="b"/>
        <c:numFmt formatCode="d;@" sourceLinked="0"/>
        <c:majorTickMark val="in"/>
        <c:minorTickMark val="none"/>
        <c:tickLblPos val="nextTo"/>
        <c:spPr>
          <a:ln w="3168">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196814720"/>
        <c:crosses val="autoZero"/>
        <c:auto val="1"/>
        <c:lblAlgn val="ctr"/>
        <c:lblOffset val="100"/>
        <c:tickLblSkip val="2"/>
        <c:tickMarkSkip val="2"/>
        <c:noMultiLvlLbl val="1"/>
      </c:catAx>
      <c:valAx>
        <c:axId val="196814720"/>
        <c:scaling>
          <c:orientation val="minMax"/>
          <c:min val="3000"/>
        </c:scaling>
        <c:delete val="0"/>
        <c:axPos val="l"/>
        <c:title>
          <c:tx>
            <c:rich>
              <a:bodyPr rot="0" vert="horz"/>
              <a:lstStyle/>
              <a:p>
                <a:pPr algn="ctr">
                  <a:defRPr sz="798" b="0" i="0" u="none" strike="noStrike" baseline="0">
                    <a:solidFill>
                      <a:srgbClr val="000000"/>
                    </a:solidFill>
                    <a:latin typeface="標楷體"/>
                    <a:ea typeface="標楷體"/>
                    <a:cs typeface="標楷體"/>
                  </a:defRPr>
                </a:pPr>
                <a:r>
                  <a:rPr lang="zh-TW" altLang="en-US"/>
                  <a:t>億美元</a:t>
                </a:r>
              </a:p>
            </c:rich>
          </c:tx>
          <c:layout>
            <c:manualLayout>
              <c:xMode val="edge"/>
              <c:yMode val="edge"/>
              <c:x val="2.5507332910400418E-3"/>
              <c:y val="0"/>
            </c:manualLayout>
          </c:layout>
          <c:overlay val="0"/>
          <c:spPr>
            <a:noFill/>
            <a:ln w="25344">
              <a:noFill/>
            </a:ln>
          </c:spPr>
        </c:title>
        <c:numFmt formatCode="General" sourceLinked="0"/>
        <c:majorTickMark val="in"/>
        <c:minorTickMark val="none"/>
        <c:tickLblPos val="nextTo"/>
        <c:spPr>
          <a:ln w="3168">
            <a:solidFill>
              <a:srgbClr val="000000"/>
            </a:solidFill>
            <a:prstDash val="solid"/>
          </a:ln>
        </c:spPr>
        <c:txPr>
          <a:bodyPr rot="0" vert="horz"/>
          <a:lstStyle/>
          <a:p>
            <a:pPr>
              <a:defRPr sz="798" b="0" i="0" u="none" strike="noStrike" baseline="0">
                <a:solidFill>
                  <a:srgbClr val="000000"/>
                </a:solidFill>
                <a:latin typeface="Arial" pitchFamily="34" charset="0"/>
                <a:ea typeface="新細明體"/>
                <a:cs typeface="Arial" pitchFamily="34" charset="0"/>
              </a:defRPr>
            </a:pPr>
            <a:endParaRPr lang="zh-TW"/>
          </a:p>
        </c:txPr>
        <c:crossAx val="196813184"/>
        <c:crosses val="autoZero"/>
        <c:crossBetween val="between"/>
        <c:majorUnit val="100"/>
      </c:valAx>
      <c:spPr>
        <a:noFill/>
        <a:ln w="25344">
          <a:noFill/>
        </a:ln>
      </c:spPr>
    </c:plotArea>
    <c:plotVisOnly val="1"/>
    <c:dispBlanksAs val="gap"/>
    <c:showDLblsOverMax val="0"/>
  </c:chart>
  <c:spPr>
    <a:solidFill>
      <a:srgbClr val="FFFFFF"/>
    </a:solidFill>
    <a:ln>
      <a:noFill/>
    </a:ln>
  </c:spPr>
  <c:txPr>
    <a:bodyPr/>
    <a:lstStyle/>
    <a:p>
      <a:pPr>
        <a:defRPr sz="1073"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a:pPr>
            <a:r>
              <a:rPr lang="zh-TW" sz="1300" b="0">
                <a:latin typeface="標楷體" panose="03000509000000000000" pitchFamily="65" charset="-120"/>
                <a:ea typeface="標楷體" panose="03000509000000000000" pitchFamily="65" charset="-120"/>
              </a:rPr>
              <a:t>臺灣加權股價走勢</a:t>
            </a:r>
            <a:r>
              <a:rPr lang="en-US" sz="1300" b="0">
                <a:latin typeface="標楷體" panose="03000509000000000000" pitchFamily="65" charset="-120"/>
                <a:ea typeface="標楷體" panose="03000509000000000000" pitchFamily="65" charset="-120"/>
              </a:rPr>
              <a:t>(</a:t>
            </a:r>
            <a:r>
              <a:rPr lang="zh-TW" sz="1300" b="0">
                <a:latin typeface="標楷體" panose="03000509000000000000" pitchFamily="65" charset="-120"/>
                <a:ea typeface="標楷體" panose="03000509000000000000" pitchFamily="65" charset="-120"/>
              </a:rPr>
              <a:t>月均價</a:t>
            </a:r>
            <a:r>
              <a:rPr lang="en-US" sz="1300" b="0">
                <a:latin typeface="標楷體" panose="03000509000000000000" pitchFamily="65" charset="-120"/>
                <a:ea typeface="標楷體" panose="03000509000000000000" pitchFamily="65" charset="-120"/>
              </a:rPr>
              <a:t>)</a:t>
            </a:r>
            <a:endParaRPr lang="zh-TW" sz="1300" b="0">
              <a:latin typeface="標楷體" panose="03000509000000000000" pitchFamily="65" charset="-120"/>
              <a:ea typeface="標楷體" panose="03000509000000000000" pitchFamily="65" charset="-120"/>
            </a:endParaRPr>
          </a:p>
        </c:rich>
      </c:tx>
      <c:layout>
        <c:manualLayout>
          <c:xMode val="edge"/>
          <c:yMode val="edge"/>
          <c:x val="0.28010884660649815"/>
          <c:y val="2.386634844868735E-2"/>
        </c:manualLayout>
      </c:layout>
      <c:overlay val="0"/>
    </c:title>
    <c:autoTitleDeleted val="0"/>
    <c:plotArea>
      <c:layout>
        <c:manualLayout>
          <c:layoutTarget val="inner"/>
          <c:xMode val="edge"/>
          <c:yMode val="edge"/>
          <c:x val="0.10274916417366162"/>
          <c:y val="0.16414629257261695"/>
          <c:w val="0.8835552406910675"/>
          <c:h val="0.8034803525454306"/>
        </c:manualLayout>
      </c:layout>
      <c:lineChart>
        <c:grouping val="stacked"/>
        <c:varyColors val="0"/>
        <c:ser>
          <c:idx val="0"/>
          <c:order val="0"/>
          <c:spPr>
            <a:ln w="38100">
              <a:solidFill>
                <a:srgbClr val="00B050"/>
              </a:solidFill>
            </a:ln>
          </c:spPr>
          <c:marker>
            <c:symbol val="none"/>
          </c:marker>
          <c:cat>
            <c:multiLvlStrRef>
              <c:f>工作表1!$B$37:$C$100</c:f>
              <c:multiLvlStrCache>
                <c:ptCount val="64"/>
                <c:lvl>
                  <c:pt idx="0">
                    <c:v>1 </c:v>
                  </c:pt>
                  <c:pt idx="1">
                    <c:v>2 </c:v>
                  </c:pt>
                  <c:pt idx="2">
                    <c:v>3 </c:v>
                  </c:pt>
                  <c:pt idx="3">
                    <c:v>4 </c:v>
                  </c:pt>
                  <c:pt idx="4">
                    <c:v>5 </c:v>
                  </c:pt>
                  <c:pt idx="5">
                    <c:v>6 </c:v>
                  </c:pt>
                  <c:pt idx="6">
                    <c:v>7 </c:v>
                  </c:pt>
                  <c:pt idx="7">
                    <c:v>8 </c:v>
                  </c:pt>
                  <c:pt idx="8">
                    <c:v>9 </c:v>
                  </c:pt>
                  <c:pt idx="9">
                    <c:v>10 </c:v>
                  </c:pt>
                  <c:pt idx="10">
                    <c:v>11 </c:v>
                  </c:pt>
                  <c:pt idx="11">
                    <c:v>12 </c:v>
                  </c:pt>
                  <c:pt idx="12">
                    <c:v>1 </c:v>
                  </c:pt>
                  <c:pt idx="13">
                    <c:v>2 </c:v>
                  </c:pt>
                  <c:pt idx="14">
                    <c:v>3 </c:v>
                  </c:pt>
                  <c:pt idx="15">
                    <c:v>4 </c:v>
                  </c:pt>
                  <c:pt idx="16">
                    <c:v>5 </c:v>
                  </c:pt>
                  <c:pt idx="17">
                    <c:v>6 </c:v>
                  </c:pt>
                  <c:pt idx="18">
                    <c:v>7 </c:v>
                  </c:pt>
                  <c:pt idx="19">
                    <c:v>8 </c:v>
                  </c:pt>
                  <c:pt idx="20">
                    <c:v>9 </c:v>
                  </c:pt>
                  <c:pt idx="21">
                    <c:v>10 </c:v>
                  </c:pt>
                  <c:pt idx="22">
                    <c:v>11 </c:v>
                  </c:pt>
                  <c:pt idx="23">
                    <c:v>12 </c:v>
                  </c:pt>
                  <c:pt idx="24">
                    <c:v>1  </c:v>
                  </c:pt>
                  <c:pt idx="25">
                    <c:v>2 </c:v>
                  </c:pt>
                  <c:pt idx="26">
                    <c:v>3 </c:v>
                  </c:pt>
                  <c:pt idx="27">
                    <c:v>4 </c:v>
                  </c:pt>
                  <c:pt idx="28">
                    <c:v>5 </c:v>
                  </c:pt>
                  <c:pt idx="29">
                    <c:v>6 </c:v>
                  </c:pt>
                  <c:pt idx="30">
                    <c:v>7 </c:v>
                  </c:pt>
                  <c:pt idx="31">
                    <c:v>8 </c:v>
                  </c:pt>
                  <c:pt idx="32">
                    <c:v>9 </c:v>
                  </c:pt>
                  <c:pt idx="33">
                    <c:v>10 </c:v>
                  </c:pt>
                  <c:pt idx="34">
                    <c:v>11 </c:v>
                  </c:pt>
                  <c:pt idx="35">
                    <c:v>12 </c:v>
                  </c:pt>
                  <c:pt idx="36">
                    <c:v>1 </c:v>
                  </c:pt>
                  <c:pt idx="37">
                    <c:v>2 </c:v>
                  </c:pt>
                  <c:pt idx="38">
                    <c:v>3 </c:v>
                  </c:pt>
                  <c:pt idx="39">
                    <c:v>4 </c:v>
                  </c:pt>
                  <c:pt idx="40">
                    <c:v>5 </c:v>
                  </c:pt>
                  <c:pt idx="41">
                    <c:v>6 </c:v>
                  </c:pt>
                  <c:pt idx="42">
                    <c:v>7 </c:v>
                  </c:pt>
                  <c:pt idx="43">
                    <c:v>8 </c:v>
                  </c:pt>
                  <c:pt idx="44">
                    <c:v>9 </c:v>
                  </c:pt>
                  <c:pt idx="45">
                    <c:v>10 </c:v>
                  </c:pt>
                  <c:pt idx="46">
                    <c:v>11 </c:v>
                  </c:pt>
                  <c:pt idx="47">
                    <c:v>12 </c:v>
                  </c:pt>
                  <c:pt idx="48">
                    <c:v>1 </c:v>
                  </c:pt>
                  <c:pt idx="49">
                    <c:v>2 </c:v>
                  </c:pt>
                  <c:pt idx="50">
                    <c:v>3 </c:v>
                  </c:pt>
                  <c:pt idx="51">
                    <c:v>4 </c:v>
                  </c:pt>
                  <c:pt idx="52">
                    <c:v>5 </c:v>
                  </c:pt>
                  <c:pt idx="53">
                    <c:v>6 </c:v>
                  </c:pt>
                  <c:pt idx="54">
                    <c:v>7 </c:v>
                  </c:pt>
                  <c:pt idx="55">
                    <c:v>8 </c:v>
                  </c:pt>
                  <c:pt idx="56">
                    <c:v>9 </c:v>
                  </c:pt>
                  <c:pt idx="57">
                    <c:v>10 </c:v>
                  </c:pt>
                  <c:pt idx="58">
                    <c:v>11 </c:v>
                  </c:pt>
                  <c:pt idx="59">
                    <c:v>12 </c:v>
                  </c:pt>
                  <c:pt idx="60">
                    <c:v>1 </c:v>
                  </c:pt>
                  <c:pt idx="61">
                    <c:v>2 </c:v>
                  </c:pt>
                  <c:pt idx="62">
                    <c:v>3 </c:v>
                  </c:pt>
                  <c:pt idx="63">
                    <c:v>4 </c:v>
                  </c:pt>
                </c:lvl>
                <c:lvl>
                  <c:pt idx="0">
                    <c:v>99年</c:v>
                  </c:pt>
                  <c:pt idx="12">
                    <c:v>100年</c:v>
                  </c:pt>
                  <c:pt idx="24">
                    <c:v>101年</c:v>
                  </c:pt>
                  <c:pt idx="36">
                    <c:v>102年</c:v>
                  </c:pt>
                  <c:pt idx="48">
                    <c:v>103年</c:v>
                  </c:pt>
                  <c:pt idx="60">
                    <c:v>104年</c:v>
                  </c:pt>
                </c:lvl>
              </c:multiLvlStrCache>
            </c:multiLvlStrRef>
          </c:cat>
          <c:val>
            <c:numRef>
              <c:f>工作表1!$A$37:$A$100</c:f>
              <c:numCache>
                <c:formatCode>#,##0.00</c:formatCode>
                <c:ptCount val="64"/>
                <c:pt idx="0">
                  <c:v>8098.58</c:v>
                </c:pt>
                <c:pt idx="1">
                  <c:v>7431.71</c:v>
                </c:pt>
                <c:pt idx="2">
                  <c:v>7775.16</c:v>
                </c:pt>
                <c:pt idx="3">
                  <c:v>8052.45</c:v>
                </c:pt>
                <c:pt idx="4">
                  <c:v>7525.68</c:v>
                </c:pt>
                <c:pt idx="5">
                  <c:v>7383.42</c:v>
                </c:pt>
                <c:pt idx="6">
                  <c:v>7638.86</c:v>
                </c:pt>
                <c:pt idx="7">
                  <c:v>7883.91</c:v>
                </c:pt>
                <c:pt idx="8">
                  <c:v>8039.5</c:v>
                </c:pt>
                <c:pt idx="9">
                  <c:v>8210.01</c:v>
                </c:pt>
                <c:pt idx="10">
                  <c:v>8350.26</c:v>
                </c:pt>
                <c:pt idx="11">
                  <c:v>8777.11</c:v>
                </c:pt>
                <c:pt idx="12">
                  <c:v>8970.76</c:v>
                </c:pt>
                <c:pt idx="13">
                  <c:v>8742.56</c:v>
                </c:pt>
                <c:pt idx="14">
                  <c:v>8575.49</c:v>
                </c:pt>
                <c:pt idx="15">
                  <c:v>8860.92</c:v>
                </c:pt>
                <c:pt idx="16">
                  <c:v>8910.5400000000009</c:v>
                </c:pt>
                <c:pt idx="17">
                  <c:v>8748.66</c:v>
                </c:pt>
                <c:pt idx="18">
                  <c:v>8681.24</c:v>
                </c:pt>
                <c:pt idx="19">
                  <c:v>7763.33</c:v>
                </c:pt>
                <c:pt idx="20">
                  <c:v>7385.13</c:v>
                </c:pt>
                <c:pt idx="21">
                  <c:v>7345.08</c:v>
                </c:pt>
                <c:pt idx="22">
                  <c:v>6904.12</c:v>
                </c:pt>
                <c:pt idx="23">
                  <c:v>6969.15</c:v>
                </c:pt>
                <c:pt idx="24">
                  <c:v>7176.74</c:v>
                </c:pt>
                <c:pt idx="25">
                  <c:v>7855.93</c:v>
                </c:pt>
                <c:pt idx="26">
                  <c:v>8020</c:v>
                </c:pt>
                <c:pt idx="27">
                  <c:v>7620.82</c:v>
                </c:pt>
                <c:pt idx="28">
                  <c:v>7356.84</c:v>
                </c:pt>
                <c:pt idx="29">
                  <c:v>7142.52</c:v>
                </c:pt>
                <c:pt idx="30">
                  <c:v>7187.14</c:v>
                </c:pt>
                <c:pt idx="31">
                  <c:v>7409.6</c:v>
                </c:pt>
                <c:pt idx="32">
                  <c:v>7610.38</c:v>
                </c:pt>
                <c:pt idx="33">
                  <c:v>7438.14</c:v>
                </c:pt>
                <c:pt idx="34">
                  <c:v>7255.63</c:v>
                </c:pt>
                <c:pt idx="35">
                  <c:v>7630.81</c:v>
                </c:pt>
                <c:pt idx="36">
                  <c:v>7759.25</c:v>
                </c:pt>
                <c:pt idx="37">
                  <c:v>7932.68</c:v>
                </c:pt>
                <c:pt idx="38">
                  <c:v>7906.99</c:v>
                </c:pt>
                <c:pt idx="39">
                  <c:v>7893.42</c:v>
                </c:pt>
                <c:pt idx="40">
                  <c:v>8272.34</c:v>
                </c:pt>
                <c:pt idx="41">
                  <c:v>7988.8</c:v>
                </c:pt>
                <c:pt idx="42">
                  <c:v>8101.91</c:v>
                </c:pt>
                <c:pt idx="43">
                  <c:v>7932.02</c:v>
                </c:pt>
                <c:pt idx="44">
                  <c:v>8193.4599999999991</c:v>
                </c:pt>
                <c:pt idx="45">
                  <c:v>8366.18</c:v>
                </c:pt>
                <c:pt idx="46">
                  <c:v>8236.52</c:v>
                </c:pt>
                <c:pt idx="47">
                  <c:v>8431.4</c:v>
                </c:pt>
                <c:pt idx="48">
                  <c:v>8566.6200000000008</c:v>
                </c:pt>
                <c:pt idx="49">
                  <c:v>8496.09</c:v>
                </c:pt>
                <c:pt idx="50">
                  <c:v>8687.4500000000007</c:v>
                </c:pt>
                <c:pt idx="51">
                  <c:v>8900.14</c:v>
                </c:pt>
                <c:pt idx="52">
                  <c:v>8936.23</c:v>
                </c:pt>
                <c:pt idx="53">
                  <c:v>9229.31</c:v>
                </c:pt>
                <c:pt idx="54">
                  <c:v>9474.1299999999992</c:v>
                </c:pt>
                <c:pt idx="55">
                  <c:v>9266.4599999999991</c:v>
                </c:pt>
                <c:pt idx="56">
                  <c:v>9229</c:v>
                </c:pt>
                <c:pt idx="57">
                  <c:v>8819.2099999999991</c:v>
                </c:pt>
                <c:pt idx="58">
                  <c:v>9015.8700000000008</c:v>
                </c:pt>
                <c:pt idx="59">
                  <c:v>9109.31</c:v>
                </c:pt>
                <c:pt idx="60">
                  <c:v>9281.74</c:v>
                </c:pt>
                <c:pt idx="61">
                  <c:v>9505.5499999999993</c:v>
                </c:pt>
                <c:pt idx="62">
                  <c:v>9611.2999999999993</c:v>
                </c:pt>
                <c:pt idx="63">
                  <c:v>9679.93</c:v>
                </c:pt>
              </c:numCache>
            </c:numRef>
          </c:val>
          <c:smooth val="0"/>
        </c:ser>
        <c:dLbls>
          <c:showLegendKey val="0"/>
          <c:showVal val="0"/>
          <c:showCatName val="0"/>
          <c:showSerName val="0"/>
          <c:showPercent val="0"/>
          <c:showBubbleSize val="0"/>
        </c:dLbls>
        <c:marker val="1"/>
        <c:smooth val="0"/>
        <c:axId val="196831488"/>
        <c:axId val="209412096"/>
      </c:lineChart>
      <c:catAx>
        <c:axId val="196831488"/>
        <c:scaling>
          <c:orientation val="minMax"/>
        </c:scaling>
        <c:delete val="0"/>
        <c:axPos val="b"/>
        <c:numFmt formatCode="#,##0.00_);[Red]\(#,##0.00\)" sourceLinked="0"/>
        <c:majorTickMark val="in"/>
        <c:minorTickMark val="none"/>
        <c:tickLblPos val="nextTo"/>
        <c:spPr>
          <a:ln w="31750"/>
        </c:spPr>
        <c:txPr>
          <a:bodyPr rot="0" vert="horz"/>
          <a:lstStyle/>
          <a:p>
            <a:pPr>
              <a:defRPr>
                <a:latin typeface="Times New Roman" panose="02020603050405020304" pitchFamily="18" charset="0"/>
                <a:cs typeface="Times New Roman" panose="02020603050405020304" pitchFamily="18" charset="0"/>
              </a:defRPr>
            </a:pPr>
            <a:endParaRPr lang="zh-TW"/>
          </a:p>
        </c:txPr>
        <c:crossAx val="209412096"/>
        <c:crossesAt val="5000"/>
        <c:auto val="1"/>
        <c:lblAlgn val="ctr"/>
        <c:lblOffset val="50"/>
        <c:tickLblSkip val="3"/>
        <c:tickMarkSkip val="3"/>
        <c:noMultiLvlLbl val="1"/>
      </c:catAx>
      <c:valAx>
        <c:axId val="209412096"/>
        <c:scaling>
          <c:orientation val="minMax"/>
          <c:max val="10500"/>
          <c:min val="4500"/>
        </c:scaling>
        <c:delete val="0"/>
        <c:axPos val="l"/>
        <c:numFmt formatCode="#,##0_);[Red]\(#,##0\)" sourceLinked="0"/>
        <c:majorTickMark val="out"/>
        <c:minorTickMark val="none"/>
        <c:tickLblPos val="nextTo"/>
        <c:spPr>
          <a:ln w="28575"/>
        </c:spPr>
        <c:crossAx val="196831488"/>
        <c:crosses val="autoZero"/>
        <c:crossBetween val="midCat"/>
        <c:majorUnit val="500"/>
      </c:valAx>
    </c:plotArea>
    <c:plotVisOnly val="1"/>
    <c:dispBlanksAs val="zero"/>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zh-TW"/>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22729434141702"/>
          <c:y val="4.746835443037975E-2"/>
          <c:w val="0.83211949407849672"/>
          <c:h val="0.67405063291139244"/>
        </c:manualLayout>
      </c:layout>
      <c:barChart>
        <c:barDir val="col"/>
        <c:grouping val="clustered"/>
        <c:varyColors val="0"/>
        <c:ser>
          <c:idx val="1"/>
          <c:order val="0"/>
          <c:tx>
            <c:strRef>
              <c:f>Sheet1!$C$3</c:f>
              <c:strCache>
                <c:ptCount val="1"/>
                <c:pt idx="0">
                  <c:v>金額</c:v>
                </c:pt>
              </c:strCache>
            </c:strRef>
          </c:tx>
          <c:spPr>
            <a:gradFill rotWithShape="0">
              <a:gsLst>
                <a:gs pos="0">
                  <a:srgbClr val="FFFFFF"/>
                </a:gs>
                <a:gs pos="50000">
                  <a:srgbClr val="993366"/>
                </a:gs>
                <a:gs pos="100000">
                  <a:srgbClr val="FFFFFF"/>
                </a:gs>
              </a:gsLst>
              <a:lin ang="0" scaled="1"/>
            </a:gradFill>
            <a:ln w="12702">
              <a:solidFill>
                <a:srgbClr val="000000"/>
              </a:solidFill>
              <a:prstDash val="solid"/>
            </a:ln>
          </c:spPr>
          <c:invertIfNegative val="0"/>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2015年1-4月</c:v>
                </c:pt>
              </c:strCache>
            </c:strRef>
          </c:cat>
          <c:val>
            <c:numRef>
              <c:f>Sheet1!$C$5:$C$18</c:f>
              <c:numCache>
                <c:formatCode>_-* #,##0_-;\-* #,##0_-;_-* "-"??_-;_-@_-</c:formatCode>
                <c:ptCount val="14"/>
                <c:pt idx="0">
                  <c:v>43499.9</c:v>
                </c:pt>
                <c:pt idx="1">
                  <c:v>55566.6</c:v>
                </c:pt>
                <c:pt idx="2">
                  <c:v>70477.399999999994</c:v>
                </c:pt>
                <c:pt idx="3">
                  <c:v>88773.6</c:v>
                </c:pt>
                <c:pt idx="4">
                  <c:v>109870</c:v>
                </c:pt>
                <c:pt idx="5">
                  <c:v>137239</c:v>
                </c:pt>
                <c:pt idx="6" formatCode="#,##0_ ">
                  <c:v>172291</c:v>
                </c:pt>
                <c:pt idx="7" formatCode="#,##0_ ">
                  <c:v>224846</c:v>
                </c:pt>
                <c:pt idx="8" formatCode="#,##0_ ">
                  <c:v>278140</c:v>
                </c:pt>
                <c:pt idx="9" formatCode="#,##0_ ">
                  <c:v>301933</c:v>
                </c:pt>
                <c:pt idx="10" formatCode="#,##0_ ">
                  <c:v>364835</c:v>
                </c:pt>
                <c:pt idx="11" formatCode="#,##0_ ">
                  <c:v>436528</c:v>
                </c:pt>
                <c:pt idx="12" formatCode="#,##0_ ">
                  <c:v>502005</c:v>
                </c:pt>
                <c:pt idx="13" formatCode="#,##0_ ">
                  <c:v>119979</c:v>
                </c:pt>
              </c:numCache>
            </c:numRef>
          </c:val>
        </c:ser>
        <c:dLbls>
          <c:showLegendKey val="0"/>
          <c:showVal val="0"/>
          <c:showCatName val="0"/>
          <c:showSerName val="0"/>
          <c:showPercent val="0"/>
          <c:showBubbleSize val="0"/>
        </c:dLbls>
        <c:gapWidth val="150"/>
        <c:axId val="196839680"/>
        <c:axId val="209420672"/>
      </c:barChart>
      <c:lineChart>
        <c:grouping val="standard"/>
        <c:varyColors val="0"/>
        <c:ser>
          <c:idx val="0"/>
          <c:order val="1"/>
          <c:tx>
            <c:strRef>
              <c:f>Sheet1!$D$3</c:f>
              <c:strCache>
                <c:ptCount val="1"/>
                <c:pt idx="0">
                  <c:v>年增率</c:v>
                </c:pt>
              </c:strCache>
            </c:strRef>
          </c:tx>
          <c:spPr>
            <a:ln w="12702">
              <a:solidFill>
                <a:srgbClr val="000080"/>
              </a:solidFill>
              <a:prstDash val="solid"/>
            </a:ln>
          </c:spPr>
          <c:marker>
            <c:symbol val="diamond"/>
            <c:size val="5"/>
            <c:spPr>
              <a:solidFill>
                <a:srgbClr val="000080"/>
              </a:solidFill>
              <a:ln>
                <a:solidFill>
                  <a:srgbClr val="000080"/>
                </a:solidFill>
                <a:prstDash val="solid"/>
              </a:ln>
            </c:spPr>
          </c:marker>
          <c:dLbls>
            <c:dLbl>
              <c:idx val="0"/>
              <c:layout>
                <c:manualLayout>
                  <c:x val="-4.3210778538357641E-2"/>
                  <c:y val="-3.8304754900267496E-2"/>
                </c:manualLayout>
              </c:layout>
              <c:dLblPos val="r"/>
              <c:showLegendKey val="0"/>
              <c:showVal val="1"/>
              <c:showCatName val="0"/>
              <c:showSerName val="0"/>
              <c:showPercent val="0"/>
              <c:showBubbleSize val="0"/>
            </c:dLbl>
            <c:dLbl>
              <c:idx val="1"/>
              <c:layout>
                <c:manualLayout>
                  <c:x val="-6.4993571218737736E-2"/>
                  <c:y val="-5.6669980421066454E-2"/>
                </c:manualLayout>
              </c:layout>
              <c:dLblPos val="r"/>
              <c:showLegendKey val="0"/>
              <c:showVal val="1"/>
              <c:showCatName val="0"/>
              <c:showSerName val="0"/>
              <c:showPercent val="0"/>
              <c:showBubbleSize val="0"/>
            </c:dLbl>
            <c:dLbl>
              <c:idx val="2"/>
              <c:layout>
                <c:manualLayout>
                  <c:x val="-6.3988335975198027E-2"/>
                  <c:y val="-3.8444345207030543E-2"/>
                </c:manualLayout>
              </c:layout>
              <c:dLblPos val="r"/>
              <c:showLegendKey val="0"/>
              <c:showVal val="1"/>
              <c:showCatName val="0"/>
              <c:showSerName val="0"/>
              <c:showPercent val="0"/>
              <c:showBubbleSize val="0"/>
            </c:dLbl>
            <c:dLbl>
              <c:idx val="3"/>
              <c:layout>
                <c:manualLayout>
                  <c:x val="-3.6173273427696093E-2"/>
                  <c:y val="-4.4209348833913698E-2"/>
                </c:manualLayout>
              </c:layout>
              <c:dLblPos val="r"/>
              <c:showLegendKey val="0"/>
              <c:showVal val="1"/>
              <c:showCatName val="0"/>
              <c:showSerName val="0"/>
              <c:showPercent val="0"/>
              <c:showBubbleSize val="0"/>
            </c:dLbl>
            <c:dLbl>
              <c:idx val="4"/>
              <c:layout>
                <c:manualLayout>
                  <c:x val="-4.4551240370810846E-2"/>
                  <c:y val="-3.0451734895249796E-2"/>
                </c:manualLayout>
              </c:layout>
              <c:dLblPos val="r"/>
              <c:showLegendKey val="0"/>
              <c:showVal val="1"/>
              <c:showCatName val="0"/>
              <c:showSerName val="0"/>
              <c:showPercent val="0"/>
              <c:showBubbleSize val="0"/>
            </c:dLbl>
            <c:dLbl>
              <c:idx val="5"/>
              <c:layout>
                <c:manualLayout>
                  <c:x val="-4.0864864150386558E-2"/>
                  <c:y val="-3.5813526145756114E-2"/>
                </c:manualLayout>
              </c:layout>
              <c:dLblPos val="r"/>
              <c:showLegendKey val="0"/>
              <c:showVal val="1"/>
              <c:showCatName val="0"/>
              <c:showSerName val="0"/>
              <c:showPercent val="0"/>
              <c:showBubbleSize val="0"/>
            </c:dLbl>
            <c:dLbl>
              <c:idx val="6"/>
              <c:layout>
                <c:manualLayout>
                  <c:x val="-4.1200111480573447E-2"/>
                  <c:y val="-2.4689417663957467E-2"/>
                </c:manualLayout>
              </c:layout>
              <c:dLblPos val="r"/>
              <c:showLegendKey val="0"/>
              <c:showVal val="1"/>
              <c:showCatName val="0"/>
              <c:showSerName val="0"/>
              <c:showPercent val="0"/>
              <c:showBubbleSize val="0"/>
            </c:dLbl>
            <c:dLbl>
              <c:idx val="7"/>
              <c:layout>
                <c:manualLayout>
                  <c:x val="-5.0918560997414639E-2"/>
                  <c:y val="-5.7197261270433779E-2"/>
                </c:manualLayout>
              </c:layout>
              <c:dLblPos val="r"/>
              <c:showLegendKey val="0"/>
              <c:showVal val="1"/>
              <c:showCatName val="0"/>
              <c:showSerName val="0"/>
              <c:showPercent val="0"/>
              <c:showBubbleSize val="0"/>
            </c:dLbl>
            <c:dLbl>
              <c:idx val="8"/>
              <c:layout>
                <c:manualLayout>
                  <c:x val="-4.4551219629537314E-2"/>
                  <c:y val="-5.2466099090495266E-2"/>
                </c:manualLayout>
              </c:layout>
              <c:dLblPos val="r"/>
              <c:showLegendKey val="0"/>
              <c:showVal val="1"/>
              <c:showCatName val="0"/>
              <c:showSerName val="0"/>
              <c:showPercent val="0"/>
              <c:showBubbleSize val="0"/>
            </c:dLbl>
            <c:dLbl>
              <c:idx val="9"/>
              <c:layout>
                <c:manualLayout>
                  <c:x val="-4.0306393700302041E-2"/>
                  <c:y val="-6.2367118114385459E-2"/>
                </c:manualLayout>
              </c:layout>
              <c:dLblPos val="r"/>
              <c:showLegendKey val="0"/>
              <c:showVal val="1"/>
              <c:showCatName val="0"/>
              <c:showSerName val="0"/>
              <c:showPercent val="0"/>
              <c:showBubbleSize val="0"/>
            </c:dLbl>
            <c:dLbl>
              <c:idx val="10"/>
              <c:layout>
                <c:manualLayout>
                  <c:x val="-4.8153887741683617E-2"/>
                  <c:y val="-7.1689637520375729E-2"/>
                </c:manualLayout>
              </c:layout>
              <c:dLblPos val="r"/>
              <c:showLegendKey val="0"/>
              <c:showVal val="1"/>
              <c:showCatName val="0"/>
              <c:showSerName val="0"/>
              <c:showPercent val="0"/>
              <c:showBubbleSize val="0"/>
            </c:dLbl>
            <c:dLbl>
              <c:idx val="11"/>
              <c:layout>
                <c:manualLayout>
                  <c:x val="-3.4832753609079892E-2"/>
                  <c:y val="-0.19692330125400992"/>
                </c:manualLayout>
              </c:layout>
              <c:dLblPos val="r"/>
              <c:showLegendKey val="0"/>
              <c:showVal val="1"/>
              <c:showCatName val="0"/>
              <c:showSerName val="0"/>
              <c:showPercent val="0"/>
              <c:showBubbleSize val="0"/>
            </c:dLbl>
            <c:dLbl>
              <c:idx val="12"/>
              <c:layout>
                <c:manualLayout>
                  <c:x val="-1.0563274811761225E-3"/>
                  <c:y val="-4.6503272739055766E-2"/>
                </c:manualLayout>
              </c:layout>
              <c:showLegendKey val="0"/>
              <c:showVal val="1"/>
              <c:showCatName val="0"/>
              <c:showSerName val="0"/>
              <c:showPercent val="0"/>
              <c:showBubbleSize val="0"/>
            </c:dLbl>
            <c:dLbl>
              <c:idx val="13"/>
              <c:layout>
                <c:manualLayout>
                  <c:x val="-3.566333808844508E-2"/>
                  <c:y val="-2.5041741577174648E-2"/>
                </c:manualLayout>
              </c:layout>
              <c:showLegendKey val="0"/>
              <c:showVal val="1"/>
              <c:showCatName val="0"/>
              <c:showSerName val="0"/>
              <c:showPercent val="0"/>
              <c:showBubbleSize val="0"/>
            </c:dLbl>
            <c:numFmt formatCode="0.0_);[Red]\(0.0\)" sourceLinked="0"/>
            <c:spPr>
              <a:noFill/>
              <a:ln w="25405">
                <a:noFill/>
              </a:ln>
            </c:spPr>
            <c:showLegendKey val="0"/>
            <c:showVal val="1"/>
            <c:showCatName val="0"/>
            <c:showSerName val="0"/>
            <c:showPercent val="0"/>
            <c:showBubbleSize val="0"/>
            <c:showLeaderLines val="0"/>
          </c:dLbls>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2015年1-4月</c:v>
                </c:pt>
              </c:strCache>
            </c:strRef>
          </c:cat>
          <c:val>
            <c:numRef>
              <c:f>Sheet1!$D$5:$D$18</c:f>
              <c:numCache>
                <c:formatCode>0.0</c:formatCode>
                <c:ptCount val="14"/>
                <c:pt idx="0">
                  <c:v>16.899999999999999</c:v>
                </c:pt>
                <c:pt idx="1">
                  <c:v>27.739603999089635</c:v>
                </c:pt>
                <c:pt idx="2">
                  <c:v>26.83410537985047</c:v>
                </c:pt>
                <c:pt idx="3">
                  <c:v>25.960378788093784</c:v>
                </c:pt>
                <c:pt idx="4">
                  <c:v>23.764272261122677</c:v>
                </c:pt>
                <c:pt idx="5" formatCode="General">
                  <c:v>24.8</c:v>
                </c:pt>
                <c:pt idx="6" formatCode="#,##0.0_ ">
                  <c:v>25.5</c:v>
                </c:pt>
                <c:pt idx="7" formatCode="#,##0.0_ ">
                  <c:v>30.1</c:v>
                </c:pt>
                <c:pt idx="8" formatCode="#,##0.0_ ">
                  <c:v>23.8</c:v>
                </c:pt>
                <c:pt idx="9" formatCode="#,##0.0_ ">
                  <c:v>23.8</c:v>
                </c:pt>
                <c:pt idx="10" formatCode="#,##0.0_ ">
                  <c:v>20.6</c:v>
                </c:pt>
                <c:pt idx="11" formatCode="#,##0.0_ ">
                  <c:v>19.600000000000001</c:v>
                </c:pt>
                <c:pt idx="12" formatCode="#,##0.0_ ">
                  <c:v>15.7</c:v>
                </c:pt>
                <c:pt idx="13" formatCode="#,##0.0_ ">
                  <c:v>12</c:v>
                </c:pt>
              </c:numCache>
            </c:numRef>
          </c:val>
          <c:smooth val="0"/>
        </c:ser>
        <c:dLbls>
          <c:showLegendKey val="0"/>
          <c:showVal val="0"/>
          <c:showCatName val="0"/>
          <c:showSerName val="0"/>
          <c:showPercent val="0"/>
          <c:showBubbleSize val="0"/>
        </c:dLbls>
        <c:marker val="1"/>
        <c:smooth val="0"/>
        <c:axId val="209422208"/>
        <c:axId val="209424384"/>
      </c:lineChart>
      <c:catAx>
        <c:axId val="196839680"/>
        <c:scaling>
          <c:orientation val="minMax"/>
        </c:scaling>
        <c:delete val="0"/>
        <c:axPos val="b"/>
        <c:title>
          <c:tx>
            <c:rich>
              <a:bodyPr/>
              <a:lstStyle/>
              <a:p>
                <a:pPr>
                  <a:defRPr/>
                </a:pPr>
                <a:r>
                  <a:rPr lang="zh-TW"/>
                  <a:t>(億人民幣)</a:t>
                </a:r>
              </a:p>
            </c:rich>
          </c:tx>
          <c:layout>
            <c:manualLayout>
              <c:xMode val="edge"/>
              <c:yMode val="edge"/>
              <c:x val="0.13806962216735494"/>
              <c:y val="0"/>
            </c:manualLayout>
          </c:layout>
          <c:overlay val="0"/>
          <c:spPr>
            <a:noFill/>
            <a:ln w="25405">
              <a:noFill/>
            </a:ln>
          </c:spPr>
        </c:title>
        <c:numFmt formatCode="General" sourceLinked="0"/>
        <c:majorTickMark val="in"/>
        <c:minorTickMark val="none"/>
        <c:tickLblPos val="nextTo"/>
        <c:spPr>
          <a:ln w="3176">
            <a:solidFill>
              <a:srgbClr val="000000"/>
            </a:solidFill>
            <a:prstDash val="solid"/>
          </a:ln>
        </c:spPr>
        <c:txPr>
          <a:bodyPr rot="0" vert="horz"/>
          <a:lstStyle/>
          <a:p>
            <a:pPr>
              <a:defRPr/>
            </a:pPr>
            <a:endParaRPr lang="zh-TW"/>
          </a:p>
        </c:txPr>
        <c:crossAx val="209420672"/>
        <c:crossesAt val="0"/>
        <c:auto val="0"/>
        <c:lblAlgn val="ctr"/>
        <c:lblOffset val="100"/>
        <c:tickMarkSkip val="1"/>
        <c:noMultiLvlLbl val="0"/>
      </c:catAx>
      <c:valAx>
        <c:axId val="209420672"/>
        <c:scaling>
          <c:orientation val="minMax"/>
          <c:min val="0"/>
        </c:scaling>
        <c:delete val="0"/>
        <c:axPos val="l"/>
        <c:numFmt formatCode="_(* #,##0_);_(* \(#,##0\);_(* &quot;-&quot;_);_(@_)" sourceLinked="0"/>
        <c:majorTickMark val="in"/>
        <c:minorTickMark val="none"/>
        <c:tickLblPos val="nextTo"/>
        <c:spPr>
          <a:ln w="3176">
            <a:solidFill>
              <a:srgbClr val="000000"/>
            </a:solidFill>
            <a:prstDash val="solid"/>
          </a:ln>
        </c:spPr>
        <c:txPr>
          <a:bodyPr rot="0" vert="horz"/>
          <a:lstStyle/>
          <a:p>
            <a:pPr>
              <a:defRPr/>
            </a:pPr>
            <a:endParaRPr lang="zh-TW"/>
          </a:p>
        </c:txPr>
        <c:crossAx val="196839680"/>
        <c:crosses val="autoZero"/>
        <c:crossBetween val="between"/>
      </c:valAx>
      <c:catAx>
        <c:axId val="209422208"/>
        <c:scaling>
          <c:orientation val="minMax"/>
        </c:scaling>
        <c:delete val="1"/>
        <c:axPos val="b"/>
        <c:title>
          <c:tx>
            <c:rich>
              <a:bodyPr/>
              <a:lstStyle/>
              <a:p>
                <a:pPr>
                  <a:defRPr/>
                </a:pPr>
                <a:r>
                  <a:rPr lang="zh-TW"/>
                  <a:t>(％)</a:t>
                </a:r>
              </a:p>
            </c:rich>
          </c:tx>
          <c:layout>
            <c:manualLayout>
              <c:xMode val="edge"/>
              <c:yMode val="edge"/>
              <c:x val="0.90348523257796132"/>
              <c:y val="0"/>
            </c:manualLayout>
          </c:layout>
          <c:overlay val="0"/>
          <c:spPr>
            <a:noFill/>
            <a:ln w="25405">
              <a:noFill/>
            </a:ln>
          </c:spPr>
        </c:title>
        <c:numFmt formatCode="General" sourceLinked="1"/>
        <c:majorTickMark val="out"/>
        <c:minorTickMark val="none"/>
        <c:tickLblPos val="nextTo"/>
        <c:crossAx val="209424384"/>
        <c:crosses val="autoZero"/>
        <c:auto val="0"/>
        <c:lblAlgn val="ctr"/>
        <c:lblOffset val="100"/>
        <c:noMultiLvlLbl val="0"/>
      </c:catAx>
      <c:valAx>
        <c:axId val="209424384"/>
        <c:scaling>
          <c:orientation val="minMax"/>
          <c:max val="40"/>
          <c:min val="0"/>
        </c:scaling>
        <c:delete val="0"/>
        <c:axPos val="r"/>
        <c:numFmt formatCode="0_ " sourceLinked="0"/>
        <c:majorTickMark val="in"/>
        <c:minorTickMark val="none"/>
        <c:tickLblPos val="nextTo"/>
        <c:spPr>
          <a:ln w="3176">
            <a:solidFill>
              <a:srgbClr val="000000"/>
            </a:solidFill>
            <a:prstDash val="solid"/>
          </a:ln>
        </c:spPr>
        <c:txPr>
          <a:bodyPr rot="0" vert="horz"/>
          <a:lstStyle/>
          <a:p>
            <a:pPr>
              <a:defRPr/>
            </a:pPr>
            <a:endParaRPr lang="zh-TW"/>
          </a:p>
        </c:txPr>
        <c:crossAx val="209422208"/>
        <c:crosses val="max"/>
        <c:crossBetween val="between"/>
      </c:valAx>
      <c:dTable>
        <c:showHorzBorder val="1"/>
        <c:showVertBorder val="1"/>
        <c:showOutline val="1"/>
        <c:showKeys val="1"/>
        <c:spPr>
          <a:ln w="3176">
            <a:solidFill>
              <a:srgbClr val="000000"/>
            </a:solidFill>
            <a:prstDash val="solid"/>
          </a:ln>
        </c:spPr>
      </c:dTable>
      <c:spPr>
        <a:noFill/>
        <a:ln w="25405">
          <a:noFill/>
        </a:ln>
      </c:spPr>
    </c:plotArea>
    <c:plotVisOnly val="1"/>
    <c:dispBlanksAs val="gap"/>
    <c:showDLblsOverMax val="0"/>
  </c:chart>
  <c:spPr>
    <a:solidFill>
      <a:srgbClr val="FFFFFF"/>
    </a:solidFill>
    <a:ln w="3176">
      <a:solidFill>
        <a:srgbClr val="000000"/>
      </a:solidFill>
      <a:prstDash val="solid"/>
    </a:ln>
  </c:spPr>
  <c:txPr>
    <a:bodyPr/>
    <a:lstStyle/>
    <a:p>
      <a:pPr>
        <a:defRPr sz="790" b="0" i="0" u="none" strike="noStrike" baseline="0">
          <a:solidFill>
            <a:srgbClr val="000000"/>
          </a:solidFill>
          <a:latin typeface="Arial"/>
          <a:ea typeface="Arial"/>
          <a:cs typeface="Arial"/>
        </a:defRPr>
      </a:pPr>
      <a:endParaRPr lang="zh-TW"/>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圖</a:t>
            </a:r>
            <a:r>
              <a:rPr lang="en-US" altLang="zh-TW" sz="1001" b="1" i="0" u="none" strike="noStrike" baseline="0">
                <a:solidFill>
                  <a:srgbClr val="000000"/>
                </a:solidFill>
                <a:latin typeface="Times New Roman" pitchFamily="18" charset="0"/>
                <a:ea typeface="標楷體"/>
              </a:rPr>
              <a:t>3-2 </a:t>
            </a:r>
            <a:r>
              <a:rPr lang="zh-TW" altLang="en-US" sz="1001" b="1" i="0" u="none" strike="noStrike" baseline="0">
                <a:solidFill>
                  <a:srgbClr val="000000"/>
                </a:solidFill>
                <a:latin typeface="Times New Roman" pitchFamily="18" charset="0"/>
                <a:ea typeface="標楷體"/>
              </a:rPr>
              <a:t>前十大外資國</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地區 </a:t>
            </a:r>
            <a:r>
              <a:rPr lang="en-US" altLang="zh-TW" sz="1001" b="1" i="0" u="none" strike="noStrike" baseline="0">
                <a:solidFill>
                  <a:srgbClr val="000000"/>
                </a:solidFill>
                <a:latin typeface="Times New Roman" pitchFamily="18" charset="0"/>
                <a:ea typeface="標楷體"/>
              </a:rPr>
              <a:t>2015</a:t>
            </a:r>
            <a:r>
              <a:rPr lang="zh-TW" altLang="en-US" sz="1001" b="1" i="0" u="none" strike="noStrike" baseline="0">
                <a:solidFill>
                  <a:srgbClr val="000000"/>
                </a:solidFill>
                <a:latin typeface="Times New Roman" pitchFamily="18" charset="0"/>
                <a:ea typeface="標楷體"/>
              </a:rPr>
              <a:t>年</a:t>
            </a:r>
            <a:r>
              <a:rPr lang="en-US" altLang="zh-TW" sz="1001" b="1" i="0" u="none" strike="noStrike" baseline="0">
                <a:solidFill>
                  <a:srgbClr val="000000"/>
                </a:solidFill>
                <a:latin typeface="Times New Roman" pitchFamily="18" charset="0"/>
                <a:ea typeface="標楷體"/>
              </a:rPr>
              <a:t>1-3</a:t>
            </a:r>
            <a:r>
              <a:rPr lang="zh-TW" altLang="en-US" sz="1001" b="1" i="0" u="none" strike="noStrike" baseline="0">
                <a:solidFill>
                  <a:srgbClr val="000000"/>
                </a:solidFill>
                <a:latin typeface="Times New Roman" pitchFamily="18" charset="0"/>
                <a:ea typeface="標楷體"/>
              </a:rPr>
              <a:t>月實際投資金額（非金融領域）比重</a:t>
            </a:r>
            <a:r>
              <a:rPr lang="en-US" altLang="zh-TW" sz="1001" b="1" i="0" u="none" strike="noStrike" baseline="0">
                <a:solidFill>
                  <a:srgbClr val="000000"/>
                </a:solidFill>
                <a:latin typeface="Times New Roman" pitchFamily="18" charset="0"/>
                <a:ea typeface="標楷體"/>
              </a:rPr>
              <a:t>95.4</a:t>
            </a:r>
            <a:r>
              <a:rPr lang="zh-TW" altLang="zh-TW" sz="1001" b="1" i="0" u="none" strike="noStrike" kern="1200" baseline="0">
                <a:solidFill>
                  <a:srgbClr val="000000"/>
                </a:solidFill>
                <a:latin typeface="Times New Roman" pitchFamily="18" charset="0"/>
                <a:ea typeface="標楷體"/>
              </a:rPr>
              <a:t>％</a:t>
            </a:r>
            <a:endParaRPr lang="en-US" altLang="zh-TW" sz="1001" b="1" i="0" u="none" strike="noStrike" baseline="0">
              <a:solidFill>
                <a:srgbClr val="000000"/>
              </a:solidFill>
              <a:latin typeface="Times New Roman" pitchFamily="18" charset="0"/>
              <a:ea typeface="標楷體"/>
            </a:endParaRPr>
          </a:p>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（單位</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億美元）</a:t>
            </a:r>
            <a:endParaRPr lang="zh-TW" altLang="en-US" sz="1000" b="1" baseline="0">
              <a:latin typeface="Times New Roman" pitchFamily="18" charset="0"/>
            </a:endParaRPr>
          </a:p>
        </c:rich>
      </c:tx>
      <c:layout>
        <c:manualLayout>
          <c:xMode val="edge"/>
          <c:yMode val="edge"/>
          <c:x val="0.11239839215144547"/>
          <c:y val="1.122785281833627E-3"/>
        </c:manualLayout>
      </c:layout>
      <c:overlay val="0"/>
      <c:spPr>
        <a:noFill/>
        <a:ln w="25422">
          <a:noFill/>
        </a:ln>
      </c:spPr>
    </c:title>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258066671694266"/>
          <c:y val="0.47500078054703082"/>
          <c:w val="0.54643258418921847"/>
          <c:h val="0.42692377846737195"/>
        </c:manualLayout>
      </c:layout>
      <c:pie3DChart>
        <c:varyColors val="1"/>
        <c:ser>
          <c:idx val="0"/>
          <c:order val="0"/>
          <c:tx>
            <c:strRef>
              <c:f>Sheet1!$A$1</c:f>
              <c:strCache>
                <c:ptCount val="1"/>
                <c:pt idx="0">
                  <c:v>圖3-2 前十大外資國/地區 2012年實際投資金額（非金融領域）比重91.4%
（單位:億美元）</c:v>
                </c:pt>
              </c:strCache>
            </c:strRef>
          </c:tx>
          <c:spPr>
            <a:solidFill>
              <a:srgbClr val="9999FF"/>
            </a:solidFill>
            <a:ln w="25422">
              <a:noFill/>
            </a:ln>
          </c:spPr>
          <c:explosion val="25"/>
          <c:dPt>
            <c:idx val="0"/>
            <c:bubble3D val="0"/>
            <c:explosion val="19"/>
          </c:dPt>
          <c:dPt>
            <c:idx val="1"/>
            <c:bubble3D val="0"/>
            <c:spPr>
              <a:solidFill>
                <a:srgbClr val="993366"/>
              </a:solidFill>
              <a:ln w="25422">
                <a:noFill/>
              </a:ln>
            </c:spPr>
          </c:dPt>
          <c:dPt>
            <c:idx val="2"/>
            <c:bubble3D val="0"/>
            <c:spPr>
              <a:solidFill>
                <a:srgbClr val="FFFFCC"/>
              </a:solidFill>
              <a:ln w="25422">
                <a:noFill/>
              </a:ln>
            </c:spPr>
          </c:dPt>
          <c:dPt>
            <c:idx val="3"/>
            <c:bubble3D val="0"/>
            <c:spPr>
              <a:solidFill>
                <a:srgbClr val="CCFFFF"/>
              </a:solidFill>
              <a:ln w="25422">
                <a:noFill/>
              </a:ln>
            </c:spPr>
          </c:dPt>
          <c:dPt>
            <c:idx val="4"/>
            <c:bubble3D val="0"/>
            <c:spPr>
              <a:solidFill>
                <a:srgbClr val="660066"/>
              </a:solidFill>
              <a:ln w="25422">
                <a:noFill/>
              </a:ln>
            </c:spPr>
          </c:dPt>
          <c:dPt>
            <c:idx val="5"/>
            <c:bubble3D val="0"/>
            <c:spPr>
              <a:solidFill>
                <a:srgbClr val="FF8080"/>
              </a:solidFill>
              <a:ln w="25422">
                <a:noFill/>
              </a:ln>
            </c:spPr>
          </c:dPt>
          <c:dPt>
            <c:idx val="6"/>
            <c:bubble3D val="0"/>
            <c:spPr>
              <a:solidFill>
                <a:srgbClr val="0066CC"/>
              </a:solidFill>
              <a:ln w="25422">
                <a:noFill/>
              </a:ln>
            </c:spPr>
          </c:dPt>
          <c:dPt>
            <c:idx val="7"/>
            <c:bubble3D val="0"/>
            <c:spPr>
              <a:solidFill>
                <a:srgbClr val="CCCCFF"/>
              </a:solidFill>
              <a:ln w="25422">
                <a:noFill/>
              </a:ln>
            </c:spPr>
          </c:dPt>
          <c:dPt>
            <c:idx val="8"/>
            <c:bubble3D val="0"/>
            <c:spPr>
              <a:solidFill>
                <a:srgbClr val="000080"/>
              </a:solidFill>
              <a:ln w="25422">
                <a:noFill/>
              </a:ln>
            </c:spPr>
          </c:dPt>
          <c:dPt>
            <c:idx val="9"/>
            <c:bubble3D val="0"/>
            <c:explosion val="35"/>
            <c:spPr>
              <a:solidFill>
                <a:srgbClr val="FF00FF"/>
              </a:solidFill>
              <a:ln w="25422">
                <a:noFill/>
              </a:ln>
            </c:spPr>
          </c:dPt>
          <c:dLbls>
            <c:dLbl>
              <c:idx val="0"/>
              <c:layout>
                <c:manualLayout>
                  <c:x val="7.3701803403606811E-2"/>
                  <c:y val="-0.11811080887616321"/>
                </c:manualLayout>
              </c:layout>
              <c:showLegendKey val="0"/>
              <c:showVal val="1"/>
              <c:showCatName val="1"/>
              <c:showSerName val="0"/>
              <c:showPercent val="0"/>
              <c:showBubbleSize val="0"/>
              <c:separator> </c:separator>
            </c:dLbl>
            <c:dLbl>
              <c:idx val="1"/>
              <c:layout>
                <c:manualLayout>
                  <c:x val="-5.7519996532941126E-2"/>
                  <c:y val="0.19182721596973154"/>
                </c:manualLayout>
              </c:layout>
              <c:showLegendKey val="0"/>
              <c:showVal val="1"/>
              <c:showCatName val="1"/>
              <c:showSerName val="0"/>
              <c:showPercent val="0"/>
              <c:showBubbleSize val="0"/>
              <c:separator> </c:separator>
            </c:dLbl>
            <c:dLbl>
              <c:idx val="2"/>
              <c:layout>
                <c:manualLayout>
                  <c:x val="-7.9205197067084857E-2"/>
                  <c:y val="0.10737221329009267"/>
                </c:manualLayout>
              </c:layout>
              <c:showLegendKey val="0"/>
              <c:showVal val="1"/>
              <c:showCatName val="1"/>
              <c:showSerName val="0"/>
              <c:showPercent val="0"/>
              <c:showBubbleSize val="0"/>
              <c:separator> </c:separator>
            </c:dLbl>
            <c:dLbl>
              <c:idx val="3"/>
              <c:layout>
                <c:manualLayout>
                  <c:x val="-9.7940350335465026E-2"/>
                  <c:y val="2.7094126323214833E-2"/>
                </c:manualLayout>
              </c:layout>
              <c:dLblPos val="bestFit"/>
              <c:showLegendKey val="0"/>
              <c:showVal val="1"/>
              <c:showCatName val="1"/>
              <c:showSerName val="0"/>
              <c:showPercent val="0"/>
              <c:showBubbleSize val="0"/>
              <c:separator> </c:separator>
            </c:dLbl>
            <c:dLbl>
              <c:idx val="4"/>
              <c:layout>
                <c:manualLayout>
                  <c:x val="-0.11781347087805975"/>
                  <c:y val="-5.8034794080059363E-2"/>
                </c:manualLayout>
              </c:layout>
              <c:dLblPos val="bestFit"/>
              <c:showLegendKey val="0"/>
              <c:showVal val="1"/>
              <c:showCatName val="1"/>
              <c:showSerName val="0"/>
              <c:showPercent val="0"/>
              <c:showBubbleSize val="0"/>
              <c:separator> </c:separator>
            </c:dLbl>
            <c:dLbl>
              <c:idx val="5"/>
              <c:layout>
                <c:manualLayout>
                  <c:x val="-0.12117286132577081"/>
                  <c:y val="-0.14887569682061996"/>
                </c:manualLayout>
              </c:layout>
              <c:dLblPos val="bestFit"/>
              <c:showLegendKey val="0"/>
              <c:showVal val="1"/>
              <c:showCatName val="1"/>
              <c:showSerName val="0"/>
              <c:showPercent val="0"/>
              <c:showBubbleSize val="0"/>
              <c:separator> </c:separator>
            </c:dLbl>
            <c:dLbl>
              <c:idx val="6"/>
              <c:layout>
                <c:manualLayout>
                  <c:x val="-5.7429257101376259E-2"/>
                  <c:y val="-0.17197670317388336"/>
                </c:manualLayout>
              </c:layout>
              <c:dLblPos val="bestFit"/>
              <c:showLegendKey val="0"/>
              <c:showVal val="1"/>
              <c:showCatName val="1"/>
              <c:showSerName val="0"/>
              <c:showPercent val="0"/>
              <c:showBubbleSize val="0"/>
              <c:separator> </c:separator>
            </c:dLbl>
            <c:dLbl>
              <c:idx val="7"/>
              <c:layout>
                <c:manualLayout>
                  <c:x val="0.17247077377711695"/>
                  <c:y val="-0.16716136922675243"/>
                </c:manualLayout>
              </c:layout>
              <c:dLblPos val="bestFit"/>
              <c:showLegendKey val="0"/>
              <c:showVal val="1"/>
              <c:showCatName val="1"/>
              <c:showSerName val="0"/>
              <c:showPercent val="0"/>
              <c:showBubbleSize val="0"/>
              <c:separator> </c:separator>
            </c:dLbl>
            <c:dLbl>
              <c:idx val="8"/>
              <c:layout>
                <c:manualLayout>
                  <c:x val="0.16135688631026393"/>
                  <c:y val="-6.0496855432337973E-2"/>
                </c:manualLayout>
              </c:layout>
              <c:dLblPos val="bestFit"/>
              <c:showLegendKey val="0"/>
              <c:showVal val="1"/>
              <c:showCatName val="1"/>
              <c:showSerName val="0"/>
              <c:showPercent val="0"/>
              <c:showBubbleSize val="0"/>
              <c:separator> </c:separator>
            </c:dLbl>
            <c:dLbl>
              <c:idx val="9"/>
              <c:layout>
                <c:manualLayout>
                  <c:x val="0.11645356443447664"/>
                  <c:y val="7.3856687416690714E-2"/>
                </c:manualLayout>
              </c:layout>
              <c:dLblPos val="bestFit"/>
              <c:showLegendKey val="0"/>
              <c:showVal val="1"/>
              <c:showCatName val="1"/>
              <c:showSerName val="0"/>
              <c:showPercent val="0"/>
              <c:showBubbleSize val="0"/>
              <c:separator> </c:separator>
            </c:dLbl>
            <c:spPr>
              <a:noFill/>
              <a:ln w="25422">
                <a:noFill/>
              </a:ln>
            </c:spPr>
            <c:txPr>
              <a:bodyPr/>
              <a:lstStyle/>
              <a:p>
                <a:pPr>
                  <a:defRPr sz="901" b="0" i="0" u="none" strike="noStrike" baseline="0">
                    <a:solidFill>
                      <a:srgbClr val="000000"/>
                    </a:solidFill>
                    <a:latin typeface="Times New Roman" pitchFamily="18" charset="0"/>
                    <a:ea typeface="標楷體"/>
                    <a:cs typeface="標楷體"/>
                  </a:defRPr>
                </a:pPr>
                <a:endParaRPr lang="zh-TW"/>
              </a:p>
            </c:txPr>
            <c:showLegendKey val="0"/>
            <c:showVal val="1"/>
            <c:showCatName val="1"/>
            <c:showSerName val="0"/>
            <c:showPercent val="0"/>
            <c:showBubbleSize val="0"/>
            <c:separator> </c:separator>
            <c:showLeaderLines val="1"/>
          </c:dLbls>
          <c:cat>
            <c:strRef>
              <c:f>Sheet1!$B$3:$B$12</c:f>
              <c:strCache>
                <c:ptCount val="10"/>
                <c:pt idx="0">
                  <c:v>香港</c:v>
                </c:pt>
                <c:pt idx="1">
                  <c:v>韓國</c:v>
                </c:pt>
                <c:pt idx="2">
                  <c:v>臺灣</c:v>
                </c:pt>
                <c:pt idx="3">
                  <c:v>新加坡</c:v>
                </c:pt>
                <c:pt idx="4">
                  <c:v>日本</c:v>
                </c:pt>
                <c:pt idx="5">
                  <c:v>美國</c:v>
                </c:pt>
                <c:pt idx="6">
                  <c:v>德國</c:v>
                </c:pt>
                <c:pt idx="7">
                  <c:v>英國</c:v>
                </c:pt>
                <c:pt idx="8">
                  <c:v>法國</c:v>
                </c:pt>
                <c:pt idx="9">
                  <c:v>沙烏地阿拉伯</c:v>
                </c:pt>
              </c:strCache>
            </c:strRef>
          </c:cat>
          <c:val>
            <c:numRef>
              <c:f>Sheet1!$C$3:$C$12</c:f>
              <c:numCache>
                <c:formatCode>0.0_ </c:formatCode>
                <c:ptCount val="10"/>
                <c:pt idx="0">
                  <c:v>259.39999999999998</c:v>
                </c:pt>
                <c:pt idx="1">
                  <c:v>16.2</c:v>
                </c:pt>
                <c:pt idx="2">
                  <c:v>12.9</c:v>
                </c:pt>
                <c:pt idx="3">
                  <c:v>12.3</c:v>
                </c:pt>
                <c:pt idx="4">
                  <c:v>10.6</c:v>
                </c:pt>
                <c:pt idx="5">
                  <c:v>6.2</c:v>
                </c:pt>
                <c:pt idx="6">
                  <c:v>5.5</c:v>
                </c:pt>
                <c:pt idx="7">
                  <c:v>3.7</c:v>
                </c:pt>
                <c:pt idx="8">
                  <c:v>3.7</c:v>
                </c:pt>
                <c:pt idx="9">
                  <c:v>2.4</c:v>
                </c:pt>
              </c:numCache>
            </c:numRef>
          </c:val>
        </c:ser>
        <c:dLbls>
          <c:showLegendKey val="0"/>
          <c:showVal val="0"/>
          <c:showCatName val="0"/>
          <c:showSerName val="0"/>
          <c:showPercent val="0"/>
          <c:showBubbleSize val="0"/>
          <c:showLeaderLines val="1"/>
        </c:dLbls>
      </c:pie3DChart>
      <c:spPr>
        <a:noFill/>
        <a:ln w="25422">
          <a:noFill/>
        </a:ln>
      </c:spPr>
    </c:plotArea>
    <c:plotVisOnly val="1"/>
    <c:dispBlanksAs val="zero"/>
    <c:showDLblsOverMax val="0"/>
  </c:chart>
  <c:spPr>
    <a:solidFill>
      <a:srgbClr val="FFFFFF"/>
    </a:solidFill>
    <a:ln w="3178">
      <a:noFill/>
      <a:prstDash val="solid"/>
    </a:ln>
  </c:spPr>
  <c:txPr>
    <a:bodyPr/>
    <a:lstStyle/>
    <a:p>
      <a:pPr>
        <a:defRPr sz="1201" b="0" i="0" u="none" strike="noStrike" baseline="0">
          <a:solidFill>
            <a:srgbClr val="000000"/>
          </a:solidFill>
          <a:latin typeface="標楷體"/>
          <a:ea typeface="標楷體"/>
          <a:cs typeface="標楷體"/>
        </a:defRPr>
      </a:pPr>
      <a:endParaRPr lang="zh-TW"/>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標楷體"/>
                <a:ea typeface="標楷體"/>
                <a:cs typeface="標楷體"/>
              </a:defRPr>
            </a:pPr>
            <a:r>
              <a:rPr lang="zh-TW" altLang="en-US" sz="1100" b="1" i="0" u="none" strike="noStrike" baseline="0">
                <a:solidFill>
                  <a:srgbClr val="000000"/>
                </a:solidFill>
                <a:latin typeface="標楷體"/>
                <a:ea typeface="標楷體"/>
              </a:rPr>
              <a:t>圖</a:t>
            </a:r>
            <a:r>
              <a:rPr lang="zh-TW" altLang="en-US" sz="1100" b="1" i="0" u="none" strike="noStrike" baseline="0">
                <a:solidFill>
                  <a:srgbClr val="000000"/>
                </a:solidFill>
                <a:latin typeface="Times New Roman"/>
                <a:ea typeface="標楷體"/>
                <a:cs typeface="Times New Roman"/>
              </a:rPr>
              <a:t>3-3 </a:t>
            </a:r>
            <a:r>
              <a:rPr lang="zh-TW" altLang="en-US" sz="1100" b="1" i="0" u="none" strike="noStrike" baseline="0">
                <a:solidFill>
                  <a:srgbClr val="000000"/>
                </a:solidFill>
                <a:latin typeface="標楷體"/>
                <a:ea typeface="標楷體"/>
                <a:cs typeface="Times New Roman"/>
              </a:rPr>
              <a:t>中國大陸進出口</a:t>
            </a:r>
            <a:endParaRPr lang="zh-TW" altLang="en-US"/>
          </a:p>
        </c:rich>
      </c:tx>
      <c:layout>
        <c:manualLayout>
          <c:xMode val="edge"/>
          <c:yMode val="edge"/>
          <c:x val="0.41456328375619717"/>
          <c:y val="3.9448962322332663E-3"/>
        </c:manualLayout>
      </c:layout>
      <c:overlay val="0"/>
      <c:spPr>
        <a:noFill/>
        <a:ln w="25399">
          <a:noFill/>
        </a:ln>
      </c:spPr>
    </c:title>
    <c:autoTitleDeleted val="0"/>
    <c:plotArea>
      <c:layout>
        <c:manualLayout>
          <c:layoutTarget val="inner"/>
          <c:xMode val="edge"/>
          <c:yMode val="edge"/>
          <c:x val="6.4372461916836668E-2"/>
          <c:y val="0.10186680537370187"/>
          <c:w val="0.8910505836575876"/>
          <c:h val="0.77903682719546741"/>
        </c:manualLayout>
      </c:layout>
      <c:barChart>
        <c:barDir val="col"/>
        <c:grouping val="clustered"/>
        <c:varyColors val="0"/>
        <c:ser>
          <c:idx val="1"/>
          <c:order val="0"/>
          <c:tx>
            <c:strRef>
              <c:f>Sheet1!$G$5</c:f>
              <c:strCache>
                <c:ptCount val="1"/>
                <c:pt idx="0">
                  <c:v>出口</c:v>
                </c:pt>
              </c:strCache>
            </c:strRef>
          </c:tx>
          <c:spPr>
            <a:pattFill prst="wdDnDiag">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2015.1-4</c:v>
                </c:pt>
              </c:strCache>
            </c:strRef>
          </c:cat>
          <c:val>
            <c:numRef>
              <c:f>Sheet1!$G$11:$G$22</c:f>
              <c:numCache>
                <c:formatCode>#,##0.00</c:formatCode>
                <c:ptCount val="12"/>
                <c:pt idx="0">
                  <c:v>5933.6</c:v>
                </c:pt>
                <c:pt idx="1">
                  <c:v>7620</c:v>
                </c:pt>
                <c:pt idx="2" formatCode="General">
                  <c:v>9690.7999999999993</c:v>
                </c:pt>
                <c:pt idx="3" formatCode="General">
                  <c:v>12180.2</c:v>
                </c:pt>
                <c:pt idx="4" formatCode="General">
                  <c:v>14285.46</c:v>
                </c:pt>
                <c:pt idx="5" formatCode="General">
                  <c:v>12016.7</c:v>
                </c:pt>
                <c:pt idx="6" formatCode="#,##0">
                  <c:v>15779.3</c:v>
                </c:pt>
                <c:pt idx="7">
                  <c:v>18986</c:v>
                </c:pt>
                <c:pt idx="8">
                  <c:v>20489.349999999999</c:v>
                </c:pt>
                <c:pt idx="9">
                  <c:v>22100.400000000001</c:v>
                </c:pt>
                <c:pt idx="10">
                  <c:v>23427.5</c:v>
                </c:pt>
                <c:pt idx="11">
                  <c:v>6901.1</c:v>
                </c:pt>
              </c:numCache>
            </c:numRef>
          </c:val>
        </c:ser>
        <c:ser>
          <c:idx val="0"/>
          <c:order val="1"/>
          <c:tx>
            <c:strRef>
              <c:f>Sheet1!$H$5</c:f>
              <c:strCache>
                <c:ptCount val="1"/>
                <c:pt idx="0">
                  <c:v>進口</c:v>
                </c:pt>
              </c:strCache>
            </c:strRef>
          </c:tx>
          <c:spPr>
            <a:gradFill rotWithShape="0">
              <a:gsLst>
                <a:gs pos="0">
                  <a:srgbClr xmlns:mc="http://schemas.openxmlformats.org/markup-compatibility/2006" xmlns:a14="http://schemas.microsoft.com/office/drawing/2010/main" val="0066CC" mc:Ignorable="a14" a14:legacySpreadsheetColorIndex="30"/>
                </a:gs>
                <a:gs pos="50000">
                  <a:srgbClr xmlns:mc="http://schemas.openxmlformats.org/markup-compatibility/2006" xmlns:a14="http://schemas.microsoft.com/office/drawing/2010/main" val="000000" mc:Ignorable="a14" a14:legacySpreadsheetColorIndex="30">
                    <a:gamma/>
                    <a:shade val="46275"/>
                    <a:invGamma/>
                  </a:srgbClr>
                </a:gs>
                <a:gs pos="100000">
                  <a:srgbClr xmlns:mc="http://schemas.openxmlformats.org/markup-compatibility/2006" xmlns:a14="http://schemas.microsoft.com/office/drawing/2010/main" val="0066CC" mc:Ignorable="a14" a14:legacySpreadsheetColorIndex="30"/>
                </a:gs>
              </a:gsLst>
              <a:lin ang="2700000" scaled="1"/>
            </a:grad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2015.1-4</c:v>
                </c:pt>
              </c:strCache>
            </c:strRef>
          </c:cat>
          <c:val>
            <c:numRef>
              <c:f>Sheet1!$H$11:$H$22</c:f>
              <c:numCache>
                <c:formatCode>#,##0.00</c:formatCode>
                <c:ptCount val="12"/>
                <c:pt idx="0">
                  <c:v>5613.8</c:v>
                </c:pt>
                <c:pt idx="1">
                  <c:v>6601.22</c:v>
                </c:pt>
                <c:pt idx="2" formatCode="General">
                  <c:v>7916.1</c:v>
                </c:pt>
                <c:pt idx="3" formatCode="General">
                  <c:v>9558.2000000000007</c:v>
                </c:pt>
                <c:pt idx="4" formatCode="General">
                  <c:v>11330.86</c:v>
                </c:pt>
                <c:pt idx="5" formatCode="General">
                  <c:v>10056</c:v>
                </c:pt>
                <c:pt idx="6">
                  <c:v>13948.3</c:v>
                </c:pt>
                <c:pt idx="7">
                  <c:v>17434.599999999999</c:v>
                </c:pt>
                <c:pt idx="8">
                  <c:v>18178.259999999998</c:v>
                </c:pt>
                <c:pt idx="9">
                  <c:v>19502.900000000001</c:v>
                </c:pt>
                <c:pt idx="10">
                  <c:v>19602.900000000001</c:v>
                </c:pt>
                <c:pt idx="11">
                  <c:v>5323.5</c:v>
                </c:pt>
              </c:numCache>
            </c:numRef>
          </c:val>
        </c:ser>
        <c:dLbls>
          <c:showLegendKey val="0"/>
          <c:showVal val="0"/>
          <c:showCatName val="0"/>
          <c:showSerName val="0"/>
          <c:showPercent val="0"/>
          <c:showBubbleSize val="0"/>
        </c:dLbls>
        <c:gapWidth val="150"/>
        <c:axId val="218905600"/>
        <c:axId val="218936064"/>
      </c:barChart>
      <c:lineChart>
        <c:grouping val="standard"/>
        <c:varyColors val="0"/>
        <c:ser>
          <c:idx val="2"/>
          <c:order val="2"/>
          <c:tx>
            <c:strRef>
              <c:f>Sheet1!$I$5</c:f>
              <c:strCache>
                <c:ptCount val="1"/>
                <c:pt idx="0">
                  <c:v>出口成長率</c:v>
                </c:pt>
              </c:strCache>
            </c:strRef>
          </c:tx>
          <c:spPr>
            <a:ln w="38099">
              <a:solidFill>
                <a:srgbClr val="000080"/>
              </a:solidFill>
              <a:prstDash val="lgDashDot"/>
            </a:ln>
          </c:spPr>
          <c:marker>
            <c:symbol val="triangle"/>
            <c:size val="9"/>
            <c:spPr>
              <a:solidFill>
                <a:srgbClr val="333399"/>
              </a:solidFill>
              <a:ln>
                <a:solidFill>
                  <a:srgbClr val="333399"/>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layout>
                <c:manualLayout>
                  <c:x val="1.068120043713397E-2"/>
                  <c:y val="-4.5766147113159832E-3"/>
                </c:manualLayout>
              </c:layout>
              <c:showLegendKey val="0"/>
              <c:showVal val="1"/>
              <c:showCatName val="0"/>
              <c:showSerName val="0"/>
              <c:showPercent val="0"/>
              <c:showBubbleSize val="0"/>
            </c:dLbl>
            <c:dLbl>
              <c:idx val="11"/>
              <c:layout>
                <c:manualLayout>
                  <c:x val="-7.1174377224197984E-3"/>
                  <c:y val="1.8223234624145868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2015.1-4</c:v>
                </c:pt>
              </c:strCache>
            </c:strRef>
          </c:cat>
          <c:val>
            <c:numRef>
              <c:f>Sheet1!$I$11:$I$22</c:f>
              <c:numCache>
                <c:formatCode>General</c:formatCode>
                <c:ptCount val="12"/>
                <c:pt idx="0">
                  <c:v>35.4</c:v>
                </c:pt>
                <c:pt idx="1">
                  <c:v>28.4</c:v>
                </c:pt>
                <c:pt idx="2">
                  <c:v>27.2</c:v>
                </c:pt>
                <c:pt idx="3">
                  <c:v>25.7</c:v>
                </c:pt>
                <c:pt idx="4">
                  <c:v>17.2</c:v>
                </c:pt>
                <c:pt idx="5" formatCode="0.0_ ">
                  <c:v>-16</c:v>
                </c:pt>
                <c:pt idx="6">
                  <c:v>31.3</c:v>
                </c:pt>
                <c:pt idx="7">
                  <c:v>20.3</c:v>
                </c:pt>
                <c:pt idx="8">
                  <c:v>7.9</c:v>
                </c:pt>
                <c:pt idx="9" formatCode="0.0_ ">
                  <c:v>7.9</c:v>
                </c:pt>
                <c:pt idx="10">
                  <c:v>6.1</c:v>
                </c:pt>
                <c:pt idx="11">
                  <c:v>1.6</c:v>
                </c:pt>
              </c:numCache>
            </c:numRef>
          </c:val>
          <c:smooth val="0"/>
        </c:ser>
        <c:ser>
          <c:idx val="3"/>
          <c:order val="3"/>
          <c:tx>
            <c:strRef>
              <c:f>Sheet1!$J$5</c:f>
              <c:strCache>
                <c:ptCount val="1"/>
                <c:pt idx="0">
                  <c:v>進口成長率</c:v>
                </c:pt>
              </c:strCache>
            </c:strRef>
          </c:tx>
          <c:spPr>
            <a:ln w="38099">
              <a:solidFill>
                <a:srgbClr val="339966"/>
              </a:solidFill>
              <a:prstDash val="solid"/>
            </a:ln>
          </c:spPr>
          <c:marker>
            <c:symbol val="circle"/>
            <c:size val="8"/>
            <c:spPr>
              <a:solidFill>
                <a:srgbClr val="0000FF"/>
              </a:solidFill>
              <a:ln>
                <a:solidFill>
                  <a:srgbClr val="0066CC"/>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layout>
                <c:manualLayout>
                  <c:x val="1.5131560512231345E-5"/>
                  <c:y val="5.4682259250623283E-2"/>
                </c:manualLayout>
              </c:layout>
              <c:showLegendKey val="0"/>
              <c:showVal val="1"/>
              <c:showCatName val="0"/>
              <c:showSerName val="0"/>
              <c:showPercent val="0"/>
              <c:showBubbleSize val="0"/>
            </c:dLbl>
            <c:dLbl>
              <c:idx val="11"/>
              <c:layout>
                <c:manualLayout>
                  <c:x val="-1.7793594306049824E-2"/>
                  <c:y val="-3.644646924829157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2015.1-4</c:v>
                </c:pt>
              </c:strCache>
            </c:strRef>
          </c:cat>
          <c:val>
            <c:numRef>
              <c:f>Sheet1!$J$11:$J$22</c:f>
              <c:numCache>
                <c:formatCode>General</c:formatCode>
                <c:ptCount val="12"/>
                <c:pt idx="0">
                  <c:v>36</c:v>
                </c:pt>
                <c:pt idx="1">
                  <c:v>17.600000000000001</c:v>
                </c:pt>
                <c:pt idx="2">
                  <c:v>20</c:v>
                </c:pt>
                <c:pt idx="3">
                  <c:v>20.8</c:v>
                </c:pt>
                <c:pt idx="4" formatCode="0.0_ ">
                  <c:v>18.5</c:v>
                </c:pt>
                <c:pt idx="5" formatCode="0.0_ ">
                  <c:v>-11.2</c:v>
                </c:pt>
                <c:pt idx="6">
                  <c:v>38.700000000000003</c:v>
                </c:pt>
                <c:pt idx="7">
                  <c:v>24.9</c:v>
                </c:pt>
                <c:pt idx="8">
                  <c:v>4.3</c:v>
                </c:pt>
                <c:pt idx="9">
                  <c:v>7.3</c:v>
                </c:pt>
                <c:pt idx="10">
                  <c:v>0.4</c:v>
                </c:pt>
                <c:pt idx="11">
                  <c:v>-17.3</c:v>
                </c:pt>
              </c:numCache>
            </c:numRef>
          </c:val>
          <c:smooth val="0"/>
        </c:ser>
        <c:dLbls>
          <c:showLegendKey val="0"/>
          <c:showVal val="0"/>
          <c:showCatName val="0"/>
          <c:showSerName val="0"/>
          <c:showPercent val="0"/>
          <c:showBubbleSize val="0"/>
        </c:dLbls>
        <c:marker val="1"/>
        <c:smooth val="0"/>
        <c:axId val="218938368"/>
        <c:axId val="218948352"/>
      </c:lineChart>
      <c:catAx>
        <c:axId val="218905600"/>
        <c:scaling>
          <c:orientation val="minMax"/>
        </c:scaling>
        <c:delete val="0"/>
        <c:axPos val="b"/>
        <c:numFmt formatCode="General" sourceLinked="1"/>
        <c:majorTickMark val="none"/>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Times New Roman"/>
                <a:ea typeface="Times New Roman"/>
                <a:cs typeface="Times New Roman"/>
              </a:defRPr>
            </a:pPr>
            <a:endParaRPr lang="zh-TW"/>
          </a:p>
        </c:txPr>
        <c:crossAx val="218936064"/>
        <c:crosses val="autoZero"/>
        <c:auto val="0"/>
        <c:lblAlgn val="l"/>
        <c:lblOffset val="100"/>
        <c:tickLblSkip val="1"/>
        <c:tickMarkSkip val="1"/>
        <c:noMultiLvlLbl val="0"/>
      </c:catAx>
      <c:valAx>
        <c:axId val="218936064"/>
        <c:scaling>
          <c:orientation val="minMax"/>
          <c:max val="25000"/>
          <c:min val="-50"/>
        </c:scaling>
        <c:delete val="0"/>
        <c:axPos val="l"/>
        <c:majorGridlines>
          <c:spPr>
            <a:ln w="3175">
              <a:solidFill>
                <a:srgbClr val="C0C0C0"/>
              </a:solidFill>
              <a:prstDash val="sysDash"/>
            </a:ln>
          </c:spPr>
        </c:majorGridlines>
        <c:title>
          <c:tx>
            <c:rich>
              <a:bodyPr rot="0" vert="horz"/>
              <a:lstStyle/>
              <a:p>
                <a:pPr algn="ctr">
                  <a:defRPr sz="700" b="0" i="0" u="none" strike="noStrike" baseline="0">
                    <a:solidFill>
                      <a:srgbClr val="000000"/>
                    </a:solidFill>
                    <a:latin typeface="Times New Roman"/>
                    <a:ea typeface="Times New Roman"/>
                    <a:cs typeface="Times New Roman"/>
                  </a:defRPr>
                </a:pPr>
                <a:r>
                  <a:rPr lang="zh-TW" altLang="en-US" sz="700" b="0" i="0" u="none" strike="noStrike" baseline="0">
                    <a:solidFill>
                      <a:srgbClr val="000000"/>
                    </a:solidFill>
                    <a:latin typeface="Times New Roman"/>
                    <a:cs typeface="Times New Roman"/>
                  </a:rPr>
                  <a:t>(</a:t>
                </a:r>
                <a:r>
                  <a:rPr lang="zh-TW" altLang="en-US" sz="700" b="0" i="0" u="none" strike="noStrike" baseline="0">
                    <a:solidFill>
                      <a:srgbClr val="000000"/>
                    </a:solidFill>
                    <a:latin typeface="標楷體"/>
                    <a:ea typeface="標楷體"/>
                    <a:cs typeface="Times New Roman"/>
                  </a:rPr>
                  <a:t>千億美元</a:t>
                </a:r>
                <a:r>
                  <a:rPr lang="zh-TW" altLang="en-US" sz="700" b="0" i="0" u="none" strike="noStrike" baseline="0">
                    <a:solidFill>
                      <a:srgbClr val="000000"/>
                    </a:solidFill>
                    <a:latin typeface="Times New Roman"/>
                    <a:ea typeface="標楷體"/>
                    <a:cs typeface="Times New Roman"/>
                  </a:rPr>
                  <a:t>)</a:t>
                </a:r>
                <a:endParaRPr lang="zh-TW" altLang="en-US" sz="700"/>
              </a:p>
            </c:rich>
          </c:tx>
          <c:layout>
            <c:manualLayout>
              <c:xMode val="edge"/>
              <c:yMode val="edge"/>
              <c:x val="0"/>
              <c:y val="2.8937724997490068E-2"/>
            </c:manualLayout>
          </c:layout>
          <c:overlay val="0"/>
          <c:spPr>
            <a:noFill/>
            <a:ln w="25399">
              <a:noFill/>
            </a:ln>
          </c:spPr>
        </c:title>
        <c:numFmt formatCode="#,##0" sourceLinked="0"/>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18905600"/>
        <c:crosses val="autoZero"/>
        <c:crossBetween val="between"/>
        <c:dispUnits>
          <c:builtInUnit val="thousands"/>
        </c:dispUnits>
      </c:valAx>
      <c:catAx>
        <c:axId val="218938368"/>
        <c:scaling>
          <c:orientation val="minMax"/>
        </c:scaling>
        <c:delete val="1"/>
        <c:axPos val="b"/>
        <c:numFmt formatCode="General" sourceLinked="1"/>
        <c:majorTickMark val="out"/>
        <c:minorTickMark val="none"/>
        <c:tickLblPos val="nextTo"/>
        <c:crossAx val="218948352"/>
        <c:crossesAt val="0"/>
        <c:auto val="0"/>
        <c:lblAlgn val="ctr"/>
        <c:lblOffset val="100"/>
        <c:noMultiLvlLbl val="0"/>
      </c:catAx>
      <c:valAx>
        <c:axId val="218948352"/>
        <c:scaling>
          <c:orientation val="minMax"/>
        </c:scaling>
        <c:delete val="0"/>
        <c:axPos val="r"/>
        <c:title>
          <c:tx>
            <c:rich>
              <a:bodyPr rot="0" vert="horz"/>
              <a:lstStyle/>
              <a:p>
                <a:pPr algn="ctr">
                  <a:defRPr sz="800" b="0" i="0" u="none" strike="noStrike" baseline="0">
                    <a:solidFill>
                      <a:srgbClr val="000000"/>
                    </a:solidFill>
                    <a:latin typeface="Arial"/>
                    <a:ea typeface="Arial"/>
                    <a:cs typeface="Arial"/>
                  </a:defRPr>
                </a:pPr>
                <a:r>
                  <a:rPr lang="zh-TW" altLang="en-US" sz="800" b="0" i="0" u="none" strike="noStrike" baseline="0">
                    <a:solidFill>
                      <a:srgbClr val="000000"/>
                    </a:solidFill>
                    <a:latin typeface="Arial"/>
                    <a:cs typeface="Arial"/>
                  </a:rPr>
                  <a:t>(</a:t>
                </a:r>
                <a:r>
                  <a:rPr lang="zh-TW" altLang="en-US" sz="800" b="0" i="0" u="none" strike="noStrike" baseline="0">
                    <a:solidFill>
                      <a:srgbClr val="000000"/>
                    </a:solidFill>
                    <a:latin typeface="標楷體"/>
                    <a:ea typeface="標楷體"/>
                    <a:cs typeface="Arial"/>
                  </a:rPr>
                  <a:t>％</a:t>
                </a:r>
                <a:r>
                  <a:rPr lang="zh-TW" altLang="en-US" sz="800" b="0" i="0" u="none" strike="noStrike" baseline="0">
                    <a:solidFill>
                      <a:srgbClr val="000000"/>
                    </a:solidFill>
                    <a:latin typeface="Arial"/>
                    <a:ea typeface="標楷體"/>
                    <a:cs typeface="Arial"/>
                  </a:rPr>
                  <a:t>)</a:t>
                </a:r>
                <a:endParaRPr lang="zh-TW" altLang="en-US"/>
              </a:p>
            </c:rich>
          </c:tx>
          <c:layout>
            <c:manualLayout>
              <c:xMode val="edge"/>
              <c:yMode val="edge"/>
              <c:x val="0.90466927554557552"/>
              <c:y val="4.2492984499048037E-2"/>
            </c:manualLayout>
          </c:layout>
          <c:overlay val="0"/>
          <c:spPr>
            <a:noFill/>
            <a:ln w="25399">
              <a:noFill/>
            </a:ln>
          </c:spPr>
        </c:title>
        <c:numFmt formatCode="General" sourceLinked="1"/>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18938368"/>
        <c:crosses val="max"/>
        <c:crossBetween val="between"/>
      </c:valAx>
      <c:spPr>
        <a:noFill/>
        <a:ln w="25399">
          <a:noFill/>
        </a:ln>
      </c:spPr>
    </c:plotArea>
    <c:legend>
      <c:legendPos val="r"/>
      <c:layout>
        <c:manualLayout>
          <c:xMode val="edge"/>
          <c:yMode val="edge"/>
          <c:x val="0.13035029104624038"/>
          <c:y val="1.1331611918247473E-2"/>
          <c:w val="0.29182890405284612"/>
          <c:h val="0.1784700867404978"/>
        </c:manualLayout>
      </c:layout>
      <c:overlay val="0"/>
      <c:spPr>
        <a:solidFill>
          <a:srgbClr val="FFFFFF"/>
        </a:solidFill>
        <a:ln w="25399">
          <a:noFill/>
        </a:ln>
      </c:spPr>
      <c:txPr>
        <a:bodyPr/>
        <a:lstStyle/>
        <a:p>
          <a:pPr>
            <a:defRPr sz="735"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a:noFill/>
    </a:ln>
  </c:spPr>
  <c:txPr>
    <a:bodyPr/>
    <a:lstStyle/>
    <a:p>
      <a:pPr>
        <a:defRPr sz="800" b="0" i="0" u="none" strike="noStrike" baseline="0">
          <a:solidFill>
            <a:srgbClr val="000000"/>
          </a:solidFill>
          <a:latin typeface="Arial"/>
          <a:ea typeface="Arial"/>
          <a:cs typeface="Arial"/>
        </a:defRPr>
      </a:pPr>
      <a:endParaRPr lang="zh-TW"/>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78" b="1" i="0" u="none" strike="noStrike" baseline="0">
                <a:solidFill>
                  <a:srgbClr val="000000"/>
                </a:solidFill>
                <a:latin typeface="標楷體"/>
                <a:ea typeface="標楷體"/>
                <a:cs typeface="標楷體"/>
              </a:defRPr>
            </a:pPr>
            <a:r>
              <a:rPr lang="zh-TW" altLang="en-US" sz="1075"/>
              <a:t>我國對中國大陸出進口變動</a:t>
            </a:r>
          </a:p>
        </c:rich>
      </c:tx>
      <c:layout>
        <c:manualLayout>
          <c:xMode val="edge"/>
          <c:yMode val="edge"/>
          <c:x val="0.34081852539795787"/>
          <c:y val="1.4605565871102079E-2"/>
        </c:manualLayout>
      </c:layout>
      <c:overlay val="0"/>
      <c:spPr>
        <a:noFill/>
        <a:ln w="24829">
          <a:noFill/>
        </a:ln>
      </c:spPr>
    </c:title>
    <c:autoTitleDeleted val="0"/>
    <c:plotArea>
      <c:layout>
        <c:manualLayout>
          <c:layoutTarget val="inner"/>
          <c:xMode val="edge"/>
          <c:yMode val="edge"/>
          <c:x val="0.13622754491017963"/>
          <c:y val="0.13402061855670103"/>
          <c:w val="0.75449101796407203"/>
          <c:h val="0.634020618556701"/>
        </c:manualLayout>
      </c:layout>
      <c:barChart>
        <c:barDir val="col"/>
        <c:grouping val="clustered"/>
        <c:varyColors val="0"/>
        <c:ser>
          <c:idx val="1"/>
          <c:order val="0"/>
          <c:tx>
            <c:strRef>
              <c:f>Sheet1!$B$1</c:f>
              <c:strCache>
                <c:ptCount val="1"/>
                <c:pt idx="0">
                  <c:v>出口金額</c:v>
                </c:pt>
              </c:strCache>
            </c:strRef>
          </c:tx>
          <c:spPr>
            <a:pattFill prst="pct10">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415">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Sheet1!$B$2:$B$12</c:f>
              <c:numCache>
                <c:formatCode>0.0_);[Red]\(0.0\)</c:formatCode>
                <c:ptCount val="11"/>
                <c:pt idx="0">
                  <c:v>716.1</c:v>
                </c:pt>
                <c:pt idx="1">
                  <c:v>891.9</c:v>
                </c:pt>
                <c:pt idx="2">
                  <c:v>1004.4</c:v>
                </c:pt>
                <c:pt idx="3">
                  <c:v>995.8</c:v>
                </c:pt>
                <c:pt idx="4">
                  <c:v>837</c:v>
                </c:pt>
                <c:pt idx="5">
                  <c:v>1147.4000000000001</c:v>
                </c:pt>
                <c:pt idx="6">
                  <c:v>1240.5</c:v>
                </c:pt>
                <c:pt idx="7">
                  <c:v>1186.7</c:v>
                </c:pt>
                <c:pt idx="8">
                  <c:v>1212.3</c:v>
                </c:pt>
                <c:pt idx="9">
                  <c:v>1246.9000000000001</c:v>
                </c:pt>
                <c:pt idx="10">
                  <c:v>365.3</c:v>
                </c:pt>
              </c:numCache>
            </c:numRef>
          </c:val>
        </c:ser>
        <c:ser>
          <c:idx val="0"/>
          <c:order val="1"/>
          <c:tx>
            <c:strRef>
              <c:f>Sheet1!$C$1</c:f>
              <c:strCache>
                <c:ptCount val="1"/>
                <c:pt idx="0">
                  <c:v>進口金額</c:v>
                </c:pt>
              </c:strCache>
            </c:strRef>
          </c:tx>
          <c:spPr>
            <a:pattFill prst="ltDnDiag">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415">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Sheet1!$C$2:$C$12</c:f>
              <c:numCache>
                <c:formatCode>0.0_);[Red]\(0.0\)</c:formatCode>
                <c:ptCount val="11"/>
                <c:pt idx="0">
                  <c:v>218.2</c:v>
                </c:pt>
                <c:pt idx="1">
                  <c:v>266.7</c:v>
                </c:pt>
                <c:pt idx="2">
                  <c:v>298.39999999999998</c:v>
                </c:pt>
                <c:pt idx="3">
                  <c:v>329.1</c:v>
                </c:pt>
                <c:pt idx="4">
                  <c:v>256.3</c:v>
                </c:pt>
                <c:pt idx="5">
                  <c:v>375.8</c:v>
                </c:pt>
                <c:pt idx="6">
                  <c:v>452.8</c:v>
                </c:pt>
                <c:pt idx="7">
                  <c:v>435.7</c:v>
                </c:pt>
                <c:pt idx="8">
                  <c:v>442.5</c:v>
                </c:pt>
                <c:pt idx="9">
                  <c:v>497.3</c:v>
                </c:pt>
                <c:pt idx="10">
                  <c:v>148.4</c:v>
                </c:pt>
              </c:numCache>
            </c:numRef>
          </c:val>
        </c:ser>
        <c:dLbls>
          <c:showLegendKey val="0"/>
          <c:showVal val="0"/>
          <c:showCatName val="0"/>
          <c:showSerName val="0"/>
          <c:showPercent val="0"/>
          <c:showBubbleSize val="0"/>
        </c:dLbls>
        <c:gapWidth val="150"/>
        <c:axId val="209637760"/>
        <c:axId val="209639680"/>
      </c:barChart>
      <c:lineChart>
        <c:grouping val="standard"/>
        <c:varyColors val="0"/>
        <c:ser>
          <c:idx val="2"/>
          <c:order val="2"/>
          <c:tx>
            <c:strRef>
              <c:f>Sheet1!$D$1</c:f>
              <c:strCache>
                <c:ptCount val="1"/>
                <c:pt idx="0">
                  <c:v>出口成長率</c:v>
                </c:pt>
              </c:strCache>
            </c:strRef>
          </c:tx>
          <c:spPr>
            <a:ln w="37244">
              <a:solidFill>
                <a:srgbClr val="000000"/>
              </a:solidFill>
              <a:prstDash val="solid"/>
            </a:ln>
          </c:spPr>
          <c:marker>
            <c:symbol val="square"/>
            <c:size val="6"/>
            <c:spPr>
              <a:solidFill>
                <a:srgbClr val="333333"/>
              </a:solidFill>
              <a:ln>
                <a:solidFill>
                  <a:srgbClr val="80808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Sheet1!$D$2:$D$12</c:f>
              <c:numCache>
                <c:formatCode>0.0_ </c:formatCode>
                <c:ptCount val="11"/>
                <c:pt idx="0">
                  <c:v>12.2</c:v>
                </c:pt>
                <c:pt idx="1">
                  <c:v>14.8</c:v>
                </c:pt>
                <c:pt idx="2">
                  <c:v>12.6</c:v>
                </c:pt>
                <c:pt idx="3">
                  <c:v>-0.8</c:v>
                </c:pt>
                <c:pt idx="4">
                  <c:v>-15.9</c:v>
                </c:pt>
                <c:pt idx="5">
                  <c:v>37.1</c:v>
                </c:pt>
                <c:pt idx="6">
                  <c:v>8.1</c:v>
                </c:pt>
                <c:pt idx="7">
                  <c:v>-4.3</c:v>
                </c:pt>
                <c:pt idx="8">
                  <c:v>2.2000000000000002</c:v>
                </c:pt>
                <c:pt idx="9">
                  <c:v>3.7</c:v>
                </c:pt>
                <c:pt idx="10">
                  <c:v>-6.5</c:v>
                </c:pt>
              </c:numCache>
            </c:numRef>
          </c:val>
          <c:smooth val="0"/>
        </c:ser>
        <c:ser>
          <c:idx val="3"/>
          <c:order val="3"/>
          <c:tx>
            <c:strRef>
              <c:f>Sheet1!$E$1</c:f>
              <c:strCache>
                <c:ptCount val="1"/>
                <c:pt idx="0">
                  <c:v>進口成長率</c:v>
                </c:pt>
              </c:strCache>
            </c:strRef>
          </c:tx>
          <c:spPr>
            <a:ln w="24829">
              <a:solidFill>
                <a:srgbClr val="808080"/>
              </a:solidFill>
              <a:prstDash val="solid"/>
            </a:ln>
          </c:spPr>
          <c:marker>
            <c:symbol val="circle"/>
            <c:size val="5"/>
            <c:spPr>
              <a:solidFill>
                <a:srgbClr val="808080"/>
              </a:solidFill>
              <a:ln>
                <a:solidFill>
                  <a:srgbClr val="00000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Sheet1!$E$2:$E$12</c:f>
              <c:numCache>
                <c:formatCode>0.0_ </c:formatCode>
                <c:ptCount val="11"/>
                <c:pt idx="0">
                  <c:v>16.2</c:v>
                </c:pt>
                <c:pt idx="1">
                  <c:v>20.100000000000001</c:v>
                </c:pt>
                <c:pt idx="2">
                  <c:v>11.9</c:v>
                </c:pt>
                <c:pt idx="3">
                  <c:v>10.3</c:v>
                </c:pt>
                <c:pt idx="4">
                  <c:v>-22.1</c:v>
                </c:pt>
                <c:pt idx="5">
                  <c:v>47.1</c:v>
                </c:pt>
                <c:pt idx="6">
                  <c:v>20.5</c:v>
                </c:pt>
                <c:pt idx="7">
                  <c:v>-3.8</c:v>
                </c:pt>
                <c:pt idx="8">
                  <c:v>1.6</c:v>
                </c:pt>
                <c:pt idx="9">
                  <c:v>12.4</c:v>
                </c:pt>
                <c:pt idx="10">
                  <c:v>-1.8</c:v>
                </c:pt>
              </c:numCache>
            </c:numRef>
          </c:val>
          <c:smooth val="0"/>
        </c:ser>
        <c:dLbls>
          <c:showLegendKey val="0"/>
          <c:showVal val="0"/>
          <c:showCatName val="0"/>
          <c:showSerName val="0"/>
          <c:showPercent val="0"/>
          <c:showBubbleSize val="0"/>
        </c:dLbls>
        <c:marker val="1"/>
        <c:smooth val="0"/>
        <c:axId val="219042176"/>
        <c:axId val="219043712"/>
      </c:lineChart>
      <c:catAx>
        <c:axId val="209637760"/>
        <c:scaling>
          <c:orientation val="minMax"/>
        </c:scaling>
        <c:delete val="0"/>
        <c:axPos val="b"/>
        <c:numFmt formatCode="General" sourceLinked="0"/>
        <c:majorTickMark val="in"/>
        <c:minorTickMark val="none"/>
        <c:tickLblPos val="nextTo"/>
        <c:spPr>
          <a:ln w="3104">
            <a:solidFill>
              <a:srgbClr val="000000"/>
            </a:solidFill>
            <a:prstDash val="solid"/>
          </a:ln>
        </c:spPr>
        <c:txPr>
          <a:bodyPr rot="0" vert="horz"/>
          <a:lstStyle/>
          <a:p>
            <a:pPr>
              <a:defRPr sz="880" b="0" i="0" u="none" strike="noStrike" baseline="0">
                <a:solidFill>
                  <a:srgbClr val="000000"/>
                </a:solidFill>
                <a:latin typeface="Times New Roman"/>
                <a:ea typeface="Times New Roman"/>
                <a:cs typeface="Times New Roman"/>
              </a:defRPr>
            </a:pPr>
            <a:endParaRPr lang="zh-TW"/>
          </a:p>
        </c:txPr>
        <c:crossAx val="209639680"/>
        <c:crosses val="autoZero"/>
        <c:auto val="0"/>
        <c:lblAlgn val="ctr"/>
        <c:lblOffset val="100"/>
        <c:tickLblSkip val="1"/>
        <c:tickMarkSkip val="1"/>
        <c:noMultiLvlLbl val="0"/>
      </c:catAx>
      <c:valAx>
        <c:axId val="209639680"/>
        <c:scaling>
          <c:orientation val="minMax"/>
        </c:scaling>
        <c:delete val="0"/>
        <c:axPos val="l"/>
        <c:title>
          <c:tx>
            <c:rich>
              <a:bodyPr rot="0" vert="horz"/>
              <a:lstStyle/>
              <a:p>
                <a:pPr algn="ctr">
                  <a:defRPr sz="880"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億美元</a:t>
                </a:r>
              </a:p>
            </c:rich>
          </c:tx>
          <c:layout>
            <c:manualLayout>
              <c:xMode val="edge"/>
              <c:yMode val="edge"/>
              <c:x val="0.13123758494239413"/>
              <c:y val="6.615092834068681E-2"/>
            </c:manualLayout>
          </c:layout>
          <c:overlay val="0"/>
          <c:spPr>
            <a:noFill/>
            <a:ln w="24829">
              <a:noFill/>
            </a:ln>
          </c:spPr>
        </c:title>
        <c:numFmt formatCode="0_ " sourceLinked="0"/>
        <c:majorTickMark val="in"/>
        <c:minorTickMark val="none"/>
        <c:tickLblPos val="nextTo"/>
        <c:spPr>
          <a:ln w="3104">
            <a:solidFill>
              <a:srgbClr val="000000"/>
            </a:solidFill>
            <a:prstDash val="solid"/>
          </a:ln>
        </c:spPr>
        <c:txPr>
          <a:bodyPr rot="0" vert="horz"/>
          <a:lstStyle/>
          <a:p>
            <a:pPr>
              <a:defRPr sz="880" b="0" i="0" u="none" strike="noStrike" baseline="0">
                <a:solidFill>
                  <a:srgbClr val="000000"/>
                </a:solidFill>
                <a:latin typeface="Times New Roman"/>
                <a:ea typeface="Times New Roman"/>
                <a:cs typeface="Times New Roman"/>
              </a:defRPr>
            </a:pPr>
            <a:endParaRPr lang="zh-TW"/>
          </a:p>
        </c:txPr>
        <c:crossAx val="209637760"/>
        <c:crosses val="autoZero"/>
        <c:crossBetween val="between"/>
      </c:valAx>
      <c:catAx>
        <c:axId val="219042176"/>
        <c:scaling>
          <c:orientation val="minMax"/>
        </c:scaling>
        <c:delete val="1"/>
        <c:axPos val="b"/>
        <c:numFmt formatCode="0_ " sourceLinked="1"/>
        <c:majorTickMark val="out"/>
        <c:minorTickMark val="none"/>
        <c:tickLblPos val="nextTo"/>
        <c:crossAx val="219043712"/>
        <c:crosses val="autoZero"/>
        <c:auto val="0"/>
        <c:lblAlgn val="ctr"/>
        <c:lblOffset val="100"/>
        <c:noMultiLvlLbl val="0"/>
      </c:catAx>
      <c:valAx>
        <c:axId val="219043712"/>
        <c:scaling>
          <c:orientation val="minMax"/>
        </c:scaling>
        <c:delete val="0"/>
        <c:axPos val="r"/>
        <c:title>
          <c:tx>
            <c:rich>
              <a:bodyPr rot="0" vert="horz"/>
              <a:lstStyle/>
              <a:p>
                <a:pPr algn="ctr">
                  <a:defRPr sz="880"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a:t>
                </a:r>
                <a:endParaRPr lang="en-US" altLang="zh-TW">
                  <a:latin typeface="標楷體" panose="03000509000000000000" pitchFamily="65" charset="-120"/>
                  <a:ea typeface="標楷體" panose="03000509000000000000" pitchFamily="65" charset="-120"/>
                </a:endParaRPr>
              </a:p>
            </c:rich>
          </c:tx>
          <c:layout>
            <c:manualLayout>
              <c:xMode val="edge"/>
              <c:yMode val="edge"/>
              <c:x val="0.86377247190426965"/>
              <c:y val="5.1546532474861469E-2"/>
            </c:manualLayout>
          </c:layout>
          <c:overlay val="0"/>
          <c:spPr>
            <a:noFill/>
            <a:ln w="24829">
              <a:noFill/>
            </a:ln>
          </c:spPr>
        </c:title>
        <c:numFmt formatCode="0_ " sourceLinked="0"/>
        <c:majorTickMark val="in"/>
        <c:minorTickMark val="none"/>
        <c:tickLblPos val="nextTo"/>
        <c:spPr>
          <a:ln w="3104">
            <a:solidFill>
              <a:srgbClr val="000000"/>
            </a:solidFill>
            <a:prstDash val="solid"/>
          </a:ln>
        </c:spPr>
        <c:txPr>
          <a:bodyPr rot="0" vert="horz"/>
          <a:lstStyle/>
          <a:p>
            <a:pPr>
              <a:defRPr sz="880" b="0" i="0" u="none" strike="noStrike" baseline="0">
                <a:solidFill>
                  <a:srgbClr val="000000"/>
                </a:solidFill>
                <a:latin typeface="Times New Roman"/>
                <a:ea typeface="Times New Roman"/>
                <a:cs typeface="Times New Roman"/>
              </a:defRPr>
            </a:pPr>
            <a:endParaRPr lang="zh-TW"/>
          </a:p>
        </c:txPr>
        <c:crossAx val="219042176"/>
        <c:crosses val="max"/>
        <c:crossBetween val="between"/>
      </c:valAx>
      <c:spPr>
        <a:solidFill>
          <a:srgbClr val="FFFFFF"/>
        </a:solidFill>
        <a:ln w="12415">
          <a:solidFill>
            <a:srgbClr val="333333"/>
          </a:solidFill>
          <a:prstDash val="solid"/>
        </a:ln>
      </c:spPr>
    </c:plotArea>
    <c:legend>
      <c:legendPos val="r"/>
      <c:layout>
        <c:manualLayout>
          <c:xMode val="edge"/>
          <c:yMode val="edge"/>
          <c:x val="0.13129520120973362"/>
          <c:y val="0.85971207730146859"/>
          <c:w val="0.76258998641753706"/>
          <c:h val="0.10431650046741714"/>
        </c:manualLayout>
      </c:layout>
      <c:overlay val="0"/>
      <c:spPr>
        <a:solidFill>
          <a:srgbClr val="FFFFFF"/>
        </a:solidFill>
        <a:ln w="3104">
          <a:solidFill>
            <a:srgbClr val="000000"/>
          </a:solidFill>
          <a:prstDash val="solid"/>
        </a:ln>
      </c:spPr>
      <c:txPr>
        <a:bodyPr/>
        <a:lstStyle/>
        <a:p>
          <a:pPr>
            <a:defRPr sz="899" b="0" i="0" u="none" strike="noStrike" baseline="0">
              <a:solidFill>
                <a:srgbClr val="000000"/>
              </a:solidFill>
              <a:latin typeface="標楷體" panose="03000509000000000000" pitchFamily="65" charset="-120"/>
              <a:ea typeface="標楷體" panose="03000509000000000000" pitchFamily="65" charset="-120"/>
              <a:cs typeface="Arial"/>
            </a:defRPr>
          </a:pPr>
          <a:endParaRPr lang="zh-TW"/>
        </a:p>
      </c:txPr>
    </c:legend>
    <c:plotVisOnly val="1"/>
    <c:dispBlanksAs val="gap"/>
    <c:showDLblsOverMax val="0"/>
  </c:chart>
  <c:spPr>
    <a:noFill/>
    <a:ln>
      <a:noFill/>
    </a:ln>
  </c:spPr>
  <c:txPr>
    <a:bodyPr/>
    <a:lstStyle/>
    <a:p>
      <a:pPr>
        <a:defRPr sz="978" b="0" i="0" u="none" strike="noStrike" baseline="0">
          <a:solidFill>
            <a:srgbClr val="000000"/>
          </a:solidFill>
          <a:latin typeface="Arial"/>
          <a:ea typeface="Arial"/>
          <a:cs typeface="Arial"/>
        </a:defRPr>
      </a:pPr>
      <a:endParaRPr lang="zh-TW"/>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0.74455</cdr:x>
      <cdr:y>0.03013</cdr:y>
    </cdr:from>
    <cdr:to>
      <cdr:x>0.99927</cdr:x>
      <cdr:y>0.09716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9045" y="77000"/>
          <a:ext cx="1337325" cy="1712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dr:relSizeAnchor xmlns:cdr="http://schemas.openxmlformats.org/drawingml/2006/chartDrawing">
    <cdr:from>
      <cdr:x>0.4999</cdr:x>
      <cdr:y>0.60119</cdr:y>
    </cdr:from>
    <cdr:to>
      <cdr:x>0.78031</cdr:x>
      <cdr:y>0.72286</cdr:y>
    </cdr:to>
    <cdr:sp macro="" textlink="">
      <cdr:nvSpPr>
        <cdr:cNvPr id="2" name="圓角矩形圖說文字 1"/>
        <cdr:cNvSpPr/>
      </cdr:nvSpPr>
      <cdr:spPr>
        <a:xfrm xmlns:a="http://schemas.openxmlformats.org/drawingml/2006/main">
          <a:off x="2624582" y="1536192"/>
          <a:ext cx="1472184" cy="310896"/>
        </a:xfrm>
        <a:prstGeom xmlns:a="http://schemas.openxmlformats.org/drawingml/2006/main" prst="wedgeRoundRectCallout">
          <a:avLst>
            <a:gd name="adj1" fmla="val 45610"/>
            <a:gd name="adj2" fmla="val -116288"/>
            <a:gd name="adj3" fmla="val 16667"/>
          </a:avLst>
        </a:prstGeom>
        <a:ln xmlns:a="http://schemas.openxmlformats.org/drawingml/2006/main" w="6350"/>
      </cdr:spPr>
      <cdr:style>
        <a:lnRef xmlns:a="http://schemas.openxmlformats.org/drawingml/2006/main" idx="2">
          <a:schemeClr val="dk1"/>
        </a:lnRef>
        <a:fillRef xmlns:a="http://schemas.openxmlformats.org/drawingml/2006/main" idx="1">
          <a:schemeClr val="lt1"/>
        </a:fillRef>
        <a:effectRef xmlns:a="http://schemas.openxmlformats.org/drawingml/2006/main" idx="0">
          <a:schemeClr val="dk1"/>
        </a:effectRef>
        <a:fontRef xmlns:a="http://schemas.openxmlformats.org/drawingml/2006/main" idx="minor">
          <a:schemeClr val="dk1"/>
        </a:fontRef>
      </cdr:style>
      <cdr:txBody>
        <a:bodyPr xmlns:a="http://schemas.openxmlformats.org/drawingml/2006/main" vertOverflow="clip" wrap="square">
          <a:noAutofit/>
        </a:bodyPr>
        <a:lstStyle xmlns:a="http://schemas.openxmlformats.org/drawingml/2006/main"/>
        <a:p xmlns:a="http://schemas.openxmlformats.org/drawingml/2006/main">
          <a:endParaRPr lang="zh-TW">
            <a:ln>
              <a:noFill/>
            </a:ln>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0.73807</cdr:x>
      <cdr:y>0.03473</cdr:y>
    </cdr:from>
    <cdr:to>
      <cdr:x>0.99279</cdr:x>
      <cdr:y>0.10176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0310" y="89330"/>
          <a:ext cx="1346060" cy="172427"/>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userShapes>
</file>

<file path=word/drawings/drawing3.xml><?xml version="1.0" encoding="utf-8"?>
<c:userShapes xmlns:c="http://schemas.openxmlformats.org/drawingml/2006/chart">
  <cdr:relSizeAnchor xmlns:cdr="http://schemas.openxmlformats.org/drawingml/2006/chartDrawing">
    <cdr:from>
      <cdr:x>0.79817</cdr:x>
      <cdr:y>0.13184</cdr:y>
    </cdr:from>
    <cdr:to>
      <cdr:x>0.89298</cdr:x>
      <cdr:y>0.24628</cdr:y>
    </cdr:to>
    <cdr:sp macro="" textlink="">
      <cdr:nvSpPr>
        <cdr:cNvPr id="2" name="文字方塊 1"/>
        <cdr:cNvSpPr txBox="1"/>
      </cdr:nvSpPr>
      <cdr:spPr>
        <a:xfrm xmlns:a="http://schemas.openxmlformats.org/drawingml/2006/main">
          <a:off x="5108917" y="264960"/>
          <a:ext cx="606860" cy="22999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zh-TW" sz="1100" b="1"/>
            <a:t>106.37</a:t>
          </a:r>
          <a:endParaRPr lang="zh-TW" altLang="en-US" sz="1100" b="1"/>
        </a:p>
      </cdr:txBody>
    </cdr:sp>
  </cdr:relSizeAnchor>
  <cdr:relSizeAnchor xmlns:cdr="http://schemas.openxmlformats.org/drawingml/2006/chartDrawing">
    <cdr:from>
      <cdr:x>0.81526</cdr:x>
      <cdr:y>0.62692</cdr:y>
    </cdr:from>
    <cdr:to>
      <cdr:x>0.8888</cdr:x>
      <cdr:y>0.75097</cdr:y>
    </cdr:to>
    <cdr:sp macro="" textlink="">
      <cdr:nvSpPr>
        <cdr:cNvPr id="4" name="文字方塊 3"/>
        <cdr:cNvSpPr txBox="1"/>
      </cdr:nvSpPr>
      <cdr:spPr>
        <a:xfrm xmlns:a="http://schemas.openxmlformats.org/drawingml/2006/main">
          <a:off x="5218315" y="1259969"/>
          <a:ext cx="470715" cy="24931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b="1"/>
            <a:t>1.06</a:t>
          </a:r>
          <a:endParaRPr lang="zh-TW" altLang="en-US" sz="1100" b="1"/>
        </a:p>
      </cdr:txBody>
    </cdr:sp>
  </cdr:relSizeAnchor>
</c:userShapes>
</file>

<file path=word/drawings/drawing4.xml><?xml version="1.0" encoding="utf-8"?>
<c:userShapes xmlns:c="http://schemas.openxmlformats.org/drawingml/2006/chart">
  <cdr:relSizeAnchor xmlns:cdr="http://schemas.openxmlformats.org/drawingml/2006/chartDrawing">
    <cdr:from>
      <cdr:x>0.008</cdr:x>
      <cdr:y>0.003</cdr:y>
    </cdr:from>
    <cdr:to>
      <cdr:x>0.044</cdr:x>
      <cdr:y>0.07825</cdr:y>
    </cdr:to>
    <cdr:sp macro="" textlink="">
      <cdr:nvSpPr>
        <cdr:cNvPr id="6146" name="Text Box 2"/>
        <cdr:cNvSpPr txBox="1">
          <a:spLocks xmlns:a="http://schemas.openxmlformats.org/drawingml/2006/main" noChangeArrowheads="1"/>
        </cdr:cNvSpPr>
      </cdr:nvSpPr>
      <cdr:spPr bwMode="auto">
        <a:xfrm xmlns:a="http://schemas.openxmlformats.org/drawingml/2006/main">
          <a:off x="38511" y="7083"/>
          <a:ext cx="173302" cy="187372"/>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800" b="0" i="0" u="none" strike="noStrike" baseline="0">
              <a:solidFill>
                <a:srgbClr val="000000"/>
              </a:solidFill>
              <a:latin typeface="新細明體"/>
              <a:ea typeface="新細明體"/>
            </a:rPr>
            <a:t>％</a:t>
          </a:r>
          <a:endParaRPr lang="zh-TW" altLang="en-US"/>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0.00775</cdr:y>
    </cdr:from>
    <cdr:to>
      <cdr:x>0.185</cdr:x>
      <cdr:y>0.08475</cdr:y>
    </cdr:to>
    <cdr:sp macro="" textlink="">
      <cdr:nvSpPr>
        <cdr:cNvPr id="1025" name="Text Box 1"/>
        <cdr:cNvSpPr txBox="1">
          <a:spLocks xmlns:a="http://schemas.openxmlformats.org/drawingml/2006/main" noChangeArrowheads="1"/>
        </cdr:cNvSpPr>
      </cdr:nvSpPr>
      <cdr:spPr bwMode="auto">
        <a:xfrm xmlns:a="http://schemas.openxmlformats.org/drawingml/2006/main">
          <a:off x="0" y="23148"/>
          <a:ext cx="1091611" cy="2306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90000" tIns="0" rIns="90000" bIns="0" anchor="t" upright="1"/>
        <a:lstStyle xmlns:a="http://schemas.openxmlformats.org/drawingml/2006/main"/>
        <a:p xmlns:a="http://schemas.openxmlformats.org/drawingml/2006/main">
          <a:pPr algn="l" rtl="0">
            <a:defRPr sz="1000"/>
          </a:pPr>
          <a:r>
            <a:rPr lang="zh-TW" altLang="en-US" sz="1050" b="0" i="0" u="none" strike="noStrike" baseline="0">
              <a:solidFill>
                <a:srgbClr val="000000"/>
              </a:solidFill>
              <a:latin typeface="標楷體"/>
              <a:ea typeface="標楷體"/>
            </a:rPr>
            <a:t>美元/桶</a:t>
          </a:r>
          <a:endParaRPr lang="zh-TW" altLang="en-US"/>
        </a:p>
      </cdr:txBody>
    </cdr:sp>
  </cdr:relSizeAnchor>
</c:userShapes>
</file>

<file path=word/drawings/drawing6.xml><?xml version="1.0" encoding="utf-8"?>
<c:userShapes xmlns:c="http://schemas.openxmlformats.org/drawingml/2006/chart">
  <cdr:relSizeAnchor xmlns:cdr="http://schemas.openxmlformats.org/drawingml/2006/chartDrawing">
    <cdr:from>
      <cdr:x>0.92575</cdr:x>
      <cdr:y>0.38193</cdr:y>
    </cdr:from>
    <cdr:to>
      <cdr:x>1</cdr:x>
      <cdr:y>0.47143</cdr:y>
    </cdr:to>
    <cdr:sp macro="" textlink="">
      <cdr:nvSpPr>
        <cdr:cNvPr id="1025" name="Text Box 1"/>
        <cdr:cNvSpPr txBox="1">
          <a:spLocks xmlns:a="http://schemas.openxmlformats.org/drawingml/2006/main" noChangeArrowheads="1"/>
        </cdr:cNvSpPr>
      </cdr:nvSpPr>
      <cdr:spPr bwMode="auto">
        <a:xfrm xmlns:a="http://schemas.openxmlformats.org/drawingml/2006/main">
          <a:off x="5710308" y="1346025"/>
          <a:ext cx="457579" cy="315421"/>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FF00FF"/>
              </a:solidFill>
              <a:latin typeface="Times New Roman" panose="02020603050405020304" pitchFamily="18" charset="0"/>
              <a:ea typeface="標楷體"/>
              <a:cs typeface="Times New Roman" panose="02020603050405020304" pitchFamily="18" charset="0"/>
            </a:rPr>
            <a:t>9.79</a:t>
          </a:r>
        </a:p>
        <a:p xmlns:a="http://schemas.openxmlformats.org/drawingml/2006/main">
          <a:pPr algn="ctr" rtl="0">
            <a:defRPr sz="1000"/>
          </a:pP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104</a:t>
          </a: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4</a:t>
          </a:r>
          <a:r>
            <a:rPr lang="zh-TW" altLang="en-US" sz="800" b="0" i="0" u="none" strike="noStrike" baseline="0">
              <a:solidFill>
                <a:srgbClr val="FF00FF"/>
              </a:solidFill>
              <a:latin typeface="Times New Roman"/>
              <a:cs typeface="Times New Roman"/>
            </a:rPr>
            <a:t>)</a:t>
          </a:r>
          <a:endParaRPr lang="zh-TW" altLang="en-US" sz="800"/>
        </a:p>
      </cdr:txBody>
    </cdr:sp>
  </cdr:relSizeAnchor>
  <cdr:relSizeAnchor xmlns:cdr="http://schemas.openxmlformats.org/drawingml/2006/chartDrawing">
    <cdr:from>
      <cdr:x>0.92526</cdr:x>
      <cdr:y>0.648</cdr:y>
    </cdr:from>
    <cdr:to>
      <cdr:x>0.99945</cdr:x>
      <cdr:y>0.74441</cdr:y>
    </cdr:to>
    <cdr:sp macro="" textlink="">
      <cdr:nvSpPr>
        <cdr:cNvPr id="1026" name="Text Box 2"/>
        <cdr:cNvSpPr txBox="1">
          <a:spLocks xmlns:a="http://schemas.openxmlformats.org/drawingml/2006/main" noChangeArrowheads="1"/>
        </cdr:cNvSpPr>
      </cdr:nvSpPr>
      <cdr:spPr bwMode="auto">
        <a:xfrm xmlns:a="http://schemas.openxmlformats.org/drawingml/2006/main">
          <a:off x="5702052" y="2283731"/>
          <a:ext cx="457209" cy="33977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rPr>
            <a:t>3.63</a:t>
          </a:r>
          <a:endParaRPr lang="zh-TW" altLang="en-US"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endParaRPr>
        </a:p>
        <a:p xmlns:a="http://schemas.openxmlformats.org/drawingml/2006/main">
          <a:pPr algn="ctr" rtl="0">
            <a:defRPr sz="1000"/>
          </a:pP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104</a:t>
          </a: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4)</a:t>
          </a:r>
          <a:endParaRPr lang="zh-TW" altLang="en-US">
            <a:solidFill>
              <a:schemeClr val="accent1">
                <a:lumMod val="50000"/>
              </a:schemeClr>
            </a:solidFill>
          </a:endParaRPr>
        </a:p>
      </cdr:txBody>
    </cdr:sp>
  </cdr:relSizeAnchor>
  <cdr:relSizeAnchor xmlns:cdr="http://schemas.openxmlformats.org/drawingml/2006/chartDrawing">
    <cdr:from>
      <cdr:x>0.92759</cdr:x>
      <cdr:y>0.55496</cdr:y>
    </cdr:from>
    <cdr:to>
      <cdr:x>1</cdr:x>
      <cdr:y>0.64583</cdr:y>
    </cdr:to>
    <cdr:sp macro="" textlink="">
      <cdr:nvSpPr>
        <cdr:cNvPr id="6" name="Text Box 3"/>
        <cdr:cNvSpPr txBox="1">
          <a:spLocks xmlns:a="http://schemas.openxmlformats.org/drawingml/2006/main" noChangeArrowheads="1"/>
        </cdr:cNvSpPr>
      </cdr:nvSpPr>
      <cdr:spPr bwMode="auto">
        <a:xfrm xmlns:a="http://schemas.openxmlformats.org/drawingml/2006/main">
          <a:off x="5721648" y="1955832"/>
          <a:ext cx="446239"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663300"/>
              </a:solidFill>
              <a:latin typeface="Times New Roman" panose="02020603050405020304" pitchFamily="18" charset="0"/>
              <a:ea typeface="標楷體"/>
              <a:cs typeface="Times New Roman" panose="02020603050405020304" pitchFamily="18" charset="0"/>
            </a:rPr>
            <a:t>4.67</a:t>
          </a:r>
        </a:p>
        <a:p xmlns:a="http://schemas.openxmlformats.org/drawingml/2006/main">
          <a:pPr algn="ctr" rtl="0">
            <a:defRPr sz="1000"/>
          </a:pP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104</a:t>
          </a: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4</a:t>
          </a:r>
          <a:r>
            <a:rPr lang="zh-TW" altLang="en-US" sz="800" b="0" i="0" u="none" strike="noStrike" baseline="0">
              <a:solidFill>
                <a:srgbClr val="663300"/>
              </a:solidFill>
              <a:latin typeface="Times New Roman"/>
              <a:cs typeface="Times New Roman"/>
            </a:rPr>
            <a:t>)</a:t>
          </a:r>
          <a:endParaRPr lang="zh-TW" altLang="en-US">
            <a:solidFill>
              <a:srgbClr val="663300"/>
            </a:solidFill>
          </a:endParaRPr>
        </a:p>
      </cdr:txBody>
    </cdr:sp>
  </cdr:relSizeAnchor>
  <cdr:relSizeAnchor xmlns:cdr="http://schemas.openxmlformats.org/drawingml/2006/chartDrawing">
    <cdr:from>
      <cdr:x>0.43659</cdr:x>
      <cdr:y>0.03243</cdr:y>
    </cdr:from>
    <cdr:to>
      <cdr:x>0.51247</cdr:x>
      <cdr:y>0.12865</cdr:y>
    </cdr:to>
    <cdr:sp macro="" textlink="">
      <cdr:nvSpPr>
        <cdr:cNvPr id="7" name="Text Box 1"/>
        <cdr:cNvSpPr txBox="1">
          <a:spLocks xmlns:a="http://schemas.openxmlformats.org/drawingml/2006/main" noChangeArrowheads="1"/>
        </cdr:cNvSpPr>
      </cdr:nvSpPr>
      <cdr:spPr bwMode="auto">
        <a:xfrm xmlns:a="http://schemas.openxmlformats.org/drawingml/2006/main">
          <a:off x="2690562" y="114295"/>
          <a:ext cx="467623" cy="33910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D60093"/>
              </a:solidFill>
              <a:latin typeface="Times New Roman" pitchFamily="18" charset="0"/>
              <a:cs typeface="Times New Roman" pitchFamily="18" charset="0"/>
            </a:rPr>
            <a:t>17.65</a:t>
          </a:r>
        </a:p>
        <a:p xmlns:a="http://schemas.openxmlformats.org/drawingml/2006/main">
          <a:pPr algn="ctr"/>
          <a:r>
            <a:rPr lang="en-US" altLang="zh-TW" sz="800">
              <a:solidFill>
                <a:srgbClr val="D60093"/>
              </a:solidFill>
              <a:latin typeface="Times New Roman" pitchFamily="18" charset="0"/>
              <a:cs typeface="Times New Roman" pitchFamily="18" charset="0"/>
            </a:rPr>
            <a:t>(101/8)</a:t>
          </a:r>
          <a:endParaRPr lang="zh-TW" altLang="en-US" sz="800">
            <a:solidFill>
              <a:srgbClr val="D60093"/>
            </a:solidFill>
            <a:latin typeface="Times New Roman" pitchFamily="18" charset="0"/>
            <a:cs typeface="Times New Roman" pitchFamily="18" charset="0"/>
          </a:endParaRPr>
        </a:p>
      </cdr:txBody>
    </cdr:sp>
  </cdr:relSizeAnchor>
  <cdr:relSizeAnchor xmlns:cdr="http://schemas.openxmlformats.org/drawingml/2006/chartDrawing">
    <cdr:from>
      <cdr:x>0.41938</cdr:x>
      <cdr:y>0.43996</cdr:y>
    </cdr:from>
    <cdr:to>
      <cdr:x>0.49438</cdr:x>
      <cdr:y>0.53083</cdr:y>
    </cdr:to>
    <cdr:sp macro="" textlink="">
      <cdr:nvSpPr>
        <cdr:cNvPr id="9" name="Text Box 3"/>
        <cdr:cNvSpPr txBox="1">
          <a:spLocks xmlns:a="http://schemas.openxmlformats.org/drawingml/2006/main" noChangeArrowheads="1"/>
        </cdr:cNvSpPr>
      </cdr:nvSpPr>
      <cdr:spPr bwMode="auto">
        <a:xfrm xmlns:a="http://schemas.openxmlformats.org/drawingml/2006/main">
          <a:off x="2584522" y="1550524"/>
          <a:ext cx="462201"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000066"/>
              </a:solidFill>
              <a:latin typeface="Times New Roman" pitchFamily="18" charset="0"/>
              <a:cs typeface="Times New Roman" pitchFamily="18" charset="0"/>
            </a:rPr>
            <a:t>8.07</a:t>
          </a:r>
        </a:p>
        <a:p xmlns:a="http://schemas.openxmlformats.org/drawingml/2006/main">
          <a:pPr algn="ctr"/>
          <a:r>
            <a:rPr lang="en-US" altLang="zh-TW" sz="800">
              <a:solidFill>
                <a:srgbClr val="000066"/>
              </a:solidFill>
              <a:latin typeface="Times New Roman" pitchFamily="18" charset="0"/>
              <a:cs typeface="Times New Roman" pitchFamily="18" charset="0"/>
            </a:rPr>
            <a:t>(101/7)</a:t>
          </a:r>
          <a:endParaRPr lang="zh-TW" altLang="en-US" sz="800">
            <a:solidFill>
              <a:srgbClr val="000066"/>
            </a:solidFill>
            <a:latin typeface="Times New Roman" pitchFamily="18" charset="0"/>
            <a:cs typeface="Times New Roman" pitchFamily="18" charset="0"/>
          </a:endParaRPr>
        </a:p>
      </cdr:txBody>
    </cdr:sp>
  </cdr:relSizeAnchor>
  <cdr:relSizeAnchor xmlns:cdr="http://schemas.openxmlformats.org/drawingml/2006/chartDrawing">
    <cdr:from>
      <cdr:x>0</cdr:x>
      <cdr:y>0.92039</cdr:y>
    </cdr:from>
    <cdr:to>
      <cdr:x>0.47855</cdr:x>
      <cdr:y>1</cdr:y>
    </cdr:to>
    <cdr:sp macro="" textlink="">
      <cdr:nvSpPr>
        <cdr:cNvPr id="3" name="文字方塊 2"/>
        <cdr:cNvSpPr txBox="1"/>
      </cdr:nvSpPr>
      <cdr:spPr>
        <a:xfrm xmlns:a="http://schemas.openxmlformats.org/drawingml/2006/main">
          <a:off x="0" y="3244850"/>
          <a:ext cx="2946400" cy="28067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zh-TW" altLang="en-US" sz="1100">
              <a:latin typeface="標楷體" panose="03000509000000000000" pitchFamily="65" charset="-120"/>
              <a:ea typeface="標楷體" panose="03000509000000000000" pitchFamily="65" charset="-120"/>
            </a:rPr>
            <a:t>資料來源：行政院主計總處。</a:t>
          </a:r>
        </a:p>
      </cdr:txBody>
    </cdr:sp>
  </cdr:relSizeAnchor>
</c:userShapes>
</file>

<file path=word/drawings/drawing7.xml><?xml version="1.0" encoding="utf-8"?>
<c:userShapes xmlns:c="http://schemas.openxmlformats.org/drawingml/2006/chart">
  <cdr:relSizeAnchor xmlns:cdr="http://schemas.openxmlformats.org/drawingml/2006/chartDrawing">
    <cdr:from>
      <cdr:x>0.88355</cdr:x>
      <cdr:y>0.6695</cdr:y>
    </cdr:from>
    <cdr:to>
      <cdr:x>0.96403</cdr:x>
      <cdr:y>0.72742</cdr:y>
    </cdr:to>
    <cdr:sp macro="" textlink="">
      <cdr:nvSpPr>
        <cdr:cNvPr id="1025" name="Line 1"/>
        <cdr:cNvSpPr>
          <a:spLocks xmlns:a="http://schemas.openxmlformats.org/drawingml/2006/main" noChangeShapeType="1"/>
        </cdr:cNvSpPr>
      </cdr:nvSpPr>
      <cdr:spPr bwMode="auto">
        <a:xfrm xmlns:a="http://schemas.openxmlformats.org/drawingml/2006/main" flipV="1">
          <a:off x="3090303" y="1683522"/>
          <a:ext cx="281485" cy="145645"/>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0.79869</cdr:x>
      <cdr:y>0.70153</cdr:y>
    </cdr:from>
    <cdr:to>
      <cdr:x>0.89744</cdr:x>
      <cdr:y>0.75844</cdr:y>
    </cdr:to>
    <cdr:sp macro="" textlink="">
      <cdr:nvSpPr>
        <cdr:cNvPr id="1026" name="Text Box 2"/>
        <cdr:cNvSpPr txBox="1">
          <a:spLocks xmlns:a="http://schemas.openxmlformats.org/drawingml/2006/main" noChangeArrowheads="1"/>
        </cdr:cNvSpPr>
      </cdr:nvSpPr>
      <cdr:spPr bwMode="auto">
        <a:xfrm xmlns:a="http://schemas.openxmlformats.org/drawingml/2006/main">
          <a:off x="2793484" y="1764063"/>
          <a:ext cx="345386" cy="143106"/>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sz="925" b="1" i="0" u="none" strike="noStrike" baseline="0">
              <a:solidFill>
                <a:srgbClr val="FF00FF"/>
              </a:solidFill>
              <a:latin typeface="Times New Roman" panose="02020603050405020304" pitchFamily="18" charset="0"/>
              <a:cs typeface="Times New Roman" panose="02020603050405020304" pitchFamily="18" charset="0"/>
            </a:rPr>
            <a:t>M1B</a:t>
          </a:r>
        </a:p>
        <a:p xmlns:a="http://schemas.openxmlformats.org/drawingml/2006/main">
          <a:pPr algn="l" rtl="0">
            <a:defRPr sz="1000"/>
          </a:pPr>
          <a:endParaRPr lang="zh-TW" altLang="en-US"/>
        </a:p>
      </cdr:txBody>
    </cdr:sp>
  </cdr:relSizeAnchor>
  <cdr:relSizeAnchor xmlns:cdr="http://schemas.openxmlformats.org/drawingml/2006/chartDrawing">
    <cdr:from>
      <cdr:x>0.85499</cdr:x>
      <cdr:y>0.31756</cdr:y>
    </cdr:from>
    <cdr:to>
      <cdr:x>0.93522</cdr:x>
      <cdr:y>0.37776</cdr:y>
    </cdr:to>
    <cdr:sp macro="" textlink="">
      <cdr:nvSpPr>
        <cdr:cNvPr id="1027" name="Text Box 3"/>
        <cdr:cNvSpPr txBox="1">
          <a:spLocks xmlns:a="http://schemas.openxmlformats.org/drawingml/2006/main" noChangeArrowheads="1"/>
        </cdr:cNvSpPr>
      </cdr:nvSpPr>
      <cdr:spPr bwMode="auto">
        <a:xfrm xmlns:a="http://schemas.openxmlformats.org/drawingml/2006/main">
          <a:off x="2990407" y="798534"/>
          <a:ext cx="280610" cy="15137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ctr" rtl="0">
            <a:defRPr sz="1000"/>
          </a:pPr>
          <a:r>
            <a:rPr lang="zh-TW" altLang="en-US" sz="925" b="1" i="0" u="none" strike="noStrike" baseline="0">
              <a:solidFill>
                <a:srgbClr val="000080"/>
              </a:solidFill>
              <a:latin typeface="Times New Roman" panose="02020603050405020304" pitchFamily="18" charset="0"/>
              <a:cs typeface="Times New Roman" panose="02020603050405020304" pitchFamily="18" charset="0"/>
            </a:rPr>
            <a:t>M2</a:t>
          </a:r>
          <a:endParaRPr lang="zh-TW" altLang="en-US">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0.92245</cdr:x>
      <cdr:y>0.49089</cdr:y>
    </cdr:from>
    <cdr:to>
      <cdr:x>0.96434</cdr:x>
      <cdr:y>0.60949</cdr:y>
    </cdr:to>
    <cdr:sp macro="" textlink="">
      <cdr:nvSpPr>
        <cdr:cNvPr id="1028" name="Line 4"/>
        <cdr:cNvSpPr>
          <a:spLocks xmlns:a="http://schemas.openxmlformats.org/drawingml/2006/main" noChangeShapeType="1"/>
        </cdr:cNvSpPr>
      </cdr:nvSpPr>
      <cdr:spPr bwMode="auto">
        <a:xfrm xmlns:a="http://schemas.openxmlformats.org/drawingml/2006/main">
          <a:off x="3226349" y="1234395"/>
          <a:ext cx="146513" cy="298231"/>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0.067</cdr:x>
      <cdr:y>0</cdr:y>
    </cdr:from>
    <cdr:to>
      <cdr:x>0.17</cdr:x>
      <cdr:y>0.09</cdr:y>
    </cdr:to>
    <cdr:sp macro="" textlink="">
      <cdr:nvSpPr>
        <cdr:cNvPr id="1029" name="Text Box 5"/>
        <cdr:cNvSpPr txBox="1">
          <a:spLocks xmlns:a="http://schemas.openxmlformats.org/drawingml/2006/main" noChangeArrowheads="1"/>
        </cdr:cNvSpPr>
      </cdr:nvSpPr>
      <cdr:spPr bwMode="auto">
        <a:xfrm xmlns:a="http://schemas.openxmlformats.org/drawingml/2006/main">
          <a:off x="381000" y="0"/>
          <a:ext cx="585702" cy="31632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a:latin typeface="Times New Roman" panose="02020603050405020304" pitchFamily="18" charset="0"/>
              <a:cs typeface="Times New Roman" panose="02020603050405020304" pitchFamily="18" charset="0"/>
            </a:rPr>
            <a:t>％</a:t>
          </a:r>
        </a:p>
      </cdr:txBody>
    </cdr:sp>
  </cdr:relSizeAnchor>
</c:userShapes>
</file>

<file path=word/drawings/drawing8.xml><?xml version="1.0" encoding="utf-8"?>
<c:userShapes xmlns:c="http://schemas.openxmlformats.org/drawingml/2006/chart">
  <cdr:relSizeAnchor xmlns:cdr="http://schemas.openxmlformats.org/drawingml/2006/chartDrawing">
    <cdr:from>
      <cdr:x>0.83847</cdr:x>
      <cdr:y>0.23452</cdr:y>
    </cdr:from>
    <cdr:to>
      <cdr:x>0.99917</cdr:x>
      <cdr:y>0.38458</cdr:y>
    </cdr:to>
    <cdr:sp macro="" textlink="">
      <cdr:nvSpPr>
        <cdr:cNvPr id="2" name="文字方塊 1"/>
        <cdr:cNvSpPr txBox="1"/>
      </cdr:nvSpPr>
      <cdr:spPr>
        <a:xfrm xmlns:a="http://schemas.openxmlformats.org/drawingml/2006/main">
          <a:off x="3189228" y="588688"/>
          <a:ext cx="611247" cy="37667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0.79</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(104/4)</a:t>
          </a:r>
          <a:endParaRPr lang="zh-TW" altLang="en-US" sz="800">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0.84817</cdr:x>
      <cdr:y>0.65152</cdr:y>
    </cdr:from>
    <cdr:to>
      <cdr:x>0.98691</cdr:x>
      <cdr:y>0.79545</cdr:y>
    </cdr:to>
    <cdr:sp macro="" textlink="">
      <cdr:nvSpPr>
        <cdr:cNvPr id="3" name="文字方塊 2"/>
        <cdr:cNvSpPr txBox="1"/>
      </cdr:nvSpPr>
      <cdr:spPr>
        <a:xfrm xmlns:a="http://schemas.openxmlformats.org/drawingml/2006/main">
          <a:off x="3086100" y="1638300"/>
          <a:ext cx="504825"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zh-TW" altLang="en-US" sz="1100"/>
        </a:p>
      </cdr:txBody>
    </cdr:sp>
  </cdr:relSizeAnchor>
  <cdr:relSizeAnchor xmlns:cdr="http://schemas.openxmlformats.org/drawingml/2006/chartDrawing">
    <cdr:from>
      <cdr:x>0.84905</cdr:x>
      <cdr:y>0.47363</cdr:y>
    </cdr:from>
    <cdr:to>
      <cdr:x>0.99917</cdr:x>
      <cdr:y>0.6121</cdr:y>
    </cdr:to>
    <cdr:sp macro="" textlink="">
      <cdr:nvSpPr>
        <cdr:cNvPr id="4" name="文字方塊 3"/>
        <cdr:cNvSpPr txBox="1"/>
      </cdr:nvSpPr>
      <cdr:spPr>
        <a:xfrm xmlns:a="http://schemas.openxmlformats.org/drawingml/2006/main">
          <a:off x="3229471" y="1188879"/>
          <a:ext cx="571004" cy="34758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0.387</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(104/4)</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cdr:y>
    </cdr:from>
    <cdr:to>
      <cdr:x>0.069</cdr:x>
      <cdr:y>0.0685</cdr:y>
    </cdr:to>
    <cdr:sp macro="" textlink="">
      <cdr:nvSpPr>
        <cdr:cNvPr id="16386" name="Text Box 2"/>
        <cdr:cNvSpPr txBox="1">
          <a:spLocks xmlns:a="http://schemas.openxmlformats.org/drawingml/2006/main" noChangeArrowheads="1"/>
        </cdr:cNvSpPr>
      </cdr:nvSpPr>
      <cdr:spPr bwMode="auto">
        <a:xfrm xmlns:a="http://schemas.openxmlformats.org/drawingml/2006/main">
          <a:off x="0" y="-4619625"/>
          <a:ext cx="253689" cy="19573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0" rIns="90000" bIns="0" anchor="t" upright="1"/>
        <a:lstStyle xmlns:a="http://schemas.openxmlformats.org/drawingml/2006/main"/>
        <a:p xmlns:a="http://schemas.openxmlformats.org/drawingml/2006/main">
          <a:pPr algn="l" rtl="0">
            <a:defRPr sz="1000"/>
          </a:pPr>
          <a:r>
            <a:rPr lang="zh-TW" altLang="en-US" sz="1000" b="0"/>
            <a:t>％</a:t>
          </a:r>
        </a:p>
      </cdr:txBody>
    </cdr:sp>
  </cdr:relSizeAnchor>
  <cdr:relSizeAnchor xmlns:cdr="http://schemas.openxmlformats.org/drawingml/2006/chartDrawing">
    <cdr:from>
      <cdr:x>0.49875</cdr:x>
      <cdr:y>0.5125</cdr:y>
    </cdr:from>
    <cdr:to>
      <cdr:x>0.51975</cdr:x>
      <cdr:y>0.53625</cdr:y>
    </cdr:to>
    <cdr:sp macro="" textlink="">
      <cdr:nvSpPr>
        <cdr:cNvPr id="16388" name="Text Box 4"/>
        <cdr:cNvSpPr txBox="1">
          <a:spLocks xmlns:a="http://schemas.openxmlformats.org/drawingml/2006/main" noChangeArrowheads="1"/>
        </cdr:cNvSpPr>
      </cdr:nvSpPr>
      <cdr:spPr bwMode="auto">
        <a:xfrm xmlns:a="http://schemas.openxmlformats.org/drawingml/2006/main">
          <a:off x="3463183" y="2699504"/>
          <a:ext cx="145818" cy="12509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1">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vertOverflow="clip" wrap="square" lIns="18288" tIns="18288" rIns="18288" bIns="18288" anchor="ctr" upright="1"/>
        <a:lstStyle xmlns:a="http://schemas.openxmlformats.org/drawingml/2006/main"/>
        <a:p xmlns:a="http://schemas.openxmlformats.org/drawingml/2006/main">
          <a:pPr algn="ctr" rtl="0">
            <a:defRPr sz="1000"/>
          </a:pPr>
          <a:endParaRPr lang="zh-TW" altLang="en-US"/>
        </a:p>
      </cdr:txBody>
    </cdr:sp>
  </cdr:relSizeAnchor>
  <cdr:relSizeAnchor xmlns:cdr="http://schemas.openxmlformats.org/drawingml/2006/chartDrawing">
    <cdr:from>
      <cdr:x>0.80554</cdr:x>
      <cdr:y>0.07083</cdr:y>
    </cdr:from>
    <cdr:to>
      <cdr:x>0.96332</cdr:x>
      <cdr:y>0.20083</cdr:y>
    </cdr:to>
    <cdr:sp macro="" textlink="">
      <cdr:nvSpPr>
        <cdr:cNvPr id="2" name="文字方塊 1"/>
        <cdr:cNvSpPr txBox="1"/>
      </cdr:nvSpPr>
      <cdr:spPr>
        <a:xfrm xmlns:a="http://schemas.openxmlformats.org/drawingml/2006/main">
          <a:off x="3306952" y="202384"/>
          <a:ext cx="647731"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28.62</a:t>
          </a:r>
        </a:p>
        <a:p xmlns:a="http://schemas.openxmlformats.org/drawingml/2006/main">
          <a:pPr algn="ctr">
            <a:lnSpc>
              <a:spcPts val="960"/>
            </a:lnSpc>
          </a:pPr>
          <a:r>
            <a:rPr lang="en-US" altLang="zh-TW" sz="800">
              <a:latin typeface="Arial" pitchFamily="34" charset="0"/>
              <a:cs typeface="Arial" pitchFamily="34" charset="0"/>
            </a:rPr>
            <a:t>(104/4)</a:t>
          </a:r>
          <a:endParaRPr lang="zh-TW" altLang="en-US" sz="800">
            <a:latin typeface="Arial" pitchFamily="34" charset="0"/>
            <a:cs typeface="Arial" pitchFamily="34" charset="0"/>
          </a:endParaRPr>
        </a:p>
      </cdr:txBody>
    </cdr:sp>
  </cdr:relSizeAnchor>
  <cdr:relSizeAnchor xmlns:cdr="http://schemas.openxmlformats.org/drawingml/2006/chartDrawing">
    <cdr:from>
      <cdr:x>0.87719</cdr:x>
      <cdr:y>0.02</cdr:y>
    </cdr:from>
    <cdr:to>
      <cdr:x>0.98496</cdr:x>
      <cdr:y>0.08333</cdr:y>
    </cdr:to>
    <cdr:sp macro="" textlink="">
      <cdr:nvSpPr>
        <cdr:cNvPr id="3" name="文字方塊 2"/>
        <cdr:cNvSpPr txBox="1"/>
      </cdr:nvSpPr>
      <cdr:spPr>
        <a:xfrm xmlns:a="http://schemas.openxmlformats.org/drawingml/2006/main">
          <a:off x="3333750" y="57150"/>
          <a:ext cx="409575"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zh-TW" altLang="en-US" sz="800" b="1">
              <a:latin typeface="標楷體" pitchFamily="65" charset="-120"/>
              <a:ea typeface="標楷體" pitchFamily="65" charset="-120"/>
            </a:rPr>
            <a:t>兆元</a:t>
          </a:r>
        </a:p>
      </cdr:txBody>
    </cdr:sp>
  </cdr:relSizeAnchor>
  <cdr:relSizeAnchor xmlns:cdr="http://schemas.openxmlformats.org/drawingml/2006/chartDrawing">
    <cdr:from>
      <cdr:x>0.80748</cdr:x>
      <cdr:y>0.34039</cdr:y>
    </cdr:from>
    <cdr:to>
      <cdr:x>0.96441</cdr:x>
      <cdr:y>0.46372</cdr:y>
    </cdr:to>
    <cdr:sp macro="" textlink="">
      <cdr:nvSpPr>
        <cdr:cNvPr id="4" name="文字方塊 3"/>
        <cdr:cNvSpPr txBox="1"/>
      </cdr:nvSpPr>
      <cdr:spPr>
        <a:xfrm xmlns:a="http://schemas.openxmlformats.org/drawingml/2006/main">
          <a:off x="3314919" y="972675"/>
          <a:ext cx="644241" cy="35241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4.71</a:t>
          </a:r>
        </a:p>
        <a:p xmlns:a="http://schemas.openxmlformats.org/drawingml/2006/main">
          <a:pPr algn="ctr">
            <a:lnSpc>
              <a:spcPts val="960"/>
            </a:lnSpc>
          </a:pPr>
          <a:r>
            <a:rPr lang="en-US" altLang="zh-TW" sz="800">
              <a:latin typeface="Arial" pitchFamily="34" charset="0"/>
              <a:cs typeface="Arial" pitchFamily="34" charset="0"/>
            </a:rPr>
            <a:t>(104/4)</a:t>
          </a:r>
          <a:endParaRPr lang="zh-TW" altLang="en-US" sz="800">
            <a:latin typeface="Arial" pitchFamily="34" charset="0"/>
            <a:cs typeface="Arial" pitchFamily="34" charset="0"/>
          </a:endParaRPr>
        </a:p>
      </cdr:txBody>
    </cdr:sp>
  </cdr:relSizeAnchor>
  <cdr:relSizeAnchor xmlns:cdr="http://schemas.openxmlformats.org/drawingml/2006/chartDrawing">
    <cdr:from>
      <cdr:x>0.80623</cdr:x>
      <cdr:y>0.4963</cdr:y>
    </cdr:from>
    <cdr:to>
      <cdr:x>0.96481</cdr:x>
      <cdr:y>0.6263</cdr:y>
    </cdr:to>
    <cdr:sp macro="" textlink="">
      <cdr:nvSpPr>
        <cdr:cNvPr id="5" name="文字方塊 4"/>
        <cdr:cNvSpPr txBox="1"/>
      </cdr:nvSpPr>
      <cdr:spPr>
        <a:xfrm xmlns:a="http://schemas.openxmlformats.org/drawingml/2006/main">
          <a:off x="3309805" y="1418173"/>
          <a:ext cx="651015"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US" altLang="zh-TW" sz="800">
              <a:latin typeface="Arial" pitchFamily="34" charset="0"/>
              <a:cs typeface="Arial" pitchFamily="34" charset="0"/>
            </a:rPr>
            <a:t>3.21</a:t>
          </a:r>
        </a:p>
        <a:p xmlns:a="http://schemas.openxmlformats.org/drawingml/2006/main">
          <a:pPr algn="ctr"/>
          <a:r>
            <a:rPr lang="en-US" altLang="zh-TW" sz="800">
              <a:latin typeface="Arial" pitchFamily="34" charset="0"/>
              <a:cs typeface="Arial" pitchFamily="34" charset="0"/>
            </a:rPr>
            <a:t>(104/4)</a:t>
          </a:r>
          <a:endParaRPr lang="zh-TW" altLang="en-US" sz="800">
            <a:latin typeface="Arial" pitchFamily="34" charset="0"/>
            <a:cs typeface="Arial" pitchFamily="34"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0.82973</cdr:x>
      <cdr:y>0.06695</cdr:y>
    </cdr:from>
    <cdr:to>
      <cdr:x>1</cdr:x>
      <cdr:y>0.20896</cdr:y>
    </cdr:to>
    <cdr:sp macro="" textlink="">
      <cdr:nvSpPr>
        <cdr:cNvPr id="2" name="文字方塊 1"/>
        <cdr:cNvSpPr txBox="1"/>
      </cdr:nvSpPr>
      <cdr:spPr>
        <a:xfrm xmlns:a="http://schemas.openxmlformats.org/drawingml/2006/main">
          <a:off x="2963477" y="183658"/>
          <a:ext cx="607859" cy="38956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4,181.74</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(104/4)</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0.80228</cdr:x>
      <cdr:y>0.02661</cdr:y>
    </cdr:from>
    <cdr:to>
      <cdr:x>1</cdr:x>
      <cdr:y>0.22427</cdr:y>
    </cdr:to>
    <cdr:sp macro="" textlink="">
      <cdr:nvSpPr>
        <cdr:cNvPr id="2" name="橢圓形圖說文字 1"/>
        <cdr:cNvSpPr/>
      </cdr:nvSpPr>
      <cdr:spPr>
        <a:xfrm xmlns:a="http://schemas.openxmlformats.org/drawingml/2006/main">
          <a:off x="4333463" y="79840"/>
          <a:ext cx="1067696" cy="593054"/>
        </a:xfrm>
        <a:prstGeom xmlns:a="http://schemas.openxmlformats.org/drawingml/2006/main" prst="wedgeEllipseCallout">
          <a:avLst>
            <a:gd name="adj1" fmla="val 33311"/>
            <a:gd name="adj2" fmla="val 67080"/>
          </a:avLst>
        </a:prstGeom>
        <a:noFill xmlns:a="http://schemas.openxmlformats.org/drawingml/2006/main"/>
        <a:ln xmlns:a="http://schemas.openxmlformats.org/drawingml/2006/main" w="317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9,679.93</a:t>
          </a:r>
        </a:p>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(104/4)</a:t>
          </a:r>
          <a:endParaRPr lang="zh-TW">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22B210-D3A8-4C49-A1CA-1350D7B208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8374</Words>
  <Characters>47736</Characters>
  <Application>Microsoft Office Word</Application>
  <DocSecurity>0</DocSecurity>
  <Lines>397</Lines>
  <Paragraphs>111</Paragraphs>
  <ScaleCrop>false</ScaleCrop>
  <Company>Ministry of Economic Affairs,R.O.C</Company>
  <LinksUpToDate>false</LinksUpToDate>
  <CharactersWithSpaces>55999</CharactersWithSpaces>
  <SharedDoc>false</SharedDoc>
  <HLinks>
    <vt:vector size="30" baseType="variant">
      <vt:variant>
        <vt:i4>7864391</vt:i4>
      </vt:variant>
      <vt:variant>
        <vt:i4>30</vt:i4>
      </vt:variant>
      <vt:variant>
        <vt:i4>0</vt:i4>
      </vt:variant>
      <vt:variant>
        <vt:i4>5</vt:i4>
      </vt:variant>
      <vt:variant>
        <vt:lpwstr>http://big5.china.com.cn/news/local/2012-04/17/content_25160279.htm</vt:lpwstr>
      </vt:variant>
      <vt:variant>
        <vt:lpwstr/>
      </vt:variant>
      <vt:variant>
        <vt:i4>7209007</vt:i4>
      </vt:variant>
      <vt:variant>
        <vt:i4>21</vt:i4>
      </vt:variant>
      <vt:variant>
        <vt:i4>0</vt:i4>
      </vt:variant>
      <vt:variant>
        <vt:i4>5</vt:i4>
      </vt:variant>
      <vt:variant>
        <vt:lpwstr>http://www.moneydj.com/KMDJ/wiki/WikiViewer.aspx?Title=%u80FD%u6E90</vt:lpwstr>
      </vt:variant>
      <vt:variant>
        <vt:lpwstr/>
      </vt:variant>
      <vt:variant>
        <vt:i4>3211363</vt:i4>
      </vt:variant>
      <vt:variant>
        <vt:i4>15</vt:i4>
      </vt:variant>
      <vt:variant>
        <vt:i4>0</vt:i4>
      </vt:variant>
      <vt:variant>
        <vt:i4>5</vt:i4>
      </vt:variant>
      <vt:variant>
        <vt:lpwstr/>
      </vt:variant>
      <vt:variant>
        <vt:lpwstr>c17</vt:lpwstr>
      </vt:variant>
      <vt:variant>
        <vt:i4>2097210</vt:i4>
      </vt:variant>
      <vt:variant>
        <vt:i4>3</vt:i4>
      </vt:variant>
      <vt:variant>
        <vt:i4>0</vt:i4>
      </vt:variant>
      <vt:variant>
        <vt:i4>5</vt:i4>
      </vt:variant>
      <vt:variant>
        <vt:lpwstr>http://sites.sina.com.tw/%E5%8C%97%E4%BA%AC</vt:lpwstr>
      </vt:variant>
      <vt:variant>
        <vt:lpwstr/>
      </vt:variant>
      <vt:variant>
        <vt:i4>7995490</vt:i4>
      </vt:variant>
      <vt:variant>
        <vt:i4>0</vt:i4>
      </vt:variant>
      <vt:variant>
        <vt:i4>0</vt:i4>
      </vt:variant>
      <vt:variant>
        <vt:i4>5</vt:i4>
      </vt:variant>
      <vt:variant>
        <vt:lpwstr>http://sites.sina.com.tw/%E4%B8%8A%E6%B5%B7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MOEA</dc:creator>
  <cp:lastModifiedBy>邱淑惠</cp:lastModifiedBy>
  <cp:revision>2</cp:revision>
  <cp:lastPrinted>2015-06-01T07:51:00Z</cp:lastPrinted>
  <dcterms:created xsi:type="dcterms:W3CDTF">2016-01-28T06:33:00Z</dcterms:created>
  <dcterms:modified xsi:type="dcterms:W3CDTF">2016-01-28T06:33:00Z</dcterms:modified>
</cp:coreProperties>
</file>