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44" w:rsidRPr="00E255A1" w:rsidRDefault="004C5877">
      <w:pPr>
        <w:spacing w:line="560" w:lineRule="exact"/>
        <w:jc w:val="center"/>
        <w:rPr>
          <w:rFonts w:eastAsia="標楷體"/>
          <w:b/>
          <w:sz w:val="44"/>
        </w:rPr>
      </w:pPr>
      <w:r w:rsidRPr="00E255A1">
        <w:rPr>
          <w:rFonts w:eastAsia="標楷體"/>
          <w:b/>
          <w:sz w:val="44"/>
        </w:rPr>
        <w:t>新聞稿</w:t>
      </w:r>
    </w:p>
    <w:p w:rsidR="008F2EFF" w:rsidRPr="00E255A1" w:rsidRDefault="008F2EFF" w:rsidP="00FF1F3C">
      <w:pPr>
        <w:spacing w:beforeLines="100" w:line="400" w:lineRule="exact"/>
        <w:rPr>
          <w:rFonts w:eastAsia="標楷體"/>
          <w:kern w:val="2"/>
        </w:rPr>
      </w:pPr>
      <w:r w:rsidRPr="00E255A1">
        <w:rPr>
          <w:rFonts w:eastAsia="標楷體" w:hint="eastAsia"/>
        </w:rPr>
        <w:t>備註：</w:t>
      </w:r>
      <w:r w:rsidRPr="00E255A1">
        <w:rPr>
          <w:rFonts w:eastAsia="標楷體"/>
        </w:rPr>
        <w:t>1.</w:t>
      </w:r>
      <w:r w:rsidRPr="00E255A1">
        <w:rPr>
          <w:rFonts w:eastAsia="標楷體" w:hint="eastAsia"/>
        </w:rPr>
        <w:t>本新聞稿透過網際網路（</w:t>
      </w:r>
      <w:r w:rsidRPr="00E255A1">
        <w:rPr>
          <w:rFonts w:eastAsia="標楷體"/>
        </w:rPr>
        <w:t>Internet</w:t>
      </w:r>
      <w:r w:rsidRPr="00E255A1">
        <w:rPr>
          <w:rFonts w:eastAsia="標楷體" w:hint="eastAsia"/>
        </w:rPr>
        <w:t>）系統同步發送。</w:t>
      </w:r>
    </w:p>
    <w:p w:rsidR="008F2EFF" w:rsidRPr="00E255A1" w:rsidRDefault="008F2EFF" w:rsidP="008F2EFF">
      <w:pPr>
        <w:spacing w:line="400" w:lineRule="exact"/>
        <w:ind w:left="840" w:hangingChars="350" w:hanging="840"/>
        <w:rPr>
          <w:rFonts w:eastAsia="標楷體"/>
        </w:rPr>
      </w:pPr>
      <w:r w:rsidRPr="00E255A1">
        <w:rPr>
          <w:rFonts w:eastAsia="標楷體" w:hint="eastAsia"/>
        </w:rPr>
        <w:t>備註：</w:t>
      </w:r>
      <w:r w:rsidRPr="00E255A1">
        <w:rPr>
          <w:rFonts w:eastAsia="標楷體"/>
        </w:rPr>
        <w:t xml:space="preserve"> 2.</w:t>
      </w:r>
      <w:r w:rsidRPr="00E255A1">
        <w:rPr>
          <w:rFonts w:eastAsia="標楷體" w:hint="eastAsia"/>
        </w:rPr>
        <w:t>本部投審會發布之僑外投資、陸資投資、對外投資、對中國大陸投資統計，</w:t>
      </w:r>
      <w:proofErr w:type="gramStart"/>
      <w:r w:rsidRPr="00E255A1">
        <w:rPr>
          <w:rFonts w:eastAsia="標楷體" w:hint="eastAsia"/>
        </w:rPr>
        <w:t>均為</w:t>
      </w:r>
      <w:proofErr w:type="gramEnd"/>
      <w:r w:rsidRPr="00E255A1">
        <w:rPr>
          <w:rFonts w:eastAsia="標楷體" w:hint="eastAsia"/>
          <w:b/>
        </w:rPr>
        <w:t>「股本投資」</w:t>
      </w:r>
      <w:r w:rsidRPr="00E255A1">
        <w:rPr>
          <w:rFonts w:eastAsia="標楷體" w:hint="eastAsia"/>
        </w:rPr>
        <w:t>統計。</w:t>
      </w:r>
    </w:p>
    <w:p w:rsidR="00393FD1" w:rsidRPr="00E255A1" w:rsidRDefault="00393FD1" w:rsidP="008F2EFF">
      <w:pPr>
        <w:spacing w:line="400" w:lineRule="exact"/>
        <w:ind w:left="840" w:hangingChars="350" w:hanging="840"/>
        <w:rPr>
          <w:rFonts w:eastAsia="標楷體"/>
        </w:rPr>
      </w:pPr>
      <w:r w:rsidRPr="00E255A1">
        <w:rPr>
          <w:rFonts w:eastAsia="標楷體" w:hint="eastAsia"/>
        </w:rPr>
        <w:t>備註：</w:t>
      </w:r>
      <w:r w:rsidRPr="00E255A1">
        <w:rPr>
          <w:rFonts w:eastAsia="標楷體" w:hint="eastAsia"/>
        </w:rPr>
        <w:t>3.</w:t>
      </w:r>
      <w:r w:rsidRPr="00E255A1">
        <w:rPr>
          <w:rFonts w:eastAsia="標楷體" w:hint="eastAsia"/>
        </w:rPr>
        <w:t>本新聞稿美金兌新台幣匯率以</w:t>
      </w:r>
      <w:r w:rsidRPr="00E255A1">
        <w:rPr>
          <w:rFonts w:eastAsia="標楷體" w:hint="eastAsia"/>
        </w:rPr>
        <w:t>30</w:t>
      </w:r>
      <w:r w:rsidRPr="00E255A1">
        <w:rPr>
          <w:rFonts w:eastAsia="標楷體" w:hint="eastAsia"/>
        </w:rPr>
        <w:t>計算。</w:t>
      </w:r>
    </w:p>
    <w:p w:rsidR="000518EA" w:rsidRPr="00E255A1" w:rsidRDefault="00FA0CC6" w:rsidP="00E77678">
      <w:pPr>
        <w:ind w:firstLine="720"/>
        <w:jc w:val="both"/>
        <w:rPr>
          <w:rFonts w:eastAsia="標楷體"/>
          <w:sz w:val="36"/>
          <w:szCs w:val="36"/>
        </w:rPr>
      </w:pPr>
      <w:r w:rsidRPr="00E255A1">
        <w:rPr>
          <w:rFonts w:eastAsia="標楷體" w:hint="eastAsia"/>
          <w:sz w:val="36"/>
          <w:szCs w:val="36"/>
        </w:rPr>
        <w:t>根據本部投審會統計，</w:t>
      </w:r>
      <w:r w:rsidR="0084210C" w:rsidRPr="00E255A1">
        <w:rPr>
          <w:rFonts w:eastAsia="標楷體" w:hint="eastAsia"/>
          <w:sz w:val="36"/>
          <w:szCs w:val="36"/>
        </w:rPr>
        <w:t>110</w:t>
      </w:r>
      <w:r w:rsidRPr="00E255A1">
        <w:rPr>
          <w:rFonts w:eastAsia="標楷體" w:hint="eastAsia"/>
          <w:sz w:val="36"/>
          <w:szCs w:val="36"/>
        </w:rPr>
        <w:t>年</w:t>
      </w:r>
      <w:r w:rsidR="00FF6D2E" w:rsidRPr="00E255A1">
        <w:rPr>
          <w:rFonts w:eastAsia="標楷體" w:hint="eastAsia"/>
          <w:sz w:val="36"/>
          <w:szCs w:val="36"/>
        </w:rPr>
        <w:t>1-</w:t>
      </w:r>
      <w:r w:rsidR="008A6B1E">
        <w:rPr>
          <w:rFonts w:eastAsia="標楷體" w:hint="eastAsia"/>
          <w:sz w:val="36"/>
          <w:szCs w:val="36"/>
        </w:rPr>
        <w:t>7</w:t>
      </w:r>
      <w:r w:rsidRPr="00E255A1">
        <w:rPr>
          <w:rFonts w:eastAsia="標楷體" w:hint="eastAsia"/>
          <w:sz w:val="36"/>
          <w:szCs w:val="36"/>
        </w:rPr>
        <w:t>月核准僑外投資件數為</w:t>
      </w:r>
      <w:r w:rsidR="00FF6D2E" w:rsidRPr="00E255A1">
        <w:rPr>
          <w:rFonts w:eastAsia="標楷體" w:hint="eastAsia"/>
          <w:sz w:val="36"/>
          <w:szCs w:val="36"/>
        </w:rPr>
        <w:t>1,</w:t>
      </w:r>
      <w:r w:rsidR="008A6B1E">
        <w:rPr>
          <w:rFonts w:eastAsia="標楷體" w:hint="eastAsia"/>
          <w:sz w:val="36"/>
          <w:szCs w:val="36"/>
        </w:rPr>
        <w:t>534</w:t>
      </w:r>
      <w:r w:rsidRPr="00E255A1">
        <w:rPr>
          <w:rFonts w:eastAsia="標楷體" w:hint="eastAsia"/>
          <w:sz w:val="36"/>
          <w:szCs w:val="36"/>
        </w:rPr>
        <w:t>件，較上年同期減少</w:t>
      </w:r>
      <w:r w:rsidR="008A6B1E">
        <w:rPr>
          <w:rFonts w:eastAsia="標楷體" w:hint="eastAsia"/>
          <w:sz w:val="36"/>
          <w:szCs w:val="36"/>
        </w:rPr>
        <w:t>21.25</w:t>
      </w:r>
      <w:r w:rsidRPr="00E255A1">
        <w:rPr>
          <w:rFonts w:eastAsia="標楷體" w:hint="eastAsia"/>
          <w:sz w:val="36"/>
          <w:szCs w:val="36"/>
        </w:rPr>
        <w:t>％</w:t>
      </w:r>
      <w:r w:rsidR="00EC20A5" w:rsidRPr="00E255A1">
        <w:rPr>
          <w:rFonts w:eastAsia="標楷體" w:hint="eastAsia"/>
          <w:sz w:val="36"/>
          <w:szCs w:val="36"/>
        </w:rPr>
        <w:t>；在</w:t>
      </w:r>
      <w:r w:rsidR="007C24FB" w:rsidRPr="00E255A1">
        <w:rPr>
          <w:rFonts w:eastAsia="標楷體" w:hint="eastAsia"/>
          <w:sz w:val="36"/>
          <w:szCs w:val="36"/>
        </w:rPr>
        <w:t>核准</w:t>
      </w:r>
      <w:r w:rsidR="00EC20A5" w:rsidRPr="00E255A1">
        <w:rPr>
          <w:rFonts w:eastAsia="標楷體" w:hint="eastAsia"/>
          <w:sz w:val="36"/>
          <w:szCs w:val="36"/>
        </w:rPr>
        <w:t>金額部分，</w:t>
      </w:r>
      <w:r w:rsidR="00B04E67" w:rsidRPr="00E255A1">
        <w:rPr>
          <w:rFonts w:eastAsia="標楷體" w:hint="eastAsia"/>
          <w:sz w:val="36"/>
          <w:szCs w:val="36"/>
        </w:rPr>
        <w:t>投</w:t>
      </w:r>
      <w:r w:rsidR="00B04E67" w:rsidRPr="00E255A1">
        <w:rPr>
          <w:rFonts w:eastAsia="標楷體" w:hint="eastAsia"/>
          <w:sz w:val="36"/>
          <w:szCs w:val="36"/>
        </w:rPr>
        <w:t>(</w:t>
      </w:r>
      <w:r w:rsidR="00B04E67" w:rsidRPr="00E255A1">
        <w:rPr>
          <w:rFonts w:eastAsia="標楷體" w:hint="eastAsia"/>
          <w:sz w:val="36"/>
          <w:szCs w:val="36"/>
        </w:rPr>
        <w:t>增</w:t>
      </w:r>
      <w:r w:rsidR="00B04E67" w:rsidRPr="00E255A1">
        <w:rPr>
          <w:rFonts w:eastAsia="標楷體" w:hint="eastAsia"/>
          <w:sz w:val="36"/>
          <w:szCs w:val="36"/>
        </w:rPr>
        <w:t>)</w:t>
      </w:r>
      <w:r w:rsidR="00B04E67" w:rsidRPr="00E255A1">
        <w:rPr>
          <w:rFonts w:eastAsia="標楷體" w:hint="eastAsia"/>
          <w:sz w:val="36"/>
          <w:szCs w:val="36"/>
        </w:rPr>
        <w:t>資金額計美金</w:t>
      </w:r>
      <w:r w:rsidR="008A6B1E">
        <w:rPr>
          <w:rFonts w:eastAsia="標楷體" w:hint="eastAsia"/>
          <w:sz w:val="36"/>
          <w:szCs w:val="36"/>
        </w:rPr>
        <w:t>32</w:t>
      </w:r>
      <w:r w:rsidR="00B04E67" w:rsidRPr="00E255A1">
        <w:rPr>
          <w:rFonts w:eastAsia="標楷體" w:hint="eastAsia"/>
          <w:sz w:val="36"/>
          <w:szCs w:val="36"/>
        </w:rPr>
        <w:t>億</w:t>
      </w:r>
      <w:r w:rsidR="008A6B1E">
        <w:rPr>
          <w:rFonts w:eastAsia="標楷體" w:hint="eastAsia"/>
          <w:sz w:val="36"/>
          <w:szCs w:val="36"/>
        </w:rPr>
        <w:t>979</w:t>
      </w:r>
      <w:r w:rsidR="00B04E67" w:rsidRPr="00E255A1">
        <w:rPr>
          <w:rFonts w:eastAsia="標楷體" w:hint="eastAsia"/>
          <w:sz w:val="36"/>
          <w:szCs w:val="36"/>
        </w:rPr>
        <w:t>萬</w:t>
      </w:r>
      <w:r w:rsidR="008A6B1E">
        <w:rPr>
          <w:rFonts w:eastAsia="標楷體" w:hint="eastAsia"/>
          <w:sz w:val="36"/>
          <w:szCs w:val="36"/>
        </w:rPr>
        <w:t>9</w:t>
      </w:r>
      <w:r w:rsidR="00B04E67" w:rsidRPr="00E255A1">
        <w:rPr>
          <w:rFonts w:eastAsia="標楷體" w:hint="eastAsia"/>
          <w:sz w:val="36"/>
          <w:szCs w:val="36"/>
        </w:rPr>
        <w:t>,000</w:t>
      </w:r>
      <w:r w:rsidR="00B04E67" w:rsidRPr="00E255A1">
        <w:rPr>
          <w:rFonts w:eastAsia="標楷體" w:hint="eastAsia"/>
          <w:sz w:val="36"/>
          <w:szCs w:val="36"/>
        </w:rPr>
        <w:t>元</w:t>
      </w:r>
      <w:r w:rsidR="00B04E67" w:rsidRPr="00E255A1">
        <w:rPr>
          <w:rFonts w:eastAsia="標楷體" w:hint="eastAsia"/>
          <w:sz w:val="36"/>
          <w:szCs w:val="36"/>
        </w:rPr>
        <w:t>(</w:t>
      </w:r>
      <w:r w:rsidR="00B04E67" w:rsidRPr="00B522D2">
        <w:rPr>
          <w:rFonts w:eastAsia="標楷體" w:hint="eastAsia"/>
          <w:sz w:val="36"/>
          <w:szCs w:val="36"/>
        </w:rPr>
        <w:t>折合新臺幣</w:t>
      </w:r>
      <w:r w:rsidR="00B522D2" w:rsidRPr="00B522D2">
        <w:rPr>
          <w:rFonts w:eastAsia="標楷體" w:hint="eastAsia"/>
          <w:sz w:val="36"/>
          <w:szCs w:val="36"/>
        </w:rPr>
        <w:t>962</w:t>
      </w:r>
      <w:r w:rsidR="00B04E67" w:rsidRPr="00B522D2">
        <w:rPr>
          <w:rFonts w:eastAsia="標楷體" w:hint="eastAsia"/>
          <w:sz w:val="36"/>
          <w:szCs w:val="36"/>
        </w:rPr>
        <w:t>億</w:t>
      </w:r>
      <w:r w:rsidR="00B522D2" w:rsidRPr="00B522D2">
        <w:rPr>
          <w:rFonts w:eastAsia="標楷體" w:hint="eastAsia"/>
          <w:sz w:val="36"/>
          <w:szCs w:val="36"/>
        </w:rPr>
        <w:t>9,397</w:t>
      </w:r>
      <w:r w:rsidR="00B04E67" w:rsidRPr="00B522D2">
        <w:rPr>
          <w:rFonts w:eastAsia="標楷體" w:hint="eastAsia"/>
          <w:sz w:val="36"/>
          <w:szCs w:val="36"/>
        </w:rPr>
        <w:t>萬元</w:t>
      </w:r>
      <w:r w:rsidR="00B04E67" w:rsidRPr="00B522D2">
        <w:rPr>
          <w:rFonts w:eastAsia="標楷體" w:hint="eastAsia"/>
          <w:sz w:val="36"/>
          <w:szCs w:val="36"/>
        </w:rPr>
        <w:t>)</w:t>
      </w:r>
      <w:r w:rsidR="00B04E67" w:rsidRPr="00B522D2">
        <w:rPr>
          <w:rFonts w:eastAsia="標楷體" w:hint="eastAsia"/>
          <w:sz w:val="36"/>
          <w:szCs w:val="36"/>
        </w:rPr>
        <w:t>，</w:t>
      </w:r>
      <w:r w:rsidR="006A333E" w:rsidRPr="00B522D2">
        <w:rPr>
          <w:rFonts w:eastAsia="標楷體" w:hint="eastAsia"/>
          <w:sz w:val="36"/>
          <w:szCs w:val="36"/>
        </w:rPr>
        <w:t>較上年同</w:t>
      </w:r>
      <w:r w:rsidR="006A333E" w:rsidRPr="00E255A1">
        <w:rPr>
          <w:rFonts w:eastAsia="標楷體" w:hint="eastAsia"/>
          <w:sz w:val="36"/>
          <w:szCs w:val="36"/>
        </w:rPr>
        <w:t>期減少</w:t>
      </w:r>
      <w:r w:rsidR="008A6B1E">
        <w:rPr>
          <w:rFonts w:eastAsia="標楷體" w:hint="eastAsia"/>
          <w:sz w:val="36"/>
          <w:szCs w:val="36"/>
        </w:rPr>
        <w:t>27.66</w:t>
      </w:r>
      <w:r w:rsidR="006A333E" w:rsidRPr="00E255A1">
        <w:rPr>
          <w:rFonts w:eastAsia="標楷體" w:hint="eastAsia"/>
          <w:sz w:val="36"/>
          <w:szCs w:val="36"/>
        </w:rPr>
        <w:t>%</w:t>
      </w:r>
      <w:r w:rsidR="00115152" w:rsidRPr="00E255A1">
        <w:rPr>
          <w:rFonts w:eastAsia="標楷體" w:hint="eastAsia"/>
          <w:sz w:val="36"/>
          <w:szCs w:val="36"/>
        </w:rPr>
        <w:t>。</w:t>
      </w:r>
      <w:r w:rsidR="00C97763" w:rsidRPr="00D3322A">
        <w:rPr>
          <w:rFonts w:eastAsia="標楷體" w:hint="eastAsia"/>
          <w:sz w:val="36"/>
          <w:szCs w:val="36"/>
        </w:rPr>
        <w:t>投資</w:t>
      </w:r>
      <w:r w:rsidR="00115152" w:rsidRPr="00D3322A">
        <w:rPr>
          <w:rFonts w:eastAsia="標楷體" w:hint="eastAsia"/>
          <w:sz w:val="36"/>
          <w:szCs w:val="36"/>
        </w:rPr>
        <w:t>金額較上年同期減少主要係因</w:t>
      </w:r>
      <w:r w:rsidR="00D3322A" w:rsidRPr="00D3322A">
        <w:rPr>
          <w:rFonts w:eastAsia="標楷體" w:hint="eastAsia"/>
          <w:sz w:val="36"/>
          <w:szCs w:val="36"/>
        </w:rPr>
        <w:t>110</w:t>
      </w:r>
      <w:r w:rsidR="00D3322A" w:rsidRPr="00D3322A">
        <w:rPr>
          <w:rFonts w:eastAsia="標楷體" w:hint="eastAsia"/>
          <w:sz w:val="36"/>
          <w:szCs w:val="36"/>
        </w:rPr>
        <w:t>年上半年僑外來台投資在全球</w:t>
      </w:r>
      <w:proofErr w:type="gramStart"/>
      <w:r w:rsidR="00D3322A" w:rsidRPr="00D3322A">
        <w:rPr>
          <w:rFonts w:eastAsia="標楷體" w:hint="eastAsia"/>
          <w:sz w:val="36"/>
          <w:szCs w:val="36"/>
        </w:rPr>
        <w:t>新冠肺炎疫情未</w:t>
      </w:r>
      <w:proofErr w:type="gramEnd"/>
      <w:r w:rsidR="00D3322A" w:rsidRPr="00D3322A">
        <w:rPr>
          <w:rFonts w:eastAsia="標楷體" w:hint="eastAsia"/>
          <w:sz w:val="36"/>
          <w:szCs w:val="36"/>
        </w:rPr>
        <w:t>歇，不利大型跨國企業投資，國際投資活動趨緩，投資金額呈現負成長趨勢</w:t>
      </w:r>
      <w:r w:rsidR="00D340B2" w:rsidRPr="00D3322A">
        <w:rPr>
          <w:rFonts w:eastAsia="標楷體" w:hint="eastAsia"/>
          <w:sz w:val="36"/>
          <w:szCs w:val="36"/>
        </w:rPr>
        <w:t>所致</w:t>
      </w:r>
      <w:r w:rsidR="000518EA" w:rsidRPr="00E255A1">
        <w:rPr>
          <w:rFonts w:eastAsia="標楷體" w:hint="eastAsia"/>
          <w:sz w:val="36"/>
          <w:szCs w:val="36"/>
        </w:rPr>
        <w:t>。</w:t>
      </w:r>
    </w:p>
    <w:p w:rsidR="00870363" w:rsidRPr="001B0BEE" w:rsidRDefault="00E60913" w:rsidP="001B0BEE">
      <w:pPr>
        <w:ind w:firstLine="720"/>
        <w:jc w:val="both"/>
        <w:rPr>
          <w:rFonts w:eastAsia="標楷體"/>
          <w:sz w:val="36"/>
          <w:szCs w:val="36"/>
        </w:rPr>
      </w:pPr>
      <w:r w:rsidRPr="00CF2580">
        <w:rPr>
          <w:rFonts w:eastAsia="標楷體" w:hint="eastAsia"/>
          <w:sz w:val="36"/>
          <w:szCs w:val="36"/>
        </w:rPr>
        <w:t>110</w:t>
      </w:r>
      <w:r w:rsidR="00AE1C07" w:rsidRPr="00CF2580">
        <w:rPr>
          <w:rFonts w:eastAsia="標楷體"/>
          <w:sz w:val="36"/>
          <w:szCs w:val="36"/>
        </w:rPr>
        <w:t>年</w:t>
      </w:r>
      <w:r w:rsidR="008A6B1E" w:rsidRPr="00CF2580">
        <w:rPr>
          <w:rFonts w:eastAsia="標楷體" w:hint="eastAsia"/>
          <w:sz w:val="36"/>
          <w:szCs w:val="36"/>
        </w:rPr>
        <w:t>1-7</w:t>
      </w:r>
      <w:r w:rsidR="00AE1C07" w:rsidRPr="00CF2580">
        <w:rPr>
          <w:rFonts w:eastAsia="標楷體"/>
          <w:sz w:val="36"/>
          <w:szCs w:val="36"/>
        </w:rPr>
        <w:t>月</w:t>
      </w:r>
      <w:r w:rsidR="004C5877" w:rsidRPr="00CF2580">
        <w:rPr>
          <w:rFonts w:eastAsia="標楷體"/>
          <w:sz w:val="36"/>
          <w:szCs w:val="36"/>
        </w:rPr>
        <w:t>核准新設公司件數為</w:t>
      </w:r>
      <w:r w:rsidR="00417B47" w:rsidRPr="00CF2580">
        <w:rPr>
          <w:rFonts w:eastAsia="標楷體" w:hint="eastAsia"/>
          <w:sz w:val="36"/>
          <w:szCs w:val="36"/>
        </w:rPr>
        <w:t>897</w:t>
      </w:r>
      <w:r w:rsidR="004C5877" w:rsidRPr="00CF2580">
        <w:rPr>
          <w:rFonts w:eastAsia="標楷體"/>
          <w:sz w:val="36"/>
          <w:szCs w:val="36"/>
        </w:rPr>
        <w:t>件，新設公司投資金額</w:t>
      </w:r>
      <w:r w:rsidR="00EC2A77" w:rsidRPr="00CF2580">
        <w:rPr>
          <w:rFonts w:eastAsia="標楷體" w:hint="eastAsia"/>
          <w:sz w:val="36"/>
          <w:szCs w:val="36"/>
        </w:rPr>
        <w:t>美金</w:t>
      </w:r>
      <w:r w:rsidR="00CF2580" w:rsidRPr="00CF2580">
        <w:rPr>
          <w:rFonts w:eastAsia="標楷體" w:hint="eastAsia"/>
          <w:sz w:val="36"/>
          <w:szCs w:val="36"/>
        </w:rPr>
        <w:t>6</w:t>
      </w:r>
      <w:r w:rsidR="00632166" w:rsidRPr="00CF2580">
        <w:rPr>
          <w:rFonts w:eastAsia="標楷體" w:hint="eastAsia"/>
          <w:sz w:val="36"/>
          <w:szCs w:val="36"/>
        </w:rPr>
        <w:t>億</w:t>
      </w:r>
      <w:r w:rsidR="00CF2580" w:rsidRPr="00CF2580">
        <w:rPr>
          <w:rFonts w:eastAsia="標楷體" w:hint="eastAsia"/>
          <w:sz w:val="36"/>
          <w:szCs w:val="36"/>
        </w:rPr>
        <w:t>2,397</w:t>
      </w:r>
      <w:r w:rsidR="00EC2A77" w:rsidRPr="00CF2580">
        <w:rPr>
          <w:rFonts w:eastAsia="標楷體"/>
          <w:sz w:val="36"/>
          <w:szCs w:val="36"/>
        </w:rPr>
        <w:t>萬</w:t>
      </w:r>
      <w:r w:rsidR="00CF2580" w:rsidRPr="00CF2580">
        <w:rPr>
          <w:rFonts w:eastAsia="標楷體" w:hint="eastAsia"/>
          <w:sz w:val="36"/>
          <w:szCs w:val="36"/>
        </w:rPr>
        <w:t>6,037</w:t>
      </w:r>
      <w:r w:rsidR="00EC2A77" w:rsidRPr="00CF2580">
        <w:rPr>
          <w:rFonts w:eastAsia="標楷體"/>
          <w:sz w:val="36"/>
          <w:szCs w:val="36"/>
        </w:rPr>
        <w:t>元</w:t>
      </w:r>
      <w:r w:rsidR="00213984" w:rsidRPr="00CF2580">
        <w:rPr>
          <w:rFonts w:eastAsia="標楷體" w:hint="eastAsia"/>
          <w:sz w:val="36"/>
          <w:szCs w:val="36"/>
        </w:rPr>
        <w:t>(</w:t>
      </w:r>
      <w:r w:rsidR="00213984" w:rsidRPr="00CF2580">
        <w:rPr>
          <w:rFonts w:eastAsia="標楷體" w:hint="eastAsia"/>
          <w:sz w:val="36"/>
          <w:szCs w:val="36"/>
        </w:rPr>
        <w:t>折合</w:t>
      </w:r>
      <w:r w:rsidR="00EC2A77" w:rsidRPr="00CF2580">
        <w:rPr>
          <w:rFonts w:eastAsia="標楷體" w:hint="eastAsia"/>
          <w:sz w:val="36"/>
          <w:szCs w:val="36"/>
        </w:rPr>
        <w:t>新臺幣約</w:t>
      </w:r>
      <w:r w:rsidR="00CF2580" w:rsidRPr="00CF2580">
        <w:rPr>
          <w:rFonts w:eastAsia="標楷體" w:hint="eastAsia"/>
          <w:sz w:val="36"/>
          <w:szCs w:val="36"/>
        </w:rPr>
        <w:t>187</w:t>
      </w:r>
      <w:r w:rsidR="00EC2A77" w:rsidRPr="00CF2580">
        <w:rPr>
          <w:rFonts w:eastAsia="標楷體" w:hint="eastAsia"/>
          <w:sz w:val="36"/>
          <w:szCs w:val="36"/>
        </w:rPr>
        <w:t>億</w:t>
      </w:r>
      <w:r w:rsidR="00CF2580" w:rsidRPr="00CF2580">
        <w:rPr>
          <w:rFonts w:eastAsia="標楷體" w:hint="eastAsia"/>
          <w:sz w:val="36"/>
          <w:szCs w:val="36"/>
        </w:rPr>
        <w:t>1,928</w:t>
      </w:r>
      <w:r w:rsidR="00EC2A77" w:rsidRPr="00CF2580">
        <w:rPr>
          <w:rFonts w:eastAsia="標楷體" w:hint="eastAsia"/>
          <w:sz w:val="36"/>
          <w:szCs w:val="36"/>
        </w:rPr>
        <w:t>萬</w:t>
      </w:r>
      <w:r w:rsidR="00B35B2A" w:rsidRPr="00CF2580">
        <w:rPr>
          <w:rFonts w:eastAsia="標楷體" w:hint="eastAsia"/>
          <w:sz w:val="36"/>
          <w:szCs w:val="36"/>
        </w:rPr>
        <w:t>1,107</w:t>
      </w:r>
      <w:r w:rsidR="00EC2A77" w:rsidRPr="00CF2580">
        <w:rPr>
          <w:rFonts w:eastAsia="標楷體" w:hint="eastAsia"/>
          <w:sz w:val="36"/>
          <w:szCs w:val="36"/>
        </w:rPr>
        <w:t>元</w:t>
      </w:r>
      <w:r w:rsidR="00213984" w:rsidRPr="00CF2580">
        <w:rPr>
          <w:rFonts w:eastAsia="標楷體" w:hint="eastAsia"/>
          <w:sz w:val="36"/>
          <w:szCs w:val="36"/>
        </w:rPr>
        <w:t>)</w:t>
      </w:r>
      <w:r w:rsidR="004C5877" w:rsidRPr="00CF2580">
        <w:rPr>
          <w:rFonts w:eastAsia="標楷體"/>
          <w:sz w:val="36"/>
          <w:szCs w:val="36"/>
        </w:rPr>
        <w:t>；另</w:t>
      </w:r>
      <w:r w:rsidR="000C3A7F" w:rsidRPr="001339A5">
        <w:rPr>
          <w:rFonts w:eastAsia="標楷體" w:hint="eastAsia"/>
          <w:sz w:val="36"/>
          <w:szCs w:val="36"/>
        </w:rPr>
        <w:t>110</w:t>
      </w:r>
      <w:r w:rsidR="00AE1C07" w:rsidRPr="001339A5">
        <w:rPr>
          <w:rFonts w:eastAsia="標楷體"/>
          <w:sz w:val="36"/>
          <w:szCs w:val="36"/>
        </w:rPr>
        <w:t>年</w:t>
      </w:r>
      <w:r w:rsidR="000C3A7F" w:rsidRPr="001339A5">
        <w:rPr>
          <w:rFonts w:eastAsia="標楷體" w:hint="eastAsia"/>
          <w:sz w:val="36"/>
          <w:szCs w:val="36"/>
        </w:rPr>
        <w:t>1</w:t>
      </w:r>
      <w:r w:rsidR="001339A5" w:rsidRPr="001339A5">
        <w:rPr>
          <w:rFonts w:eastAsia="標楷體" w:hint="eastAsia"/>
          <w:sz w:val="36"/>
          <w:szCs w:val="36"/>
        </w:rPr>
        <w:t>-7</w:t>
      </w:r>
      <w:r w:rsidR="00AE1C07" w:rsidRPr="001339A5">
        <w:rPr>
          <w:rFonts w:eastAsia="標楷體"/>
          <w:sz w:val="36"/>
          <w:szCs w:val="36"/>
        </w:rPr>
        <w:t>月</w:t>
      </w:r>
      <w:r w:rsidR="004C5877" w:rsidRPr="001339A5">
        <w:rPr>
          <w:rFonts w:eastAsia="標楷體"/>
          <w:sz w:val="36"/>
          <w:szCs w:val="36"/>
        </w:rPr>
        <w:t>核准新南向國家來</w:t>
      </w:r>
      <w:proofErr w:type="gramStart"/>
      <w:r w:rsidR="004C5877" w:rsidRPr="001339A5">
        <w:rPr>
          <w:rFonts w:eastAsia="標楷體"/>
          <w:sz w:val="36"/>
          <w:szCs w:val="36"/>
        </w:rPr>
        <w:t>臺</w:t>
      </w:r>
      <w:proofErr w:type="gramEnd"/>
      <w:r w:rsidR="004C5877" w:rsidRPr="001339A5">
        <w:rPr>
          <w:rFonts w:eastAsia="標楷體"/>
          <w:sz w:val="36"/>
          <w:szCs w:val="36"/>
        </w:rPr>
        <w:t>投資件數為</w:t>
      </w:r>
      <w:r w:rsidR="001339A5" w:rsidRPr="001339A5">
        <w:rPr>
          <w:rFonts w:eastAsia="標楷體" w:hint="eastAsia"/>
          <w:sz w:val="36"/>
          <w:szCs w:val="36"/>
        </w:rPr>
        <w:t>299</w:t>
      </w:r>
      <w:r w:rsidR="004C5877" w:rsidRPr="001339A5">
        <w:rPr>
          <w:rFonts w:eastAsia="標楷體"/>
          <w:sz w:val="36"/>
          <w:szCs w:val="36"/>
        </w:rPr>
        <w:t>件，較上年同期</w:t>
      </w:r>
      <w:r w:rsidR="008848B7" w:rsidRPr="001339A5">
        <w:rPr>
          <w:rFonts w:eastAsia="標楷體" w:hint="eastAsia"/>
          <w:sz w:val="36"/>
          <w:szCs w:val="36"/>
        </w:rPr>
        <w:t>減少</w:t>
      </w:r>
      <w:r w:rsidR="001339A5" w:rsidRPr="001339A5">
        <w:rPr>
          <w:rFonts w:eastAsia="標楷體" w:hint="eastAsia"/>
          <w:sz w:val="36"/>
          <w:szCs w:val="36"/>
        </w:rPr>
        <w:t>3.24</w:t>
      </w:r>
      <w:r w:rsidR="004C5877" w:rsidRPr="001339A5">
        <w:rPr>
          <w:rFonts w:eastAsia="標楷體"/>
          <w:sz w:val="36"/>
          <w:szCs w:val="36"/>
        </w:rPr>
        <w:t>％，投</w:t>
      </w:r>
      <w:r w:rsidR="004C5877" w:rsidRPr="001339A5">
        <w:rPr>
          <w:rFonts w:eastAsia="標楷體"/>
          <w:sz w:val="36"/>
          <w:szCs w:val="36"/>
        </w:rPr>
        <w:t>(</w:t>
      </w:r>
      <w:r w:rsidR="004C5877" w:rsidRPr="001339A5">
        <w:rPr>
          <w:rFonts w:eastAsia="標楷體"/>
          <w:sz w:val="36"/>
          <w:szCs w:val="36"/>
        </w:rPr>
        <w:t>增</w:t>
      </w:r>
      <w:r w:rsidR="004C5877" w:rsidRPr="001339A5">
        <w:rPr>
          <w:rFonts w:eastAsia="標楷體"/>
          <w:sz w:val="36"/>
          <w:szCs w:val="36"/>
        </w:rPr>
        <w:t>)</w:t>
      </w:r>
      <w:r w:rsidR="004C5877" w:rsidRPr="001339A5">
        <w:rPr>
          <w:rFonts w:eastAsia="標楷體"/>
          <w:sz w:val="36"/>
          <w:szCs w:val="36"/>
        </w:rPr>
        <w:t>資金額計美金</w:t>
      </w:r>
      <w:r w:rsidR="001339A5" w:rsidRPr="001339A5">
        <w:rPr>
          <w:rFonts w:eastAsia="標楷體" w:hint="eastAsia"/>
          <w:sz w:val="36"/>
          <w:szCs w:val="36"/>
        </w:rPr>
        <w:t>3</w:t>
      </w:r>
      <w:r w:rsidR="009844BD" w:rsidRPr="001339A5">
        <w:rPr>
          <w:rFonts w:eastAsia="標楷體" w:hint="eastAsia"/>
          <w:sz w:val="36"/>
          <w:szCs w:val="36"/>
        </w:rPr>
        <w:t>億</w:t>
      </w:r>
      <w:r w:rsidR="001339A5" w:rsidRPr="001339A5">
        <w:rPr>
          <w:rFonts w:eastAsia="標楷體" w:hint="eastAsia"/>
          <w:sz w:val="36"/>
          <w:szCs w:val="36"/>
        </w:rPr>
        <w:t>5,559</w:t>
      </w:r>
      <w:r w:rsidR="004C5877" w:rsidRPr="001339A5">
        <w:rPr>
          <w:rFonts w:eastAsia="標楷體"/>
          <w:sz w:val="36"/>
          <w:szCs w:val="36"/>
        </w:rPr>
        <w:t>萬</w:t>
      </w:r>
      <w:r w:rsidR="0063589D">
        <w:rPr>
          <w:rFonts w:eastAsia="標楷體" w:hint="eastAsia"/>
          <w:sz w:val="36"/>
          <w:szCs w:val="36"/>
        </w:rPr>
        <w:t>5,000</w:t>
      </w:r>
      <w:r w:rsidR="004C5877" w:rsidRPr="001339A5">
        <w:rPr>
          <w:rFonts w:eastAsia="標楷體"/>
          <w:sz w:val="36"/>
          <w:szCs w:val="36"/>
        </w:rPr>
        <w:t>元</w:t>
      </w:r>
      <w:r w:rsidR="00EF7A3C" w:rsidRPr="001339A5">
        <w:rPr>
          <w:rFonts w:eastAsia="標楷體" w:hint="eastAsia"/>
          <w:sz w:val="36"/>
          <w:szCs w:val="36"/>
        </w:rPr>
        <w:t>(</w:t>
      </w:r>
      <w:r w:rsidR="00EF7A3C" w:rsidRPr="001339A5">
        <w:rPr>
          <w:rFonts w:eastAsia="標楷體" w:hint="eastAsia"/>
          <w:sz w:val="36"/>
          <w:szCs w:val="36"/>
        </w:rPr>
        <w:t>折合新臺幣</w:t>
      </w:r>
      <w:r w:rsidR="001339A5" w:rsidRPr="001339A5">
        <w:rPr>
          <w:rFonts w:eastAsia="標楷體" w:hint="eastAsia"/>
          <w:sz w:val="36"/>
          <w:szCs w:val="36"/>
        </w:rPr>
        <w:t>106</w:t>
      </w:r>
      <w:r w:rsidR="00EF7A3C" w:rsidRPr="001339A5">
        <w:rPr>
          <w:rFonts w:eastAsia="標楷體" w:hint="eastAsia"/>
          <w:sz w:val="36"/>
          <w:szCs w:val="36"/>
        </w:rPr>
        <w:t>億</w:t>
      </w:r>
      <w:r w:rsidR="001339A5" w:rsidRPr="001339A5">
        <w:rPr>
          <w:rFonts w:eastAsia="標楷體" w:hint="eastAsia"/>
          <w:sz w:val="36"/>
          <w:szCs w:val="36"/>
        </w:rPr>
        <w:t>6,785</w:t>
      </w:r>
      <w:r w:rsidR="00EF7A3C" w:rsidRPr="001339A5">
        <w:rPr>
          <w:rFonts w:eastAsia="標楷體" w:hint="eastAsia"/>
          <w:sz w:val="36"/>
          <w:szCs w:val="36"/>
        </w:rPr>
        <w:t>萬元</w:t>
      </w:r>
      <w:r w:rsidR="00EF7A3C" w:rsidRPr="001339A5">
        <w:rPr>
          <w:rFonts w:eastAsia="標楷體" w:hint="eastAsia"/>
          <w:sz w:val="36"/>
          <w:szCs w:val="36"/>
        </w:rPr>
        <w:t>)</w:t>
      </w:r>
      <w:r w:rsidR="004C5877" w:rsidRPr="001339A5">
        <w:rPr>
          <w:rFonts w:eastAsia="標楷體"/>
          <w:sz w:val="36"/>
          <w:szCs w:val="36"/>
        </w:rPr>
        <w:t>，較上年同期</w:t>
      </w:r>
      <w:r w:rsidR="000C3A7F" w:rsidRPr="001339A5">
        <w:rPr>
          <w:rFonts w:eastAsia="標楷體" w:hint="eastAsia"/>
          <w:sz w:val="36"/>
          <w:szCs w:val="36"/>
        </w:rPr>
        <w:t>增加</w:t>
      </w:r>
      <w:r w:rsidR="001339A5" w:rsidRPr="001339A5">
        <w:rPr>
          <w:rFonts w:eastAsia="標楷體" w:hint="eastAsia"/>
          <w:sz w:val="36"/>
          <w:szCs w:val="36"/>
        </w:rPr>
        <w:t>84.99</w:t>
      </w:r>
      <w:r w:rsidR="00121887" w:rsidRPr="001339A5">
        <w:rPr>
          <w:rFonts w:eastAsia="標楷體"/>
          <w:sz w:val="36"/>
          <w:szCs w:val="36"/>
        </w:rPr>
        <w:t>％</w:t>
      </w:r>
      <w:r w:rsidR="00005B4B" w:rsidRPr="001339A5">
        <w:rPr>
          <w:rFonts w:eastAsia="標楷體" w:hint="eastAsia"/>
          <w:sz w:val="36"/>
          <w:szCs w:val="36"/>
        </w:rPr>
        <w:t>，</w:t>
      </w:r>
      <w:r w:rsidR="005B4EB7" w:rsidRPr="001339A5">
        <w:rPr>
          <w:rFonts w:eastAsia="標楷體" w:hint="eastAsia"/>
          <w:sz w:val="36"/>
          <w:szCs w:val="36"/>
        </w:rPr>
        <w:t>其中投資金額較大者為</w:t>
      </w:r>
      <w:r w:rsidR="0088203F" w:rsidRPr="001339A5">
        <w:rPr>
          <w:rFonts w:eastAsia="標楷體" w:hint="eastAsia"/>
          <w:sz w:val="36"/>
          <w:szCs w:val="36"/>
        </w:rPr>
        <w:t>泰國</w:t>
      </w:r>
      <w:r w:rsidR="005B4EB7" w:rsidRPr="001339A5">
        <w:rPr>
          <w:rFonts w:eastAsia="標楷體" w:hint="eastAsia"/>
          <w:sz w:val="36"/>
          <w:szCs w:val="36"/>
        </w:rPr>
        <w:t>、</w:t>
      </w:r>
      <w:r w:rsidR="0088203F" w:rsidRPr="001339A5">
        <w:rPr>
          <w:rFonts w:eastAsia="標楷體" w:hint="eastAsia"/>
          <w:sz w:val="36"/>
          <w:szCs w:val="36"/>
        </w:rPr>
        <w:t>新加坡</w:t>
      </w:r>
      <w:r w:rsidR="005B4EB7" w:rsidRPr="001339A5">
        <w:rPr>
          <w:rFonts w:eastAsia="標楷體" w:hint="eastAsia"/>
          <w:sz w:val="36"/>
          <w:szCs w:val="36"/>
        </w:rPr>
        <w:t>及</w:t>
      </w:r>
      <w:r w:rsidR="00AD113D" w:rsidRPr="001339A5">
        <w:rPr>
          <w:rFonts w:eastAsia="標楷體" w:hint="eastAsia"/>
          <w:sz w:val="36"/>
          <w:szCs w:val="36"/>
        </w:rPr>
        <w:t>澳大利亞</w:t>
      </w:r>
      <w:r w:rsidR="005B4EB7" w:rsidRPr="001339A5">
        <w:rPr>
          <w:rFonts w:eastAsia="標楷體" w:hint="eastAsia"/>
          <w:sz w:val="36"/>
          <w:szCs w:val="36"/>
        </w:rPr>
        <w:t>。</w:t>
      </w:r>
      <w:r w:rsidR="005B4EB7" w:rsidRPr="00E255A1">
        <w:rPr>
          <w:rFonts w:eastAsia="標楷體" w:hint="eastAsia"/>
          <w:sz w:val="36"/>
          <w:szCs w:val="36"/>
        </w:rPr>
        <w:t xml:space="preserve"> </w:t>
      </w:r>
    </w:p>
    <w:p w:rsidR="00E15544" w:rsidRPr="00E255A1" w:rsidRDefault="004C5877" w:rsidP="00FC78D6">
      <w:pPr>
        <w:ind w:firstLine="811"/>
        <w:jc w:val="both"/>
        <w:rPr>
          <w:rFonts w:eastAsia="標楷體"/>
          <w:sz w:val="36"/>
          <w:szCs w:val="36"/>
        </w:rPr>
      </w:pPr>
      <w:r w:rsidRPr="00E255A1">
        <w:rPr>
          <w:rFonts w:eastAsia="標楷體"/>
          <w:sz w:val="36"/>
          <w:szCs w:val="36"/>
        </w:rPr>
        <w:t>陸資來</w:t>
      </w:r>
      <w:proofErr w:type="gramStart"/>
      <w:r w:rsidRPr="00E255A1">
        <w:rPr>
          <w:rFonts w:eastAsia="標楷體"/>
          <w:sz w:val="36"/>
          <w:szCs w:val="36"/>
        </w:rPr>
        <w:t>臺</w:t>
      </w:r>
      <w:proofErr w:type="gramEnd"/>
      <w:r w:rsidRPr="00E255A1">
        <w:rPr>
          <w:rFonts w:eastAsia="標楷體"/>
          <w:sz w:val="36"/>
          <w:szCs w:val="36"/>
        </w:rPr>
        <w:t>投資方面，</w:t>
      </w:r>
      <w:r w:rsidR="00BA7984" w:rsidRPr="00E255A1">
        <w:rPr>
          <w:rFonts w:eastAsia="標楷體" w:hint="eastAsia"/>
          <w:sz w:val="36"/>
          <w:szCs w:val="36"/>
        </w:rPr>
        <w:t>110</w:t>
      </w:r>
      <w:r w:rsidR="00AE1C07" w:rsidRPr="00E255A1">
        <w:rPr>
          <w:rFonts w:eastAsia="標楷體"/>
          <w:sz w:val="36"/>
          <w:szCs w:val="36"/>
        </w:rPr>
        <w:t>年</w:t>
      </w:r>
      <w:r w:rsidR="008A6B1E">
        <w:rPr>
          <w:rFonts w:eastAsia="標楷體" w:hint="eastAsia"/>
          <w:sz w:val="36"/>
          <w:szCs w:val="36"/>
        </w:rPr>
        <w:t>1-7</w:t>
      </w:r>
      <w:r w:rsidR="00843E93" w:rsidRPr="00E255A1">
        <w:rPr>
          <w:rFonts w:eastAsia="標楷體"/>
          <w:sz w:val="36"/>
          <w:szCs w:val="36"/>
        </w:rPr>
        <w:t>月</w:t>
      </w:r>
      <w:r w:rsidRPr="00E255A1">
        <w:rPr>
          <w:rFonts w:eastAsia="標楷體"/>
          <w:sz w:val="36"/>
          <w:szCs w:val="36"/>
        </w:rPr>
        <w:t>核准陸資來</w:t>
      </w:r>
      <w:proofErr w:type="gramStart"/>
      <w:r w:rsidRPr="00E255A1">
        <w:rPr>
          <w:rFonts w:eastAsia="標楷體"/>
          <w:sz w:val="36"/>
          <w:szCs w:val="36"/>
        </w:rPr>
        <w:t>臺</w:t>
      </w:r>
      <w:proofErr w:type="gramEnd"/>
      <w:r w:rsidRPr="00E255A1">
        <w:rPr>
          <w:rFonts w:eastAsia="標楷體"/>
          <w:sz w:val="36"/>
          <w:szCs w:val="36"/>
        </w:rPr>
        <w:t>投資件數為</w:t>
      </w:r>
      <w:r w:rsidR="008A6B1E">
        <w:rPr>
          <w:rFonts w:eastAsia="標楷體" w:hint="eastAsia"/>
          <w:sz w:val="36"/>
          <w:szCs w:val="36"/>
        </w:rPr>
        <w:t>23</w:t>
      </w:r>
      <w:r w:rsidRPr="00E255A1">
        <w:rPr>
          <w:rFonts w:eastAsia="標楷體"/>
          <w:sz w:val="36"/>
          <w:szCs w:val="36"/>
        </w:rPr>
        <w:t>件，較上年同期</w:t>
      </w:r>
      <w:r w:rsidR="009B361D" w:rsidRPr="00E255A1">
        <w:rPr>
          <w:rFonts w:eastAsia="標楷體" w:hint="eastAsia"/>
          <w:sz w:val="36"/>
          <w:szCs w:val="36"/>
        </w:rPr>
        <w:t>減</w:t>
      </w:r>
      <w:r w:rsidR="008A6B1E">
        <w:rPr>
          <w:rFonts w:eastAsia="標楷體" w:hint="eastAsia"/>
          <w:sz w:val="36"/>
          <w:szCs w:val="36"/>
        </w:rPr>
        <w:t>64.62</w:t>
      </w:r>
      <w:r w:rsidRPr="00E255A1">
        <w:rPr>
          <w:rFonts w:eastAsia="標楷體"/>
          <w:sz w:val="36"/>
          <w:szCs w:val="36"/>
        </w:rPr>
        <w:t>％；投</w:t>
      </w:r>
      <w:r w:rsidRPr="00E255A1">
        <w:rPr>
          <w:rFonts w:eastAsia="標楷體"/>
          <w:sz w:val="36"/>
          <w:szCs w:val="36"/>
        </w:rPr>
        <w:t>(</w:t>
      </w:r>
      <w:r w:rsidRPr="00E255A1">
        <w:rPr>
          <w:rFonts w:eastAsia="標楷體"/>
          <w:sz w:val="36"/>
          <w:szCs w:val="36"/>
        </w:rPr>
        <w:t>增</w:t>
      </w:r>
      <w:r w:rsidRPr="00E255A1">
        <w:rPr>
          <w:rFonts w:eastAsia="標楷體"/>
          <w:sz w:val="36"/>
          <w:szCs w:val="36"/>
        </w:rPr>
        <w:t>)</w:t>
      </w:r>
      <w:r w:rsidRPr="00E255A1">
        <w:rPr>
          <w:rFonts w:eastAsia="標楷體"/>
          <w:sz w:val="36"/>
          <w:szCs w:val="36"/>
        </w:rPr>
        <w:t>資金額計美金</w:t>
      </w:r>
      <w:r w:rsidR="008A6B1E">
        <w:rPr>
          <w:rFonts w:eastAsia="標楷體" w:hint="eastAsia"/>
          <w:sz w:val="36"/>
          <w:szCs w:val="36"/>
        </w:rPr>
        <w:t>2,788</w:t>
      </w:r>
      <w:r w:rsidRPr="00E255A1">
        <w:rPr>
          <w:rFonts w:eastAsia="標楷體"/>
          <w:sz w:val="36"/>
          <w:szCs w:val="36"/>
        </w:rPr>
        <w:t>萬</w:t>
      </w:r>
      <w:r w:rsidRPr="00B522D2">
        <w:rPr>
          <w:rFonts w:eastAsia="標楷體"/>
          <w:sz w:val="36"/>
          <w:szCs w:val="36"/>
        </w:rPr>
        <w:t>元</w:t>
      </w:r>
      <w:r w:rsidR="009743A1" w:rsidRPr="00B522D2">
        <w:rPr>
          <w:rFonts w:eastAsia="標楷體" w:hint="eastAsia"/>
          <w:sz w:val="36"/>
          <w:szCs w:val="36"/>
        </w:rPr>
        <w:t>(</w:t>
      </w:r>
      <w:r w:rsidR="009B69D7" w:rsidRPr="00B522D2">
        <w:rPr>
          <w:rFonts w:eastAsia="標楷體" w:hint="eastAsia"/>
          <w:sz w:val="36"/>
          <w:szCs w:val="36"/>
        </w:rPr>
        <w:t>折合新臺幣</w:t>
      </w:r>
      <w:r w:rsidR="00B522D2" w:rsidRPr="00B522D2">
        <w:rPr>
          <w:rFonts w:eastAsia="標楷體" w:hint="eastAsia"/>
          <w:sz w:val="36"/>
          <w:szCs w:val="36"/>
        </w:rPr>
        <w:t>8</w:t>
      </w:r>
      <w:r w:rsidR="005C099F" w:rsidRPr="00B522D2">
        <w:rPr>
          <w:rFonts w:eastAsia="標楷體" w:hint="eastAsia"/>
          <w:sz w:val="36"/>
          <w:szCs w:val="36"/>
        </w:rPr>
        <w:t>億</w:t>
      </w:r>
      <w:r w:rsidR="00B522D2" w:rsidRPr="00B522D2">
        <w:rPr>
          <w:rFonts w:eastAsia="標楷體" w:hint="eastAsia"/>
          <w:sz w:val="36"/>
          <w:szCs w:val="36"/>
        </w:rPr>
        <w:t>3,640</w:t>
      </w:r>
      <w:r w:rsidR="00355505" w:rsidRPr="00B522D2">
        <w:rPr>
          <w:rFonts w:eastAsia="標楷體" w:hint="eastAsia"/>
          <w:sz w:val="36"/>
          <w:szCs w:val="36"/>
        </w:rPr>
        <w:t>萬</w:t>
      </w:r>
      <w:r w:rsidR="009743A1" w:rsidRPr="00B522D2">
        <w:rPr>
          <w:rFonts w:eastAsia="標楷體" w:hint="eastAsia"/>
          <w:sz w:val="36"/>
          <w:szCs w:val="36"/>
        </w:rPr>
        <w:t>元</w:t>
      </w:r>
      <w:r w:rsidR="009743A1" w:rsidRPr="00E255A1">
        <w:rPr>
          <w:rFonts w:eastAsia="標楷體" w:hint="eastAsia"/>
          <w:sz w:val="36"/>
          <w:szCs w:val="36"/>
        </w:rPr>
        <w:t>)</w:t>
      </w:r>
      <w:r w:rsidRPr="00E255A1">
        <w:rPr>
          <w:rFonts w:eastAsia="標楷體"/>
          <w:sz w:val="36"/>
          <w:szCs w:val="36"/>
        </w:rPr>
        <w:t>，較上年同期</w:t>
      </w:r>
      <w:r w:rsidR="00BA7984" w:rsidRPr="00E255A1">
        <w:rPr>
          <w:rFonts w:eastAsia="標楷體" w:hint="eastAsia"/>
          <w:sz w:val="36"/>
          <w:szCs w:val="36"/>
        </w:rPr>
        <w:t>減少</w:t>
      </w:r>
      <w:r w:rsidR="008A6B1E">
        <w:rPr>
          <w:rFonts w:eastAsia="標楷體" w:hint="eastAsia"/>
          <w:sz w:val="36"/>
          <w:szCs w:val="36"/>
        </w:rPr>
        <w:t>52.06</w:t>
      </w:r>
      <w:r w:rsidR="000B7C10" w:rsidRPr="00E255A1">
        <w:rPr>
          <w:rFonts w:eastAsia="標楷體"/>
          <w:sz w:val="36"/>
          <w:szCs w:val="36"/>
        </w:rPr>
        <w:t>％</w:t>
      </w:r>
      <w:r w:rsidR="00C97763" w:rsidRPr="00E255A1">
        <w:rPr>
          <w:rFonts w:eastAsia="標楷體" w:hint="eastAsia"/>
          <w:sz w:val="36"/>
          <w:szCs w:val="36"/>
        </w:rPr>
        <w:t>。投資金額較上年同期減少</w:t>
      </w:r>
      <w:r w:rsidR="00D3322A" w:rsidRPr="00D3322A">
        <w:rPr>
          <w:rFonts w:eastAsia="標楷體" w:hint="eastAsia"/>
          <w:sz w:val="36"/>
          <w:szCs w:val="36"/>
        </w:rPr>
        <w:t>主要原因為國際情勢變化，美中貿易戰持續升溫、兩岸情勢變動、本部修正大陸地區人民來</w:t>
      </w:r>
      <w:proofErr w:type="gramStart"/>
      <w:r w:rsidR="00D3322A" w:rsidRPr="00D3322A">
        <w:rPr>
          <w:rFonts w:eastAsia="標楷體" w:hint="eastAsia"/>
          <w:sz w:val="36"/>
          <w:szCs w:val="36"/>
        </w:rPr>
        <w:t>臺</w:t>
      </w:r>
      <w:proofErr w:type="gramEnd"/>
      <w:r w:rsidR="00D3322A" w:rsidRPr="00D3322A">
        <w:rPr>
          <w:rFonts w:eastAsia="標楷體" w:hint="eastAsia"/>
          <w:sz w:val="36"/>
          <w:szCs w:val="36"/>
        </w:rPr>
        <w:t>投資</w:t>
      </w:r>
      <w:r w:rsidR="00D3322A" w:rsidRPr="00D3322A">
        <w:rPr>
          <w:rFonts w:eastAsia="標楷體" w:hint="eastAsia"/>
          <w:sz w:val="36"/>
          <w:szCs w:val="36"/>
        </w:rPr>
        <w:lastRenderedPageBreak/>
        <w:t>許可辦法等措施所致。</w:t>
      </w:r>
      <w:r w:rsidR="009B393E" w:rsidRPr="009B393E">
        <w:rPr>
          <w:rFonts w:eastAsia="標楷體"/>
          <w:sz w:val="36"/>
          <w:szCs w:val="36"/>
        </w:rPr>
        <w:t>自</w:t>
      </w:r>
      <w:r w:rsidR="009B393E" w:rsidRPr="009B393E">
        <w:rPr>
          <w:rFonts w:eastAsia="標楷體"/>
          <w:sz w:val="36"/>
          <w:szCs w:val="36"/>
        </w:rPr>
        <w:t>98</w:t>
      </w:r>
      <w:r w:rsidR="009B393E" w:rsidRPr="009B393E">
        <w:rPr>
          <w:rFonts w:eastAsia="標楷體"/>
          <w:sz w:val="36"/>
          <w:szCs w:val="36"/>
        </w:rPr>
        <w:t>年</w:t>
      </w:r>
      <w:r w:rsidR="009B393E" w:rsidRPr="009B393E">
        <w:rPr>
          <w:rFonts w:eastAsia="標楷體"/>
          <w:sz w:val="36"/>
          <w:szCs w:val="36"/>
        </w:rPr>
        <w:t>6</w:t>
      </w:r>
      <w:r w:rsidR="009B393E" w:rsidRPr="009B393E">
        <w:rPr>
          <w:rFonts w:eastAsia="標楷體"/>
          <w:sz w:val="36"/>
          <w:szCs w:val="36"/>
        </w:rPr>
        <w:t>月</w:t>
      </w:r>
      <w:r w:rsidR="009B393E" w:rsidRPr="009B393E">
        <w:rPr>
          <w:rFonts w:eastAsia="標楷體"/>
          <w:sz w:val="36"/>
          <w:szCs w:val="36"/>
        </w:rPr>
        <w:t>30</w:t>
      </w:r>
      <w:r w:rsidR="009B393E" w:rsidRPr="009B393E">
        <w:rPr>
          <w:rFonts w:eastAsia="標楷體"/>
          <w:sz w:val="36"/>
          <w:szCs w:val="36"/>
        </w:rPr>
        <w:t>日開放陸資來</w:t>
      </w:r>
      <w:proofErr w:type="gramStart"/>
      <w:r w:rsidR="009B393E" w:rsidRPr="009B393E">
        <w:rPr>
          <w:rFonts w:eastAsia="標楷體"/>
          <w:sz w:val="36"/>
          <w:szCs w:val="36"/>
        </w:rPr>
        <w:t>臺</w:t>
      </w:r>
      <w:proofErr w:type="gramEnd"/>
      <w:r w:rsidR="009B393E" w:rsidRPr="009B393E">
        <w:rPr>
          <w:rFonts w:eastAsia="標楷體"/>
          <w:sz w:val="36"/>
          <w:szCs w:val="36"/>
        </w:rPr>
        <w:t>投資以來，累計核准陸資來</w:t>
      </w:r>
      <w:proofErr w:type="gramStart"/>
      <w:r w:rsidR="009B393E" w:rsidRPr="009B393E">
        <w:rPr>
          <w:rFonts w:eastAsia="標楷體"/>
          <w:sz w:val="36"/>
          <w:szCs w:val="36"/>
        </w:rPr>
        <w:t>臺</w:t>
      </w:r>
      <w:proofErr w:type="gramEnd"/>
      <w:r w:rsidR="009B393E" w:rsidRPr="009B393E">
        <w:rPr>
          <w:rFonts w:eastAsia="標楷體"/>
          <w:sz w:val="36"/>
          <w:szCs w:val="36"/>
        </w:rPr>
        <w:t>投資件數為</w:t>
      </w:r>
      <w:r w:rsidR="009B393E" w:rsidRPr="009B393E">
        <w:rPr>
          <w:rFonts w:eastAsia="標楷體" w:hint="eastAsia"/>
          <w:sz w:val="36"/>
          <w:szCs w:val="36"/>
        </w:rPr>
        <w:t>1,484</w:t>
      </w:r>
      <w:r w:rsidR="009B393E" w:rsidRPr="009B393E">
        <w:rPr>
          <w:rFonts w:eastAsia="標楷體"/>
          <w:sz w:val="36"/>
          <w:szCs w:val="36"/>
        </w:rPr>
        <w:t>件，核准投</w:t>
      </w:r>
      <w:r w:rsidR="009B393E" w:rsidRPr="009B393E">
        <w:rPr>
          <w:rFonts w:eastAsia="標楷體"/>
          <w:sz w:val="36"/>
          <w:szCs w:val="36"/>
        </w:rPr>
        <w:t>(</w:t>
      </w:r>
      <w:r w:rsidR="009B393E" w:rsidRPr="009B393E">
        <w:rPr>
          <w:rFonts w:eastAsia="標楷體"/>
          <w:sz w:val="36"/>
          <w:szCs w:val="36"/>
        </w:rPr>
        <w:t>增</w:t>
      </w:r>
      <w:r w:rsidR="009B393E" w:rsidRPr="009B393E">
        <w:rPr>
          <w:rFonts w:eastAsia="標楷體"/>
          <w:sz w:val="36"/>
          <w:szCs w:val="36"/>
        </w:rPr>
        <w:t>)</w:t>
      </w:r>
      <w:r w:rsidR="009B393E" w:rsidRPr="009B393E">
        <w:rPr>
          <w:rFonts w:eastAsia="標楷體"/>
          <w:sz w:val="36"/>
          <w:szCs w:val="36"/>
        </w:rPr>
        <w:t>資金額計美金</w:t>
      </w:r>
      <w:r w:rsidR="009B393E" w:rsidRPr="009B393E">
        <w:rPr>
          <w:rFonts w:eastAsia="標楷體"/>
          <w:sz w:val="36"/>
          <w:szCs w:val="36"/>
        </w:rPr>
        <w:t>2</w:t>
      </w:r>
      <w:r w:rsidR="009B393E" w:rsidRPr="009B393E">
        <w:rPr>
          <w:rFonts w:eastAsia="標楷體" w:hint="eastAsia"/>
          <w:sz w:val="36"/>
          <w:szCs w:val="36"/>
        </w:rPr>
        <w:t>4</w:t>
      </w:r>
      <w:r w:rsidR="009B393E" w:rsidRPr="009B393E">
        <w:rPr>
          <w:rFonts w:eastAsia="標楷體"/>
          <w:sz w:val="36"/>
          <w:szCs w:val="36"/>
        </w:rPr>
        <w:t>億</w:t>
      </w:r>
      <w:r w:rsidR="009B393E" w:rsidRPr="009B393E">
        <w:rPr>
          <w:rFonts w:eastAsia="標楷體" w:hint="eastAsia"/>
          <w:sz w:val="36"/>
          <w:szCs w:val="36"/>
        </w:rPr>
        <w:t>3,916</w:t>
      </w:r>
      <w:r w:rsidR="009B393E" w:rsidRPr="009B393E">
        <w:rPr>
          <w:rFonts w:eastAsia="標楷體"/>
          <w:sz w:val="36"/>
          <w:szCs w:val="36"/>
        </w:rPr>
        <w:t>萬</w:t>
      </w:r>
      <w:r w:rsidR="009B393E" w:rsidRPr="009B393E">
        <w:rPr>
          <w:rFonts w:eastAsia="標楷體" w:hint="eastAsia"/>
          <w:sz w:val="36"/>
          <w:szCs w:val="36"/>
        </w:rPr>
        <w:t>2,000</w:t>
      </w:r>
      <w:r w:rsidR="009B393E" w:rsidRPr="009B393E">
        <w:rPr>
          <w:rFonts w:eastAsia="標楷體"/>
          <w:sz w:val="36"/>
          <w:szCs w:val="36"/>
        </w:rPr>
        <w:t>元</w:t>
      </w:r>
      <w:r w:rsidR="009B393E" w:rsidRPr="009B393E">
        <w:rPr>
          <w:rFonts w:eastAsia="標楷體" w:hint="eastAsia"/>
          <w:sz w:val="36"/>
          <w:szCs w:val="36"/>
        </w:rPr>
        <w:t>(</w:t>
      </w:r>
      <w:r w:rsidR="009B393E" w:rsidRPr="009B393E">
        <w:rPr>
          <w:rFonts w:eastAsia="標楷體" w:hint="eastAsia"/>
          <w:sz w:val="36"/>
          <w:szCs w:val="36"/>
        </w:rPr>
        <w:t>折合新臺幣</w:t>
      </w:r>
      <w:r w:rsidR="009B393E" w:rsidRPr="009B393E">
        <w:rPr>
          <w:rFonts w:eastAsia="標楷體" w:hint="eastAsia"/>
          <w:sz w:val="36"/>
          <w:szCs w:val="36"/>
        </w:rPr>
        <w:t>731</w:t>
      </w:r>
      <w:r w:rsidR="009B393E" w:rsidRPr="009B393E">
        <w:rPr>
          <w:rFonts w:eastAsia="標楷體" w:hint="eastAsia"/>
          <w:sz w:val="36"/>
          <w:szCs w:val="36"/>
        </w:rPr>
        <w:t>億</w:t>
      </w:r>
      <w:r w:rsidR="009B393E" w:rsidRPr="009B393E">
        <w:rPr>
          <w:rFonts w:eastAsia="標楷體" w:hint="eastAsia"/>
          <w:sz w:val="36"/>
          <w:szCs w:val="36"/>
        </w:rPr>
        <w:t>7,486</w:t>
      </w:r>
      <w:r w:rsidR="009B393E" w:rsidRPr="009B393E">
        <w:rPr>
          <w:rFonts w:eastAsia="標楷體" w:hint="eastAsia"/>
          <w:sz w:val="36"/>
          <w:szCs w:val="36"/>
        </w:rPr>
        <w:t>萬元</w:t>
      </w:r>
      <w:r w:rsidR="009B393E" w:rsidRPr="009B393E">
        <w:rPr>
          <w:rFonts w:eastAsia="標楷體" w:hint="eastAsia"/>
          <w:sz w:val="36"/>
          <w:szCs w:val="36"/>
        </w:rPr>
        <w:t>)</w:t>
      </w:r>
      <w:r w:rsidR="009B393E" w:rsidRPr="009B393E">
        <w:rPr>
          <w:rFonts w:eastAsia="標楷體"/>
          <w:sz w:val="36"/>
          <w:szCs w:val="36"/>
        </w:rPr>
        <w:t>。</w:t>
      </w:r>
    </w:p>
    <w:p w:rsidR="00870363" w:rsidRPr="00E255A1" w:rsidRDefault="004C5877" w:rsidP="00870363">
      <w:pPr>
        <w:ind w:firstLine="811"/>
        <w:jc w:val="both"/>
        <w:rPr>
          <w:rFonts w:eastAsia="標楷體"/>
          <w:sz w:val="36"/>
          <w:szCs w:val="36"/>
        </w:rPr>
      </w:pPr>
      <w:r w:rsidRPr="00E255A1">
        <w:rPr>
          <w:rFonts w:eastAsia="標楷體"/>
          <w:sz w:val="36"/>
          <w:szCs w:val="36"/>
        </w:rPr>
        <w:t>對外投資方面，</w:t>
      </w:r>
      <w:r w:rsidR="00BA7984" w:rsidRPr="00E255A1">
        <w:rPr>
          <w:rFonts w:eastAsia="標楷體" w:hint="eastAsia"/>
          <w:sz w:val="36"/>
          <w:szCs w:val="36"/>
        </w:rPr>
        <w:t>110</w:t>
      </w:r>
      <w:r w:rsidR="00AE1C07" w:rsidRPr="00E255A1">
        <w:rPr>
          <w:rFonts w:eastAsia="標楷體"/>
          <w:sz w:val="36"/>
          <w:szCs w:val="36"/>
        </w:rPr>
        <w:t>年</w:t>
      </w:r>
      <w:r w:rsidR="008A6B1E">
        <w:rPr>
          <w:rFonts w:eastAsia="標楷體" w:hint="eastAsia"/>
          <w:sz w:val="36"/>
          <w:szCs w:val="36"/>
        </w:rPr>
        <w:t>1-7</w:t>
      </w:r>
      <w:r w:rsidR="00843E93" w:rsidRPr="00E255A1">
        <w:rPr>
          <w:rFonts w:eastAsia="標楷體"/>
          <w:sz w:val="36"/>
          <w:szCs w:val="36"/>
        </w:rPr>
        <w:t>月</w:t>
      </w:r>
      <w:r w:rsidRPr="00E255A1">
        <w:rPr>
          <w:rFonts w:eastAsia="標楷體"/>
          <w:sz w:val="36"/>
          <w:szCs w:val="36"/>
        </w:rPr>
        <w:t>核准</w:t>
      </w:r>
      <w:r w:rsidRPr="00E255A1">
        <w:rPr>
          <w:rFonts w:eastAsia="標楷體"/>
          <w:sz w:val="36"/>
          <w:szCs w:val="36"/>
        </w:rPr>
        <w:t>(</w:t>
      </w:r>
      <w:r w:rsidRPr="00E255A1">
        <w:rPr>
          <w:rFonts w:eastAsia="標楷體"/>
          <w:sz w:val="36"/>
          <w:szCs w:val="36"/>
        </w:rPr>
        <w:t>備</w:t>
      </w:r>
      <w:r w:rsidRPr="00E255A1">
        <w:rPr>
          <w:rFonts w:eastAsia="標楷體"/>
          <w:sz w:val="36"/>
          <w:szCs w:val="36"/>
        </w:rPr>
        <w:t>)</w:t>
      </w:r>
      <w:r w:rsidRPr="00E255A1">
        <w:rPr>
          <w:rFonts w:eastAsia="標楷體"/>
          <w:sz w:val="36"/>
          <w:szCs w:val="36"/>
        </w:rPr>
        <w:t>對外投資件數為</w:t>
      </w:r>
      <w:r w:rsidR="008A6B1E">
        <w:rPr>
          <w:rFonts w:eastAsia="標楷體" w:hint="eastAsia"/>
          <w:sz w:val="36"/>
          <w:szCs w:val="36"/>
        </w:rPr>
        <w:t>226</w:t>
      </w:r>
      <w:r w:rsidRPr="00E255A1">
        <w:rPr>
          <w:rFonts w:eastAsia="標楷體"/>
          <w:sz w:val="36"/>
          <w:szCs w:val="36"/>
        </w:rPr>
        <w:t>件，較上年同期</w:t>
      </w:r>
      <w:r w:rsidR="00AF4F38" w:rsidRPr="00E255A1">
        <w:rPr>
          <w:rFonts w:eastAsia="標楷體" w:hint="eastAsia"/>
          <w:sz w:val="36"/>
          <w:szCs w:val="36"/>
        </w:rPr>
        <w:t>減少</w:t>
      </w:r>
      <w:r w:rsidR="008A6B1E">
        <w:rPr>
          <w:rFonts w:eastAsia="標楷體" w:hint="eastAsia"/>
          <w:sz w:val="36"/>
          <w:szCs w:val="36"/>
        </w:rPr>
        <w:t>29.15</w:t>
      </w:r>
      <w:r w:rsidRPr="00E255A1">
        <w:rPr>
          <w:rFonts w:eastAsia="標楷體"/>
          <w:sz w:val="36"/>
          <w:szCs w:val="36"/>
        </w:rPr>
        <w:t>％；投</w:t>
      </w:r>
      <w:r w:rsidRPr="00E255A1">
        <w:rPr>
          <w:rFonts w:eastAsia="標楷體"/>
          <w:sz w:val="36"/>
          <w:szCs w:val="36"/>
        </w:rPr>
        <w:t>(</w:t>
      </w:r>
      <w:r w:rsidRPr="00E255A1">
        <w:rPr>
          <w:rFonts w:eastAsia="標楷體"/>
          <w:sz w:val="36"/>
          <w:szCs w:val="36"/>
        </w:rPr>
        <w:t>增</w:t>
      </w:r>
      <w:r w:rsidRPr="00E255A1">
        <w:rPr>
          <w:rFonts w:eastAsia="標楷體"/>
          <w:sz w:val="36"/>
          <w:szCs w:val="36"/>
        </w:rPr>
        <w:t>)</w:t>
      </w:r>
      <w:r w:rsidRPr="00E255A1">
        <w:rPr>
          <w:rFonts w:eastAsia="標楷體"/>
          <w:sz w:val="36"/>
          <w:szCs w:val="36"/>
        </w:rPr>
        <w:t>資金額計美金</w:t>
      </w:r>
      <w:r w:rsidR="008A6B1E">
        <w:rPr>
          <w:rFonts w:eastAsia="標楷體" w:hint="eastAsia"/>
          <w:sz w:val="36"/>
          <w:szCs w:val="36"/>
        </w:rPr>
        <w:t>76</w:t>
      </w:r>
      <w:r w:rsidRPr="00E255A1">
        <w:rPr>
          <w:rFonts w:eastAsia="標楷體"/>
          <w:sz w:val="36"/>
          <w:szCs w:val="36"/>
        </w:rPr>
        <w:t>億</w:t>
      </w:r>
      <w:r w:rsidR="008A6B1E">
        <w:rPr>
          <w:rFonts w:eastAsia="標楷體" w:hint="eastAsia"/>
          <w:sz w:val="36"/>
          <w:szCs w:val="36"/>
        </w:rPr>
        <w:t>763</w:t>
      </w:r>
      <w:r w:rsidRPr="00E255A1">
        <w:rPr>
          <w:rFonts w:eastAsia="標楷體"/>
          <w:sz w:val="36"/>
          <w:szCs w:val="36"/>
        </w:rPr>
        <w:t>萬</w:t>
      </w:r>
      <w:r w:rsidR="008A6B1E">
        <w:rPr>
          <w:rFonts w:eastAsia="標楷體" w:hint="eastAsia"/>
          <w:sz w:val="36"/>
          <w:szCs w:val="36"/>
        </w:rPr>
        <w:t>6</w:t>
      </w:r>
      <w:r w:rsidRPr="00E255A1">
        <w:rPr>
          <w:rFonts w:eastAsia="標楷體"/>
          <w:sz w:val="36"/>
          <w:szCs w:val="36"/>
        </w:rPr>
        <w:t>,000</w:t>
      </w:r>
      <w:r w:rsidRPr="00E255A1">
        <w:rPr>
          <w:rFonts w:eastAsia="標楷體"/>
          <w:sz w:val="36"/>
          <w:szCs w:val="36"/>
        </w:rPr>
        <w:t>元</w:t>
      </w:r>
      <w:r w:rsidR="00A602A1" w:rsidRPr="00B522D2">
        <w:rPr>
          <w:rFonts w:eastAsia="標楷體" w:hint="eastAsia"/>
          <w:sz w:val="36"/>
          <w:szCs w:val="36"/>
        </w:rPr>
        <w:t>(</w:t>
      </w:r>
      <w:r w:rsidR="009B69D7" w:rsidRPr="00B522D2">
        <w:rPr>
          <w:rFonts w:eastAsia="標楷體" w:hint="eastAsia"/>
          <w:sz w:val="36"/>
          <w:szCs w:val="36"/>
        </w:rPr>
        <w:t>折合新臺幣</w:t>
      </w:r>
      <w:r w:rsidR="00B522D2" w:rsidRPr="00B522D2">
        <w:rPr>
          <w:rFonts w:eastAsia="標楷體" w:hint="eastAsia"/>
          <w:sz w:val="36"/>
          <w:szCs w:val="36"/>
        </w:rPr>
        <w:t>2,282</w:t>
      </w:r>
      <w:r w:rsidR="00A602A1" w:rsidRPr="00B522D2">
        <w:rPr>
          <w:rFonts w:eastAsia="標楷體" w:hint="eastAsia"/>
          <w:sz w:val="36"/>
          <w:szCs w:val="36"/>
        </w:rPr>
        <w:t>億</w:t>
      </w:r>
      <w:r w:rsidR="00B522D2" w:rsidRPr="00B522D2">
        <w:rPr>
          <w:rFonts w:eastAsia="標楷體" w:hint="eastAsia"/>
          <w:sz w:val="36"/>
          <w:szCs w:val="36"/>
        </w:rPr>
        <w:t>2,908</w:t>
      </w:r>
      <w:r w:rsidR="00A602A1" w:rsidRPr="00B522D2">
        <w:rPr>
          <w:rFonts w:eastAsia="標楷體" w:hint="eastAsia"/>
          <w:sz w:val="36"/>
          <w:szCs w:val="36"/>
        </w:rPr>
        <w:t>萬元</w:t>
      </w:r>
      <w:r w:rsidR="00A602A1" w:rsidRPr="00B522D2">
        <w:rPr>
          <w:rFonts w:eastAsia="標楷體" w:hint="eastAsia"/>
          <w:sz w:val="36"/>
          <w:szCs w:val="36"/>
        </w:rPr>
        <w:t>)</w:t>
      </w:r>
      <w:r w:rsidRPr="00B522D2">
        <w:rPr>
          <w:rFonts w:eastAsia="標楷體"/>
          <w:sz w:val="36"/>
          <w:szCs w:val="36"/>
        </w:rPr>
        <w:t>，較上年</w:t>
      </w:r>
      <w:r w:rsidRPr="00E255A1">
        <w:rPr>
          <w:rFonts w:eastAsia="標楷體"/>
          <w:sz w:val="36"/>
          <w:szCs w:val="36"/>
        </w:rPr>
        <w:t>同期</w:t>
      </w:r>
      <w:r w:rsidR="008A6B1E">
        <w:rPr>
          <w:rFonts w:eastAsia="標楷體" w:hint="eastAsia"/>
          <w:sz w:val="36"/>
          <w:szCs w:val="36"/>
        </w:rPr>
        <w:t>增加</w:t>
      </w:r>
      <w:r w:rsidR="008A6B1E">
        <w:rPr>
          <w:rFonts w:eastAsia="標楷體" w:hint="eastAsia"/>
          <w:sz w:val="36"/>
          <w:szCs w:val="36"/>
        </w:rPr>
        <w:t>33.4</w:t>
      </w:r>
      <w:r w:rsidRPr="00E255A1">
        <w:rPr>
          <w:rFonts w:eastAsia="標楷體"/>
          <w:sz w:val="36"/>
          <w:szCs w:val="36"/>
        </w:rPr>
        <w:t>％</w:t>
      </w:r>
      <w:r w:rsidR="00522F55" w:rsidRPr="00E255A1">
        <w:rPr>
          <w:rFonts w:eastAsia="標楷體" w:hint="eastAsia"/>
          <w:sz w:val="36"/>
          <w:szCs w:val="36"/>
        </w:rPr>
        <w:t>，</w:t>
      </w:r>
      <w:r w:rsidR="00522F55" w:rsidRPr="00244E51">
        <w:rPr>
          <w:rFonts w:eastAsia="標楷體"/>
          <w:sz w:val="36"/>
          <w:szCs w:val="36"/>
        </w:rPr>
        <w:t>主要因</w:t>
      </w:r>
      <w:r w:rsidR="00364617" w:rsidRPr="00244E51">
        <w:rPr>
          <w:rFonts w:eastAsia="標楷體" w:hint="eastAsia"/>
          <w:sz w:val="36"/>
          <w:szCs w:val="36"/>
        </w:rPr>
        <w:t>110</w:t>
      </w:r>
      <w:r w:rsidR="00522F55" w:rsidRPr="00244E51">
        <w:rPr>
          <w:rFonts w:eastAsia="標楷體"/>
          <w:sz w:val="36"/>
          <w:szCs w:val="36"/>
        </w:rPr>
        <w:t>年</w:t>
      </w:r>
      <w:r w:rsidR="00522F55" w:rsidRPr="00244E51">
        <w:rPr>
          <w:rFonts w:eastAsia="標楷體"/>
          <w:sz w:val="36"/>
          <w:szCs w:val="36"/>
        </w:rPr>
        <w:t>1</w:t>
      </w:r>
      <w:r w:rsidR="00364617" w:rsidRPr="00244E51">
        <w:rPr>
          <w:rFonts w:eastAsia="標楷體" w:hint="eastAsia"/>
          <w:sz w:val="36"/>
          <w:szCs w:val="36"/>
        </w:rPr>
        <w:t>-7</w:t>
      </w:r>
      <w:r w:rsidR="00522F55" w:rsidRPr="00244E51">
        <w:rPr>
          <w:rFonts w:eastAsia="標楷體"/>
          <w:sz w:val="36"/>
          <w:szCs w:val="36"/>
        </w:rPr>
        <w:t>月</w:t>
      </w:r>
      <w:r w:rsidR="009E7A83" w:rsidRPr="00244E51">
        <w:rPr>
          <w:rFonts w:eastAsia="標楷體" w:hint="eastAsia"/>
          <w:sz w:val="36"/>
          <w:szCs w:val="36"/>
        </w:rPr>
        <w:t>核准</w:t>
      </w:r>
      <w:r w:rsidR="00364617" w:rsidRPr="00244E51">
        <w:rPr>
          <w:rFonts w:eastAsia="標楷體" w:hint="eastAsia"/>
          <w:sz w:val="36"/>
          <w:szCs w:val="36"/>
        </w:rPr>
        <w:t>環球晶圓股份有限公司以美金</w:t>
      </w:r>
      <w:r w:rsidR="00364617" w:rsidRPr="00244E51">
        <w:rPr>
          <w:rFonts w:eastAsia="標楷體"/>
          <w:sz w:val="36"/>
          <w:szCs w:val="36"/>
        </w:rPr>
        <w:t>2</w:t>
      </w:r>
      <w:r w:rsidR="00364617" w:rsidRPr="00244E51">
        <w:rPr>
          <w:rFonts w:eastAsia="標楷體" w:hint="eastAsia"/>
          <w:sz w:val="36"/>
          <w:szCs w:val="36"/>
        </w:rPr>
        <w:t>5</w:t>
      </w:r>
      <w:r w:rsidR="00364617" w:rsidRPr="00244E51">
        <w:rPr>
          <w:rFonts w:eastAsia="標楷體" w:hint="eastAsia"/>
          <w:sz w:val="36"/>
          <w:szCs w:val="36"/>
        </w:rPr>
        <w:t>億元</w:t>
      </w:r>
      <w:r w:rsidR="00364617" w:rsidRPr="00244E51">
        <w:rPr>
          <w:rFonts w:eastAsia="標楷體" w:hint="eastAsia"/>
          <w:sz w:val="36"/>
          <w:szCs w:val="36"/>
        </w:rPr>
        <w:t>(</w:t>
      </w:r>
      <w:r w:rsidR="00364617" w:rsidRPr="00244E51">
        <w:rPr>
          <w:rFonts w:eastAsia="標楷體" w:hint="eastAsia"/>
          <w:sz w:val="36"/>
          <w:szCs w:val="36"/>
        </w:rPr>
        <w:t>折合新臺幣</w:t>
      </w:r>
      <w:r w:rsidR="00364617" w:rsidRPr="00244E51">
        <w:rPr>
          <w:rFonts w:eastAsia="標楷體" w:hint="eastAsia"/>
          <w:sz w:val="36"/>
          <w:szCs w:val="36"/>
        </w:rPr>
        <w:t>750</w:t>
      </w:r>
      <w:r w:rsidR="00364617" w:rsidRPr="00244E51">
        <w:rPr>
          <w:rFonts w:eastAsia="標楷體" w:hint="eastAsia"/>
          <w:sz w:val="36"/>
          <w:szCs w:val="36"/>
        </w:rPr>
        <w:t>億元</w:t>
      </w:r>
      <w:r w:rsidR="00364617" w:rsidRPr="00244E51">
        <w:rPr>
          <w:rFonts w:eastAsia="標楷體" w:hint="eastAsia"/>
          <w:sz w:val="36"/>
          <w:szCs w:val="36"/>
        </w:rPr>
        <w:t>)</w:t>
      </w:r>
      <w:r w:rsidR="00364617" w:rsidRPr="00244E51">
        <w:rPr>
          <w:rFonts w:eastAsia="標楷體" w:hint="eastAsia"/>
          <w:sz w:val="36"/>
          <w:szCs w:val="36"/>
        </w:rPr>
        <w:t>增資新加坡</w:t>
      </w:r>
      <w:r w:rsidR="00364617" w:rsidRPr="00244E51">
        <w:rPr>
          <w:rFonts w:eastAsia="標楷體" w:hint="eastAsia"/>
          <w:sz w:val="36"/>
          <w:szCs w:val="36"/>
        </w:rPr>
        <w:t xml:space="preserve">GWAFERS SINGAPORE PTE. LTD. </w:t>
      </w:r>
      <w:r w:rsidR="004D6AB7">
        <w:rPr>
          <w:rFonts w:eastAsia="標楷體" w:hint="eastAsia"/>
          <w:sz w:val="36"/>
          <w:szCs w:val="36"/>
        </w:rPr>
        <w:t>暨間接投資</w:t>
      </w:r>
      <w:r w:rsidR="00364617" w:rsidRPr="00244E51">
        <w:rPr>
          <w:rFonts w:eastAsia="標楷體" w:hint="eastAsia"/>
          <w:sz w:val="36"/>
          <w:szCs w:val="36"/>
        </w:rPr>
        <w:t>德國</w:t>
      </w:r>
      <w:r w:rsidR="004D6AB7">
        <w:rPr>
          <w:rFonts w:eastAsia="標楷體" w:hint="eastAsia"/>
          <w:sz w:val="36"/>
          <w:szCs w:val="36"/>
        </w:rPr>
        <w:t>GLO</w:t>
      </w:r>
      <w:r w:rsidR="00364617" w:rsidRPr="00244E51">
        <w:rPr>
          <w:rFonts w:eastAsia="標楷體" w:hint="eastAsia"/>
          <w:sz w:val="36"/>
          <w:szCs w:val="36"/>
        </w:rPr>
        <w:t>BALWAFERS GMBH</w:t>
      </w:r>
      <w:r w:rsidR="00364617" w:rsidRPr="00244E51">
        <w:rPr>
          <w:rFonts w:eastAsia="標楷體" w:hint="eastAsia"/>
          <w:sz w:val="36"/>
          <w:szCs w:val="36"/>
        </w:rPr>
        <w:t>收購德國</w:t>
      </w:r>
      <w:r w:rsidR="00364617" w:rsidRPr="00244E51">
        <w:rPr>
          <w:rFonts w:eastAsia="標楷體" w:hint="eastAsia"/>
          <w:sz w:val="36"/>
          <w:szCs w:val="36"/>
        </w:rPr>
        <w:t>SILTRONIC AG</w:t>
      </w:r>
      <w:r w:rsidR="00364617" w:rsidRPr="00244E51">
        <w:rPr>
          <w:rFonts w:eastAsia="標楷體" w:hint="eastAsia"/>
          <w:sz w:val="36"/>
          <w:szCs w:val="36"/>
        </w:rPr>
        <w:t>（世創電子）</w:t>
      </w:r>
      <w:r w:rsidR="00244E51">
        <w:rPr>
          <w:rFonts w:eastAsia="標楷體" w:hint="eastAsia"/>
          <w:sz w:val="36"/>
          <w:szCs w:val="36"/>
        </w:rPr>
        <w:t>等大型投資案</w:t>
      </w:r>
      <w:r w:rsidR="00A02466">
        <w:rPr>
          <w:rFonts w:eastAsia="標楷體" w:hint="eastAsia"/>
          <w:sz w:val="36"/>
          <w:szCs w:val="36"/>
        </w:rPr>
        <w:t>所致</w:t>
      </w:r>
      <w:r w:rsidR="00522F55" w:rsidRPr="00244E51">
        <w:rPr>
          <w:rFonts w:eastAsia="標楷體"/>
          <w:sz w:val="36"/>
          <w:szCs w:val="36"/>
        </w:rPr>
        <w:t>。</w:t>
      </w:r>
      <w:r w:rsidRPr="001339A5">
        <w:rPr>
          <w:rFonts w:eastAsia="標楷體"/>
          <w:sz w:val="36"/>
          <w:szCs w:val="36"/>
        </w:rPr>
        <w:t>另</w:t>
      </w:r>
      <w:r w:rsidR="009773A5" w:rsidRPr="001339A5">
        <w:rPr>
          <w:rFonts w:eastAsia="標楷體" w:hint="eastAsia"/>
          <w:sz w:val="36"/>
          <w:szCs w:val="36"/>
        </w:rPr>
        <w:t>110</w:t>
      </w:r>
      <w:r w:rsidRPr="001339A5">
        <w:rPr>
          <w:rFonts w:eastAsia="標楷體"/>
          <w:sz w:val="36"/>
          <w:szCs w:val="36"/>
        </w:rPr>
        <w:t>年</w:t>
      </w:r>
      <w:r w:rsidR="001339A5" w:rsidRPr="001339A5">
        <w:rPr>
          <w:rFonts w:eastAsia="標楷體" w:hint="eastAsia"/>
          <w:sz w:val="36"/>
          <w:szCs w:val="36"/>
        </w:rPr>
        <w:t>1-7</w:t>
      </w:r>
      <w:r w:rsidR="00062A0A" w:rsidRPr="001339A5">
        <w:rPr>
          <w:rFonts w:eastAsia="標楷體" w:hint="eastAsia"/>
          <w:sz w:val="36"/>
          <w:szCs w:val="36"/>
        </w:rPr>
        <w:t>月</w:t>
      </w:r>
      <w:r w:rsidRPr="001339A5">
        <w:rPr>
          <w:rFonts w:eastAsia="標楷體"/>
          <w:sz w:val="36"/>
          <w:szCs w:val="36"/>
        </w:rPr>
        <w:t>核准（備）對新南向國家投資件數為</w:t>
      </w:r>
      <w:r w:rsidR="001339A5" w:rsidRPr="001339A5">
        <w:rPr>
          <w:rFonts w:eastAsia="標楷體" w:hint="eastAsia"/>
          <w:sz w:val="36"/>
          <w:szCs w:val="36"/>
        </w:rPr>
        <w:t>72</w:t>
      </w:r>
      <w:r w:rsidRPr="001339A5">
        <w:rPr>
          <w:rFonts w:eastAsia="標楷體"/>
          <w:sz w:val="36"/>
          <w:szCs w:val="36"/>
        </w:rPr>
        <w:t>件，較上年同期</w:t>
      </w:r>
      <w:r w:rsidR="00E83FA2" w:rsidRPr="001339A5">
        <w:rPr>
          <w:rFonts w:eastAsia="標楷體" w:hint="eastAsia"/>
          <w:sz w:val="36"/>
          <w:szCs w:val="36"/>
        </w:rPr>
        <w:t>減少</w:t>
      </w:r>
      <w:r w:rsidR="001339A5" w:rsidRPr="001339A5">
        <w:rPr>
          <w:rFonts w:eastAsia="標楷體" w:hint="eastAsia"/>
          <w:sz w:val="36"/>
          <w:szCs w:val="36"/>
        </w:rPr>
        <w:t>30</w:t>
      </w:r>
      <w:r w:rsidRPr="001339A5">
        <w:rPr>
          <w:rFonts w:eastAsia="標楷體"/>
          <w:sz w:val="36"/>
          <w:szCs w:val="36"/>
        </w:rPr>
        <w:t>％，投</w:t>
      </w:r>
      <w:r w:rsidRPr="001339A5">
        <w:rPr>
          <w:rFonts w:eastAsia="標楷體"/>
          <w:sz w:val="36"/>
          <w:szCs w:val="36"/>
        </w:rPr>
        <w:t>(</w:t>
      </w:r>
      <w:r w:rsidRPr="001339A5">
        <w:rPr>
          <w:rFonts w:eastAsia="標楷體"/>
          <w:sz w:val="36"/>
          <w:szCs w:val="36"/>
        </w:rPr>
        <w:t>增</w:t>
      </w:r>
      <w:r w:rsidRPr="001339A5">
        <w:rPr>
          <w:rFonts w:eastAsia="標楷體"/>
          <w:sz w:val="36"/>
          <w:szCs w:val="36"/>
        </w:rPr>
        <w:t>)</w:t>
      </w:r>
      <w:r w:rsidRPr="001339A5">
        <w:rPr>
          <w:rFonts w:eastAsia="標楷體"/>
          <w:sz w:val="36"/>
          <w:szCs w:val="36"/>
        </w:rPr>
        <w:t>資金額計美金</w:t>
      </w:r>
      <w:r w:rsidR="001339A5" w:rsidRPr="001339A5">
        <w:rPr>
          <w:rFonts w:eastAsia="標楷體" w:hint="eastAsia"/>
          <w:sz w:val="36"/>
          <w:szCs w:val="36"/>
        </w:rPr>
        <w:t>49</w:t>
      </w:r>
      <w:r w:rsidR="009F6728" w:rsidRPr="001339A5">
        <w:rPr>
          <w:rFonts w:eastAsia="標楷體" w:hint="eastAsia"/>
          <w:sz w:val="36"/>
          <w:szCs w:val="36"/>
        </w:rPr>
        <w:t>億</w:t>
      </w:r>
      <w:r w:rsidR="001339A5" w:rsidRPr="001339A5">
        <w:rPr>
          <w:rFonts w:eastAsia="標楷體" w:hint="eastAsia"/>
          <w:sz w:val="36"/>
          <w:szCs w:val="36"/>
        </w:rPr>
        <w:t>8,100</w:t>
      </w:r>
      <w:r w:rsidRPr="001339A5">
        <w:rPr>
          <w:rFonts w:eastAsia="標楷體"/>
          <w:sz w:val="36"/>
          <w:szCs w:val="36"/>
        </w:rPr>
        <w:t>萬</w:t>
      </w:r>
      <w:r w:rsidR="001339A5" w:rsidRPr="001339A5">
        <w:rPr>
          <w:rFonts w:eastAsia="標楷體" w:hint="eastAsia"/>
          <w:sz w:val="36"/>
          <w:szCs w:val="36"/>
        </w:rPr>
        <w:t>2</w:t>
      </w:r>
      <w:r w:rsidR="00235C12" w:rsidRPr="001339A5">
        <w:rPr>
          <w:rFonts w:eastAsia="標楷體" w:hint="eastAsia"/>
          <w:sz w:val="36"/>
          <w:szCs w:val="36"/>
        </w:rPr>
        <w:t>,000</w:t>
      </w:r>
      <w:r w:rsidRPr="001339A5">
        <w:rPr>
          <w:rFonts w:eastAsia="標楷體"/>
          <w:sz w:val="36"/>
          <w:szCs w:val="36"/>
        </w:rPr>
        <w:t>元</w:t>
      </w:r>
      <w:r w:rsidR="00A602A1" w:rsidRPr="001339A5">
        <w:rPr>
          <w:rFonts w:eastAsia="標楷體" w:hint="eastAsia"/>
          <w:sz w:val="36"/>
          <w:szCs w:val="36"/>
        </w:rPr>
        <w:t>(</w:t>
      </w:r>
      <w:r w:rsidR="009B69D7" w:rsidRPr="001339A5">
        <w:rPr>
          <w:rFonts w:eastAsia="標楷體" w:hint="eastAsia"/>
          <w:sz w:val="36"/>
          <w:szCs w:val="36"/>
        </w:rPr>
        <w:t>折合新臺幣</w:t>
      </w:r>
      <w:r w:rsidR="001339A5" w:rsidRPr="001339A5">
        <w:rPr>
          <w:rFonts w:eastAsia="標楷體" w:hint="eastAsia"/>
          <w:sz w:val="36"/>
          <w:szCs w:val="36"/>
        </w:rPr>
        <w:t>1,494</w:t>
      </w:r>
      <w:r w:rsidR="00A602A1" w:rsidRPr="001339A5">
        <w:rPr>
          <w:rFonts w:eastAsia="標楷體" w:hint="eastAsia"/>
          <w:sz w:val="36"/>
          <w:szCs w:val="36"/>
        </w:rPr>
        <w:t>億</w:t>
      </w:r>
      <w:r w:rsidR="001339A5" w:rsidRPr="001339A5">
        <w:rPr>
          <w:rFonts w:eastAsia="標楷體" w:hint="eastAsia"/>
          <w:sz w:val="36"/>
          <w:szCs w:val="36"/>
        </w:rPr>
        <w:t>3,006</w:t>
      </w:r>
      <w:r w:rsidR="00A602A1" w:rsidRPr="001339A5">
        <w:rPr>
          <w:rFonts w:eastAsia="標楷體" w:hint="eastAsia"/>
          <w:sz w:val="36"/>
          <w:szCs w:val="36"/>
        </w:rPr>
        <w:t>萬元</w:t>
      </w:r>
      <w:r w:rsidR="00A602A1" w:rsidRPr="001339A5">
        <w:rPr>
          <w:rFonts w:eastAsia="標楷體" w:hint="eastAsia"/>
          <w:sz w:val="36"/>
          <w:szCs w:val="36"/>
        </w:rPr>
        <w:t>)</w:t>
      </w:r>
      <w:r w:rsidRPr="001339A5">
        <w:rPr>
          <w:rFonts w:eastAsia="標楷體"/>
          <w:sz w:val="36"/>
          <w:szCs w:val="36"/>
        </w:rPr>
        <w:t>，較上年同期</w:t>
      </w:r>
      <w:r w:rsidR="00B03C9B" w:rsidRPr="001339A5">
        <w:rPr>
          <w:rFonts w:eastAsia="標楷體" w:hint="eastAsia"/>
          <w:sz w:val="36"/>
          <w:szCs w:val="36"/>
        </w:rPr>
        <w:t>增加</w:t>
      </w:r>
      <w:r w:rsidR="004D6AB7">
        <w:rPr>
          <w:rFonts w:eastAsia="標楷體" w:hint="eastAsia"/>
          <w:sz w:val="36"/>
          <w:szCs w:val="36"/>
        </w:rPr>
        <w:t>200.79</w:t>
      </w:r>
      <w:r w:rsidRPr="001339A5">
        <w:rPr>
          <w:rFonts w:eastAsia="標楷體"/>
          <w:sz w:val="36"/>
          <w:szCs w:val="36"/>
        </w:rPr>
        <w:t>％；其中</w:t>
      </w:r>
      <w:r w:rsidR="00145570" w:rsidRPr="001339A5">
        <w:rPr>
          <w:rFonts w:eastAsia="標楷體" w:hint="eastAsia"/>
          <w:sz w:val="36"/>
          <w:szCs w:val="36"/>
        </w:rPr>
        <w:t>投資金額較大者為</w:t>
      </w:r>
      <w:r w:rsidR="00B03C9B" w:rsidRPr="001339A5">
        <w:rPr>
          <w:rFonts w:eastAsia="標楷體" w:hint="eastAsia"/>
          <w:sz w:val="36"/>
          <w:szCs w:val="36"/>
        </w:rPr>
        <w:t>新加坡</w:t>
      </w:r>
      <w:r w:rsidR="00F96A76" w:rsidRPr="001339A5">
        <w:rPr>
          <w:rFonts w:eastAsia="標楷體" w:hint="eastAsia"/>
          <w:sz w:val="36"/>
          <w:szCs w:val="36"/>
        </w:rPr>
        <w:t>、</w:t>
      </w:r>
      <w:r w:rsidR="00B03C9B" w:rsidRPr="001339A5">
        <w:rPr>
          <w:rFonts w:eastAsia="標楷體" w:hint="eastAsia"/>
          <w:sz w:val="36"/>
          <w:szCs w:val="36"/>
        </w:rPr>
        <w:t>越南</w:t>
      </w:r>
      <w:r w:rsidR="009A353B" w:rsidRPr="001339A5">
        <w:rPr>
          <w:rFonts w:eastAsia="標楷體" w:hint="eastAsia"/>
          <w:sz w:val="36"/>
          <w:szCs w:val="36"/>
        </w:rPr>
        <w:t>、</w:t>
      </w:r>
      <w:r w:rsidR="00B03C9B" w:rsidRPr="001339A5">
        <w:rPr>
          <w:rFonts w:eastAsia="標楷體" w:hint="eastAsia"/>
          <w:sz w:val="36"/>
          <w:szCs w:val="36"/>
        </w:rPr>
        <w:t>印度</w:t>
      </w:r>
      <w:r w:rsidR="00184166" w:rsidRPr="001339A5">
        <w:rPr>
          <w:rFonts w:eastAsia="標楷體" w:hint="eastAsia"/>
          <w:sz w:val="36"/>
          <w:szCs w:val="36"/>
        </w:rPr>
        <w:t>。</w:t>
      </w:r>
    </w:p>
    <w:p w:rsidR="006143EB" w:rsidRPr="00E255A1" w:rsidRDefault="004C5877" w:rsidP="008E1301">
      <w:pPr>
        <w:ind w:firstLine="720"/>
        <w:jc w:val="both"/>
        <w:rPr>
          <w:rFonts w:eastAsia="標楷體"/>
          <w:sz w:val="36"/>
          <w:szCs w:val="36"/>
        </w:rPr>
      </w:pPr>
      <w:r w:rsidRPr="00E255A1">
        <w:rPr>
          <w:rFonts w:eastAsia="標楷體"/>
          <w:sz w:val="36"/>
          <w:szCs w:val="36"/>
        </w:rPr>
        <w:t>對中國大陸投資方面，</w:t>
      </w:r>
      <w:r w:rsidR="00AE1C07" w:rsidRPr="00E255A1">
        <w:rPr>
          <w:rFonts w:eastAsia="標楷體"/>
          <w:sz w:val="36"/>
          <w:szCs w:val="36"/>
        </w:rPr>
        <w:t>1</w:t>
      </w:r>
      <w:r w:rsidR="009773A5" w:rsidRPr="00E255A1">
        <w:rPr>
          <w:rFonts w:eastAsia="標楷體" w:hint="eastAsia"/>
          <w:sz w:val="36"/>
          <w:szCs w:val="36"/>
        </w:rPr>
        <w:t>10</w:t>
      </w:r>
      <w:r w:rsidR="00AE1C07" w:rsidRPr="00E255A1">
        <w:rPr>
          <w:rFonts w:eastAsia="標楷體"/>
          <w:sz w:val="36"/>
          <w:szCs w:val="36"/>
        </w:rPr>
        <w:t>年</w:t>
      </w:r>
      <w:r w:rsidR="008A6B1E">
        <w:rPr>
          <w:rFonts w:eastAsia="標楷體" w:hint="eastAsia"/>
          <w:sz w:val="36"/>
          <w:szCs w:val="36"/>
        </w:rPr>
        <w:t>1-7</w:t>
      </w:r>
      <w:r w:rsidR="009773A5" w:rsidRPr="00E255A1">
        <w:rPr>
          <w:rFonts w:eastAsia="標楷體" w:hint="eastAsia"/>
          <w:sz w:val="36"/>
          <w:szCs w:val="36"/>
        </w:rPr>
        <w:t>月</w:t>
      </w:r>
      <w:r w:rsidRPr="00E255A1">
        <w:rPr>
          <w:rFonts w:eastAsia="標楷體"/>
          <w:sz w:val="36"/>
          <w:szCs w:val="36"/>
        </w:rPr>
        <w:t>核准對中國大陸投資件數為</w:t>
      </w:r>
      <w:r w:rsidR="008A6B1E">
        <w:rPr>
          <w:rFonts w:eastAsia="標楷體" w:hint="eastAsia"/>
          <w:sz w:val="36"/>
          <w:szCs w:val="36"/>
        </w:rPr>
        <w:t>240</w:t>
      </w:r>
      <w:r w:rsidRPr="00E255A1">
        <w:rPr>
          <w:rFonts w:eastAsia="標楷體"/>
          <w:sz w:val="36"/>
          <w:szCs w:val="36"/>
        </w:rPr>
        <w:t>件，件數較上年同期</w:t>
      </w:r>
      <w:r w:rsidR="00CF3B07" w:rsidRPr="00E255A1">
        <w:rPr>
          <w:rFonts w:eastAsia="標楷體" w:hint="eastAsia"/>
          <w:sz w:val="36"/>
          <w:szCs w:val="36"/>
        </w:rPr>
        <w:t>減少</w:t>
      </w:r>
      <w:r w:rsidR="008A6B1E">
        <w:rPr>
          <w:rFonts w:eastAsia="標楷體" w:hint="eastAsia"/>
          <w:sz w:val="36"/>
          <w:szCs w:val="36"/>
        </w:rPr>
        <w:t>16.38</w:t>
      </w:r>
      <w:r w:rsidRPr="00E255A1">
        <w:rPr>
          <w:rFonts w:eastAsia="標楷體"/>
          <w:sz w:val="36"/>
          <w:szCs w:val="36"/>
        </w:rPr>
        <w:t>％；核准投</w:t>
      </w:r>
      <w:r w:rsidRPr="00E255A1">
        <w:rPr>
          <w:rFonts w:eastAsia="標楷體"/>
          <w:sz w:val="36"/>
          <w:szCs w:val="36"/>
        </w:rPr>
        <w:t>(</w:t>
      </w:r>
      <w:r w:rsidRPr="00E255A1">
        <w:rPr>
          <w:rFonts w:eastAsia="標楷體"/>
          <w:sz w:val="36"/>
          <w:szCs w:val="36"/>
        </w:rPr>
        <w:t>增</w:t>
      </w:r>
      <w:r w:rsidRPr="00E255A1">
        <w:rPr>
          <w:rFonts w:eastAsia="標楷體"/>
          <w:sz w:val="36"/>
          <w:szCs w:val="36"/>
        </w:rPr>
        <w:t>)</w:t>
      </w:r>
      <w:r w:rsidRPr="00E255A1">
        <w:rPr>
          <w:rFonts w:eastAsia="標楷體"/>
          <w:sz w:val="36"/>
          <w:szCs w:val="36"/>
        </w:rPr>
        <w:t>資金額計美金</w:t>
      </w:r>
      <w:r w:rsidR="008A6B1E">
        <w:rPr>
          <w:rFonts w:eastAsia="標楷體" w:hint="eastAsia"/>
          <w:sz w:val="36"/>
          <w:szCs w:val="36"/>
        </w:rPr>
        <w:t>21</w:t>
      </w:r>
      <w:r w:rsidRPr="00E255A1">
        <w:rPr>
          <w:rFonts w:eastAsia="標楷體"/>
          <w:sz w:val="36"/>
          <w:szCs w:val="36"/>
        </w:rPr>
        <w:t>億</w:t>
      </w:r>
      <w:r w:rsidR="008A6B1E">
        <w:rPr>
          <w:rFonts w:eastAsia="標楷體" w:hint="eastAsia"/>
          <w:sz w:val="36"/>
          <w:szCs w:val="36"/>
        </w:rPr>
        <w:t>1,439</w:t>
      </w:r>
      <w:r w:rsidRPr="00E255A1">
        <w:rPr>
          <w:rFonts w:eastAsia="標楷體"/>
          <w:sz w:val="36"/>
          <w:szCs w:val="36"/>
        </w:rPr>
        <w:t>萬</w:t>
      </w:r>
      <w:r w:rsidR="009225A5" w:rsidRPr="00E255A1">
        <w:rPr>
          <w:rFonts w:eastAsia="標楷體" w:hint="eastAsia"/>
          <w:sz w:val="36"/>
          <w:szCs w:val="36"/>
        </w:rPr>
        <w:t>9</w:t>
      </w:r>
      <w:r w:rsidR="00EC6278" w:rsidRPr="00E255A1">
        <w:rPr>
          <w:rFonts w:eastAsia="標楷體" w:hint="eastAsia"/>
          <w:sz w:val="36"/>
          <w:szCs w:val="36"/>
        </w:rPr>
        <w:t>,000</w:t>
      </w:r>
      <w:r w:rsidRPr="00E255A1">
        <w:rPr>
          <w:rFonts w:eastAsia="標楷體"/>
          <w:sz w:val="36"/>
          <w:szCs w:val="36"/>
        </w:rPr>
        <w:t>元</w:t>
      </w:r>
      <w:r w:rsidR="00A602A1" w:rsidRPr="00B522D2">
        <w:rPr>
          <w:rFonts w:eastAsia="標楷體" w:hint="eastAsia"/>
          <w:sz w:val="36"/>
          <w:szCs w:val="36"/>
        </w:rPr>
        <w:t>(</w:t>
      </w:r>
      <w:r w:rsidR="009B69D7" w:rsidRPr="00B522D2">
        <w:rPr>
          <w:rFonts w:eastAsia="標楷體" w:hint="eastAsia"/>
          <w:sz w:val="36"/>
          <w:szCs w:val="36"/>
        </w:rPr>
        <w:t>折合新臺幣</w:t>
      </w:r>
      <w:r w:rsidR="00B522D2" w:rsidRPr="00B522D2">
        <w:rPr>
          <w:rFonts w:eastAsia="標楷體" w:hint="eastAsia"/>
          <w:sz w:val="36"/>
          <w:szCs w:val="36"/>
        </w:rPr>
        <w:t>634</w:t>
      </w:r>
      <w:r w:rsidR="00A602A1" w:rsidRPr="00B522D2">
        <w:rPr>
          <w:rFonts w:eastAsia="標楷體" w:hint="eastAsia"/>
          <w:sz w:val="36"/>
          <w:szCs w:val="36"/>
        </w:rPr>
        <w:t>億</w:t>
      </w:r>
      <w:r w:rsidR="00B522D2" w:rsidRPr="00B522D2">
        <w:rPr>
          <w:rFonts w:eastAsia="標楷體" w:hint="eastAsia"/>
          <w:sz w:val="36"/>
          <w:szCs w:val="36"/>
        </w:rPr>
        <w:t>3,197</w:t>
      </w:r>
      <w:r w:rsidR="00A602A1" w:rsidRPr="00B522D2">
        <w:rPr>
          <w:rFonts w:eastAsia="標楷體" w:hint="eastAsia"/>
          <w:sz w:val="36"/>
          <w:szCs w:val="36"/>
        </w:rPr>
        <w:t>萬元</w:t>
      </w:r>
      <w:r w:rsidR="00A602A1" w:rsidRPr="00B522D2">
        <w:rPr>
          <w:rFonts w:eastAsia="標楷體" w:hint="eastAsia"/>
          <w:sz w:val="36"/>
          <w:szCs w:val="36"/>
        </w:rPr>
        <w:t>)</w:t>
      </w:r>
      <w:r w:rsidRPr="00B522D2">
        <w:rPr>
          <w:rFonts w:eastAsia="標楷體"/>
          <w:sz w:val="36"/>
          <w:szCs w:val="36"/>
        </w:rPr>
        <w:t>，</w:t>
      </w:r>
      <w:r w:rsidRPr="00E255A1">
        <w:rPr>
          <w:rFonts w:eastAsia="標楷體"/>
          <w:sz w:val="36"/>
          <w:szCs w:val="36"/>
        </w:rPr>
        <w:t>較上年同期</w:t>
      </w:r>
      <w:r w:rsidR="00EC6278" w:rsidRPr="00E255A1">
        <w:rPr>
          <w:rFonts w:eastAsia="標楷體" w:hint="eastAsia"/>
          <w:sz w:val="36"/>
          <w:szCs w:val="36"/>
        </w:rPr>
        <w:t>減少</w:t>
      </w:r>
      <w:r w:rsidR="008A6B1E">
        <w:rPr>
          <w:rFonts w:eastAsia="標楷體" w:hint="eastAsia"/>
          <w:sz w:val="36"/>
          <w:szCs w:val="36"/>
        </w:rPr>
        <w:t>40.27</w:t>
      </w:r>
      <w:r w:rsidRPr="00E255A1">
        <w:rPr>
          <w:rFonts w:eastAsia="標楷體"/>
          <w:sz w:val="36"/>
          <w:szCs w:val="36"/>
        </w:rPr>
        <w:t>％</w:t>
      </w:r>
      <w:r w:rsidR="0072242C" w:rsidRPr="00E255A1">
        <w:rPr>
          <w:rFonts w:eastAsia="標楷體" w:hint="eastAsia"/>
          <w:sz w:val="36"/>
          <w:szCs w:val="36"/>
        </w:rPr>
        <w:t>。另投資金額</w:t>
      </w:r>
      <w:r w:rsidR="00FC7201" w:rsidRPr="00E255A1">
        <w:rPr>
          <w:rFonts w:eastAsia="標楷體" w:hint="eastAsia"/>
          <w:sz w:val="36"/>
          <w:szCs w:val="36"/>
        </w:rPr>
        <w:t>減少幅度</w:t>
      </w:r>
      <w:r w:rsidR="0072242C" w:rsidRPr="00E255A1">
        <w:rPr>
          <w:rFonts w:eastAsia="標楷體" w:hint="eastAsia"/>
          <w:sz w:val="36"/>
          <w:szCs w:val="36"/>
        </w:rPr>
        <w:t>較大，</w:t>
      </w:r>
      <w:r w:rsidR="008E2EF7" w:rsidRPr="008E2EF7">
        <w:rPr>
          <w:rFonts w:eastAsia="標楷體" w:hint="eastAsia"/>
          <w:sz w:val="36"/>
          <w:szCs w:val="36"/>
        </w:rPr>
        <w:t>主要受中國大陸工資、土地、原物料等生產</w:t>
      </w:r>
      <w:r w:rsidR="001B31BE">
        <w:rPr>
          <w:rFonts w:eastAsia="標楷體" w:hint="eastAsia"/>
          <w:sz w:val="36"/>
          <w:szCs w:val="36"/>
        </w:rPr>
        <w:t>成本上漲，投資環境</w:t>
      </w:r>
      <w:proofErr w:type="gramStart"/>
      <w:r w:rsidR="001B31BE">
        <w:rPr>
          <w:rFonts w:eastAsia="標楷體" w:hint="eastAsia"/>
          <w:sz w:val="36"/>
          <w:szCs w:val="36"/>
        </w:rPr>
        <w:t>不</w:t>
      </w:r>
      <w:proofErr w:type="gramEnd"/>
      <w:r w:rsidR="001B31BE">
        <w:rPr>
          <w:rFonts w:eastAsia="標楷體" w:hint="eastAsia"/>
          <w:sz w:val="36"/>
          <w:szCs w:val="36"/>
        </w:rPr>
        <w:t>若以往，以及美中貿易衝突、科技戰持續等因素影</w:t>
      </w:r>
      <w:r w:rsidR="008E2EF7" w:rsidRPr="008E2EF7">
        <w:rPr>
          <w:rFonts w:eastAsia="標楷體" w:hint="eastAsia"/>
          <w:sz w:val="36"/>
          <w:szCs w:val="36"/>
        </w:rPr>
        <w:t>響，台商投資更趨謹慎觀望所致。</w:t>
      </w:r>
    </w:p>
    <w:p w:rsidR="00E15544" w:rsidRPr="00E255A1" w:rsidRDefault="004C5877">
      <w:pPr>
        <w:ind w:firstLine="811"/>
        <w:jc w:val="both"/>
      </w:pPr>
      <w:r w:rsidRPr="00E255A1">
        <w:rPr>
          <w:rFonts w:eastAsia="標楷體"/>
          <w:sz w:val="36"/>
          <w:szCs w:val="36"/>
        </w:rPr>
        <w:lastRenderedPageBreak/>
        <w:t>茲將</w:t>
      </w:r>
      <w:r w:rsidR="009773A5" w:rsidRPr="00E255A1">
        <w:rPr>
          <w:rFonts w:eastAsia="標楷體" w:hint="eastAsia"/>
          <w:sz w:val="36"/>
          <w:szCs w:val="36"/>
        </w:rPr>
        <w:t>110</w:t>
      </w:r>
      <w:r w:rsidR="00AE1C07" w:rsidRPr="00E255A1">
        <w:rPr>
          <w:rFonts w:eastAsia="標楷體"/>
          <w:sz w:val="36"/>
          <w:szCs w:val="36"/>
        </w:rPr>
        <w:t>年</w:t>
      </w:r>
      <w:r w:rsidR="008A6B1E">
        <w:rPr>
          <w:rFonts w:eastAsia="標楷體" w:hint="eastAsia"/>
          <w:sz w:val="36"/>
          <w:szCs w:val="36"/>
        </w:rPr>
        <w:t>7</w:t>
      </w:r>
      <w:r w:rsidR="00843E93" w:rsidRPr="00E255A1">
        <w:rPr>
          <w:rFonts w:eastAsia="標楷體"/>
          <w:sz w:val="36"/>
          <w:szCs w:val="36"/>
        </w:rPr>
        <w:t>月</w:t>
      </w:r>
      <w:r w:rsidRPr="00E255A1">
        <w:rPr>
          <w:rFonts w:eastAsia="標楷體"/>
          <w:sz w:val="36"/>
          <w:szCs w:val="36"/>
        </w:rPr>
        <w:t>份經本部投審會核准之僑外投資、陸資來</w:t>
      </w:r>
      <w:proofErr w:type="gramStart"/>
      <w:r w:rsidRPr="00E255A1">
        <w:rPr>
          <w:rFonts w:eastAsia="標楷體"/>
          <w:sz w:val="36"/>
          <w:szCs w:val="36"/>
        </w:rPr>
        <w:t>臺</w:t>
      </w:r>
      <w:proofErr w:type="gramEnd"/>
      <w:r w:rsidRPr="00E255A1">
        <w:rPr>
          <w:rFonts w:eastAsia="標楷體"/>
          <w:sz w:val="36"/>
          <w:szCs w:val="36"/>
        </w:rPr>
        <w:t>投資、對外投資及對中國大陸投資案件統計情形，分別摘要說明如下：</w:t>
      </w:r>
      <w:r w:rsidRPr="00E255A1">
        <w:rPr>
          <w:rFonts w:eastAsia="標楷體"/>
          <w:sz w:val="36"/>
          <w:szCs w:val="36"/>
        </w:rPr>
        <w:t xml:space="preserve"> </w:t>
      </w:r>
    </w:p>
    <w:p w:rsidR="00E15544" w:rsidRPr="00E255A1" w:rsidRDefault="004C5877">
      <w:pPr>
        <w:pStyle w:val="2"/>
        <w:spacing w:before="188" w:line="240" w:lineRule="auto"/>
        <w:ind w:firstLine="0"/>
        <w:rPr>
          <w:szCs w:val="36"/>
        </w:rPr>
      </w:pPr>
      <w:r w:rsidRPr="00E255A1">
        <w:rPr>
          <w:szCs w:val="36"/>
        </w:rPr>
        <w:t>一、僑外投資部分：</w:t>
      </w:r>
    </w:p>
    <w:p w:rsidR="00E15544" w:rsidRPr="00E255A1" w:rsidRDefault="002F6E71">
      <w:pPr>
        <w:pStyle w:val="2"/>
        <w:spacing w:before="188" w:line="240" w:lineRule="auto"/>
        <w:ind w:firstLine="811"/>
      </w:pPr>
      <w:r w:rsidRPr="00E255A1">
        <w:rPr>
          <w:rFonts w:hint="eastAsia"/>
          <w:szCs w:val="36"/>
        </w:rPr>
        <w:t>110</w:t>
      </w:r>
      <w:r w:rsidR="00AE1C07" w:rsidRPr="00E255A1">
        <w:rPr>
          <w:szCs w:val="36"/>
        </w:rPr>
        <w:t>年</w:t>
      </w:r>
      <w:r w:rsidR="008A6B1E">
        <w:rPr>
          <w:rFonts w:hint="eastAsia"/>
          <w:szCs w:val="36"/>
        </w:rPr>
        <w:t>7</w:t>
      </w:r>
      <w:r w:rsidR="00AE1C07" w:rsidRPr="00E255A1">
        <w:rPr>
          <w:szCs w:val="36"/>
        </w:rPr>
        <w:t>月</w:t>
      </w:r>
      <w:r w:rsidR="004C5877" w:rsidRPr="00E255A1">
        <w:rPr>
          <w:szCs w:val="36"/>
        </w:rPr>
        <w:t>份</w:t>
      </w:r>
      <w:r w:rsidR="004C5877" w:rsidRPr="00E255A1">
        <w:t>單月我僑</w:t>
      </w:r>
      <w:r w:rsidR="004C5877" w:rsidRPr="00B522D2">
        <w:t>外投資核准件數為</w:t>
      </w:r>
      <w:r w:rsidR="008A6B1E" w:rsidRPr="00B522D2">
        <w:rPr>
          <w:rFonts w:hint="eastAsia"/>
        </w:rPr>
        <w:t>221</w:t>
      </w:r>
      <w:r w:rsidR="004C5877" w:rsidRPr="00B522D2">
        <w:t>件，投資金額計</w:t>
      </w:r>
      <w:r w:rsidRPr="00B522D2">
        <w:rPr>
          <w:rFonts w:hint="eastAsia"/>
          <w:szCs w:val="36"/>
        </w:rPr>
        <w:t>美金</w:t>
      </w:r>
      <w:r w:rsidR="008A6B1E" w:rsidRPr="00B522D2">
        <w:rPr>
          <w:rFonts w:hint="eastAsia"/>
          <w:szCs w:val="36"/>
        </w:rPr>
        <w:t>8</w:t>
      </w:r>
      <w:r w:rsidRPr="00B522D2">
        <w:rPr>
          <w:rFonts w:hint="eastAsia"/>
          <w:szCs w:val="36"/>
        </w:rPr>
        <w:t>億</w:t>
      </w:r>
      <w:r w:rsidR="008A6B1E" w:rsidRPr="00B522D2">
        <w:rPr>
          <w:rFonts w:hint="eastAsia"/>
          <w:szCs w:val="36"/>
        </w:rPr>
        <w:t>7,131</w:t>
      </w:r>
      <w:r w:rsidRPr="00B522D2">
        <w:rPr>
          <w:rFonts w:hint="eastAsia"/>
          <w:szCs w:val="36"/>
        </w:rPr>
        <w:t>萬</w:t>
      </w:r>
      <w:r w:rsidR="008A6B1E" w:rsidRPr="00B522D2">
        <w:rPr>
          <w:rFonts w:hint="eastAsia"/>
          <w:szCs w:val="36"/>
        </w:rPr>
        <w:t>6</w:t>
      </w:r>
      <w:r w:rsidRPr="00B522D2">
        <w:rPr>
          <w:rFonts w:hint="eastAsia"/>
          <w:szCs w:val="36"/>
        </w:rPr>
        <w:t>,000</w:t>
      </w:r>
      <w:r w:rsidRPr="00B522D2">
        <w:rPr>
          <w:rFonts w:hint="eastAsia"/>
          <w:szCs w:val="36"/>
        </w:rPr>
        <w:t>元</w:t>
      </w:r>
      <w:r w:rsidR="00A602A1" w:rsidRPr="00B522D2">
        <w:rPr>
          <w:rFonts w:hint="eastAsia"/>
          <w:szCs w:val="36"/>
        </w:rPr>
        <w:t>(</w:t>
      </w:r>
      <w:r w:rsidRPr="00B522D2">
        <w:rPr>
          <w:rFonts w:hint="eastAsia"/>
          <w:szCs w:val="36"/>
        </w:rPr>
        <w:t>折合新臺幣</w:t>
      </w:r>
      <w:r w:rsidR="00B522D2" w:rsidRPr="00B522D2">
        <w:rPr>
          <w:rFonts w:hint="eastAsia"/>
          <w:szCs w:val="36"/>
        </w:rPr>
        <w:t>261</w:t>
      </w:r>
      <w:r w:rsidRPr="00B522D2">
        <w:rPr>
          <w:rFonts w:hint="eastAsia"/>
          <w:szCs w:val="36"/>
        </w:rPr>
        <w:t>億</w:t>
      </w:r>
      <w:r w:rsidR="00B522D2" w:rsidRPr="00B522D2">
        <w:rPr>
          <w:rFonts w:hint="eastAsia"/>
          <w:szCs w:val="36"/>
        </w:rPr>
        <w:t>3,948</w:t>
      </w:r>
      <w:r w:rsidRPr="00B522D2">
        <w:rPr>
          <w:rFonts w:hint="eastAsia"/>
          <w:szCs w:val="36"/>
        </w:rPr>
        <w:t>萬元</w:t>
      </w:r>
      <w:r w:rsidR="00A602A1" w:rsidRPr="00B522D2">
        <w:rPr>
          <w:rFonts w:hint="eastAsia"/>
          <w:szCs w:val="36"/>
        </w:rPr>
        <w:t>)</w:t>
      </w:r>
      <w:r w:rsidR="004C5877" w:rsidRPr="00B522D2">
        <w:t>。有關</w:t>
      </w:r>
      <w:r w:rsidRPr="00B522D2">
        <w:rPr>
          <w:rFonts w:hint="eastAsia"/>
          <w:szCs w:val="36"/>
        </w:rPr>
        <w:t>110</w:t>
      </w:r>
      <w:r w:rsidR="00AE1C07" w:rsidRPr="00B522D2">
        <w:rPr>
          <w:szCs w:val="36"/>
        </w:rPr>
        <w:t>年</w:t>
      </w:r>
      <w:r w:rsidR="008A6B1E" w:rsidRPr="00B522D2">
        <w:rPr>
          <w:rFonts w:hint="eastAsia"/>
          <w:szCs w:val="36"/>
        </w:rPr>
        <w:t>7</w:t>
      </w:r>
      <w:r w:rsidR="002362D1" w:rsidRPr="00B522D2">
        <w:rPr>
          <w:szCs w:val="36"/>
        </w:rPr>
        <w:t>月</w:t>
      </w:r>
      <w:r w:rsidR="004C5877" w:rsidRPr="00B522D2">
        <w:t>及最近</w:t>
      </w:r>
      <w:r w:rsidR="004C5877" w:rsidRPr="00B522D2">
        <w:t>2</w:t>
      </w:r>
      <w:r w:rsidR="004C5877" w:rsidRPr="00B522D2">
        <w:t>年僑外投資概況，詳如表</w:t>
      </w:r>
      <w:r w:rsidR="004C5877" w:rsidRPr="00B522D2">
        <w:t>1-1</w:t>
      </w:r>
      <w:r w:rsidR="004C5877" w:rsidRPr="00B522D2">
        <w:t>。</w:t>
      </w:r>
    </w:p>
    <w:p w:rsidR="00B303D4" w:rsidRPr="00E255A1" w:rsidRDefault="002F6E71" w:rsidP="00642E60">
      <w:pPr>
        <w:pStyle w:val="2"/>
        <w:spacing w:before="188" w:line="240" w:lineRule="auto"/>
        <w:ind w:firstLine="811"/>
      </w:pPr>
      <w:r w:rsidRPr="00E255A1">
        <w:rPr>
          <w:rFonts w:hint="eastAsia"/>
          <w:szCs w:val="36"/>
        </w:rPr>
        <w:t>110</w:t>
      </w:r>
      <w:r w:rsidR="00AE1C07" w:rsidRPr="00E255A1">
        <w:rPr>
          <w:szCs w:val="36"/>
        </w:rPr>
        <w:t>年</w:t>
      </w:r>
      <w:r w:rsidRPr="00E255A1">
        <w:rPr>
          <w:rFonts w:hint="eastAsia"/>
          <w:szCs w:val="36"/>
        </w:rPr>
        <w:t>1</w:t>
      </w:r>
      <w:r w:rsidR="008A6B1E">
        <w:rPr>
          <w:rFonts w:hint="eastAsia"/>
          <w:szCs w:val="36"/>
        </w:rPr>
        <w:t>-7</w:t>
      </w:r>
      <w:r w:rsidR="00843E93" w:rsidRPr="00E255A1">
        <w:rPr>
          <w:szCs w:val="36"/>
        </w:rPr>
        <w:t>月</w:t>
      </w:r>
      <w:r w:rsidR="004C5877" w:rsidRPr="00E255A1">
        <w:t>核准僑外投資案件，若就地區觀之，以</w:t>
      </w:r>
      <w:r w:rsidR="008B2C4A" w:rsidRPr="00E255A1">
        <w:t>加勒比海英國屬地</w:t>
      </w:r>
      <w:r w:rsidR="00EB361A" w:rsidRPr="00E255A1">
        <w:t>美金</w:t>
      </w:r>
      <w:r w:rsidR="008A6B1E">
        <w:rPr>
          <w:rFonts w:hint="eastAsia"/>
        </w:rPr>
        <w:t>7</w:t>
      </w:r>
      <w:r w:rsidR="00EB361A" w:rsidRPr="00E255A1">
        <w:t>億</w:t>
      </w:r>
      <w:r w:rsidR="008A6B1E">
        <w:rPr>
          <w:rFonts w:hint="eastAsia"/>
        </w:rPr>
        <w:t>7,365</w:t>
      </w:r>
      <w:r w:rsidR="00EB361A" w:rsidRPr="00E255A1">
        <w:t>萬</w:t>
      </w:r>
      <w:r w:rsidR="008A6B1E">
        <w:rPr>
          <w:rFonts w:hint="eastAsia"/>
        </w:rPr>
        <w:t>3</w:t>
      </w:r>
      <w:r w:rsidR="001F17A1" w:rsidRPr="00E255A1">
        <w:rPr>
          <w:rFonts w:hint="eastAsia"/>
        </w:rPr>
        <w:t>,000</w:t>
      </w:r>
      <w:r w:rsidR="00EB361A" w:rsidRPr="00E255A1">
        <w:t>元</w:t>
      </w:r>
      <w:proofErr w:type="gramStart"/>
      <w:r w:rsidR="00EB361A" w:rsidRPr="00E255A1">
        <w:t>（</w:t>
      </w:r>
      <w:proofErr w:type="gramEnd"/>
      <w:r w:rsidR="00A602A1" w:rsidRPr="00B522D2">
        <w:rPr>
          <w:rFonts w:hint="eastAsia"/>
          <w:szCs w:val="36"/>
        </w:rPr>
        <w:t>折合新臺幣</w:t>
      </w:r>
      <w:r w:rsidR="00B522D2" w:rsidRPr="00B522D2">
        <w:rPr>
          <w:rFonts w:hint="eastAsia"/>
          <w:szCs w:val="36"/>
        </w:rPr>
        <w:t>232</w:t>
      </w:r>
      <w:r w:rsidR="00A602A1" w:rsidRPr="00B522D2">
        <w:rPr>
          <w:rFonts w:hint="eastAsia"/>
          <w:szCs w:val="36"/>
        </w:rPr>
        <w:t>億</w:t>
      </w:r>
      <w:r w:rsidR="00B522D2" w:rsidRPr="00B522D2">
        <w:rPr>
          <w:rFonts w:hint="eastAsia"/>
          <w:szCs w:val="36"/>
        </w:rPr>
        <w:t>959</w:t>
      </w:r>
      <w:r w:rsidR="00A602A1" w:rsidRPr="00B522D2">
        <w:rPr>
          <w:rFonts w:hint="eastAsia"/>
          <w:szCs w:val="36"/>
        </w:rPr>
        <w:t>萬元；</w:t>
      </w:r>
      <w:r w:rsidR="008A6B1E" w:rsidRPr="00B522D2">
        <w:rPr>
          <w:rFonts w:hint="eastAsia"/>
        </w:rPr>
        <w:t>24.10</w:t>
      </w:r>
      <w:r w:rsidR="008B2C4A" w:rsidRPr="00B522D2">
        <w:rPr>
          <w:rFonts w:hint="eastAsia"/>
        </w:rPr>
        <w:t>%</w:t>
      </w:r>
      <w:r w:rsidR="008B2C4A" w:rsidRPr="00B522D2">
        <w:rPr>
          <w:rFonts w:hint="eastAsia"/>
        </w:rPr>
        <w:t>，</w:t>
      </w:r>
      <w:r w:rsidR="008B2C4A" w:rsidRPr="00B522D2">
        <w:t>主要為英屬</w:t>
      </w:r>
      <w:r w:rsidR="008B2C4A" w:rsidRPr="00B522D2">
        <w:rPr>
          <w:rFonts w:hint="eastAsia"/>
        </w:rPr>
        <w:t>開</w:t>
      </w:r>
      <w:proofErr w:type="gramStart"/>
      <w:r w:rsidR="008B2C4A" w:rsidRPr="00B522D2">
        <w:rPr>
          <w:rFonts w:hint="eastAsia"/>
        </w:rPr>
        <w:t>曼</w:t>
      </w:r>
      <w:proofErr w:type="gramEnd"/>
      <w:r w:rsidR="008B2C4A" w:rsidRPr="00B522D2">
        <w:t>群島</w:t>
      </w:r>
      <w:r w:rsidR="008B2C4A" w:rsidRPr="00B522D2">
        <w:rPr>
          <w:rFonts w:hint="eastAsia"/>
        </w:rPr>
        <w:t>、</w:t>
      </w:r>
      <w:r w:rsidR="008B2C4A" w:rsidRPr="00B522D2">
        <w:t>英屬</w:t>
      </w:r>
      <w:r w:rsidR="008B2C4A" w:rsidRPr="00B522D2">
        <w:rPr>
          <w:rFonts w:hint="eastAsia"/>
        </w:rPr>
        <w:t>維京</w:t>
      </w:r>
      <w:r w:rsidR="008B2C4A" w:rsidRPr="00B522D2">
        <w:t>群</w:t>
      </w:r>
      <w:r w:rsidR="008B2C4A" w:rsidRPr="00E255A1">
        <w:t>島</w:t>
      </w:r>
      <w:proofErr w:type="gramStart"/>
      <w:r w:rsidR="00EB361A" w:rsidRPr="00E255A1">
        <w:t>）</w:t>
      </w:r>
      <w:proofErr w:type="gramEnd"/>
      <w:r w:rsidR="007016DE" w:rsidRPr="00E255A1">
        <w:rPr>
          <w:rFonts w:hint="eastAsia"/>
        </w:rPr>
        <w:t>、</w:t>
      </w:r>
      <w:r w:rsidR="008A6B1E">
        <w:rPr>
          <w:rFonts w:hint="eastAsia"/>
        </w:rPr>
        <w:t>美國</w:t>
      </w:r>
      <w:r w:rsidR="008B2C4A" w:rsidRPr="00E255A1">
        <w:t>美</w:t>
      </w:r>
      <w:r w:rsidR="00BB748E" w:rsidRPr="00E255A1">
        <w:rPr>
          <w:rFonts w:hint="eastAsia"/>
        </w:rPr>
        <w:t>金</w:t>
      </w:r>
      <w:r w:rsidR="008A6B1E">
        <w:rPr>
          <w:rFonts w:hint="eastAsia"/>
        </w:rPr>
        <w:t>5</w:t>
      </w:r>
      <w:r w:rsidR="008B2C4A" w:rsidRPr="00E255A1">
        <w:rPr>
          <w:rFonts w:hint="eastAsia"/>
        </w:rPr>
        <w:t>億</w:t>
      </w:r>
      <w:r w:rsidR="008A6B1E">
        <w:rPr>
          <w:rFonts w:hint="eastAsia"/>
        </w:rPr>
        <w:t>447</w:t>
      </w:r>
      <w:r w:rsidR="008B2C4A" w:rsidRPr="00E255A1">
        <w:t>萬</w:t>
      </w:r>
      <w:r w:rsidR="008A6B1E">
        <w:rPr>
          <w:rFonts w:hint="eastAsia"/>
        </w:rPr>
        <w:t>3</w:t>
      </w:r>
      <w:r w:rsidR="008B2C4A" w:rsidRPr="00E255A1">
        <w:rPr>
          <w:rFonts w:hint="eastAsia"/>
        </w:rPr>
        <w:t>,000</w:t>
      </w:r>
      <w:r w:rsidR="008B2C4A" w:rsidRPr="00E255A1">
        <w:t>元</w:t>
      </w:r>
      <w:proofErr w:type="gramStart"/>
      <w:r w:rsidR="008B2C4A" w:rsidRPr="00E255A1">
        <w:t>（</w:t>
      </w:r>
      <w:proofErr w:type="gramEnd"/>
      <w:r w:rsidR="008B2C4A" w:rsidRPr="00E255A1">
        <w:rPr>
          <w:rFonts w:hint="eastAsia"/>
          <w:szCs w:val="36"/>
        </w:rPr>
        <w:t>折合</w:t>
      </w:r>
      <w:r w:rsidR="008B2C4A" w:rsidRPr="00B522D2">
        <w:rPr>
          <w:rFonts w:hint="eastAsia"/>
          <w:szCs w:val="36"/>
        </w:rPr>
        <w:t>新臺幣</w:t>
      </w:r>
      <w:r w:rsidR="00B522D2" w:rsidRPr="00B522D2">
        <w:rPr>
          <w:rFonts w:hint="eastAsia"/>
          <w:szCs w:val="36"/>
        </w:rPr>
        <w:t>151</w:t>
      </w:r>
      <w:r w:rsidR="008B2C4A" w:rsidRPr="00B522D2">
        <w:rPr>
          <w:rFonts w:hint="eastAsia"/>
          <w:szCs w:val="36"/>
        </w:rPr>
        <w:t>億</w:t>
      </w:r>
      <w:r w:rsidR="00890F5A" w:rsidRPr="00B522D2">
        <w:rPr>
          <w:rFonts w:hint="eastAsia"/>
          <w:szCs w:val="36"/>
        </w:rPr>
        <w:t>3,</w:t>
      </w:r>
      <w:r w:rsidR="00B522D2" w:rsidRPr="00B522D2">
        <w:rPr>
          <w:rFonts w:hint="eastAsia"/>
          <w:szCs w:val="36"/>
        </w:rPr>
        <w:t>419</w:t>
      </w:r>
      <w:r w:rsidR="008B2C4A" w:rsidRPr="00B522D2">
        <w:rPr>
          <w:rFonts w:hint="eastAsia"/>
          <w:szCs w:val="36"/>
        </w:rPr>
        <w:t>萬元</w:t>
      </w:r>
      <w:r w:rsidR="008B2C4A" w:rsidRPr="00E255A1">
        <w:rPr>
          <w:rFonts w:hint="eastAsia"/>
          <w:szCs w:val="36"/>
        </w:rPr>
        <w:t>；</w:t>
      </w:r>
      <w:r w:rsidR="008A6B1E">
        <w:rPr>
          <w:rFonts w:hint="eastAsia"/>
        </w:rPr>
        <w:t>15.72</w:t>
      </w:r>
      <w:r w:rsidR="008B2C4A" w:rsidRPr="00E255A1">
        <w:t>%</w:t>
      </w:r>
      <w:proofErr w:type="gramStart"/>
      <w:r w:rsidR="008B2C4A" w:rsidRPr="00E255A1">
        <w:t>）</w:t>
      </w:r>
      <w:proofErr w:type="gramEnd"/>
      <w:r w:rsidR="008A6B1E">
        <w:rPr>
          <w:rFonts w:hint="eastAsia"/>
        </w:rPr>
        <w:t>、日本</w:t>
      </w:r>
      <w:r w:rsidR="007016DE" w:rsidRPr="00E255A1">
        <w:t>美金</w:t>
      </w:r>
      <w:r w:rsidR="008A6B1E">
        <w:rPr>
          <w:rFonts w:hint="eastAsia"/>
        </w:rPr>
        <w:t>3</w:t>
      </w:r>
      <w:r w:rsidR="00135E25" w:rsidRPr="00E255A1">
        <w:rPr>
          <w:rFonts w:hint="eastAsia"/>
        </w:rPr>
        <w:t>億</w:t>
      </w:r>
      <w:r w:rsidR="008A6B1E">
        <w:rPr>
          <w:rFonts w:hint="eastAsia"/>
        </w:rPr>
        <w:t>6,669</w:t>
      </w:r>
      <w:r w:rsidR="00F22C75" w:rsidRPr="00E255A1">
        <w:rPr>
          <w:rFonts w:hint="eastAsia"/>
        </w:rPr>
        <w:t>萬</w:t>
      </w:r>
      <w:r w:rsidR="008A6B1E">
        <w:rPr>
          <w:rFonts w:hint="eastAsia"/>
        </w:rPr>
        <w:t>8</w:t>
      </w:r>
      <w:r w:rsidR="00F22C75" w:rsidRPr="00E255A1">
        <w:rPr>
          <w:rFonts w:hint="eastAsia"/>
        </w:rPr>
        <w:t>,000</w:t>
      </w:r>
      <w:r w:rsidR="007016DE" w:rsidRPr="00E255A1">
        <w:t>元</w:t>
      </w:r>
      <w:proofErr w:type="gramStart"/>
      <w:r w:rsidR="007016DE" w:rsidRPr="00E255A1">
        <w:t>（</w:t>
      </w:r>
      <w:proofErr w:type="gramEnd"/>
      <w:r w:rsidR="007016DE" w:rsidRPr="00E255A1">
        <w:rPr>
          <w:rFonts w:hint="eastAsia"/>
          <w:szCs w:val="36"/>
        </w:rPr>
        <w:t>折</w:t>
      </w:r>
      <w:r w:rsidR="007016DE" w:rsidRPr="00B522D2">
        <w:rPr>
          <w:rFonts w:hint="eastAsia"/>
          <w:szCs w:val="36"/>
        </w:rPr>
        <w:t>合新臺幣</w:t>
      </w:r>
      <w:r w:rsidR="00B522D2" w:rsidRPr="00B522D2">
        <w:rPr>
          <w:rFonts w:hint="eastAsia"/>
          <w:szCs w:val="36"/>
        </w:rPr>
        <w:t>110</w:t>
      </w:r>
      <w:r w:rsidR="007016DE" w:rsidRPr="00B522D2">
        <w:rPr>
          <w:rFonts w:hint="eastAsia"/>
          <w:szCs w:val="36"/>
        </w:rPr>
        <w:t>億</w:t>
      </w:r>
      <w:r w:rsidR="00B522D2" w:rsidRPr="00B522D2">
        <w:rPr>
          <w:rFonts w:hint="eastAsia"/>
          <w:szCs w:val="36"/>
        </w:rPr>
        <w:t>94</w:t>
      </w:r>
      <w:r w:rsidR="007016DE" w:rsidRPr="00B522D2">
        <w:rPr>
          <w:rFonts w:hint="eastAsia"/>
          <w:szCs w:val="36"/>
        </w:rPr>
        <w:t>萬元；</w:t>
      </w:r>
      <w:r w:rsidR="008A6B1E" w:rsidRPr="00B522D2">
        <w:rPr>
          <w:rFonts w:hint="eastAsia"/>
        </w:rPr>
        <w:t>11.42</w:t>
      </w:r>
      <w:r w:rsidR="007016DE" w:rsidRPr="00B522D2">
        <w:t>％</w:t>
      </w:r>
      <w:proofErr w:type="gramStart"/>
      <w:r w:rsidR="008B2C4A" w:rsidRPr="00B522D2">
        <w:rPr>
          <w:rFonts w:hint="eastAsia"/>
        </w:rPr>
        <w:t>）</w:t>
      </w:r>
      <w:proofErr w:type="gramEnd"/>
      <w:r w:rsidR="006369F3" w:rsidRPr="00B522D2">
        <w:rPr>
          <w:rFonts w:hint="eastAsia"/>
        </w:rPr>
        <w:t>、</w:t>
      </w:r>
      <w:r w:rsidR="008A6B1E" w:rsidRPr="00B522D2">
        <w:rPr>
          <w:rFonts w:hint="eastAsia"/>
        </w:rPr>
        <w:t>德國</w:t>
      </w:r>
      <w:r w:rsidR="00427181" w:rsidRPr="00B522D2">
        <w:t>美金</w:t>
      </w:r>
      <w:r w:rsidR="008A6B1E" w:rsidRPr="00B522D2">
        <w:rPr>
          <w:rFonts w:hint="eastAsia"/>
        </w:rPr>
        <w:t>2</w:t>
      </w:r>
      <w:r w:rsidR="00427181" w:rsidRPr="00B522D2">
        <w:rPr>
          <w:rFonts w:hint="eastAsia"/>
        </w:rPr>
        <w:t>億</w:t>
      </w:r>
      <w:r w:rsidR="008A6B1E" w:rsidRPr="00B522D2">
        <w:rPr>
          <w:rFonts w:hint="eastAsia"/>
        </w:rPr>
        <w:t>3,666</w:t>
      </w:r>
      <w:r w:rsidR="00427181" w:rsidRPr="00B522D2">
        <w:rPr>
          <w:rFonts w:hint="eastAsia"/>
        </w:rPr>
        <w:t>萬</w:t>
      </w:r>
      <w:r w:rsidR="00642E60" w:rsidRPr="00B522D2">
        <w:rPr>
          <w:rFonts w:hint="eastAsia"/>
        </w:rPr>
        <w:t>5</w:t>
      </w:r>
      <w:r w:rsidR="00427181" w:rsidRPr="00B522D2">
        <w:rPr>
          <w:rFonts w:hint="eastAsia"/>
        </w:rPr>
        <w:t>,000</w:t>
      </w:r>
      <w:r w:rsidR="00427181" w:rsidRPr="00B522D2">
        <w:t>元</w:t>
      </w:r>
      <w:proofErr w:type="gramStart"/>
      <w:r w:rsidR="00427181" w:rsidRPr="00B522D2">
        <w:t>（</w:t>
      </w:r>
      <w:proofErr w:type="gramEnd"/>
      <w:r w:rsidR="00427181" w:rsidRPr="00B522D2">
        <w:rPr>
          <w:rFonts w:hint="eastAsia"/>
          <w:szCs w:val="36"/>
        </w:rPr>
        <w:t>折</w:t>
      </w:r>
      <w:r w:rsidR="00427181" w:rsidRPr="00296864">
        <w:rPr>
          <w:rFonts w:hint="eastAsia"/>
          <w:szCs w:val="36"/>
        </w:rPr>
        <w:t>合新臺幣</w:t>
      </w:r>
      <w:r w:rsidR="00B522D2" w:rsidRPr="00296864">
        <w:rPr>
          <w:rFonts w:hint="eastAsia"/>
          <w:szCs w:val="36"/>
        </w:rPr>
        <w:t>70</w:t>
      </w:r>
      <w:r w:rsidR="00427181" w:rsidRPr="00296864">
        <w:rPr>
          <w:rFonts w:hint="eastAsia"/>
          <w:szCs w:val="36"/>
        </w:rPr>
        <w:t>億</w:t>
      </w:r>
      <w:r w:rsidR="00B522D2" w:rsidRPr="00296864">
        <w:rPr>
          <w:rFonts w:hint="eastAsia"/>
          <w:szCs w:val="36"/>
        </w:rPr>
        <w:t>9,995</w:t>
      </w:r>
      <w:r w:rsidR="00427181" w:rsidRPr="00296864">
        <w:rPr>
          <w:rFonts w:hint="eastAsia"/>
          <w:szCs w:val="36"/>
        </w:rPr>
        <w:t>萬元；</w:t>
      </w:r>
      <w:r w:rsidR="00642E60" w:rsidRPr="00296864">
        <w:rPr>
          <w:rFonts w:hint="eastAsia"/>
        </w:rPr>
        <w:t>7.37</w:t>
      </w:r>
      <w:r w:rsidR="00427181" w:rsidRPr="00296864">
        <w:t>％</w:t>
      </w:r>
      <w:proofErr w:type="gramStart"/>
      <w:r w:rsidR="00427181" w:rsidRPr="00296864">
        <w:t>）</w:t>
      </w:r>
      <w:proofErr w:type="gramEnd"/>
      <w:r w:rsidR="00135E25" w:rsidRPr="00296864">
        <w:t>及</w:t>
      </w:r>
      <w:r w:rsidR="007635C6">
        <w:rPr>
          <w:rFonts w:hint="eastAsia"/>
        </w:rPr>
        <w:t>韓國</w:t>
      </w:r>
      <w:r w:rsidR="00427181" w:rsidRPr="00296864">
        <w:rPr>
          <w:rFonts w:hint="eastAsia"/>
        </w:rPr>
        <w:t>美金</w:t>
      </w:r>
      <w:r w:rsidR="00642E60" w:rsidRPr="00296864">
        <w:rPr>
          <w:rFonts w:hint="eastAsia"/>
        </w:rPr>
        <w:t>2</w:t>
      </w:r>
      <w:r w:rsidR="006369F3" w:rsidRPr="00296864">
        <w:rPr>
          <w:rFonts w:hint="eastAsia"/>
        </w:rPr>
        <w:t>億</w:t>
      </w:r>
      <w:r w:rsidR="00642E60" w:rsidRPr="00296864">
        <w:rPr>
          <w:rFonts w:hint="eastAsia"/>
        </w:rPr>
        <w:t>1,238</w:t>
      </w:r>
      <w:r w:rsidR="00427181" w:rsidRPr="00296864">
        <w:rPr>
          <w:rFonts w:hint="eastAsia"/>
        </w:rPr>
        <w:t>萬元</w:t>
      </w:r>
      <w:proofErr w:type="gramStart"/>
      <w:r w:rsidR="00427181" w:rsidRPr="00296864">
        <w:t>（</w:t>
      </w:r>
      <w:proofErr w:type="gramEnd"/>
      <w:r w:rsidR="00427181" w:rsidRPr="00296864">
        <w:rPr>
          <w:rFonts w:hint="eastAsia"/>
          <w:szCs w:val="36"/>
        </w:rPr>
        <w:t>折合新臺幣</w:t>
      </w:r>
      <w:r w:rsidR="00B522D2" w:rsidRPr="00296864">
        <w:rPr>
          <w:rFonts w:hint="eastAsia"/>
          <w:szCs w:val="36"/>
        </w:rPr>
        <w:t>63</w:t>
      </w:r>
      <w:r w:rsidR="00427181" w:rsidRPr="00296864">
        <w:rPr>
          <w:rFonts w:hint="eastAsia"/>
          <w:szCs w:val="36"/>
        </w:rPr>
        <w:t>億</w:t>
      </w:r>
      <w:r w:rsidR="00B522D2" w:rsidRPr="00296864">
        <w:rPr>
          <w:rFonts w:hint="eastAsia"/>
          <w:szCs w:val="36"/>
        </w:rPr>
        <w:t>7,140</w:t>
      </w:r>
      <w:r w:rsidR="00427181" w:rsidRPr="00296864">
        <w:rPr>
          <w:rFonts w:hint="eastAsia"/>
          <w:szCs w:val="36"/>
        </w:rPr>
        <w:t>萬元；</w:t>
      </w:r>
      <w:r w:rsidR="00642E60" w:rsidRPr="00296864">
        <w:rPr>
          <w:rFonts w:hint="eastAsia"/>
        </w:rPr>
        <w:t>6.62</w:t>
      </w:r>
      <w:r w:rsidR="00427181" w:rsidRPr="00296864">
        <w:t>%</w:t>
      </w:r>
      <w:proofErr w:type="gramStart"/>
      <w:r w:rsidR="00427181" w:rsidRPr="00296864">
        <w:t>）</w:t>
      </w:r>
      <w:proofErr w:type="gramEnd"/>
      <w:r w:rsidR="004C5877" w:rsidRPr="00296864">
        <w:t>分居前</w:t>
      </w:r>
      <w:r w:rsidR="004C5877" w:rsidRPr="00296864">
        <w:t>5</w:t>
      </w:r>
      <w:r w:rsidR="004C5877" w:rsidRPr="00296864">
        <w:t>名，合計約</w:t>
      </w:r>
      <w:proofErr w:type="gramStart"/>
      <w:r w:rsidR="004C5877" w:rsidRPr="00296864">
        <w:t>占本期僑</w:t>
      </w:r>
      <w:proofErr w:type="gramEnd"/>
      <w:r w:rsidR="004C5877" w:rsidRPr="00296864">
        <w:t>外投資總額的</w:t>
      </w:r>
      <w:r w:rsidR="00296864">
        <w:rPr>
          <w:rFonts w:hint="eastAsia"/>
        </w:rPr>
        <w:t>65.23</w:t>
      </w:r>
      <w:r w:rsidR="004C5877" w:rsidRPr="00296864">
        <w:t>％</w:t>
      </w:r>
      <w:r w:rsidR="004C5877" w:rsidRPr="00296864">
        <w:t>(</w:t>
      </w:r>
      <w:r w:rsidR="004C5877" w:rsidRPr="00296864">
        <w:t>請參閱表</w:t>
      </w:r>
      <w:r w:rsidR="004C5877" w:rsidRPr="00296864">
        <w:t>1-2)</w:t>
      </w:r>
      <w:r w:rsidR="004C5877" w:rsidRPr="00296864">
        <w:t>。若就業別觀之，僑外投</w:t>
      </w:r>
      <w:r w:rsidR="004C5877" w:rsidRPr="00E255A1">
        <w:t>資以</w:t>
      </w:r>
      <w:r w:rsidR="006369F3" w:rsidRPr="00E255A1">
        <w:rPr>
          <w:rFonts w:hint="eastAsia"/>
        </w:rPr>
        <w:t>金融及保險業</w:t>
      </w:r>
      <w:r w:rsidR="009D0626" w:rsidRPr="00E255A1">
        <w:t>美金</w:t>
      </w:r>
      <w:r w:rsidR="00642E60">
        <w:rPr>
          <w:rFonts w:hint="eastAsia"/>
        </w:rPr>
        <w:t>7</w:t>
      </w:r>
      <w:r w:rsidR="00951C03" w:rsidRPr="00E255A1">
        <w:t>億</w:t>
      </w:r>
      <w:r w:rsidR="00642E60">
        <w:rPr>
          <w:rFonts w:hint="eastAsia"/>
        </w:rPr>
        <w:t>6,227</w:t>
      </w:r>
      <w:r w:rsidR="00951C03" w:rsidRPr="00E255A1">
        <w:t>萬</w:t>
      </w:r>
      <w:r w:rsidR="00642E60">
        <w:rPr>
          <w:rFonts w:hint="eastAsia"/>
        </w:rPr>
        <w:t>3</w:t>
      </w:r>
      <w:r w:rsidR="004465A3" w:rsidRPr="00E255A1">
        <w:rPr>
          <w:rFonts w:hint="eastAsia"/>
        </w:rPr>
        <w:t>,000</w:t>
      </w:r>
      <w:r w:rsidR="00951C03" w:rsidRPr="00E255A1">
        <w:t>元</w:t>
      </w:r>
      <w:proofErr w:type="gramStart"/>
      <w:r w:rsidR="00951C03" w:rsidRPr="00E255A1">
        <w:t>（</w:t>
      </w:r>
      <w:proofErr w:type="gramEnd"/>
      <w:r w:rsidR="00A602A1" w:rsidRPr="00E255A1">
        <w:rPr>
          <w:rFonts w:hint="eastAsia"/>
          <w:szCs w:val="36"/>
        </w:rPr>
        <w:t>折</w:t>
      </w:r>
      <w:r w:rsidR="00A602A1" w:rsidRPr="00FA3A86">
        <w:rPr>
          <w:rFonts w:hint="eastAsia"/>
          <w:szCs w:val="36"/>
        </w:rPr>
        <w:t>合新臺幣</w:t>
      </w:r>
      <w:r w:rsidR="00FA3A86" w:rsidRPr="00FA3A86">
        <w:rPr>
          <w:rFonts w:hint="eastAsia"/>
          <w:szCs w:val="36"/>
        </w:rPr>
        <w:t>228</w:t>
      </w:r>
      <w:r w:rsidR="00A602A1" w:rsidRPr="00FA3A86">
        <w:rPr>
          <w:rFonts w:hint="eastAsia"/>
          <w:szCs w:val="36"/>
        </w:rPr>
        <w:t>億</w:t>
      </w:r>
      <w:r w:rsidR="00FA3A86" w:rsidRPr="00FA3A86">
        <w:rPr>
          <w:rFonts w:hint="eastAsia"/>
          <w:szCs w:val="36"/>
        </w:rPr>
        <w:t>6,819</w:t>
      </w:r>
      <w:r w:rsidR="00A602A1" w:rsidRPr="00FA3A86">
        <w:rPr>
          <w:rFonts w:hint="eastAsia"/>
          <w:szCs w:val="36"/>
        </w:rPr>
        <w:t>萬元；</w:t>
      </w:r>
      <w:r w:rsidR="00642E60" w:rsidRPr="00FA3A86">
        <w:rPr>
          <w:rFonts w:hint="eastAsia"/>
        </w:rPr>
        <w:t>23.75</w:t>
      </w:r>
      <w:r w:rsidR="00951C03" w:rsidRPr="00FA3A86">
        <w:t>％</w:t>
      </w:r>
      <w:proofErr w:type="gramStart"/>
      <w:r w:rsidR="00951C03" w:rsidRPr="00FA3A86">
        <w:t>）</w:t>
      </w:r>
      <w:proofErr w:type="gramEnd"/>
      <w:r w:rsidR="00FC491D" w:rsidRPr="00FA3A86">
        <w:rPr>
          <w:rFonts w:hint="eastAsia"/>
        </w:rPr>
        <w:t>、</w:t>
      </w:r>
      <w:r w:rsidR="006369F3" w:rsidRPr="00FA3A86">
        <w:rPr>
          <w:rFonts w:hint="eastAsia"/>
        </w:rPr>
        <w:t>批發及零售業</w:t>
      </w:r>
      <w:r w:rsidR="00FC491D" w:rsidRPr="00FA3A86">
        <w:t>美金</w:t>
      </w:r>
      <w:r w:rsidR="00642E60" w:rsidRPr="00FA3A86">
        <w:rPr>
          <w:rFonts w:hint="eastAsia"/>
        </w:rPr>
        <w:t>5</w:t>
      </w:r>
      <w:r w:rsidR="00FC491D" w:rsidRPr="00FA3A86">
        <w:rPr>
          <w:rFonts w:hint="eastAsia"/>
        </w:rPr>
        <w:t>億</w:t>
      </w:r>
      <w:r w:rsidR="00642E60" w:rsidRPr="00FA3A86">
        <w:rPr>
          <w:rFonts w:hint="eastAsia"/>
        </w:rPr>
        <w:t>3,876</w:t>
      </w:r>
      <w:r w:rsidR="00FC491D" w:rsidRPr="00FA3A86">
        <w:t>萬</w:t>
      </w:r>
      <w:r w:rsidR="00642E60" w:rsidRPr="00FA3A86">
        <w:rPr>
          <w:rFonts w:hint="eastAsia"/>
        </w:rPr>
        <w:t>7</w:t>
      </w:r>
      <w:r w:rsidR="00FC491D" w:rsidRPr="00E255A1">
        <w:t>,000</w:t>
      </w:r>
      <w:r w:rsidR="00FC491D" w:rsidRPr="00E255A1">
        <w:t>元</w:t>
      </w:r>
      <w:proofErr w:type="gramStart"/>
      <w:r w:rsidR="00FC491D" w:rsidRPr="00E255A1">
        <w:t>（</w:t>
      </w:r>
      <w:proofErr w:type="gramEnd"/>
      <w:r w:rsidR="00FC491D" w:rsidRPr="00FA3A86">
        <w:rPr>
          <w:rFonts w:hint="eastAsia"/>
          <w:szCs w:val="36"/>
        </w:rPr>
        <w:t>折合新臺幣</w:t>
      </w:r>
      <w:r w:rsidR="00FA3A86" w:rsidRPr="00FA3A86">
        <w:rPr>
          <w:rFonts w:hint="eastAsia"/>
          <w:szCs w:val="36"/>
        </w:rPr>
        <w:t>161</w:t>
      </w:r>
      <w:r w:rsidR="00FC491D" w:rsidRPr="00FA3A86">
        <w:rPr>
          <w:rFonts w:hint="eastAsia"/>
          <w:szCs w:val="36"/>
        </w:rPr>
        <w:t>億</w:t>
      </w:r>
      <w:r w:rsidR="00FA3A86" w:rsidRPr="00FA3A86">
        <w:rPr>
          <w:rFonts w:hint="eastAsia"/>
          <w:szCs w:val="36"/>
        </w:rPr>
        <w:t>6,301</w:t>
      </w:r>
      <w:r w:rsidR="00FC491D" w:rsidRPr="00FA3A86">
        <w:rPr>
          <w:rFonts w:hint="eastAsia"/>
          <w:szCs w:val="36"/>
        </w:rPr>
        <w:t>萬元；</w:t>
      </w:r>
      <w:r w:rsidR="00642E60" w:rsidRPr="00FA3A86">
        <w:rPr>
          <w:rFonts w:hint="eastAsia"/>
        </w:rPr>
        <w:t>16.79</w:t>
      </w:r>
      <w:r w:rsidR="00FC491D" w:rsidRPr="00FA3A86">
        <w:rPr>
          <w:rFonts w:hint="eastAsia"/>
        </w:rPr>
        <w:t>％</w:t>
      </w:r>
      <w:proofErr w:type="gramStart"/>
      <w:r w:rsidR="00FC491D" w:rsidRPr="00FA3A86">
        <w:rPr>
          <w:rFonts w:hint="eastAsia"/>
        </w:rPr>
        <w:t>）</w:t>
      </w:r>
      <w:proofErr w:type="gramEnd"/>
      <w:r w:rsidR="007A4F55" w:rsidRPr="00FA3A86">
        <w:rPr>
          <w:rFonts w:hint="eastAsia"/>
        </w:rPr>
        <w:t>、</w:t>
      </w:r>
      <w:r w:rsidR="00642E60" w:rsidRPr="00FA3A86">
        <w:rPr>
          <w:rFonts w:hint="eastAsia"/>
        </w:rPr>
        <w:t>資訊及通訊傳播業</w:t>
      </w:r>
      <w:r w:rsidR="002777C9" w:rsidRPr="00FA3A86">
        <w:rPr>
          <w:rFonts w:hint="eastAsia"/>
        </w:rPr>
        <w:t>美</w:t>
      </w:r>
      <w:r w:rsidR="002777C9" w:rsidRPr="00E255A1">
        <w:rPr>
          <w:rFonts w:hint="eastAsia"/>
        </w:rPr>
        <w:t>金</w:t>
      </w:r>
      <w:r w:rsidR="00642E60">
        <w:rPr>
          <w:rFonts w:hint="eastAsia"/>
        </w:rPr>
        <w:t>4</w:t>
      </w:r>
      <w:r w:rsidR="00642E60">
        <w:rPr>
          <w:rFonts w:hint="eastAsia"/>
        </w:rPr>
        <w:t>億</w:t>
      </w:r>
      <w:r w:rsidR="00642E60">
        <w:rPr>
          <w:rFonts w:hint="eastAsia"/>
        </w:rPr>
        <w:t>4,348</w:t>
      </w:r>
      <w:r w:rsidR="002777C9" w:rsidRPr="00E255A1">
        <w:rPr>
          <w:rFonts w:hint="eastAsia"/>
        </w:rPr>
        <w:t>萬</w:t>
      </w:r>
      <w:r w:rsidR="00642E60">
        <w:rPr>
          <w:rFonts w:hint="eastAsia"/>
        </w:rPr>
        <w:t>4</w:t>
      </w:r>
      <w:r w:rsidR="002777C9" w:rsidRPr="00E255A1">
        <w:rPr>
          <w:rFonts w:hint="eastAsia"/>
        </w:rPr>
        <w:t>,0</w:t>
      </w:r>
      <w:r w:rsidR="002777C9" w:rsidRPr="00FA3A86">
        <w:rPr>
          <w:rFonts w:hint="eastAsia"/>
        </w:rPr>
        <w:t>00</w:t>
      </w:r>
      <w:r w:rsidR="002777C9" w:rsidRPr="00FA3A86">
        <w:rPr>
          <w:rFonts w:hint="eastAsia"/>
        </w:rPr>
        <w:t>元</w:t>
      </w:r>
      <w:proofErr w:type="gramStart"/>
      <w:r w:rsidR="002777C9" w:rsidRPr="00FA3A86">
        <w:rPr>
          <w:rFonts w:hint="eastAsia"/>
        </w:rPr>
        <w:t>（</w:t>
      </w:r>
      <w:proofErr w:type="gramEnd"/>
      <w:r w:rsidR="002777C9" w:rsidRPr="00FA3A86">
        <w:rPr>
          <w:rFonts w:hint="eastAsia"/>
          <w:szCs w:val="36"/>
        </w:rPr>
        <w:t>折合新臺幣</w:t>
      </w:r>
      <w:r w:rsidR="00FA3A86" w:rsidRPr="00FA3A86">
        <w:rPr>
          <w:rFonts w:hint="eastAsia"/>
          <w:szCs w:val="36"/>
        </w:rPr>
        <w:t>133</w:t>
      </w:r>
      <w:r w:rsidR="002777C9" w:rsidRPr="00FA3A86">
        <w:rPr>
          <w:rFonts w:hint="eastAsia"/>
          <w:szCs w:val="36"/>
        </w:rPr>
        <w:t>億</w:t>
      </w:r>
      <w:r w:rsidR="00FA3A86" w:rsidRPr="00FA3A86">
        <w:rPr>
          <w:rFonts w:hint="eastAsia"/>
          <w:szCs w:val="36"/>
        </w:rPr>
        <w:t>452</w:t>
      </w:r>
      <w:r w:rsidR="002777C9" w:rsidRPr="00FA3A86">
        <w:rPr>
          <w:rFonts w:hint="eastAsia"/>
          <w:szCs w:val="36"/>
        </w:rPr>
        <w:t>萬元</w:t>
      </w:r>
      <w:r w:rsidR="002777C9" w:rsidRPr="00E255A1">
        <w:rPr>
          <w:rFonts w:hint="eastAsia"/>
          <w:szCs w:val="36"/>
        </w:rPr>
        <w:t>；</w:t>
      </w:r>
      <w:r w:rsidR="00642E60">
        <w:rPr>
          <w:rFonts w:hint="eastAsia"/>
        </w:rPr>
        <w:t>13.82</w:t>
      </w:r>
      <w:r w:rsidR="002777C9" w:rsidRPr="00E255A1">
        <w:t>％</w:t>
      </w:r>
      <w:proofErr w:type="gramStart"/>
      <w:r w:rsidR="002777C9" w:rsidRPr="00E255A1">
        <w:t>）</w:t>
      </w:r>
      <w:proofErr w:type="gramEnd"/>
      <w:r w:rsidR="006369F3" w:rsidRPr="00E255A1">
        <w:rPr>
          <w:rFonts w:hint="eastAsia"/>
        </w:rPr>
        <w:t>、</w:t>
      </w:r>
      <w:r w:rsidR="00642E60" w:rsidRPr="00E255A1">
        <w:rPr>
          <w:rFonts w:hint="eastAsia"/>
        </w:rPr>
        <w:t>專業、科學及技術服務業</w:t>
      </w:r>
      <w:r w:rsidR="007A4F55" w:rsidRPr="00E255A1">
        <w:t>美金</w:t>
      </w:r>
      <w:r w:rsidR="00642E60">
        <w:rPr>
          <w:rFonts w:hint="eastAsia"/>
        </w:rPr>
        <w:t>2</w:t>
      </w:r>
      <w:r w:rsidR="00EC0F13" w:rsidRPr="00E255A1">
        <w:rPr>
          <w:rFonts w:hint="eastAsia"/>
        </w:rPr>
        <w:t>億</w:t>
      </w:r>
      <w:r w:rsidR="00642E60">
        <w:rPr>
          <w:rFonts w:hint="eastAsia"/>
        </w:rPr>
        <w:t>3,660</w:t>
      </w:r>
      <w:r w:rsidR="007A4F55" w:rsidRPr="00E255A1">
        <w:t>萬元</w:t>
      </w:r>
      <w:proofErr w:type="gramStart"/>
      <w:r w:rsidR="007A4F55" w:rsidRPr="00E255A1">
        <w:t>（</w:t>
      </w:r>
      <w:proofErr w:type="gramEnd"/>
      <w:r w:rsidR="007A4F55" w:rsidRPr="00E255A1">
        <w:rPr>
          <w:rFonts w:hint="eastAsia"/>
          <w:szCs w:val="36"/>
        </w:rPr>
        <w:t>折合</w:t>
      </w:r>
      <w:r w:rsidR="007A4F55" w:rsidRPr="00FA3A86">
        <w:rPr>
          <w:rFonts w:hint="eastAsia"/>
          <w:szCs w:val="36"/>
        </w:rPr>
        <w:t>新臺幣</w:t>
      </w:r>
      <w:r w:rsidR="00FA3A86" w:rsidRPr="00FA3A86">
        <w:rPr>
          <w:rFonts w:hint="eastAsia"/>
          <w:szCs w:val="36"/>
        </w:rPr>
        <w:t>70</w:t>
      </w:r>
      <w:r w:rsidR="007A4F55" w:rsidRPr="00FA3A86">
        <w:rPr>
          <w:rFonts w:hint="eastAsia"/>
          <w:szCs w:val="36"/>
        </w:rPr>
        <w:t>億</w:t>
      </w:r>
      <w:r w:rsidR="00FA3A86" w:rsidRPr="00FA3A86">
        <w:rPr>
          <w:rFonts w:hint="eastAsia"/>
          <w:szCs w:val="36"/>
        </w:rPr>
        <w:t>9,800</w:t>
      </w:r>
      <w:r w:rsidR="007A4F55" w:rsidRPr="00FA3A86">
        <w:rPr>
          <w:rFonts w:hint="eastAsia"/>
          <w:szCs w:val="36"/>
        </w:rPr>
        <w:t>萬元；</w:t>
      </w:r>
      <w:r w:rsidR="00642E60" w:rsidRPr="00FA3A86">
        <w:rPr>
          <w:rFonts w:hint="eastAsia"/>
        </w:rPr>
        <w:t>7.37</w:t>
      </w:r>
      <w:r w:rsidR="007A4F55" w:rsidRPr="00FA3A86">
        <w:t>％</w:t>
      </w:r>
      <w:proofErr w:type="gramStart"/>
      <w:r w:rsidR="007A4F55" w:rsidRPr="00FA3A86">
        <w:t>）</w:t>
      </w:r>
      <w:proofErr w:type="gramEnd"/>
      <w:r w:rsidR="00C061A2" w:rsidRPr="00FA3A86">
        <w:rPr>
          <w:rFonts w:hint="eastAsia"/>
        </w:rPr>
        <w:lastRenderedPageBreak/>
        <w:t>及</w:t>
      </w:r>
      <w:r w:rsidR="00642E60" w:rsidRPr="00FA3A86">
        <w:rPr>
          <w:rFonts w:hint="eastAsia"/>
        </w:rPr>
        <w:t>不動產業</w:t>
      </w:r>
      <w:r w:rsidR="004C5877" w:rsidRPr="00FA3A86">
        <w:t>美金</w:t>
      </w:r>
      <w:r w:rsidR="00642E60" w:rsidRPr="00FA3A86">
        <w:rPr>
          <w:rFonts w:hint="eastAsia"/>
        </w:rPr>
        <w:t>2</w:t>
      </w:r>
      <w:r w:rsidR="006369F3" w:rsidRPr="00FA3A86">
        <w:rPr>
          <w:rFonts w:hint="eastAsia"/>
        </w:rPr>
        <w:t>億</w:t>
      </w:r>
      <w:r w:rsidR="00642E60" w:rsidRPr="00FA3A86">
        <w:rPr>
          <w:rFonts w:hint="eastAsia"/>
        </w:rPr>
        <w:t>231</w:t>
      </w:r>
      <w:r w:rsidR="004C5877" w:rsidRPr="00FA3A86">
        <w:t>萬</w:t>
      </w:r>
      <w:r w:rsidR="009225A5" w:rsidRPr="00FA3A86">
        <w:rPr>
          <w:rFonts w:hint="eastAsia"/>
        </w:rPr>
        <w:t>3</w:t>
      </w:r>
      <w:r w:rsidR="004E266B" w:rsidRPr="00FA3A86">
        <w:rPr>
          <w:rFonts w:hint="eastAsia"/>
        </w:rPr>
        <w:t>,000</w:t>
      </w:r>
      <w:r w:rsidR="004C5877" w:rsidRPr="00FA3A86">
        <w:t>元</w:t>
      </w:r>
      <w:proofErr w:type="gramStart"/>
      <w:r w:rsidR="004C5877" w:rsidRPr="00FA3A86">
        <w:t>（</w:t>
      </w:r>
      <w:proofErr w:type="gramEnd"/>
      <w:r w:rsidR="003259DC" w:rsidRPr="00FA3A86">
        <w:rPr>
          <w:rFonts w:hint="eastAsia"/>
          <w:szCs w:val="36"/>
        </w:rPr>
        <w:t>折合新臺幣</w:t>
      </w:r>
      <w:r w:rsidR="00FA3A86" w:rsidRPr="00FA3A86">
        <w:rPr>
          <w:rFonts w:hint="eastAsia"/>
          <w:szCs w:val="36"/>
        </w:rPr>
        <w:t>60</w:t>
      </w:r>
      <w:r w:rsidR="003259DC" w:rsidRPr="00FA3A86">
        <w:rPr>
          <w:rFonts w:hint="eastAsia"/>
          <w:szCs w:val="36"/>
        </w:rPr>
        <w:t>億</w:t>
      </w:r>
      <w:r w:rsidR="00FA3A86" w:rsidRPr="00FA3A86">
        <w:rPr>
          <w:rFonts w:hint="eastAsia"/>
          <w:szCs w:val="36"/>
        </w:rPr>
        <w:t>6,939</w:t>
      </w:r>
      <w:r w:rsidR="003259DC" w:rsidRPr="00FA3A86">
        <w:rPr>
          <w:rFonts w:hint="eastAsia"/>
          <w:szCs w:val="36"/>
        </w:rPr>
        <w:t>萬元；</w:t>
      </w:r>
      <w:r w:rsidR="00642E60" w:rsidRPr="00FA3A86">
        <w:rPr>
          <w:rFonts w:hint="eastAsia"/>
        </w:rPr>
        <w:t>6.3</w:t>
      </w:r>
      <w:r w:rsidR="00FA3A86" w:rsidRPr="00FA3A86">
        <w:rPr>
          <w:rFonts w:hint="eastAsia"/>
        </w:rPr>
        <w:t>0</w:t>
      </w:r>
      <w:r w:rsidR="00C94EA4" w:rsidRPr="00FA3A86">
        <w:t>％</w:t>
      </w:r>
      <w:proofErr w:type="gramStart"/>
      <w:r w:rsidR="00C94EA4" w:rsidRPr="00FA3A86">
        <w:t>）</w:t>
      </w:r>
      <w:proofErr w:type="gramEnd"/>
      <w:r w:rsidR="004C5877" w:rsidRPr="00FA3A86">
        <w:t>分居前</w:t>
      </w:r>
      <w:r w:rsidR="004C5877" w:rsidRPr="00FA3A86">
        <w:t>5</w:t>
      </w:r>
      <w:r w:rsidR="004C5877" w:rsidRPr="00FA3A86">
        <w:t>名，合計</w:t>
      </w:r>
      <w:r w:rsidR="004C5877" w:rsidRPr="00E255A1">
        <w:t>約</w:t>
      </w:r>
      <w:proofErr w:type="gramStart"/>
      <w:r w:rsidR="004C5877" w:rsidRPr="00E255A1">
        <w:t>占本期僑</w:t>
      </w:r>
      <w:proofErr w:type="gramEnd"/>
      <w:r w:rsidR="004C5877" w:rsidRPr="00E255A1">
        <w:t>外投資總額的</w:t>
      </w:r>
      <w:r w:rsidR="00FA3A86">
        <w:rPr>
          <w:rFonts w:hint="eastAsia"/>
        </w:rPr>
        <w:t>68.03</w:t>
      </w:r>
      <w:r w:rsidR="004C5877" w:rsidRPr="00E255A1">
        <w:t>％</w:t>
      </w:r>
      <w:r w:rsidR="004C5877" w:rsidRPr="00E255A1">
        <w:t>(</w:t>
      </w:r>
      <w:r w:rsidR="004C5877" w:rsidRPr="00E255A1">
        <w:t>請參閱表</w:t>
      </w:r>
      <w:r w:rsidR="004C5877" w:rsidRPr="00E255A1">
        <w:t>1-3)</w:t>
      </w:r>
      <w:r w:rsidR="004C5877" w:rsidRPr="00E255A1">
        <w:t>。</w:t>
      </w:r>
    </w:p>
    <w:p w:rsidR="00E15544" w:rsidRPr="00E255A1" w:rsidRDefault="004C5877">
      <w:pPr>
        <w:pStyle w:val="2"/>
        <w:spacing w:before="188" w:line="240" w:lineRule="auto"/>
        <w:ind w:firstLine="0"/>
      </w:pPr>
      <w:r w:rsidRPr="00E255A1">
        <w:t>二、陸資來</w:t>
      </w:r>
      <w:proofErr w:type="gramStart"/>
      <w:r w:rsidRPr="00E255A1">
        <w:t>臺</w:t>
      </w:r>
      <w:proofErr w:type="gramEnd"/>
      <w:r w:rsidRPr="00E255A1">
        <w:t>投資部</w:t>
      </w:r>
      <w:r w:rsidRPr="00E255A1">
        <w:rPr>
          <w:szCs w:val="36"/>
        </w:rPr>
        <w:t>分：</w:t>
      </w:r>
    </w:p>
    <w:p w:rsidR="00D374F1" w:rsidRPr="00E255A1" w:rsidRDefault="009773A5" w:rsidP="0039532B">
      <w:pPr>
        <w:pStyle w:val="2"/>
        <w:spacing w:before="188" w:line="240" w:lineRule="auto"/>
        <w:ind w:firstLine="811"/>
        <w:rPr>
          <w:szCs w:val="36"/>
        </w:rPr>
      </w:pPr>
      <w:r w:rsidRPr="00E255A1">
        <w:rPr>
          <w:rFonts w:hint="eastAsia"/>
          <w:szCs w:val="36"/>
        </w:rPr>
        <w:t>110</w:t>
      </w:r>
      <w:r w:rsidR="00AE1C07" w:rsidRPr="00E255A1">
        <w:rPr>
          <w:szCs w:val="36"/>
        </w:rPr>
        <w:t>年</w:t>
      </w:r>
      <w:r w:rsidR="00642E60">
        <w:rPr>
          <w:rFonts w:hint="eastAsia"/>
          <w:szCs w:val="36"/>
        </w:rPr>
        <w:t>7</w:t>
      </w:r>
      <w:r w:rsidR="00843E93" w:rsidRPr="00E255A1">
        <w:rPr>
          <w:szCs w:val="36"/>
        </w:rPr>
        <w:t>月</w:t>
      </w:r>
      <w:r w:rsidR="004C5877" w:rsidRPr="00E255A1">
        <w:t>份</w:t>
      </w:r>
      <w:r w:rsidR="004C5877" w:rsidRPr="00B56C7D">
        <w:t>單月核准陸資投資件數為</w:t>
      </w:r>
      <w:r w:rsidR="00642E60" w:rsidRPr="00B56C7D">
        <w:rPr>
          <w:rFonts w:hint="eastAsia"/>
        </w:rPr>
        <w:t>3</w:t>
      </w:r>
      <w:r w:rsidR="004C5877" w:rsidRPr="00B56C7D">
        <w:t>件，投資金額計美金</w:t>
      </w:r>
      <w:r w:rsidR="00642E60" w:rsidRPr="00B56C7D">
        <w:rPr>
          <w:rFonts w:hint="eastAsia"/>
        </w:rPr>
        <w:t>109</w:t>
      </w:r>
      <w:r w:rsidR="004C5877" w:rsidRPr="00B56C7D">
        <w:t>萬</w:t>
      </w:r>
      <w:r w:rsidR="00642E60" w:rsidRPr="00B56C7D">
        <w:rPr>
          <w:rFonts w:hint="eastAsia"/>
        </w:rPr>
        <w:t>4</w:t>
      </w:r>
      <w:r w:rsidR="004A4626" w:rsidRPr="00B56C7D">
        <w:rPr>
          <w:rFonts w:hint="eastAsia"/>
        </w:rPr>
        <w:t>,000</w:t>
      </w:r>
      <w:r w:rsidR="004C5877" w:rsidRPr="00B56C7D">
        <w:t>元</w:t>
      </w:r>
      <w:r w:rsidR="00270D19" w:rsidRPr="00B56C7D">
        <w:t>（</w:t>
      </w:r>
      <w:r w:rsidR="00270D19" w:rsidRPr="00B56C7D">
        <w:rPr>
          <w:rFonts w:hint="eastAsia"/>
          <w:szCs w:val="36"/>
        </w:rPr>
        <w:t>折合新臺幣</w:t>
      </w:r>
      <w:r w:rsidR="00B56C7D" w:rsidRPr="00B56C7D">
        <w:rPr>
          <w:rFonts w:hint="eastAsia"/>
          <w:szCs w:val="36"/>
        </w:rPr>
        <w:t>3,282</w:t>
      </w:r>
      <w:r w:rsidR="00270D19" w:rsidRPr="00B56C7D">
        <w:rPr>
          <w:rFonts w:hint="eastAsia"/>
          <w:szCs w:val="36"/>
        </w:rPr>
        <w:t>萬</w:t>
      </w:r>
      <w:r w:rsidR="00270D19" w:rsidRPr="00E255A1">
        <w:rPr>
          <w:rFonts w:hint="eastAsia"/>
          <w:szCs w:val="36"/>
        </w:rPr>
        <w:t>元</w:t>
      </w:r>
      <w:r w:rsidR="00270D19" w:rsidRPr="00E255A1">
        <w:t>）</w:t>
      </w:r>
      <w:r w:rsidR="005E01AD" w:rsidRPr="00E255A1">
        <w:rPr>
          <w:rFonts w:hint="eastAsia"/>
        </w:rPr>
        <w:t>。</w:t>
      </w:r>
      <w:r w:rsidR="00052ABE" w:rsidRPr="00E255A1">
        <w:rPr>
          <w:rFonts w:hint="eastAsia"/>
        </w:rPr>
        <w:t>自</w:t>
      </w:r>
      <w:r w:rsidR="00052ABE" w:rsidRPr="00E255A1">
        <w:rPr>
          <w:rFonts w:hint="eastAsia"/>
        </w:rPr>
        <w:t>98</w:t>
      </w:r>
      <w:r w:rsidR="00052ABE" w:rsidRPr="00E255A1">
        <w:rPr>
          <w:rFonts w:hint="eastAsia"/>
        </w:rPr>
        <w:t>年</w:t>
      </w:r>
      <w:r w:rsidR="00052ABE" w:rsidRPr="00E255A1">
        <w:rPr>
          <w:rFonts w:hint="eastAsia"/>
        </w:rPr>
        <w:t>7</w:t>
      </w:r>
      <w:r w:rsidR="00052ABE" w:rsidRPr="00E255A1">
        <w:rPr>
          <w:rFonts w:hint="eastAsia"/>
        </w:rPr>
        <w:t>月至</w:t>
      </w:r>
      <w:r w:rsidRPr="00E255A1">
        <w:rPr>
          <w:rFonts w:hint="eastAsia"/>
          <w:szCs w:val="36"/>
        </w:rPr>
        <w:t>110</w:t>
      </w:r>
      <w:r w:rsidR="005C7072" w:rsidRPr="00E255A1">
        <w:rPr>
          <w:szCs w:val="36"/>
        </w:rPr>
        <w:t>年</w:t>
      </w:r>
      <w:r w:rsidR="00642E60">
        <w:rPr>
          <w:rFonts w:hint="eastAsia"/>
          <w:szCs w:val="36"/>
        </w:rPr>
        <w:t>7</w:t>
      </w:r>
      <w:r w:rsidR="00843E93" w:rsidRPr="00E255A1">
        <w:rPr>
          <w:szCs w:val="36"/>
        </w:rPr>
        <w:t>月</w:t>
      </w:r>
      <w:r w:rsidR="00052ABE" w:rsidRPr="00E255A1">
        <w:rPr>
          <w:rFonts w:hint="eastAsia"/>
        </w:rPr>
        <w:t>累計</w:t>
      </w:r>
      <w:r w:rsidR="00052ABE" w:rsidRPr="00E255A1">
        <w:t>核准陸資投資件數為</w:t>
      </w:r>
      <w:r w:rsidR="00052ABE" w:rsidRPr="00E255A1">
        <w:rPr>
          <w:rFonts w:hint="eastAsia"/>
        </w:rPr>
        <w:t>1,</w:t>
      </w:r>
      <w:r w:rsidR="00B25B89" w:rsidRPr="00E255A1">
        <w:rPr>
          <w:rFonts w:hint="eastAsia"/>
        </w:rPr>
        <w:t>4</w:t>
      </w:r>
      <w:r w:rsidR="00642E60">
        <w:rPr>
          <w:rFonts w:hint="eastAsia"/>
        </w:rPr>
        <w:t>84</w:t>
      </w:r>
      <w:r w:rsidR="00052ABE" w:rsidRPr="00E255A1">
        <w:t>件，投資金額計美金</w:t>
      </w:r>
      <w:r w:rsidR="00856D82" w:rsidRPr="00E255A1">
        <w:rPr>
          <w:rFonts w:hint="eastAsia"/>
        </w:rPr>
        <w:t>24</w:t>
      </w:r>
      <w:r w:rsidR="00052ABE" w:rsidRPr="00E255A1">
        <w:rPr>
          <w:rFonts w:hint="eastAsia"/>
        </w:rPr>
        <w:t>億</w:t>
      </w:r>
      <w:r w:rsidR="00642E60">
        <w:rPr>
          <w:rFonts w:hint="eastAsia"/>
        </w:rPr>
        <w:t>3,916</w:t>
      </w:r>
      <w:r w:rsidR="00052ABE" w:rsidRPr="00E255A1">
        <w:t>萬</w:t>
      </w:r>
      <w:r w:rsidR="00642E60">
        <w:rPr>
          <w:rFonts w:hint="eastAsia"/>
        </w:rPr>
        <w:t>2</w:t>
      </w:r>
      <w:r w:rsidR="00FC6E9C" w:rsidRPr="00E255A1">
        <w:rPr>
          <w:rFonts w:hint="eastAsia"/>
        </w:rPr>
        <w:t>,000</w:t>
      </w:r>
      <w:r w:rsidR="00052ABE" w:rsidRPr="00E255A1">
        <w:t>元</w:t>
      </w:r>
      <w:r w:rsidR="000D7D50" w:rsidRPr="00E255A1">
        <w:t>（</w:t>
      </w:r>
      <w:r w:rsidR="000D7D50" w:rsidRPr="00E255A1">
        <w:rPr>
          <w:rFonts w:hint="eastAsia"/>
          <w:szCs w:val="36"/>
        </w:rPr>
        <w:t>折</w:t>
      </w:r>
      <w:r w:rsidR="000D7D50" w:rsidRPr="00B56C7D">
        <w:rPr>
          <w:rFonts w:hint="eastAsia"/>
          <w:szCs w:val="36"/>
        </w:rPr>
        <w:t>合新臺幣</w:t>
      </w:r>
      <w:r w:rsidR="0039532B" w:rsidRPr="00B56C7D">
        <w:rPr>
          <w:rFonts w:hint="eastAsia"/>
          <w:szCs w:val="36"/>
        </w:rPr>
        <w:t>731</w:t>
      </w:r>
      <w:r w:rsidR="00CC01AB" w:rsidRPr="00B56C7D">
        <w:rPr>
          <w:rFonts w:hint="eastAsia"/>
          <w:szCs w:val="36"/>
        </w:rPr>
        <w:t>億</w:t>
      </w:r>
      <w:r w:rsidR="00B56C7D" w:rsidRPr="00B56C7D">
        <w:rPr>
          <w:rFonts w:hint="eastAsia"/>
          <w:szCs w:val="36"/>
        </w:rPr>
        <w:t>7,486</w:t>
      </w:r>
      <w:r w:rsidR="00CC01AB" w:rsidRPr="00B56C7D">
        <w:rPr>
          <w:rFonts w:hint="eastAsia"/>
          <w:szCs w:val="36"/>
        </w:rPr>
        <w:t>萬</w:t>
      </w:r>
      <w:r w:rsidR="000D7D50" w:rsidRPr="00E255A1">
        <w:rPr>
          <w:rFonts w:hint="eastAsia"/>
          <w:szCs w:val="36"/>
        </w:rPr>
        <w:t>元</w:t>
      </w:r>
      <w:r w:rsidR="000D7D50" w:rsidRPr="00E255A1">
        <w:t>）</w:t>
      </w:r>
      <w:r w:rsidR="00C034C3" w:rsidRPr="00E255A1">
        <w:rPr>
          <w:rFonts w:hint="eastAsia"/>
        </w:rPr>
        <w:t>；</w:t>
      </w:r>
      <w:r w:rsidR="004C5877" w:rsidRPr="00E255A1">
        <w:t>就業別觀之，前</w:t>
      </w:r>
      <w:r w:rsidR="004C5877" w:rsidRPr="00E255A1">
        <w:t>3</w:t>
      </w:r>
      <w:r w:rsidR="004C5877" w:rsidRPr="00E255A1">
        <w:t>名分別為批發及零售業美金</w:t>
      </w:r>
      <w:r w:rsidR="00642E60">
        <w:rPr>
          <w:rFonts w:hint="eastAsia"/>
        </w:rPr>
        <w:t>7</w:t>
      </w:r>
      <w:r w:rsidR="004C5877" w:rsidRPr="00E255A1">
        <w:t>億</w:t>
      </w:r>
      <w:r w:rsidR="00642E60">
        <w:rPr>
          <w:rFonts w:hint="eastAsia"/>
        </w:rPr>
        <w:t>9</w:t>
      </w:r>
      <w:r w:rsidR="003C6251" w:rsidRPr="00E255A1">
        <w:rPr>
          <w:rFonts w:hint="eastAsia"/>
        </w:rPr>
        <w:t>,000</w:t>
      </w:r>
      <w:r w:rsidR="004C5877" w:rsidRPr="00E255A1">
        <w:t>元</w:t>
      </w:r>
      <w:proofErr w:type="gramStart"/>
      <w:r w:rsidR="004C5877" w:rsidRPr="00E255A1">
        <w:t>（</w:t>
      </w:r>
      <w:proofErr w:type="gramEnd"/>
      <w:r w:rsidR="000D7D50" w:rsidRPr="00E255A1">
        <w:rPr>
          <w:rFonts w:hint="eastAsia"/>
          <w:szCs w:val="36"/>
        </w:rPr>
        <w:t>折</w:t>
      </w:r>
      <w:r w:rsidR="000D7D50" w:rsidRPr="00B56C7D">
        <w:rPr>
          <w:rFonts w:hint="eastAsia"/>
          <w:szCs w:val="36"/>
        </w:rPr>
        <w:t>合新臺幣</w:t>
      </w:r>
      <w:r w:rsidR="00B56C7D" w:rsidRPr="00B56C7D">
        <w:rPr>
          <w:rFonts w:hint="eastAsia"/>
          <w:szCs w:val="36"/>
        </w:rPr>
        <w:t>210</w:t>
      </w:r>
      <w:r w:rsidR="000D7D50" w:rsidRPr="00B56C7D">
        <w:rPr>
          <w:rFonts w:hint="eastAsia"/>
          <w:szCs w:val="36"/>
        </w:rPr>
        <w:t>億</w:t>
      </w:r>
      <w:r w:rsidR="00B56C7D" w:rsidRPr="00B56C7D">
        <w:rPr>
          <w:rFonts w:hint="eastAsia"/>
          <w:szCs w:val="36"/>
        </w:rPr>
        <w:t>27</w:t>
      </w:r>
      <w:r w:rsidR="000D7D50" w:rsidRPr="00B56C7D">
        <w:rPr>
          <w:rFonts w:hint="eastAsia"/>
          <w:szCs w:val="36"/>
        </w:rPr>
        <w:t>萬元；</w:t>
      </w:r>
      <w:r w:rsidR="00642E60" w:rsidRPr="00B56C7D">
        <w:rPr>
          <w:rFonts w:hint="eastAsia"/>
        </w:rPr>
        <w:t>28.70</w:t>
      </w:r>
      <w:r w:rsidR="004C5877" w:rsidRPr="00B56C7D">
        <w:t>％</w:t>
      </w:r>
      <w:proofErr w:type="gramStart"/>
      <w:r w:rsidR="004C5877" w:rsidRPr="00B56C7D">
        <w:t>）</w:t>
      </w:r>
      <w:proofErr w:type="gramEnd"/>
      <w:r w:rsidR="004C5877" w:rsidRPr="00B56C7D">
        <w:t>、電子零組件製造業美金</w:t>
      </w:r>
      <w:r w:rsidR="00D51666" w:rsidRPr="00B56C7D">
        <w:rPr>
          <w:rFonts w:hint="eastAsia"/>
        </w:rPr>
        <w:t>3</w:t>
      </w:r>
      <w:r w:rsidR="004C5877" w:rsidRPr="00B56C7D">
        <w:t>億</w:t>
      </w:r>
      <w:r w:rsidR="00566445" w:rsidRPr="00B56C7D">
        <w:rPr>
          <w:rFonts w:hint="eastAsia"/>
        </w:rPr>
        <w:t>4,411</w:t>
      </w:r>
      <w:r w:rsidR="004C5877" w:rsidRPr="00E255A1">
        <w:t>萬元</w:t>
      </w:r>
      <w:proofErr w:type="gramStart"/>
      <w:r w:rsidR="004C5877" w:rsidRPr="00E255A1">
        <w:t>（</w:t>
      </w:r>
      <w:proofErr w:type="gramEnd"/>
      <w:r w:rsidR="000D7D50" w:rsidRPr="00E255A1">
        <w:rPr>
          <w:rFonts w:hint="eastAsia"/>
          <w:szCs w:val="36"/>
        </w:rPr>
        <w:t>折合新臺幣</w:t>
      </w:r>
      <w:r w:rsidR="000A195B" w:rsidRPr="00E255A1">
        <w:rPr>
          <w:rFonts w:hint="eastAsia"/>
          <w:szCs w:val="36"/>
        </w:rPr>
        <w:t>103</w:t>
      </w:r>
      <w:r w:rsidR="000D7D50" w:rsidRPr="00E255A1">
        <w:rPr>
          <w:rFonts w:hint="eastAsia"/>
          <w:szCs w:val="36"/>
        </w:rPr>
        <w:t>億</w:t>
      </w:r>
      <w:r w:rsidR="000A195B" w:rsidRPr="00E255A1">
        <w:rPr>
          <w:rFonts w:hint="eastAsia"/>
          <w:szCs w:val="36"/>
        </w:rPr>
        <w:t>2,330</w:t>
      </w:r>
      <w:r w:rsidR="000D7D50" w:rsidRPr="00E255A1">
        <w:rPr>
          <w:rFonts w:hint="eastAsia"/>
          <w:szCs w:val="36"/>
        </w:rPr>
        <w:t>萬元；</w:t>
      </w:r>
      <w:r w:rsidR="00566445" w:rsidRPr="00E255A1">
        <w:rPr>
          <w:rFonts w:hint="eastAsia"/>
        </w:rPr>
        <w:t>14.11</w:t>
      </w:r>
      <w:r w:rsidR="004C5877" w:rsidRPr="00E255A1">
        <w:t>％</w:t>
      </w:r>
      <w:proofErr w:type="gramStart"/>
      <w:r w:rsidR="004C5877" w:rsidRPr="00E255A1">
        <w:t>）</w:t>
      </w:r>
      <w:proofErr w:type="gramEnd"/>
      <w:r w:rsidR="004C5877" w:rsidRPr="00E255A1">
        <w:t>及銀行業美金</w:t>
      </w:r>
      <w:r w:rsidR="004C5877" w:rsidRPr="00E255A1">
        <w:t>2</w:t>
      </w:r>
      <w:r w:rsidR="004C5877" w:rsidRPr="00E255A1">
        <w:t>億</w:t>
      </w:r>
      <w:r w:rsidR="004C5877" w:rsidRPr="00E255A1">
        <w:t>144</w:t>
      </w:r>
      <w:r w:rsidR="004C5877" w:rsidRPr="00E255A1">
        <w:t>萬</w:t>
      </w:r>
      <w:r w:rsidR="004C5877" w:rsidRPr="00E255A1">
        <w:t>1,000</w:t>
      </w:r>
      <w:r w:rsidR="004C5877" w:rsidRPr="00E255A1">
        <w:t>元</w:t>
      </w:r>
      <w:proofErr w:type="gramStart"/>
      <w:r w:rsidR="004C5877" w:rsidRPr="00E255A1">
        <w:t>（</w:t>
      </w:r>
      <w:proofErr w:type="gramEnd"/>
      <w:r w:rsidR="00985147" w:rsidRPr="00E255A1">
        <w:rPr>
          <w:rFonts w:hint="eastAsia"/>
          <w:szCs w:val="36"/>
        </w:rPr>
        <w:t>折合新臺幣</w:t>
      </w:r>
      <w:r w:rsidR="00985147" w:rsidRPr="00E255A1">
        <w:rPr>
          <w:rFonts w:hint="eastAsia"/>
          <w:szCs w:val="36"/>
        </w:rPr>
        <w:t>60</w:t>
      </w:r>
      <w:r w:rsidR="00985147" w:rsidRPr="00E255A1">
        <w:rPr>
          <w:rFonts w:hint="eastAsia"/>
          <w:szCs w:val="36"/>
        </w:rPr>
        <w:t>億</w:t>
      </w:r>
      <w:r w:rsidR="00985147" w:rsidRPr="00E255A1">
        <w:rPr>
          <w:rFonts w:hint="eastAsia"/>
          <w:szCs w:val="36"/>
        </w:rPr>
        <w:t>4,323</w:t>
      </w:r>
      <w:r w:rsidR="00985147" w:rsidRPr="00E255A1">
        <w:rPr>
          <w:rFonts w:hint="eastAsia"/>
          <w:szCs w:val="36"/>
        </w:rPr>
        <w:t>萬元；</w:t>
      </w:r>
      <w:r w:rsidR="00566445" w:rsidRPr="00E255A1">
        <w:rPr>
          <w:rFonts w:hint="eastAsia"/>
        </w:rPr>
        <w:t>8.26</w:t>
      </w:r>
      <w:r w:rsidR="004C5877" w:rsidRPr="00E255A1">
        <w:t>%</w:t>
      </w:r>
      <w:proofErr w:type="gramStart"/>
      <w:r w:rsidR="004C5877" w:rsidRPr="00E255A1">
        <w:t>）</w:t>
      </w:r>
      <w:proofErr w:type="gramEnd"/>
      <w:r w:rsidR="004C5877" w:rsidRPr="00E255A1">
        <w:t>(</w:t>
      </w:r>
      <w:r w:rsidR="004C5877" w:rsidRPr="00E255A1">
        <w:t>請參閱表</w:t>
      </w:r>
      <w:r w:rsidR="004C5877" w:rsidRPr="00E255A1">
        <w:t>2-1</w:t>
      </w:r>
      <w:r w:rsidR="004C5877" w:rsidRPr="00E255A1">
        <w:t>及</w:t>
      </w:r>
      <w:r w:rsidR="004C5877" w:rsidRPr="00E255A1">
        <w:t>2-2)</w:t>
      </w:r>
      <w:r w:rsidR="004C5877" w:rsidRPr="00E255A1">
        <w:t>。</w:t>
      </w:r>
    </w:p>
    <w:p w:rsidR="00E15544" w:rsidRPr="00E255A1" w:rsidRDefault="004C5877">
      <w:pPr>
        <w:pStyle w:val="2"/>
        <w:spacing w:before="188" w:line="240" w:lineRule="auto"/>
        <w:ind w:firstLine="0"/>
      </w:pPr>
      <w:r w:rsidRPr="00E255A1">
        <w:t>三、對外投資部分：</w:t>
      </w:r>
    </w:p>
    <w:p w:rsidR="00E15544" w:rsidRPr="00E255A1" w:rsidRDefault="00F22C75">
      <w:pPr>
        <w:pStyle w:val="2"/>
        <w:spacing w:before="188" w:line="240" w:lineRule="auto"/>
        <w:ind w:firstLine="811"/>
      </w:pPr>
      <w:r w:rsidRPr="00E255A1">
        <w:rPr>
          <w:rFonts w:hint="eastAsia"/>
          <w:szCs w:val="36"/>
        </w:rPr>
        <w:t>110</w:t>
      </w:r>
      <w:r w:rsidR="00AE1C07" w:rsidRPr="00E255A1">
        <w:rPr>
          <w:szCs w:val="36"/>
        </w:rPr>
        <w:t>年</w:t>
      </w:r>
      <w:r w:rsidR="00642E60">
        <w:rPr>
          <w:rFonts w:hint="eastAsia"/>
          <w:szCs w:val="36"/>
        </w:rPr>
        <w:t>7</w:t>
      </w:r>
      <w:r w:rsidR="00843E93" w:rsidRPr="00E255A1">
        <w:rPr>
          <w:szCs w:val="36"/>
        </w:rPr>
        <w:t>月</w:t>
      </w:r>
      <w:r w:rsidR="004C5877" w:rsidRPr="00E255A1">
        <w:t>份單月</w:t>
      </w:r>
      <w:r w:rsidR="004C5877" w:rsidRPr="00E255A1">
        <w:rPr>
          <w:szCs w:val="36"/>
        </w:rPr>
        <w:t>核准</w:t>
      </w:r>
      <w:r w:rsidR="004C5877" w:rsidRPr="00E255A1">
        <w:rPr>
          <w:szCs w:val="36"/>
        </w:rPr>
        <w:t>(</w:t>
      </w:r>
      <w:r w:rsidR="004C5877" w:rsidRPr="00E255A1">
        <w:rPr>
          <w:szCs w:val="36"/>
        </w:rPr>
        <w:t>備</w:t>
      </w:r>
      <w:r w:rsidR="004C5877" w:rsidRPr="00E255A1">
        <w:rPr>
          <w:szCs w:val="36"/>
        </w:rPr>
        <w:t>)</w:t>
      </w:r>
      <w:r w:rsidR="004C5877" w:rsidRPr="00E255A1">
        <w:rPr>
          <w:szCs w:val="36"/>
        </w:rPr>
        <w:t>對外投資件數</w:t>
      </w:r>
      <w:r w:rsidR="004C5877" w:rsidRPr="00E255A1">
        <w:t>為</w:t>
      </w:r>
      <w:r w:rsidR="00642E60">
        <w:rPr>
          <w:rFonts w:hint="eastAsia"/>
        </w:rPr>
        <w:t>26</w:t>
      </w:r>
      <w:r w:rsidR="004C5877" w:rsidRPr="00E255A1">
        <w:t>件，投資金額為美金</w:t>
      </w:r>
      <w:r w:rsidR="00642E60">
        <w:rPr>
          <w:rFonts w:hint="eastAsia"/>
        </w:rPr>
        <w:t>32</w:t>
      </w:r>
      <w:r w:rsidR="00D63406" w:rsidRPr="00E255A1">
        <w:rPr>
          <w:szCs w:val="36"/>
        </w:rPr>
        <w:t>億</w:t>
      </w:r>
      <w:r w:rsidR="00642E60">
        <w:rPr>
          <w:rFonts w:hint="eastAsia"/>
          <w:szCs w:val="36"/>
        </w:rPr>
        <w:t>528</w:t>
      </w:r>
      <w:r w:rsidR="00D63406" w:rsidRPr="00E255A1">
        <w:rPr>
          <w:szCs w:val="36"/>
        </w:rPr>
        <w:t>萬</w:t>
      </w:r>
      <w:r w:rsidR="00642E60">
        <w:rPr>
          <w:rFonts w:hint="eastAsia"/>
          <w:szCs w:val="36"/>
        </w:rPr>
        <w:t>9,000</w:t>
      </w:r>
      <w:r w:rsidR="004C5877" w:rsidRPr="00E255A1">
        <w:t>元</w:t>
      </w:r>
      <w:r w:rsidR="00985147" w:rsidRPr="00E255A1">
        <w:t>（</w:t>
      </w:r>
      <w:r w:rsidR="00985147" w:rsidRPr="00E255A1">
        <w:rPr>
          <w:rFonts w:hint="eastAsia"/>
          <w:szCs w:val="36"/>
        </w:rPr>
        <w:t>折合</w:t>
      </w:r>
      <w:r w:rsidR="00985147" w:rsidRPr="00B56C7D">
        <w:rPr>
          <w:rFonts w:hint="eastAsia"/>
          <w:szCs w:val="36"/>
        </w:rPr>
        <w:t>新臺幣</w:t>
      </w:r>
      <w:r w:rsidR="00B56C7D" w:rsidRPr="00B56C7D">
        <w:rPr>
          <w:rFonts w:hint="eastAsia"/>
          <w:szCs w:val="36"/>
        </w:rPr>
        <w:t>961</w:t>
      </w:r>
      <w:r w:rsidR="00985147" w:rsidRPr="00B56C7D">
        <w:rPr>
          <w:rFonts w:hint="eastAsia"/>
          <w:szCs w:val="36"/>
        </w:rPr>
        <w:t>億</w:t>
      </w:r>
      <w:r w:rsidR="00B56C7D" w:rsidRPr="00B56C7D">
        <w:rPr>
          <w:rFonts w:hint="eastAsia"/>
          <w:szCs w:val="36"/>
        </w:rPr>
        <w:t>5,867</w:t>
      </w:r>
      <w:r w:rsidR="00985147" w:rsidRPr="00B56C7D">
        <w:rPr>
          <w:rFonts w:hint="eastAsia"/>
          <w:szCs w:val="36"/>
        </w:rPr>
        <w:t>萬</w:t>
      </w:r>
      <w:r w:rsidR="00985147" w:rsidRPr="00E255A1">
        <w:rPr>
          <w:rFonts w:hint="eastAsia"/>
          <w:szCs w:val="36"/>
        </w:rPr>
        <w:t>元</w:t>
      </w:r>
      <w:r w:rsidR="00985147" w:rsidRPr="00E255A1">
        <w:t>）</w:t>
      </w:r>
      <w:r w:rsidR="004C5877" w:rsidRPr="00E255A1">
        <w:t>。有關</w:t>
      </w:r>
      <w:r w:rsidRPr="00E255A1">
        <w:rPr>
          <w:rFonts w:hint="eastAsia"/>
          <w:szCs w:val="36"/>
        </w:rPr>
        <w:t>110</w:t>
      </w:r>
      <w:r w:rsidR="00AE1C07" w:rsidRPr="00E255A1">
        <w:rPr>
          <w:szCs w:val="36"/>
        </w:rPr>
        <w:t>年</w:t>
      </w:r>
      <w:r w:rsidR="00642E60">
        <w:rPr>
          <w:rFonts w:hint="eastAsia"/>
          <w:szCs w:val="36"/>
        </w:rPr>
        <w:t>7</w:t>
      </w:r>
      <w:r w:rsidR="00AE1C07" w:rsidRPr="00E255A1">
        <w:rPr>
          <w:szCs w:val="36"/>
        </w:rPr>
        <w:t>月</w:t>
      </w:r>
      <w:r w:rsidR="004C5877" w:rsidRPr="00E255A1">
        <w:t>及最近</w:t>
      </w:r>
      <w:r w:rsidR="004C5877" w:rsidRPr="00E255A1">
        <w:t>2</w:t>
      </w:r>
      <w:r w:rsidR="004C5877" w:rsidRPr="00E255A1">
        <w:t>年對外投資概況，詳如表</w:t>
      </w:r>
      <w:r w:rsidR="004C5877" w:rsidRPr="00E255A1">
        <w:t>3-1</w:t>
      </w:r>
      <w:r w:rsidR="004C5877" w:rsidRPr="00E255A1">
        <w:t>。</w:t>
      </w:r>
    </w:p>
    <w:p w:rsidR="00E15544" w:rsidRPr="00E255A1" w:rsidRDefault="009773A5" w:rsidP="003059FE">
      <w:pPr>
        <w:tabs>
          <w:tab w:val="left" w:pos="4962"/>
        </w:tabs>
        <w:ind w:firstLine="811"/>
        <w:jc w:val="both"/>
        <w:rPr>
          <w:rFonts w:eastAsia="標楷體"/>
          <w:sz w:val="36"/>
        </w:rPr>
      </w:pPr>
      <w:r w:rsidRPr="00E255A1">
        <w:rPr>
          <w:rFonts w:eastAsia="標楷體" w:hint="eastAsia"/>
          <w:sz w:val="36"/>
          <w:szCs w:val="36"/>
        </w:rPr>
        <w:t>110</w:t>
      </w:r>
      <w:r w:rsidR="00AE1C07" w:rsidRPr="00E255A1">
        <w:rPr>
          <w:rFonts w:eastAsia="標楷體"/>
          <w:sz w:val="36"/>
          <w:szCs w:val="36"/>
        </w:rPr>
        <w:t>年</w:t>
      </w:r>
      <w:r w:rsidR="00642E60">
        <w:rPr>
          <w:rFonts w:eastAsia="標楷體" w:hint="eastAsia"/>
          <w:sz w:val="36"/>
          <w:szCs w:val="36"/>
        </w:rPr>
        <w:t>1-7</w:t>
      </w:r>
      <w:r w:rsidR="00A82352" w:rsidRPr="00E255A1">
        <w:rPr>
          <w:rFonts w:eastAsia="標楷體" w:hint="eastAsia"/>
          <w:sz w:val="36"/>
          <w:szCs w:val="36"/>
        </w:rPr>
        <w:t>月</w:t>
      </w:r>
      <w:r w:rsidR="004C5877" w:rsidRPr="00E255A1">
        <w:rPr>
          <w:rFonts w:eastAsia="標楷體"/>
          <w:sz w:val="36"/>
          <w:szCs w:val="36"/>
        </w:rPr>
        <w:t>申</w:t>
      </w:r>
      <w:r w:rsidR="00592BA8" w:rsidRPr="00E255A1">
        <w:rPr>
          <w:rFonts w:eastAsia="標楷體" w:hint="eastAsia"/>
          <w:sz w:val="36"/>
          <w:szCs w:val="36"/>
        </w:rPr>
        <w:t>請</w:t>
      </w:r>
      <w:r w:rsidR="00592BA8" w:rsidRPr="00E255A1">
        <w:rPr>
          <w:rFonts w:ascii="標楷體" w:eastAsia="標楷體" w:hAnsi="標楷體" w:hint="eastAsia"/>
          <w:sz w:val="36"/>
        </w:rPr>
        <w:t>（報）</w:t>
      </w:r>
      <w:r w:rsidR="004C5877" w:rsidRPr="00E255A1">
        <w:rPr>
          <w:rFonts w:eastAsia="標楷體"/>
          <w:sz w:val="36"/>
        </w:rPr>
        <w:t>對外投資案件，若以地區觀之，以</w:t>
      </w:r>
      <w:r w:rsidR="00566445" w:rsidRPr="00E255A1">
        <w:rPr>
          <w:rFonts w:eastAsia="標楷體" w:hint="eastAsia"/>
          <w:sz w:val="36"/>
        </w:rPr>
        <w:t>新加坡</w:t>
      </w:r>
      <w:r w:rsidR="00086C2E" w:rsidRPr="00E255A1">
        <w:rPr>
          <w:rFonts w:eastAsia="標楷體"/>
          <w:sz w:val="36"/>
        </w:rPr>
        <w:t>美金</w:t>
      </w:r>
      <w:r w:rsidR="00642E60">
        <w:rPr>
          <w:rFonts w:eastAsia="標楷體" w:hint="eastAsia"/>
          <w:sz w:val="36"/>
        </w:rPr>
        <w:t>36</w:t>
      </w:r>
      <w:r w:rsidR="00086C2E" w:rsidRPr="00E255A1">
        <w:rPr>
          <w:rFonts w:eastAsia="標楷體" w:hint="eastAsia"/>
          <w:sz w:val="36"/>
        </w:rPr>
        <w:t>億</w:t>
      </w:r>
      <w:r w:rsidR="00642E60">
        <w:rPr>
          <w:rFonts w:eastAsia="標楷體" w:hint="eastAsia"/>
          <w:sz w:val="36"/>
        </w:rPr>
        <w:t>6,135</w:t>
      </w:r>
      <w:r w:rsidR="00086C2E" w:rsidRPr="00E255A1">
        <w:rPr>
          <w:rFonts w:eastAsia="標楷體"/>
          <w:sz w:val="36"/>
        </w:rPr>
        <w:t>萬</w:t>
      </w:r>
      <w:r w:rsidR="00566445" w:rsidRPr="00E255A1">
        <w:rPr>
          <w:rFonts w:eastAsia="標楷體" w:hint="eastAsia"/>
          <w:sz w:val="36"/>
        </w:rPr>
        <w:t>3</w:t>
      </w:r>
      <w:r w:rsidR="00753202" w:rsidRPr="00E255A1">
        <w:rPr>
          <w:rFonts w:eastAsia="標楷體" w:hint="eastAsia"/>
          <w:sz w:val="36"/>
        </w:rPr>
        <w:t>,000</w:t>
      </w:r>
      <w:r w:rsidR="00086C2E" w:rsidRPr="00E255A1">
        <w:rPr>
          <w:rFonts w:eastAsia="標楷體"/>
          <w:sz w:val="36"/>
        </w:rPr>
        <w:t>元</w:t>
      </w:r>
      <w:proofErr w:type="gramStart"/>
      <w:r w:rsidR="00086C2E" w:rsidRPr="00E255A1">
        <w:rPr>
          <w:rFonts w:eastAsia="標楷體"/>
          <w:sz w:val="36"/>
        </w:rPr>
        <w:t>（</w:t>
      </w:r>
      <w:proofErr w:type="gramEnd"/>
      <w:r w:rsidR="00086C2E" w:rsidRPr="00E255A1">
        <w:rPr>
          <w:rFonts w:eastAsia="標楷體" w:hint="eastAsia"/>
          <w:sz w:val="36"/>
          <w:szCs w:val="36"/>
        </w:rPr>
        <w:t>折</w:t>
      </w:r>
      <w:r w:rsidR="00086C2E" w:rsidRPr="00F24717">
        <w:rPr>
          <w:rFonts w:eastAsia="標楷體" w:hint="eastAsia"/>
          <w:sz w:val="36"/>
          <w:szCs w:val="36"/>
        </w:rPr>
        <w:t>合新臺幣</w:t>
      </w:r>
      <w:r w:rsidR="00F24717" w:rsidRPr="00F24717">
        <w:rPr>
          <w:rFonts w:eastAsia="標楷體" w:hint="eastAsia"/>
          <w:sz w:val="36"/>
          <w:szCs w:val="36"/>
        </w:rPr>
        <w:t>1,098</w:t>
      </w:r>
      <w:r w:rsidR="00086C2E" w:rsidRPr="00F24717">
        <w:rPr>
          <w:rFonts w:eastAsia="標楷體" w:hint="eastAsia"/>
          <w:sz w:val="36"/>
          <w:szCs w:val="36"/>
        </w:rPr>
        <w:t>億</w:t>
      </w:r>
      <w:r w:rsidR="00F24717" w:rsidRPr="00F24717">
        <w:rPr>
          <w:rFonts w:eastAsia="標楷體" w:hint="eastAsia"/>
          <w:sz w:val="36"/>
          <w:szCs w:val="36"/>
        </w:rPr>
        <w:t>4,059</w:t>
      </w:r>
      <w:r w:rsidR="00086C2E" w:rsidRPr="00F24717">
        <w:rPr>
          <w:rFonts w:eastAsia="標楷體" w:hint="eastAsia"/>
          <w:sz w:val="36"/>
          <w:szCs w:val="36"/>
        </w:rPr>
        <w:t>萬元；</w:t>
      </w:r>
      <w:r w:rsidR="00642E60" w:rsidRPr="00F24717">
        <w:rPr>
          <w:rFonts w:eastAsia="標楷體" w:hint="eastAsia"/>
          <w:sz w:val="36"/>
        </w:rPr>
        <w:t>48.13</w:t>
      </w:r>
      <w:r w:rsidR="00086C2E" w:rsidRPr="00F24717">
        <w:rPr>
          <w:rFonts w:eastAsia="標楷體"/>
          <w:sz w:val="36"/>
        </w:rPr>
        <w:t>%</w:t>
      </w:r>
      <w:proofErr w:type="gramStart"/>
      <w:r w:rsidR="00086C2E" w:rsidRPr="00F24717">
        <w:rPr>
          <w:rFonts w:eastAsia="標楷體"/>
          <w:sz w:val="36"/>
        </w:rPr>
        <w:t>）</w:t>
      </w:r>
      <w:proofErr w:type="gramEnd"/>
      <w:r w:rsidR="00086C2E" w:rsidRPr="00F24717">
        <w:rPr>
          <w:rFonts w:eastAsia="標楷體" w:hint="eastAsia"/>
          <w:sz w:val="36"/>
        </w:rPr>
        <w:t>、</w:t>
      </w:r>
      <w:r w:rsidR="00566445" w:rsidRPr="00F24717">
        <w:rPr>
          <w:rFonts w:eastAsia="標楷體" w:hint="eastAsia"/>
          <w:sz w:val="36"/>
        </w:rPr>
        <w:t>越南</w:t>
      </w:r>
      <w:r w:rsidR="004164DB" w:rsidRPr="00F24717">
        <w:rPr>
          <w:rFonts w:eastAsia="標楷體"/>
          <w:sz w:val="36"/>
        </w:rPr>
        <w:t>美金</w:t>
      </w:r>
      <w:r w:rsidR="00566445" w:rsidRPr="00F24717">
        <w:rPr>
          <w:rFonts w:eastAsia="標楷體" w:hint="eastAsia"/>
          <w:sz w:val="36"/>
        </w:rPr>
        <w:t>7</w:t>
      </w:r>
      <w:r w:rsidR="00781796" w:rsidRPr="00F24717">
        <w:rPr>
          <w:rFonts w:eastAsia="標楷體" w:hint="eastAsia"/>
          <w:sz w:val="36"/>
        </w:rPr>
        <w:t>億</w:t>
      </w:r>
      <w:r w:rsidR="00642E60" w:rsidRPr="00F24717">
        <w:rPr>
          <w:rFonts w:eastAsia="標楷體" w:hint="eastAsia"/>
          <w:sz w:val="36"/>
        </w:rPr>
        <w:t>5,960</w:t>
      </w:r>
      <w:r w:rsidR="004164DB" w:rsidRPr="00F24717">
        <w:rPr>
          <w:rFonts w:eastAsia="標楷體"/>
          <w:sz w:val="36"/>
        </w:rPr>
        <w:t>萬</w:t>
      </w:r>
      <w:r w:rsidR="00566445" w:rsidRPr="00F24717">
        <w:rPr>
          <w:rFonts w:eastAsia="標楷體" w:hint="eastAsia"/>
          <w:sz w:val="36"/>
        </w:rPr>
        <w:t>6,0</w:t>
      </w:r>
      <w:r w:rsidR="00566445" w:rsidRPr="00E255A1">
        <w:rPr>
          <w:rFonts w:eastAsia="標楷體" w:hint="eastAsia"/>
          <w:sz w:val="36"/>
        </w:rPr>
        <w:t>00</w:t>
      </w:r>
      <w:r w:rsidR="004164DB" w:rsidRPr="00E255A1">
        <w:rPr>
          <w:rFonts w:eastAsia="標楷體"/>
          <w:sz w:val="36"/>
        </w:rPr>
        <w:t>元</w:t>
      </w:r>
      <w:proofErr w:type="gramStart"/>
      <w:r w:rsidR="004164DB" w:rsidRPr="00E255A1">
        <w:rPr>
          <w:rFonts w:eastAsia="標楷體"/>
          <w:sz w:val="36"/>
        </w:rPr>
        <w:t>（</w:t>
      </w:r>
      <w:proofErr w:type="gramEnd"/>
      <w:r w:rsidR="00985147" w:rsidRPr="00F24717">
        <w:rPr>
          <w:rFonts w:eastAsia="標楷體" w:hint="eastAsia"/>
          <w:sz w:val="36"/>
          <w:szCs w:val="36"/>
        </w:rPr>
        <w:t>折合新臺幣</w:t>
      </w:r>
      <w:r w:rsidR="00F24717" w:rsidRPr="00F24717">
        <w:rPr>
          <w:rFonts w:eastAsia="標楷體" w:hint="eastAsia"/>
          <w:sz w:val="36"/>
          <w:szCs w:val="36"/>
        </w:rPr>
        <w:lastRenderedPageBreak/>
        <w:t>227</w:t>
      </w:r>
      <w:r w:rsidR="00985147" w:rsidRPr="00F24717">
        <w:rPr>
          <w:rFonts w:eastAsia="標楷體" w:hint="eastAsia"/>
          <w:sz w:val="36"/>
          <w:szCs w:val="36"/>
        </w:rPr>
        <w:t>億</w:t>
      </w:r>
      <w:r w:rsidR="00F24717" w:rsidRPr="00F24717">
        <w:rPr>
          <w:rFonts w:eastAsia="標楷體" w:hint="eastAsia"/>
          <w:sz w:val="36"/>
          <w:szCs w:val="36"/>
        </w:rPr>
        <w:t>8,818</w:t>
      </w:r>
      <w:r w:rsidR="00985147" w:rsidRPr="00F24717">
        <w:rPr>
          <w:rFonts w:eastAsia="標楷體" w:hint="eastAsia"/>
          <w:sz w:val="36"/>
          <w:szCs w:val="36"/>
        </w:rPr>
        <w:t>萬元；</w:t>
      </w:r>
      <w:r w:rsidR="00642E60" w:rsidRPr="00F24717">
        <w:rPr>
          <w:rFonts w:eastAsia="標楷體" w:hint="eastAsia"/>
          <w:sz w:val="36"/>
        </w:rPr>
        <w:t>9.98</w:t>
      </w:r>
      <w:r w:rsidR="004164DB" w:rsidRPr="00F24717">
        <w:rPr>
          <w:rFonts w:eastAsia="標楷體"/>
          <w:sz w:val="36"/>
        </w:rPr>
        <w:t>%</w:t>
      </w:r>
      <w:proofErr w:type="gramStart"/>
      <w:r w:rsidR="004164DB" w:rsidRPr="00F24717">
        <w:rPr>
          <w:rFonts w:eastAsia="標楷體"/>
          <w:sz w:val="36"/>
        </w:rPr>
        <w:t>）</w:t>
      </w:r>
      <w:proofErr w:type="gramEnd"/>
      <w:r w:rsidR="004164DB" w:rsidRPr="00AD57A3">
        <w:rPr>
          <w:rFonts w:eastAsia="標楷體" w:hint="eastAsia"/>
          <w:sz w:val="36"/>
        </w:rPr>
        <w:t>、</w:t>
      </w:r>
      <w:r w:rsidR="00642E60" w:rsidRPr="00AD57A3">
        <w:rPr>
          <w:rFonts w:eastAsia="標楷體"/>
          <w:sz w:val="36"/>
        </w:rPr>
        <w:t>加勒比海英國屬地美金</w:t>
      </w:r>
      <w:r w:rsidR="00D85071" w:rsidRPr="00AD57A3">
        <w:rPr>
          <w:rFonts w:eastAsia="標楷體" w:hint="eastAsia"/>
          <w:sz w:val="36"/>
        </w:rPr>
        <w:t>6</w:t>
      </w:r>
      <w:r w:rsidR="00642E60" w:rsidRPr="00AD57A3">
        <w:rPr>
          <w:rFonts w:eastAsia="標楷體"/>
          <w:sz w:val="36"/>
        </w:rPr>
        <w:t>億</w:t>
      </w:r>
      <w:r w:rsidR="00D85071" w:rsidRPr="00AD57A3">
        <w:rPr>
          <w:rFonts w:eastAsia="標楷體" w:hint="eastAsia"/>
          <w:sz w:val="36"/>
        </w:rPr>
        <w:t>1,187</w:t>
      </w:r>
      <w:r w:rsidR="00642E60" w:rsidRPr="00AD57A3">
        <w:rPr>
          <w:rFonts w:eastAsia="標楷體"/>
          <w:sz w:val="36"/>
        </w:rPr>
        <w:t>萬</w:t>
      </w:r>
      <w:r w:rsidR="00D85071" w:rsidRPr="00AD57A3">
        <w:rPr>
          <w:rFonts w:eastAsia="標楷體" w:hint="eastAsia"/>
          <w:sz w:val="36"/>
        </w:rPr>
        <w:t>1</w:t>
      </w:r>
      <w:r w:rsidR="00642E60" w:rsidRPr="00AD57A3">
        <w:rPr>
          <w:rFonts w:eastAsia="標楷體" w:hint="eastAsia"/>
          <w:sz w:val="36"/>
        </w:rPr>
        <w:t>,000</w:t>
      </w:r>
      <w:r w:rsidR="00642E60" w:rsidRPr="00AD57A3">
        <w:rPr>
          <w:rFonts w:eastAsia="標楷體"/>
          <w:sz w:val="36"/>
        </w:rPr>
        <w:t>元</w:t>
      </w:r>
      <w:proofErr w:type="gramStart"/>
      <w:r w:rsidR="00642E60" w:rsidRPr="00AD57A3">
        <w:rPr>
          <w:rFonts w:eastAsia="標楷體"/>
          <w:sz w:val="36"/>
        </w:rPr>
        <w:t>（</w:t>
      </w:r>
      <w:proofErr w:type="gramEnd"/>
      <w:r w:rsidR="00642E60" w:rsidRPr="00AD57A3">
        <w:rPr>
          <w:rFonts w:eastAsia="標楷體" w:hint="eastAsia"/>
          <w:sz w:val="36"/>
        </w:rPr>
        <w:t>折合新臺幣</w:t>
      </w:r>
      <w:r w:rsidR="00AD57A3" w:rsidRPr="00AD57A3">
        <w:rPr>
          <w:rFonts w:eastAsia="標楷體" w:hint="eastAsia"/>
          <w:sz w:val="36"/>
        </w:rPr>
        <w:t>183</w:t>
      </w:r>
      <w:r w:rsidR="00642E60" w:rsidRPr="00AD57A3">
        <w:rPr>
          <w:rFonts w:eastAsia="標楷體" w:hint="eastAsia"/>
          <w:sz w:val="36"/>
        </w:rPr>
        <w:t>億</w:t>
      </w:r>
      <w:r w:rsidR="00AD57A3" w:rsidRPr="00AD57A3">
        <w:rPr>
          <w:rFonts w:eastAsia="標楷體" w:hint="eastAsia"/>
          <w:sz w:val="36"/>
        </w:rPr>
        <w:t>5,613</w:t>
      </w:r>
      <w:r w:rsidR="00642E60" w:rsidRPr="00AD57A3">
        <w:rPr>
          <w:rFonts w:eastAsia="標楷體" w:hint="eastAsia"/>
          <w:sz w:val="36"/>
        </w:rPr>
        <w:t>萬元；</w:t>
      </w:r>
      <w:r w:rsidR="00D85071" w:rsidRPr="00AD57A3">
        <w:rPr>
          <w:rFonts w:eastAsia="標楷體" w:hint="eastAsia"/>
          <w:sz w:val="36"/>
        </w:rPr>
        <w:t>8.04</w:t>
      </w:r>
      <w:r w:rsidR="00642E60" w:rsidRPr="00AD57A3">
        <w:rPr>
          <w:rFonts w:eastAsia="標楷體" w:hint="eastAsia"/>
          <w:sz w:val="36"/>
        </w:rPr>
        <w:t>%</w:t>
      </w:r>
      <w:r w:rsidR="00642E60" w:rsidRPr="00AD57A3">
        <w:rPr>
          <w:rFonts w:eastAsia="標楷體" w:hint="eastAsia"/>
          <w:sz w:val="36"/>
        </w:rPr>
        <w:t>，</w:t>
      </w:r>
      <w:r w:rsidR="00642E60" w:rsidRPr="00D85071">
        <w:rPr>
          <w:rFonts w:eastAsia="標楷體"/>
          <w:sz w:val="36"/>
        </w:rPr>
        <w:t>主要為英屬</w:t>
      </w:r>
      <w:r w:rsidR="00642E60" w:rsidRPr="00D85071">
        <w:rPr>
          <w:rFonts w:eastAsia="標楷體" w:hint="eastAsia"/>
          <w:sz w:val="36"/>
        </w:rPr>
        <w:t>開</w:t>
      </w:r>
      <w:proofErr w:type="gramStart"/>
      <w:r w:rsidR="00642E60" w:rsidRPr="00D85071">
        <w:rPr>
          <w:rFonts w:eastAsia="標楷體" w:hint="eastAsia"/>
          <w:sz w:val="36"/>
        </w:rPr>
        <w:t>曼</w:t>
      </w:r>
      <w:proofErr w:type="gramEnd"/>
      <w:r w:rsidR="00642E60" w:rsidRPr="00D85071">
        <w:rPr>
          <w:rFonts w:eastAsia="標楷體"/>
          <w:sz w:val="36"/>
        </w:rPr>
        <w:t>群島</w:t>
      </w:r>
      <w:r w:rsidR="00642E60" w:rsidRPr="00D85071">
        <w:rPr>
          <w:rFonts w:eastAsia="標楷體" w:hint="eastAsia"/>
          <w:sz w:val="36"/>
        </w:rPr>
        <w:t>、</w:t>
      </w:r>
      <w:r w:rsidR="00642E60" w:rsidRPr="00D85071">
        <w:rPr>
          <w:rFonts w:eastAsia="標楷體"/>
          <w:sz w:val="36"/>
        </w:rPr>
        <w:t>英屬</w:t>
      </w:r>
      <w:r w:rsidR="00642E60" w:rsidRPr="00D85071">
        <w:rPr>
          <w:rFonts w:eastAsia="標楷體" w:hint="eastAsia"/>
          <w:sz w:val="36"/>
        </w:rPr>
        <w:t>維京</w:t>
      </w:r>
      <w:r w:rsidR="00642E60" w:rsidRPr="00D85071">
        <w:rPr>
          <w:rFonts w:eastAsia="標楷體"/>
          <w:sz w:val="36"/>
        </w:rPr>
        <w:t>群島</w:t>
      </w:r>
      <w:proofErr w:type="gramStart"/>
      <w:r w:rsidR="00642E60" w:rsidRPr="00D85071">
        <w:rPr>
          <w:rFonts w:eastAsia="標楷體"/>
          <w:sz w:val="36"/>
        </w:rPr>
        <w:t>）</w:t>
      </w:r>
      <w:proofErr w:type="gramEnd"/>
      <w:r w:rsidR="00D85071" w:rsidRPr="00E255A1">
        <w:rPr>
          <w:rFonts w:eastAsia="標楷體" w:hint="eastAsia"/>
          <w:sz w:val="36"/>
        </w:rPr>
        <w:t>、</w:t>
      </w:r>
      <w:r w:rsidR="00566445" w:rsidRPr="00E255A1">
        <w:rPr>
          <w:rFonts w:eastAsia="標楷體" w:hint="eastAsia"/>
          <w:sz w:val="36"/>
        </w:rPr>
        <w:t>百</w:t>
      </w:r>
      <w:r w:rsidR="00566445" w:rsidRPr="00D85071">
        <w:rPr>
          <w:rFonts w:eastAsia="標楷體" w:hint="eastAsia"/>
          <w:sz w:val="36"/>
        </w:rPr>
        <w:t>慕達</w:t>
      </w:r>
      <w:r w:rsidR="00D53E0C" w:rsidRPr="00E255A1">
        <w:rPr>
          <w:rFonts w:eastAsia="標楷體"/>
          <w:sz w:val="36"/>
        </w:rPr>
        <w:t>美金</w:t>
      </w:r>
      <w:r w:rsidR="00566445" w:rsidRPr="00E255A1">
        <w:rPr>
          <w:rFonts w:eastAsia="標楷體" w:hint="eastAsia"/>
          <w:sz w:val="36"/>
        </w:rPr>
        <w:t>5</w:t>
      </w:r>
      <w:r w:rsidR="00D53E0C" w:rsidRPr="00E255A1">
        <w:rPr>
          <w:rFonts w:eastAsia="標楷體" w:hint="eastAsia"/>
          <w:sz w:val="36"/>
        </w:rPr>
        <w:t>億</w:t>
      </w:r>
      <w:r w:rsidR="00566445" w:rsidRPr="00E255A1">
        <w:rPr>
          <w:rFonts w:eastAsia="標楷體" w:hint="eastAsia"/>
          <w:sz w:val="36"/>
        </w:rPr>
        <w:t>4,500</w:t>
      </w:r>
      <w:r w:rsidR="00D53E0C" w:rsidRPr="00E255A1">
        <w:rPr>
          <w:rFonts w:eastAsia="標楷體"/>
          <w:sz w:val="36"/>
        </w:rPr>
        <w:t>萬元</w:t>
      </w:r>
      <w:proofErr w:type="gramStart"/>
      <w:r w:rsidR="00D53E0C" w:rsidRPr="00E255A1">
        <w:rPr>
          <w:rFonts w:eastAsia="標楷體"/>
          <w:sz w:val="36"/>
        </w:rPr>
        <w:t>（</w:t>
      </w:r>
      <w:proofErr w:type="gramEnd"/>
      <w:r w:rsidR="00D53E0C" w:rsidRPr="00E255A1">
        <w:rPr>
          <w:rFonts w:eastAsia="標楷體" w:hint="eastAsia"/>
          <w:sz w:val="36"/>
          <w:szCs w:val="36"/>
        </w:rPr>
        <w:t>折合新臺幣</w:t>
      </w:r>
      <w:r w:rsidR="005B29F7" w:rsidRPr="00E255A1">
        <w:rPr>
          <w:rFonts w:eastAsia="標楷體" w:hint="eastAsia"/>
          <w:sz w:val="36"/>
          <w:szCs w:val="36"/>
        </w:rPr>
        <w:t>163</w:t>
      </w:r>
      <w:r w:rsidR="00D53E0C" w:rsidRPr="00E255A1">
        <w:rPr>
          <w:rFonts w:eastAsia="標楷體" w:hint="eastAsia"/>
          <w:sz w:val="36"/>
          <w:szCs w:val="36"/>
        </w:rPr>
        <w:t>億</w:t>
      </w:r>
      <w:r w:rsidR="005B29F7" w:rsidRPr="00E255A1">
        <w:rPr>
          <w:rFonts w:eastAsia="標楷體" w:hint="eastAsia"/>
          <w:sz w:val="36"/>
          <w:szCs w:val="36"/>
        </w:rPr>
        <w:t>5,000</w:t>
      </w:r>
      <w:r w:rsidR="00D53E0C" w:rsidRPr="00E255A1">
        <w:rPr>
          <w:rFonts w:eastAsia="標楷體" w:hint="eastAsia"/>
          <w:sz w:val="36"/>
          <w:szCs w:val="36"/>
        </w:rPr>
        <w:t>萬元；</w:t>
      </w:r>
      <w:r w:rsidR="00D85071">
        <w:rPr>
          <w:rFonts w:eastAsia="標楷體" w:hint="eastAsia"/>
          <w:sz w:val="36"/>
        </w:rPr>
        <w:t>7.16</w:t>
      </w:r>
      <w:r w:rsidR="00D53E0C" w:rsidRPr="00E255A1">
        <w:rPr>
          <w:rFonts w:eastAsia="標楷體"/>
          <w:sz w:val="36"/>
        </w:rPr>
        <w:t>％</w:t>
      </w:r>
      <w:proofErr w:type="gramStart"/>
      <w:r w:rsidR="008107F4">
        <w:rPr>
          <w:rFonts w:eastAsia="標楷體" w:hint="eastAsia"/>
          <w:sz w:val="36"/>
        </w:rPr>
        <w:t>）</w:t>
      </w:r>
      <w:proofErr w:type="gramEnd"/>
      <w:r w:rsidR="00D85071">
        <w:rPr>
          <w:rFonts w:eastAsia="標楷體" w:hint="eastAsia"/>
          <w:sz w:val="36"/>
        </w:rPr>
        <w:t>及</w:t>
      </w:r>
      <w:r w:rsidR="00566445" w:rsidRPr="00E255A1">
        <w:rPr>
          <w:rFonts w:eastAsia="標楷體" w:hint="eastAsia"/>
          <w:sz w:val="36"/>
        </w:rPr>
        <w:t>韓國</w:t>
      </w:r>
      <w:r w:rsidR="00074F5E" w:rsidRPr="00E255A1">
        <w:rPr>
          <w:rFonts w:eastAsia="標楷體"/>
          <w:sz w:val="36"/>
        </w:rPr>
        <w:t>美金</w:t>
      </w:r>
      <w:r w:rsidR="00566445" w:rsidRPr="00E255A1">
        <w:rPr>
          <w:rFonts w:eastAsia="標楷體" w:hint="eastAsia"/>
          <w:sz w:val="36"/>
        </w:rPr>
        <w:t>4</w:t>
      </w:r>
      <w:r w:rsidR="004C5F69" w:rsidRPr="00E255A1">
        <w:rPr>
          <w:rFonts w:eastAsia="標楷體" w:hint="eastAsia"/>
          <w:sz w:val="36"/>
        </w:rPr>
        <w:t>億</w:t>
      </w:r>
      <w:r w:rsidR="00566445" w:rsidRPr="00E255A1">
        <w:rPr>
          <w:rFonts w:eastAsia="標楷體" w:hint="eastAsia"/>
          <w:sz w:val="36"/>
        </w:rPr>
        <w:t>2,207</w:t>
      </w:r>
      <w:r w:rsidR="00074F5E" w:rsidRPr="00E255A1">
        <w:rPr>
          <w:rFonts w:eastAsia="標楷體"/>
          <w:sz w:val="36"/>
        </w:rPr>
        <w:t>萬</w:t>
      </w:r>
      <w:r w:rsidR="00566445" w:rsidRPr="00E255A1">
        <w:rPr>
          <w:rFonts w:eastAsia="標楷體" w:hint="eastAsia"/>
          <w:sz w:val="36"/>
        </w:rPr>
        <w:t>7</w:t>
      </w:r>
      <w:r w:rsidR="00781796" w:rsidRPr="00E255A1">
        <w:rPr>
          <w:rFonts w:eastAsia="標楷體" w:hint="eastAsia"/>
          <w:sz w:val="36"/>
        </w:rPr>
        <w:t>,000</w:t>
      </w:r>
      <w:r w:rsidR="00074F5E" w:rsidRPr="00E255A1">
        <w:rPr>
          <w:rFonts w:eastAsia="標楷體"/>
          <w:sz w:val="36"/>
        </w:rPr>
        <w:t>元</w:t>
      </w:r>
      <w:proofErr w:type="gramStart"/>
      <w:r w:rsidR="00074F5E" w:rsidRPr="00E255A1">
        <w:rPr>
          <w:rFonts w:eastAsia="標楷體"/>
          <w:sz w:val="36"/>
        </w:rPr>
        <w:t>（</w:t>
      </w:r>
      <w:proofErr w:type="gramEnd"/>
      <w:r w:rsidR="00074F5E" w:rsidRPr="00E255A1">
        <w:rPr>
          <w:rFonts w:eastAsia="標楷體" w:hint="eastAsia"/>
          <w:sz w:val="36"/>
          <w:szCs w:val="36"/>
        </w:rPr>
        <w:t>折合新臺幣</w:t>
      </w:r>
      <w:r w:rsidR="005B29F7" w:rsidRPr="00E255A1">
        <w:rPr>
          <w:rFonts w:eastAsia="標楷體" w:hint="eastAsia"/>
          <w:sz w:val="36"/>
        </w:rPr>
        <w:t>126</w:t>
      </w:r>
      <w:r w:rsidR="000753A7" w:rsidRPr="00E255A1">
        <w:rPr>
          <w:rFonts w:eastAsia="標楷體" w:hint="eastAsia"/>
          <w:sz w:val="36"/>
        </w:rPr>
        <w:t>億</w:t>
      </w:r>
      <w:r w:rsidR="005B29F7" w:rsidRPr="00E255A1">
        <w:rPr>
          <w:rFonts w:eastAsia="標楷體" w:hint="eastAsia"/>
          <w:sz w:val="36"/>
        </w:rPr>
        <w:t>6,231</w:t>
      </w:r>
      <w:r w:rsidR="000753A7" w:rsidRPr="00E255A1">
        <w:rPr>
          <w:rFonts w:eastAsia="標楷體"/>
          <w:sz w:val="36"/>
        </w:rPr>
        <w:t>萬元</w:t>
      </w:r>
      <w:r w:rsidR="00074F5E" w:rsidRPr="00E255A1">
        <w:rPr>
          <w:rFonts w:eastAsia="標楷體" w:hint="eastAsia"/>
          <w:sz w:val="36"/>
          <w:szCs w:val="36"/>
        </w:rPr>
        <w:t>；</w:t>
      </w:r>
      <w:r w:rsidR="00D85071">
        <w:rPr>
          <w:rFonts w:eastAsia="標楷體" w:hint="eastAsia"/>
          <w:sz w:val="36"/>
        </w:rPr>
        <w:t>5.55</w:t>
      </w:r>
      <w:r w:rsidR="000753A7" w:rsidRPr="00E255A1">
        <w:rPr>
          <w:rFonts w:eastAsia="標楷體"/>
          <w:sz w:val="36"/>
        </w:rPr>
        <w:t>％</w:t>
      </w:r>
      <w:proofErr w:type="gramStart"/>
      <w:r w:rsidR="002553FC" w:rsidRPr="00E255A1">
        <w:rPr>
          <w:rFonts w:eastAsia="標楷體" w:hint="eastAsia"/>
          <w:sz w:val="36"/>
        </w:rPr>
        <w:t>）</w:t>
      </w:r>
      <w:proofErr w:type="gramEnd"/>
      <w:r w:rsidR="004C5877" w:rsidRPr="00E255A1">
        <w:rPr>
          <w:rFonts w:eastAsia="標楷體"/>
          <w:sz w:val="36"/>
        </w:rPr>
        <w:t>分居前</w:t>
      </w:r>
      <w:r w:rsidR="004C5877" w:rsidRPr="00E255A1">
        <w:rPr>
          <w:rFonts w:eastAsia="標楷體"/>
          <w:sz w:val="36"/>
        </w:rPr>
        <w:t>5</w:t>
      </w:r>
      <w:r w:rsidR="004C5877" w:rsidRPr="00E255A1">
        <w:rPr>
          <w:rFonts w:eastAsia="標楷體"/>
          <w:sz w:val="36"/>
        </w:rPr>
        <w:t>名，合計</w:t>
      </w:r>
      <w:proofErr w:type="gramStart"/>
      <w:r w:rsidR="004C5877" w:rsidRPr="00E255A1">
        <w:rPr>
          <w:rFonts w:eastAsia="標楷體"/>
          <w:sz w:val="36"/>
        </w:rPr>
        <w:t>約占本期</w:t>
      </w:r>
      <w:proofErr w:type="gramEnd"/>
      <w:r w:rsidR="004C5877" w:rsidRPr="00E255A1">
        <w:rPr>
          <w:rFonts w:eastAsia="標楷體"/>
          <w:sz w:val="36"/>
        </w:rPr>
        <w:t>申報對外投資總額的</w:t>
      </w:r>
      <w:r w:rsidR="00F24717">
        <w:rPr>
          <w:rFonts w:eastAsia="標楷體" w:hint="eastAsia"/>
          <w:sz w:val="36"/>
        </w:rPr>
        <w:t>78.86</w:t>
      </w:r>
      <w:r w:rsidR="004C5877" w:rsidRPr="00E255A1">
        <w:rPr>
          <w:rFonts w:eastAsia="標楷體"/>
          <w:sz w:val="36"/>
        </w:rPr>
        <w:t>% (</w:t>
      </w:r>
      <w:r w:rsidR="004C5877" w:rsidRPr="00E255A1">
        <w:rPr>
          <w:rFonts w:eastAsia="標楷體"/>
          <w:sz w:val="36"/>
        </w:rPr>
        <w:t>請參閱表</w:t>
      </w:r>
      <w:r w:rsidR="004C5877" w:rsidRPr="00E255A1">
        <w:rPr>
          <w:rFonts w:eastAsia="標楷體"/>
          <w:sz w:val="36"/>
        </w:rPr>
        <w:t>3-2)</w:t>
      </w:r>
      <w:r w:rsidR="004C5877" w:rsidRPr="00E255A1">
        <w:rPr>
          <w:rFonts w:eastAsia="標楷體"/>
          <w:sz w:val="36"/>
        </w:rPr>
        <w:t>；另就業別而言，以</w:t>
      </w:r>
      <w:r w:rsidR="00435D45" w:rsidRPr="00E255A1">
        <w:rPr>
          <w:rFonts w:eastAsia="標楷體"/>
          <w:sz w:val="36"/>
        </w:rPr>
        <w:t>金融及保險業</w:t>
      </w:r>
      <w:r w:rsidR="004C5877" w:rsidRPr="00E255A1">
        <w:rPr>
          <w:rFonts w:eastAsia="標楷體"/>
          <w:sz w:val="36"/>
        </w:rPr>
        <w:t>美金</w:t>
      </w:r>
      <w:r w:rsidR="004A1B27">
        <w:rPr>
          <w:rFonts w:eastAsia="標楷體" w:hint="eastAsia"/>
          <w:sz w:val="36"/>
        </w:rPr>
        <w:t>35</w:t>
      </w:r>
      <w:r w:rsidR="004C5877" w:rsidRPr="00E255A1">
        <w:rPr>
          <w:rFonts w:eastAsia="標楷體"/>
          <w:sz w:val="36"/>
        </w:rPr>
        <w:t>億</w:t>
      </w:r>
      <w:r w:rsidR="004A1B27">
        <w:rPr>
          <w:rFonts w:eastAsia="標楷體" w:hint="eastAsia"/>
          <w:sz w:val="36"/>
        </w:rPr>
        <w:t>9,810</w:t>
      </w:r>
      <w:r w:rsidR="004C5877" w:rsidRPr="00E255A1">
        <w:rPr>
          <w:rFonts w:eastAsia="標楷體"/>
          <w:sz w:val="36"/>
        </w:rPr>
        <w:t>萬</w:t>
      </w:r>
      <w:r w:rsidR="004A1B27">
        <w:rPr>
          <w:rFonts w:eastAsia="標楷體" w:hint="eastAsia"/>
          <w:sz w:val="36"/>
        </w:rPr>
        <w:t>8</w:t>
      </w:r>
      <w:r w:rsidR="003059FE" w:rsidRPr="00E255A1">
        <w:rPr>
          <w:rFonts w:eastAsia="標楷體" w:hint="eastAsia"/>
          <w:sz w:val="36"/>
        </w:rPr>
        <w:t>,000</w:t>
      </w:r>
      <w:r w:rsidR="004C5877" w:rsidRPr="00E255A1">
        <w:rPr>
          <w:rFonts w:eastAsia="標楷體"/>
          <w:sz w:val="36"/>
        </w:rPr>
        <w:t>元</w:t>
      </w:r>
      <w:proofErr w:type="gramStart"/>
      <w:r w:rsidR="004C5877" w:rsidRPr="00E255A1">
        <w:rPr>
          <w:rFonts w:eastAsia="標楷體"/>
          <w:sz w:val="36"/>
        </w:rPr>
        <w:t>（</w:t>
      </w:r>
      <w:proofErr w:type="gramEnd"/>
      <w:r w:rsidR="00931F9C" w:rsidRPr="00E255A1">
        <w:rPr>
          <w:rFonts w:eastAsia="標楷體" w:hint="eastAsia"/>
          <w:sz w:val="36"/>
          <w:szCs w:val="36"/>
        </w:rPr>
        <w:t>折</w:t>
      </w:r>
      <w:r w:rsidR="00931F9C" w:rsidRPr="00AD57A3">
        <w:rPr>
          <w:rFonts w:eastAsia="標楷體" w:hint="eastAsia"/>
          <w:sz w:val="36"/>
          <w:szCs w:val="36"/>
        </w:rPr>
        <w:t>合新臺幣</w:t>
      </w:r>
      <w:r w:rsidR="00AD57A3" w:rsidRPr="00AD57A3">
        <w:rPr>
          <w:rFonts w:eastAsia="標楷體" w:hint="eastAsia"/>
          <w:sz w:val="36"/>
          <w:szCs w:val="36"/>
        </w:rPr>
        <w:t>1,079</w:t>
      </w:r>
      <w:r w:rsidR="00931F9C" w:rsidRPr="00AD57A3">
        <w:rPr>
          <w:rFonts w:eastAsia="標楷體" w:hint="eastAsia"/>
          <w:sz w:val="36"/>
          <w:szCs w:val="36"/>
        </w:rPr>
        <w:t>億</w:t>
      </w:r>
      <w:r w:rsidR="00AD57A3" w:rsidRPr="00AD57A3">
        <w:rPr>
          <w:rFonts w:eastAsia="標楷體" w:hint="eastAsia"/>
          <w:sz w:val="36"/>
          <w:szCs w:val="36"/>
        </w:rPr>
        <w:t>4,324</w:t>
      </w:r>
      <w:r w:rsidR="00931F9C" w:rsidRPr="00AD57A3">
        <w:rPr>
          <w:rFonts w:eastAsia="標楷體" w:hint="eastAsia"/>
          <w:sz w:val="36"/>
          <w:szCs w:val="36"/>
        </w:rPr>
        <w:t>萬元；</w:t>
      </w:r>
      <w:r w:rsidR="004A1B27" w:rsidRPr="00AD57A3">
        <w:rPr>
          <w:rFonts w:eastAsia="標楷體" w:hint="eastAsia"/>
          <w:sz w:val="36"/>
        </w:rPr>
        <w:t>47.30</w:t>
      </w:r>
      <w:r w:rsidR="004C5877" w:rsidRPr="00AD57A3">
        <w:rPr>
          <w:rFonts w:eastAsia="標楷體"/>
          <w:sz w:val="36"/>
        </w:rPr>
        <w:t>%</w:t>
      </w:r>
      <w:proofErr w:type="gramStart"/>
      <w:r w:rsidR="004C5877" w:rsidRPr="00AD57A3">
        <w:rPr>
          <w:rFonts w:eastAsia="標楷體"/>
          <w:sz w:val="36"/>
        </w:rPr>
        <w:t>）</w:t>
      </w:r>
      <w:proofErr w:type="gramEnd"/>
      <w:r w:rsidR="00C63B16" w:rsidRPr="00AD57A3">
        <w:rPr>
          <w:rFonts w:eastAsia="標楷體"/>
          <w:sz w:val="36"/>
        </w:rPr>
        <w:t>、</w:t>
      </w:r>
      <w:r w:rsidR="004A1B27" w:rsidRPr="00AD57A3">
        <w:rPr>
          <w:rFonts w:eastAsia="標楷體" w:hint="eastAsia"/>
          <w:sz w:val="36"/>
        </w:rPr>
        <w:t>批發及零售</w:t>
      </w:r>
      <w:r w:rsidR="000753A7" w:rsidRPr="00AD57A3">
        <w:rPr>
          <w:rFonts w:eastAsia="標楷體"/>
          <w:sz w:val="36"/>
        </w:rPr>
        <w:t>業</w:t>
      </w:r>
      <w:r w:rsidR="00C63B16" w:rsidRPr="00AD57A3">
        <w:rPr>
          <w:rFonts w:eastAsia="標楷體"/>
          <w:sz w:val="36"/>
        </w:rPr>
        <w:t>美金</w:t>
      </w:r>
      <w:r w:rsidR="004A1B27" w:rsidRPr="00AD57A3">
        <w:rPr>
          <w:rFonts w:eastAsia="標楷體" w:hint="eastAsia"/>
          <w:sz w:val="36"/>
        </w:rPr>
        <w:t>27</w:t>
      </w:r>
      <w:r w:rsidR="00435D45" w:rsidRPr="00AD57A3">
        <w:rPr>
          <w:rFonts w:eastAsia="標楷體"/>
          <w:sz w:val="36"/>
        </w:rPr>
        <w:t>億</w:t>
      </w:r>
      <w:r w:rsidR="004A1B27" w:rsidRPr="00AD57A3">
        <w:rPr>
          <w:rFonts w:eastAsia="標楷體" w:hint="eastAsia"/>
          <w:sz w:val="36"/>
        </w:rPr>
        <w:t>2,167</w:t>
      </w:r>
      <w:r w:rsidR="00C63B16" w:rsidRPr="00AD57A3">
        <w:rPr>
          <w:rFonts w:eastAsia="標楷體"/>
          <w:sz w:val="36"/>
        </w:rPr>
        <w:t>萬</w:t>
      </w:r>
      <w:r w:rsidR="004A1B27" w:rsidRPr="00AD57A3">
        <w:rPr>
          <w:rFonts w:eastAsia="標楷體" w:hint="eastAsia"/>
          <w:sz w:val="36"/>
        </w:rPr>
        <w:t>2</w:t>
      </w:r>
      <w:r w:rsidR="00A1076E" w:rsidRPr="00AD57A3">
        <w:rPr>
          <w:rFonts w:eastAsia="標楷體"/>
          <w:sz w:val="36"/>
        </w:rPr>
        <w:t>,</w:t>
      </w:r>
      <w:r w:rsidR="00A1076E" w:rsidRPr="00AD57A3">
        <w:rPr>
          <w:rFonts w:eastAsia="標楷體" w:hint="eastAsia"/>
          <w:sz w:val="36"/>
        </w:rPr>
        <w:t>000</w:t>
      </w:r>
      <w:r w:rsidR="00C63B16" w:rsidRPr="00AD57A3">
        <w:rPr>
          <w:rFonts w:eastAsia="標楷體"/>
          <w:sz w:val="36"/>
        </w:rPr>
        <w:t>元</w:t>
      </w:r>
      <w:proofErr w:type="gramStart"/>
      <w:r w:rsidR="00C63B16" w:rsidRPr="00AD57A3">
        <w:rPr>
          <w:rFonts w:eastAsia="標楷體"/>
          <w:sz w:val="36"/>
        </w:rPr>
        <w:t>（</w:t>
      </w:r>
      <w:proofErr w:type="gramEnd"/>
      <w:r w:rsidR="00C63B16" w:rsidRPr="00AD57A3">
        <w:rPr>
          <w:rFonts w:eastAsia="標楷體" w:hint="eastAsia"/>
          <w:sz w:val="36"/>
          <w:szCs w:val="36"/>
        </w:rPr>
        <w:t>折合新臺幣</w:t>
      </w:r>
      <w:r w:rsidR="00AD57A3" w:rsidRPr="00AD57A3">
        <w:rPr>
          <w:rFonts w:eastAsia="標楷體" w:hint="eastAsia"/>
          <w:sz w:val="36"/>
          <w:szCs w:val="36"/>
        </w:rPr>
        <w:t>816</w:t>
      </w:r>
      <w:r w:rsidR="00C63B16" w:rsidRPr="00AD57A3">
        <w:rPr>
          <w:rFonts w:eastAsia="標楷體" w:hint="eastAsia"/>
          <w:sz w:val="36"/>
          <w:szCs w:val="36"/>
        </w:rPr>
        <w:t>億</w:t>
      </w:r>
      <w:r w:rsidR="00AD57A3" w:rsidRPr="00AD57A3">
        <w:rPr>
          <w:rFonts w:eastAsia="標楷體" w:hint="eastAsia"/>
          <w:sz w:val="36"/>
          <w:szCs w:val="36"/>
        </w:rPr>
        <w:t>5,016</w:t>
      </w:r>
      <w:r w:rsidR="00C63B16" w:rsidRPr="00AD57A3">
        <w:rPr>
          <w:rFonts w:eastAsia="標楷體" w:hint="eastAsia"/>
          <w:sz w:val="36"/>
          <w:szCs w:val="36"/>
        </w:rPr>
        <w:t>萬元；</w:t>
      </w:r>
      <w:r w:rsidR="004A1B27" w:rsidRPr="00AD57A3">
        <w:rPr>
          <w:rFonts w:eastAsia="標楷體" w:hint="eastAsia"/>
          <w:sz w:val="36"/>
        </w:rPr>
        <w:t>3</w:t>
      </w:r>
      <w:r w:rsidR="004A1B27">
        <w:rPr>
          <w:rFonts w:eastAsia="標楷體" w:hint="eastAsia"/>
          <w:sz w:val="36"/>
        </w:rPr>
        <w:t>5.78</w:t>
      </w:r>
      <w:r w:rsidR="00C63B16" w:rsidRPr="00E255A1">
        <w:rPr>
          <w:rFonts w:eastAsia="標楷體"/>
          <w:sz w:val="36"/>
        </w:rPr>
        <w:t>%</w:t>
      </w:r>
      <w:proofErr w:type="gramStart"/>
      <w:r w:rsidR="00C63B16" w:rsidRPr="00E255A1">
        <w:rPr>
          <w:rFonts w:eastAsia="標楷體"/>
          <w:sz w:val="36"/>
        </w:rPr>
        <w:t>）</w:t>
      </w:r>
      <w:proofErr w:type="gramEnd"/>
      <w:r w:rsidR="004C5877" w:rsidRPr="00E255A1">
        <w:rPr>
          <w:rFonts w:eastAsia="標楷體"/>
          <w:sz w:val="36"/>
        </w:rPr>
        <w:t>、</w:t>
      </w:r>
      <w:r w:rsidR="004A1B27" w:rsidRPr="00E255A1">
        <w:rPr>
          <w:rFonts w:eastAsia="標楷體" w:hint="eastAsia"/>
          <w:sz w:val="36"/>
        </w:rPr>
        <w:t>電子零組件製</w:t>
      </w:r>
      <w:r w:rsidR="001B31BE">
        <w:rPr>
          <w:rFonts w:eastAsia="標楷體" w:hint="eastAsia"/>
          <w:sz w:val="36"/>
        </w:rPr>
        <w:t>造</w:t>
      </w:r>
      <w:r w:rsidR="004A1B27" w:rsidRPr="00E255A1">
        <w:rPr>
          <w:rFonts w:eastAsia="標楷體"/>
          <w:sz w:val="36"/>
        </w:rPr>
        <w:t>業</w:t>
      </w:r>
      <w:r w:rsidR="005F2013" w:rsidRPr="00E255A1">
        <w:rPr>
          <w:rFonts w:eastAsia="標楷體"/>
          <w:sz w:val="36"/>
        </w:rPr>
        <w:t>美金</w:t>
      </w:r>
      <w:r w:rsidR="004A1B27">
        <w:rPr>
          <w:rFonts w:eastAsia="標楷體" w:hint="eastAsia"/>
          <w:sz w:val="36"/>
        </w:rPr>
        <w:t>3</w:t>
      </w:r>
      <w:r w:rsidR="00202763" w:rsidRPr="00E255A1">
        <w:rPr>
          <w:rFonts w:eastAsia="標楷體" w:hint="eastAsia"/>
          <w:sz w:val="36"/>
        </w:rPr>
        <w:t>億</w:t>
      </w:r>
      <w:r w:rsidR="004A1B27">
        <w:rPr>
          <w:rFonts w:eastAsia="標楷體" w:hint="eastAsia"/>
          <w:sz w:val="36"/>
        </w:rPr>
        <w:t>2,865</w:t>
      </w:r>
      <w:r w:rsidR="005F2013" w:rsidRPr="00E255A1">
        <w:rPr>
          <w:rFonts w:eastAsia="標楷體"/>
          <w:sz w:val="36"/>
        </w:rPr>
        <w:t>萬</w:t>
      </w:r>
      <w:r w:rsidR="004A1B27">
        <w:rPr>
          <w:rFonts w:eastAsia="標楷體" w:hint="eastAsia"/>
          <w:sz w:val="36"/>
        </w:rPr>
        <w:t>8</w:t>
      </w:r>
      <w:r w:rsidR="003059FE" w:rsidRPr="00E255A1">
        <w:rPr>
          <w:rFonts w:eastAsia="標楷體" w:hint="eastAsia"/>
          <w:sz w:val="36"/>
        </w:rPr>
        <w:t>,0</w:t>
      </w:r>
      <w:r w:rsidR="003059FE" w:rsidRPr="00AD57A3">
        <w:rPr>
          <w:rFonts w:eastAsia="標楷體" w:hint="eastAsia"/>
          <w:sz w:val="36"/>
        </w:rPr>
        <w:t>00</w:t>
      </w:r>
      <w:r w:rsidR="005F2013" w:rsidRPr="00AD57A3">
        <w:rPr>
          <w:rFonts w:eastAsia="標楷體"/>
          <w:sz w:val="36"/>
        </w:rPr>
        <w:t>元</w:t>
      </w:r>
      <w:proofErr w:type="gramStart"/>
      <w:r w:rsidR="005F2013" w:rsidRPr="00AD57A3">
        <w:rPr>
          <w:rFonts w:eastAsia="標楷體"/>
          <w:sz w:val="36"/>
        </w:rPr>
        <w:t>（</w:t>
      </w:r>
      <w:proofErr w:type="gramEnd"/>
      <w:r w:rsidR="005F2013" w:rsidRPr="00AD57A3">
        <w:rPr>
          <w:rFonts w:eastAsia="標楷體" w:hint="eastAsia"/>
          <w:sz w:val="36"/>
          <w:szCs w:val="36"/>
        </w:rPr>
        <w:t>折合新臺幣</w:t>
      </w:r>
      <w:r w:rsidR="00AD57A3" w:rsidRPr="00AD57A3">
        <w:rPr>
          <w:rFonts w:eastAsia="標楷體" w:hint="eastAsia"/>
          <w:sz w:val="36"/>
          <w:szCs w:val="36"/>
        </w:rPr>
        <w:t>98</w:t>
      </w:r>
      <w:r w:rsidR="005F2013" w:rsidRPr="00AD57A3">
        <w:rPr>
          <w:rFonts w:eastAsia="標楷體" w:hint="eastAsia"/>
          <w:sz w:val="36"/>
          <w:szCs w:val="36"/>
        </w:rPr>
        <w:t>億</w:t>
      </w:r>
      <w:r w:rsidR="00AD57A3" w:rsidRPr="00AD57A3">
        <w:rPr>
          <w:rFonts w:eastAsia="標楷體" w:hint="eastAsia"/>
          <w:sz w:val="36"/>
          <w:szCs w:val="36"/>
        </w:rPr>
        <w:t>5,974</w:t>
      </w:r>
      <w:r w:rsidR="005F2013" w:rsidRPr="00AD57A3">
        <w:rPr>
          <w:rFonts w:eastAsia="標楷體" w:hint="eastAsia"/>
          <w:sz w:val="36"/>
          <w:szCs w:val="36"/>
        </w:rPr>
        <w:t>萬元；</w:t>
      </w:r>
      <w:r w:rsidR="004A1B27" w:rsidRPr="00AD57A3">
        <w:rPr>
          <w:rFonts w:eastAsia="標楷體" w:hint="eastAsia"/>
          <w:sz w:val="36"/>
        </w:rPr>
        <w:t>4.32</w:t>
      </w:r>
      <w:r w:rsidR="005F2013" w:rsidRPr="00AD57A3">
        <w:rPr>
          <w:rFonts w:eastAsia="標楷體"/>
          <w:sz w:val="36"/>
        </w:rPr>
        <w:t>％</w:t>
      </w:r>
      <w:proofErr w:type="gramStart"/>
      <w:r w:rsidR="005F2013" w:rsidRPr="00AD57A3">
        <w:rPr>
          <w:rFonts w:eastAsia="標楷體"/>
          <w:sz w:val="36"/>
        </w:rPr>
        <w:t>）</w:t>
      </w:r>
      <w:proofErr w:type="gramEnd"/>
      <w:r w:rsidR="00521CB2" w:rsidRPr="00AD57A3">
        <w:rPr>
          <w:rFonts w:eastAsia="標楷體"/>
          <w:sz w:val="36"/>
        </w:rPr>
        <w:t>、</w:t>
      </w:r>
      <w:r w:rsidR="004A1B27" w:rsidRPr="00AD57A3">
        <w:rPr>
          <w:rFonts w:eastAsia="標楷體" w:hint="eastAsia"/>
          <w:sz w:val="36"/>
        </w:rPr>
        <w:t>電腦、電子產品及光學製品製造業</w:t>
      </w:r>
      <w:r w:rsidR="00C63B16" w:rsidRPr="00AD57A3">
        <w:rPr>
          <w:rFonts w:eastAsia="標楷體"/>
          <w:sz w:val="36"/>
        </w:rPr>
        <w:t>美金</w:t>
      </w:r>
      <w:r w:rsidR="004A1B27" w:rsidRPr="00AD57A3">
        <w:rPr>
          <w:rFonts w:eastAsia="標楷體" w:hint="eastAsia"/>
          <w:sz w:val="36"/>
        </w:rPr>
        <w:t>2</w:t>
      </w:r>
      <w:r w:rsidR="001137BC" w:rsidRPr="00AD57A3">
        <w:rPr>
          <w:rFonts w:eastAsia="標楷體" w:hint="eastAsia"/>
          <w:sz w:val="36"/>
        </w:rPr>
        <w:t>億</w:t>
      </w:r>
      <w:r w:rsidR="004A1B27" w:rsidRPr="00AD57A3">
        <w:rPr>
          <w:rFonts w:eastAsia="標楷體" w:hint="eastAsia"/>
          <w:sz w:val="36"/>
        </w:rPr>
        <w:t>6,832</w:t>
      </w:r>
      <w:r w:rsidR="00C63B16" w:rsidRPr="00AD57A3">
        <w:rPr>
          <w:rFonts w:eastAsia="標楷體" w:hint="eastAsia"/>
          <w:sz w:val="36"/>
        </w:rPr>
        <w:t>萬</w:t>
      </w:r>
      <w:r w:rsidR="004A1B27" w:rsidRPr="00AD57A3">
        <w:rPr>
          <w:rFonts w:eastAsia="標楷體" w:hint="eastAsia"/>
          <w:sz w:val="36"/>
        </w:rPr>
        <w:t>9</w:t>
      </w:r>
      <w:r w:rsidR="00AD15CB" w:rsidRPr="00AD57A3">
        <w:rPr>
          <w:rFonts w:eastAsia="標楷體" w:hint="eastAsia"/>
          <w:sz w:val="36"/>
        </w:rPr>
        <w:t>,000</w:t>
      </w:r>
      <w:r w:rsidR="00C63B16" w:rsidRPr="00AD57A3">
        <w:rPr>
          <w:rFonts w:eastAsia="標楷體"/>
          <w:sz w:val="36"/>
        </w:rPr>
        <w:t>元</w:t>
      </w:r>
      <w:proofErr w:type="gramStart"/>
      <w:r w:rsidR="00C63B16" w:rsidRPr="00AD57A3">
        <w:rPr>
          <w:rFonts w:eastAsia="標楷體"/>
          <w:sz w:val="36"/>
        </w:rPr>
        <w:t>（</w:t>
      </w:r>
      <w:proofErr w:type="gramEnd"/>
      <w:r w:rsidR="00C63B16" w:rsidRPr="00AD57A3">
        <w:rPr>
          <w:rFonts w:eastAsia="標楷體" w:hint="eastAsia"/>
          <w:sz w:val="36"/>
          <w:szCs w:val="36"/>
        </w:rPr>
        <w:t>折合新臺幣</w:t>
      </w:r>
      <w:r w:rsidR="00AD57A3" w:rsidRPr="00AD57A3">
        <w:rPr>
          <w:rFonts w:eastAsia="標楷體" w:hint="eastAsia"/>
          <w:sz w:val="36"/>
          <w:szCs w:val="36"/>
        </w:rPr>
        <w:t>80</w:t>
      </w:r>
      <w:r w:rsidR="00C63B16" w:rsidRPr="00AD57A3">
        <w:rPr>
          <w:rFonts w:eastAsia="標楷體" w:hint="eastAsia"/>
          <w:sz w:val="36"/>
          <w:szCs w:val="36"/>
        </w:rPr>
        <w:t>億</w:t>
      </w:r>
      <w:r w:rsidR="00AD57A3" w:rsidRPr="00AD57A3">
        <w:rPr>
          <w:rFonts w:eastAsia="標楷體" w:hint="eastAsia"/>
          <w:sz w:val="36"/>
          <w:szCs w:val="36"/>
        </w:rPr>
        <w:t>4,987</w:t>
      </w:r>
      <w:r w:rsidR="00C63B16" w:rsidRPr="00AD57A3">
        <w:rPr>
          <w:rFonts w:eastAsia="標楷體" w:hint="eastAsia"/>
          <w:sz w:val="36"/>
          <w:szCs w:val="36"/>
        </w:rPr>
        <w:t>萬元；</w:t>
      </w:r>
      <w:r w:rsidR="004A1B27">
        <w:rPr>
          <w:rFonts w:eastAsia="標楷體" w:hint="eastAsia"/>
          <w:sz w:val="36"/>
        </w:rPr>
        <w:t>3.53</w:t>
      </w:r>
      <w:r w:rsidR="00C63B16" w:rsidRPr="00E255A1">
        <w:rPr>
          <w:rFonts w:eastAsia="標楷體"/>
          <w:sz w:val="36"/>
        </w:rPr>
        <w:t>％</w:t>
      </w:r>
      <w:proofErr w:type="gramStart"/>
      <w:r w:rsidR="00C63B16" w:rsidRPr="00E255A1">
        <w:rPr>
          <w:rFonts w:eastAsia="標楷體"/>
          <w:sz w:val="36"/>
        </w:rPr>
        <w:t>）</w:t>
      </w:r>
      <w:proofErr w:type="gramEnd"/>
      <w:r w:rsidR="00521CB2" w:rsidRPr="00E255A1">
        <w:rPr>
          <w:rFonts w:eastAsia="標楷體"/>
          <w:sz w:val="36"/>
        </w:rPr>
        <w:t>及</w:t>
      </w:r>
      <w:r w:rsidR="004A1B27">
        <w:rPr>
          <w:rFonts w:eastAsia="標楷體" w:hint="eastAsia"/>
          <w:sz w:val="36"/>
        </w:rPr>
        <w:t>運輸及倉儲業</w:t>
      </w:r>
      <w:r w:rsidR="00AD15CB" w:rsidRPr="00E255A1">
        <w:rPr>
          <w:rFonts w:eastAsia="標楷體"/>
          <w:sz w:val="36"/>
        </w:rPr>
        <w:t>美金</w:t>
      </w:r>
      <w:r w:rsidR="004A1B27">
        <w:rPr>
          <w:rFonts w:eastAsia="標楷體" w:hint="eastAsia"/>
          <w:sz w:val="36"/>
        </w:rPr>
        <w:t>8,264</w:t>
      </w:r>
      <w:r w:rsidR="00AD15CB" w:rsidRPr="00E255A1">
        <w:rPr>
          <w:rFonts w:eastAsia="標楷體" w:hint="eastAsia"/>
          <w:sz w:val="36"/>
        </w:rPr>
        <w:t>萬</w:t>
      </w:r>
      <w:r w:rsidR="004A1B27">
        <w:rPr>
          <w:rFonts w:eastAsia="標楷體" w:hint="eastAsia"/>
          <w:sz w:val="36"/>
        </w:rPr>
        <w:t>5</w:t>
      </w:r>
      <w:r w:rsidR="00AD15CB" w:rsidRPr="00E255A1">
        <w:rPr>
          <w:rFonts w:eastAsia="標楷體" w:hint="eastAsia"/>
          <w:sz w:val="36"/>
        </w:rPr>
        <w:t>,000</w:t>
      </w:r>
      <w:r w:rsidR="00AD15CB" w:rsidRPr="00E255A1">
        <w:rPr>
          <w:rFonts w:eastAsia="標楷體"/>
          <w:sz w:val="36"/>
        </w:rPr>
        <w:t>元</w:t>
      </w:r>
      <w:proofErr w:type="gramStart"/>
      <w:r w:rsidR="00AD15CB" w:rsidRPr="00E255A1">
        <w:rPr>
          <w:rFonts w:eastAsia="標楷體"/>
          <w:sz w:val="36"/>
        </w:rPr>
        <w:t>（</w:t>
      </w:r>
      <w:proofErr w:type="gramEnd"/>
      <w:r w:rsidR="00AD15CB" w:rsidRPr="00E255A1">
        <w:rPr>
          <w:rFonts w:eastAsia="標楷體" w:hint="eastAsia"/>
          <w:sz w:val="36"/>
          <w:szCs w:val="36"/>
        </w:rPr>
        <w:t>折合</w:t>
      </w:r>
      <w:r w:rsidR="00AD15CB" w:rsidRPr="00AD57A3">
        <w:rPr>
          <w:rFonts w:eastAsia="標楷體" w:hint="eastAsia"/>
          <w:sz w:val="36"/>
          <w:szCs w:val="36"/>
        </w:rPr>
        <w:t>新臺幣</w:t>
      </w:r>
      <w:r w:rsidR="00AD57A3" w:rsidRPr="00AD57A3">
        <w:rPr>
          <w:rFonts w:eastAsia="標楷體" w:hint="eastAsia"/>
          <w:sz w:val="36"/>
          <w:szCs w:val="36"/>
        </w:rPr>
        <w:t>24</w:t>
      </w:r>
      <w:r w:rsidR="00AD15CB" w:rsidRPr="00AD57A3">
        <w:rPr>
          <w:rFonts w:eastAsia="標楷體" w:hint="eastAsia"/>
          <w:sz w:val="36"/>
          <w:szCs w:val="36"/>
        </w:rPr>
        <w:t>億</w:t>
      </w:r>
      <w:r w:rsidR="00AD57A3" w:rsidRPr="00AD57A3">
        <w:rPr>
          <w:rFonts w:eastAsia="標楷體" w:hint="eastAsia"/>
          <w:sz w:val="36"/>
          <w:szCs w:val="36"/>
        </w:rPr>
        <w:t>7,935</w:t>
      </w:r>
      <w:r w:rsidR="00AD15CB" w:rsidRPr="00AD57A3">
        <w:rPr>
          <w:rFonts w:eastAsia="標楷體" w:hint="eastAsia"/>
          <w:sz w:val="36"/>
          <w:szCs w:val="36"/>
        </w:rPr>
        <w:t>萬</w:t>
      </w:r>
      <w:r w:rsidR="00AD15CB" w:rsidRPr="00E255A1">
        <w:rPr>
          <w:rFonts w:eastAsia="標楷體" w:hint="eastAsia"/>
          <w:sz w:val="36"/>
          <w:szCs w:val="36"/>
        </w:rPr>
        <w:t>元；</w:t>
      </w:r>
      <w:r w:rsidR="004A1B27">
        <w:rPr>
          <w:rFonts w:eastAsia="標楷體" w:hint="eastAsia"/>
          <w:sz w:val="36"/>
        </w:rPr>
        <w:t>1.09</w:t>
      </w:r>
      <w:r w:rsidR="00AD15CB" w:rsidRPr="00E255A1">
        <w:rPr>
          <w:rFonts w:eastAsia="標楷體"/>
          <w:sz w:val="36"/>
        </w:rPr>
        <w:t>%</w:t>
      </w:r>
      <w:proofErr w:type="gramStart"/>
      <w:r w:rsidR="00AD15CB" w:rsidRPr="00E255A1">
        <w:rPr>
          <w:rFonts w:eastAsia="標楷體"/>
          <w:sz w:val="36"/>
        </w:rPr>
        <w:t>）</w:t>
      </w:r>
      <w:proofErr w:type="gramEnd"/>
      <w:r w:rsidR="004C5877" w:rsidRPr="00E255A1">
        <w:rPr>
          <w:rFonts w:eastAsia="標楷體"/>
          <w:sz w:val="36"/>
        </w:rPr>
        <w:t>分居前</w:t>
      </w:r>
      <w:r w:rsidR="004C5877" w:rsidRPr="00E255A1">
        <w:rPr>
          <w:rFonts w:eastAsia="標楷體"/>
          <w:sz w:val="36"/>
        </w:rPr>
        <w:t>5</w:t>
      </w:r>
      <w:r w:rsidR="004C5877" w:rsidRPr="00E255A1">
        <w:rPr>
          <w:rFonts w:eastAsia="標楷體"/>
          <w:sz w:val="36"/>
        </w:rPr>
        <w:t>名，合計</w:t>
      </w:r>
      <w:proofErr w:type="gramStart"/>
      <w:r w:rsidR="004C5877" w:rsidRPr="00E255A1">
        <w:rPr>
          <w:rFonts w:eastAsia="標楷體"/>
          <w:sz w:val="36"/>
        </w:rPr>
        <w:t>約占本期</w:t>
      </w:r>
      <w:proofErr w:type="gramEnd"/>
      <w:r w:rsidR="004C5877" w:rsidRPr="00E255A1">
        <w:rPr>
          <w:rFonts w:eastAsia="標楷體"/>
          <w:sz w:val="36"/>
        </w:rPr>
        <w:t>核准對外投資總額的</w:t>
      </w:r>
      <w:r w:rsidR="00AD57A3">
        <w:rPr>
          <w:rFonts w:eastAsia="標楷體" w:hint="eastAsia"/>
          <w:sz w:val="36"/>
        </w:rPr>
        <w:t>92.02</w:t>
      </w:r>
      <w:r w:rsidR="004C5877" w:rsidRPr="00E255A1">
        <w:rPr>
          <w:rFonts w:eastAsia="標楷體"/>
          <w:sz w:val="36"/>
        </w:rPr>
        <w:t>％</w:t>
      </w:r>
      <w:r w:rsidR="004C5877" w:rsidRPr="00E255A1">
        <w:rPr>
          <w:rFonts w:eastAsia="標楷體"/>
          <w:sz w:val="36"/>
        </w:rPr>
        <w:t>(</w:t>
      </w:r>
      <w:r w:rsidR="004C5877" w:rsidRPr="00E255A1">
        <w:rPr>
          <w:rFonts w:eastAsia="標楷體"/>
          <w:sz w:val="36"/>
        </w:rPr>
        <w:t>請參閱表</w:t>
      </w:r>
      <w:r w:rsidR="004C5877" w:rsidRPr="00E255A1">
        <w:rPr>
          <w:rFonts w:eastAsia="標楷體"/>
          <w:sz w:val="36"/>
        </w:rPr>
        <w:t>3-3)</w:t>
      </w:r>
      <w:r w:rsidR="004C5877" w:rsidRPr="00E255A1">
        <w:rPr>
          <w:rFonts w:eastAsia="標楷體"/>
          <w:sz w:val="36"/>
        </w:rPr>
        <w:t>。</w:t>
      </w:r>
    </w:p>
    <w:p w:rsidR="00E15544" w:rsidRPr="00E255A1" w:rsidRDefault="004C5877">
      <w:pPr>
        <w:pStyle w:val="2"/>
        <w:spacing w:before="188" w:line="240" w:lineRule="auto"/>
        <w:ind w:firstLine="0"/>
      </w:pPr>
      <w:r w:rsidRPr="00E255A1">
        <w:t>四、對中國大陸投資部分：</w:t>
      </w:r>
    </w:p>
    <w:p w:rsidR="00E15544" w:rsidRDefault="00051C3D">
      <w:pPr>
        <w:pStyle w:val="2"/>
        <w:spacing w:before="188" w:line="240" w:lineRule="auto"/>
        <w:ind w:firstLine="796"/>
      </w:pPr>
      <w:r w:rsidRPr="00E255A1">
        <w:rPr>
          <w:rFonts w:hint="eastAsia"/>
          <w:szCs w:val="36"/>
        </w:rPr>
        <w:t>110</w:t>
      </w:r>
      <w:r w:rsidR="00AE1C07" w:rsidRPr="00E255A1">
        <w:rPr>
          <w:szCs w:val="36"/>
        </w:rPr>
        <w:t>年</w:t>
      </w:r>
      <w:r w:rsidR="00DC3D28">
        <w:rPr>
          <w:rFonts w:hint="eastAsia"/>
          <w:szCs w:val="36"/>
        </w:rPr>
        <w:t>7</w:t>
      </w:r>
      <w:r w:rsidR="002362D1" w:rsidRPr="00E255A1">
        <w:rPr>
          <w:szCs w:val="36"/>
        </w:rPr>
        <w:t>月</w:t>
      </w:r>
      <w:r w:rsidR="004C5877" w:rsidRPr="00E255A1">
        <w:t>份單月我對中國大陸</w:t>
      </w:r>
      <w:r w:rsidR="004C5877" w:rsidRPr="00AD57A3">
        <w:t>投資核准件數為</w:t>
      </w:r>
      <w:r w:rsidR="00DC3D28" w:rsidRPr="00AD57A3">
        <w:rPr>
          <w:rFonts w:hint="eastAsia"/>
        </w:rPr>
        <w:t>37</w:t>
      </w:r>
      <w:r w:rsidR="004C5877" w:rsidRPr="00AD57A3">
        <w:t>件，核准投資金額為美金</w:t>
      </w:r>
      <w:r w:rsidR="00DC3D28" w:rsidRPr="00AD57A3">
        <w:rPr>
          <w:rFonts w:hint="eastAsia"/>
        </w:rPr>
        <w:t>6</w:t>
      </w:r>
      <w:r w:rsidR="004C5877" w:rsidRPr="00AD57A3">
        <w:t>億</w:t>
      </w:r>
      <w:r w:rsidR="00DC3D28" w:rsidRPr="00AD57A3">
        <w:rPr>
          <w:rFonts w:hint="eastAsia"/>
        </w:rPr>
        <w:t>630</w:t>
      </w:r>
      <w:r w:rsidR="004C5877" w:rsidRPr="00AD57A3">
        <w:t>萬元</w:t>
      </w:r>
      <w:r w:rsidR="00480DD8" w:rsidRPr="00AD57A3">
        <w:t>（</w:t>
      </w:r>
      <w:r w:rsidR="00480DD8" w:rsidRPr="00AD57A3">
        <w:rPr>
          <w:rFonts w:hint="eastAsia"/>
          <w:szCs w:val="36"/>
        </w:rPr>
        <w:t>折合新臺幣</w:t>
      </w:r>
      <w:r w:rsidR="00AD57A3" w:rsidRPr="00AD57A3">
        <w:rPr>
          <w:rFonts w:hint="eastAsia"/>
          <w:szCs w:val="36"/>
        </w:rPr>
        <w:t>181</w:t>
      </w:r>
      <w:r w:rsidR="00480DD8" w:rsidRPr="00AD57A3">
        <w:rPr>
          <w:rFonts w:hint="eastAsia"/>
          <w:szCs w:val="36"/>
        </w:rPr>
        <w:t>億</w:t>
      </w:r>
      <w:r w:rsidR="00AD57A3" w:rsidRPr="00AD57A3">
        <w:rPr>
          <w:rFonts w:hint="eastAsia"/>
          <w:szCs w:val="36"/>
        </w:rPr>
        <w:t>8,900</w:t>
      </w:r>
      <w:r w:rsidR="00480DD8" w:rsidRPr="00AD57A3">
        <w:rPr>
          <w:rFonts w:hint="eastAsia"/>
          <w:szCs w:val="36"/>
        </w:rPr>
        <w:t>萬元</w:t>
      </w:r>
      <w:r w:rsidR="00480DD8" w:rsidRPr="00AD57A3">
        <w:t>）</w:t>
      </w:r>
      <w:r w:rsidR="004C5877" w:rsidRPr="00AD57A3">
        <w:t>。有關</w:t>
      </w:r>
      <w:r w:rsidRPr="00AD57A3">
        <w:rPr>
          <w:rFonts w:hint="eastAsia"/>
          <w:szCs w:val="36"/>
        </w:rPr>
        <w:t>110</w:t>
      </w:r>
      <w:r w:rsidR="00AE1C07" w:rsidRPr="00AD57A3">
        <w:rPr>
          <w:szCs w:val="36"/>
        </w:rPr>
        <w:t>年</w:t>
      </w:r>
      <w:r w:rsidR="00DC3D28" w:rsidRPr="00AD57A3">
        <w:rPr>
          <w:rFonts w:hint="eastAsia"/>
          <w:szCs w:val="36"/>
        </w:rPr>
        <w:t>7</w:t>
      </w:r>
      <w:r w:rsidR="00AE1C07" w:rsidRPr="00AD57A3">
        <w:rPr>
          <w:szCs w:val="36"/>
        </w:rPr>
        <w:t>月</w:t>
      </w:r>
      <w:r w:rsidR="004C5877" w:rsidRPr="00AD57A3">
        <w:t>及最近</w:t>
      </w:r>
      <w:r w:rsidR="004C5877" w:rsidRPr="00AD57A3">
        <w:t>2</w:t>
      </w:r>
      <w:r w:rsidR="004C5877" w:rsidRPr="00AD57A3">
        <w:t>年對中國大陸投資</w:t>
      </w:r>
      <w:r w:rsidR="004C5877" w:rsidRPr="00E255A1">
        <w:t>概況，詳如表</w:t>
      </w:r>
      <w:r w:rsidR="004C5877" w:rsidRPr="00E255A1">
        <w:t>4-1</w:t>
      </w:r>
      <w:r w:rsidR="004C5877" w:rsidRPr="00E255A1">
        <w:t>。</w:t>
      </w:r>
    </w:p>
    <w:p w:rsidR="00BA1FEC" w:rsidRPr="00E255A1" w:rsidRDefault="00BA1FEC">
      <w:pPr>
        <w:pStyle w:val="2"/>
        <w:spacing w:before="188" w:line="240" w:lineRule="auto"/>
        <w:ind w:firstLine="796"/>
      </w:pPr>
    </w:p>
    <w:p w:rsidR="00E15544" w:rsidRPr="00E255A1" w:rsidRDefault="009773A5" w:rsidP="00DC3D28">
      <w:pPr>
        <w:ind w:firstLine="811"/>
        <w:jc w:val="both"/>
        <w:rPr>
          <w:rFonts w:eastAsia="標楷體"/>
          <w:sz w:val="36"/>
        </w:rPr>
      </w:pPr>
      <w:r w:rsidRPr="00E255A1">
        <w:rPr>
          <w:rFonts w:eastAsia="標楷體" w:hint="eastAsia"/>
          <w:sz w:val="36"/>
          <w:szCs w:val="36"/>
        </w:rPr>
        <w:t>110</w:t>
      </w:r>
      <w:r w:rsidR="00AE1C07" w:rsidRPr="00E255A1">
        <w:rPr>
          <w:rFonts w:eastAsia="標楷體"/>
          <w:sz w:val="36"/>
        </w:rPr>
        <w:t>年</w:t>
      </w:r>
      <w:r w:rsidR="00051C3D" w:rsidRPr="00E255A1">
        <w:rPr>
          <w:rFonts w:eastAsia="標楷體" w:hint="eastAsia"/>
          <w:sz w:val="36"/>
        </w:rPr>
        <w:t>1</w:t>
      </w:r>
      <w:r w:rsidR="00202763" w:rsidRPr="00E255A1">
        <w:rPr>
          <w:rFonts w:eastAsia="標楷體" w:hint="eastAsia"/>
          <w:sz w:val="36"/>
        </w:rPr>
        <w:t>-</w:t>
      </w:r>
      <w:r w:rsidR="00DC3D28">
        <w:rPr>
          <w:rFonts w:eastAsia="標楷體" w:hint="eastAsia"/>
          <w:sz w:val="36"/>
        </w:rPr>
        <w:t>7</w:t>
      </w:r>
      <w:r w:rsidR="002362D1" w:rsidRPr="00E255A1">
        <w:rPr>
          <w:rFonts w:eastAsia="標楷體"/>
          <w:sz w:val="36"/>
          <w:szCs w:val="36"/>
        </w:rPr>
        <w:t>月</w:t>
      </w:r>
      <w:r w:rsidR="004C5877" w:rsidRPr="00E255A1">
        <w:rPr>
          <w:rFonts w:eastAsia="標楷體"/>
          <w:sz w:val="36"/>
        </w:rPr>
        <w:t>核准對中國大陸投資案件，若以投資地區分，</w:t>
      </w:r>
      <w:r w:rsidR="004C5877" w:rsidRPr="00E255A1">
        <w:rPr>
          <w:rFonts w:eastAsia="標楷體"/>
          <w:sz w:val="36"/>
        </w:rPr>
        <w:lastRenderedPageBreak/>
        <w:t>主要集中於</w:t>
      </w:r>
      <w:r w:rsidR="00C16424" w:rsidRPr="00E255A1">
        <w:rPr>
          <w:rFonts w:eastAsia="標楷體" w:hint="eastAsia"/>
          <w:sz w:val="36"/>
        </w:rPr>
        <w:t>江蘇省</w:t>
      </w:r>
      <w:r w:rsidR="004C5877" w:rsidRPr="00E255A1">
        <w:rPr>
          <w:rFonts w:eastAsia="標楷體"/>
          <w:sz w:val="36"/>
        </w:rPr>
        <w:t>美金</w:t>
      </w:r>
      <w:r w:rsidR="00DC3D28">
        <w:rPr>
          <w:rFonts w:eastAsia="標楷體" w:hint="eastAsia"/>
          <w:sz w:val="36"/>
        </w:rPr>
        <w:t>7</w:t>
      </w:r>
      <w:r w:rsidR="00D55BE0" w:rsidRPr="00E255A1">
        <w:rPr>
          <w:rFonts w:eastAsia="標楷體" w:hint="eastAsia"/>
          <w:sz w:val="36"/>
        </w:rPr>
        <w:t>億</w:t>
      </w:r>
      <w:r w:rsidR="00DC3D28">
        <w:rPr>
          <w:rFonts w:eastAsia="標楷體" w:hint="eastAsia"/>
          <w:sz w:val="36"/>
        </w:rPr>
        <w:t>3,020</w:t>
      </w:r>
      <w:r w:rsidR="004C5877" w:rsidRPr="00E255A1">
        <w:rPr>
          <w:rFonts w:eastAsia="標楷體"/>
          <w:sz w:val="36"/>
        </w:rPr>
        <w:t>萬</w:t>
      </w:r>
      <w:r w:rsidR="00DC3D28">
        <w:rPr>
          <w:rFonts w:eastAsia="標楷體" w:hint="eastAsia"/>
          <w:sz w:val="36"/>
        </w:rPr>
        <w:t>6</w:t>
      </w:r>
      <w:r w:rsidR="00D55BE0" w:rsidRPr="00E255A1">
        <w:rPr>
          <w:rFonts w:eastAsia="標楷體" w:hint="eastAsia"/>
          <w:sz w:val="36"/>
        </w:rPr>
        <w:t>,000</w:t>
      </w:r>
      <w:r w:rsidR="004C5877" w:rsidRPr="00AD57A3">
        <w:rPr>
          <w:rFonts w:eastAsia="標楷體"/>
          <w:sz w:val="36"/>
        </w:rPr>
        <w:t>元</w:t>
      </w:r>
      <w:proofErr w:type="gramStart"/>
      <w:r w:rsidR="004C5877" w:rsidRPr="00AD57A3">
        <w:rPr>
          <w:rFonts w:eastAsia="標楷體"/>
          <w:sz w:val="36"/>
        </w:rPr>
        <w:t>（</w:t>
      </w:r>
      <w:proofErr w:type="gramEnd"/>
      <w:r w:rsidR="00480DD8" w:rsidRPr="00AD57A3">
        <w:rPr>
          <w:rFonts w:eastAsia="標楷體" w:hint="eastAsia"/>
          <w:sz w:val="36"/>
          <w:szCs w:val="36"/>
        </w:rPr>
        <w:t>折合新臺幣</w:t>
      </w:r>
      <w:r w:rsidR="00AD57A3" w:rsidRPr="00AD57A3">
        <w:rPr>
          <w:rFonts w:eastAsia="標楷體" w:hint="eastAsia"/>
          <w:sz w:val="36"/>
          <w:szCs w:val="36"/>
        </w:rPr>
        <w:t>219</w:t>
      </w:r>
      <w:r w:rsidR="00480DD8" w:rsidRPr="00AD57A3">
        <w:rPr>
          <w:rFonts w:eastAsia="標楷體" w:hint="eastAsia"/>
          <w:sz w:val="36"/>
          <w:szCs w:val="36"/>
        </w:rPr>
        <w:t>億</w:t>
      </w:r>
      <w:r w:rsidR="00AD57A3" w:rsidRPr="00AD57A3">
        <w:rPr>
          <w:rFonts w:eastAsia="標楷體" w:hint="eastAsia"/>
          <w:sz w:val="36"/>
          <w:szCs w:val="36"/>
        </w:rPr>
        <w:t>618</w:t>
      </w:r>
      <w:r w:rsidR="00480DD8" w:rsidRPr="00AD57A3">
        <w:rPr>
          <w:rFonts w:eastAsia="標楷體" w:hint="eastAsia"/>
          <w:sz w:val="36"/>
          <w:szCs w:val="36"/>
        </w:rPr>
        <w:t>萬元；</w:t>
      </w:r>
      <w:r w:rsidR="00DC3D28" w:rsidRPr="00AD57A3">
        <w:rPr>
          <w:rFonts w:eastAsia="標楷體" w:hint="eastAsia"/>
          <w:sz w:val="36"/>
        </w:rPr>
        <w:t>34.53</w:t>
      </w:r>
      <w:r w:rsidR="004C5877" w:rsidRPr="00AD57A3">
        <w:rPr>
          <w:rFonts w:eastAsia="標楷體"/>
          <w:sz w:val="36"/>
        </w:rPr>
        <w:t>％</w:t>
      </w:r>
      <w:proofErr w:type="gramStart"/>
      <w:r w:rsidR="004C5877" w:rsidRPr="00AD57A3">
        <w:rPr>
          <w:rFonts w:eastAsia="標楷體"/>
          <w:sz w:val="36"/>
        </w:rPr>
        <w:t>）</w:t>
      </w:r>
      <w:proofErr w:type="gramEnd"/>
      <w:r w:rsidR="004C5877" w:rsidRPr="00AD57A3">
        <w:rPr>
          <w:rFonts w:eastAsia="標楷體"/>
          <w:sz w:val="36"/>
        </w:rPr>
        <w:t>、</w:t>
      </w:r>
      <w:r w:rsidR="00C16424" w:rsidRPr="00AD57A3">
        <w:rPr>
          <w:rFonts w:eastAsia="標楷體" w:hint="eastAsia"/>
          <w:sz w:val="36"/>
        </w:rPr>
        <w:t>廣東省</w:t>
      </w:r>
      <w:r w:rsidR="00C46466" w:rsidRPr="00AD57A3">
        <w:rPr>
          <w:rFonts w:eastAsia="標楷體"/>
          <w:sz w:val="36"/>
        </w:rPr>
        <w:t>美金</w:t>
      </w:r>
      <w:r w:rsidR="00B46D48" w:rsidRPr="00AD57A3">
        <w:rPr>
          <w:rFonts w:eastAsia="標楷體" w:hint="eastAsia"/>
          <w:sz w:val="36"/>
        </w:rPr>
        <w:t>2</w:t>
      </w:r>
      <w:r w:rsidR="00440233" w:rsidRPr="00AD57A3">
        <w:rPr>
          <w:rFonts w:eastAsia="標楷體" w:hint="eastAsia"/>
          <w:sz w:val="36"/>
        </w:rPr>
        <w:t>億</w:t>
      </w:r>
      <w:r w:rsidR="00DC3D28" w:rsidRPr="00AD57A3">
        <w:rPr>
          <w:rFonts w:eastAsia="標楷體" w:hint="eastAsia"/>
          <w:sz w:val="36"/>
        </w:rPr>
        <w:t>6,031</w:t>
      </w:r>
      <w:r w:rsidR="00C46466" w:rsidRPr="00AD57A3">
        <w:rPr>
          <w:rFonts w:eastAsia="標楷體"/>
          <w:sz w:val="36"/>
        </w:rPr>
        <w:t>萬</w:t>
      </w:r>
      <w:r w:rsidR="00DC3D28" w:rsidRPr="00AD57A3">
        <w:rPr>
          <w:rFonts w:eastAsia="標楷體" w:hint="eastAsia"/>
          <w:sz w:val="36"/>
        </w:rPr>
        <w:t>6</w:t>
      </w:r>
      <w:r w:rsidR="00C46466" w:rsidRPr="00AD57A3">
        <w:rPr>
          <w:rFonts w:eastAsia="標楷體"/>
          <w:sz w:val="36"/>
        </w:rPr>
        <w:t>,000</w:t>
      </w:r>
      <w:r w:rsidR="00C46466" w:rsidRPr="00AD57A3">
        <w:rPr>
          <w:rFonts w:eastAsia="標楷體"/>
          <w:sz w:val="36"/>
        </w:rPr>
        <w:t>元</w:t>
      </w:r>
      <w:proofErr w:type="gramStart"/>
      <w:r w:rsidR="00C46466" w:rsidRPr="00AD57A3">
        <w:rPr>
          <w:rFonts w:eastAsia="標楷體"/>
          <w:sz w:val="36"/>
        </w:rPr>
        <w:t>（</w:t>
      </w:r>
      <w:proofErr w:type="gramEnd"/>
      <w:r w:rsidR="00B23A93" w:rsidRPr="00AD57A3">
        <w:rPr>
          <w:rFonts w:eastAsia="標楷體" w:hint="eastAsia"/>
          <w:sz w:val="36"/>
          <w:szCs w:val="36"/>
        </w:rPr>
        <w:t>折合新臺幣</w:t>
      </w:r>
      <w:r w:rsidR="00AD57A3" w:rsidRPr="00AD57A3">
        <w:rPr>
          <w:rFonts w:eastAsia="標楷體" w:hint="eastAsia"/>
          <w:sz w:val="36"/>
          <w:szCs w:val="36"/>
        </w:rPr>
        <w:t>78</w:t>
      </w:r>
      <w:r w:rsidR="00B23A93" w:rsidRPr="00AD57A3">
        <w:rPr>
          <w:rFonts w:eastAsia="標楷體" w:hint="eastAsia"/>
          <w:sz w:val="36"/>
          <w:szCs w:val="36"/>
        </w:rPr>
        <w:t>億</w:t>
      </w:r>
      <w:r w:rsidR="00AD57A3" w:rsidRPr="00AD57A3">
        <w:rPr>
          <w:rFonts w:eastAsia="標楷體" w:hint="eastAsia"/>
          <w:sz w:val="36"/>
          <w:szCs w:val="36"/>
        </w:rPr>
        <w:t>948</w:t>
      </w:r>
      <w:r w:rsidR="00B23A93" w:rsidRPr="00AD57A3">
        <w:rPr>
          <w:rFonts w:eastAsia="標楷體" w:hint="eastAsia"/>
          <w:sz w:val="36"/>
          <w:szCs w:val="36"/>
        </w:rPr>
        <w:t>萬元；</w:t>
      </w:r>
      <w:r w:rsidR="00DC3D28" w:rsidRPr="00AD57A3">
        <w:rPr>
          <w:rFonts w:eastAsia="標楷體" w:hint="eastAsia"/>
          <w:sz w:val="36"/>
        </w:rPr>
        <w:t>12.31</w:t>
      </w:r>
      <w:r w:rsidR="00C46466" w:rsidRPr="00AD57A3">
        <w:rPr>
          <w:rFonts w:eastAsia="標楷體"/>
          <w:sz w:val="36"/>
        </w:rPr>
        <w:t>％</w:t>
      </w:r>
      <w:proofErr w:type="gramStart"/>
      <w:r w:rsidR="00C46466" w:rsidRPr="00AD57A3">
        <w:rPr>
          <w:rFonts w:eastAsia="標楷體"/>
          <w:sz w:val="36"/>
        </w:rPr>
        <w:t>）</w:t>
      </w:r>
      <w:proofErr w:type="gramEnd"/>
      <w:r w:rsidR="00C46466" w:rsidRPr="00AD57A3">
        <w:rPr>
          <w:rFonts w:eastAsia="標楷體" w:hint="eastAsia"/>
          <w:sz w:val="36"/>
        </w:rPr>
        <w:t>、</w:t>
      </w:r>
      <w:r w:rsidR="00C73560" w:rsidRPr="00AD57A3">
        <w:rPr>
          <w:rFonts w:eastAsia="標楷體" w:hint="eastAsia"/>
          <w:sz w:val="36"/>
        </w:rPr>
        <w:t>重慶市</w:t>
      </w:r>
      <w:r w:rsidR="004C5877" w:rsidRPr="00AD57A3">
        <w:rPr>
          <w:rFonts w:eastAsia="標楷體"/>
          <w:sz w:val="36"/>
        </w:rPr>
        <w:t>美金</w:t>
      </w:r>
      <w:r w:rsidR="00C73560" w:rsidRPr="00E255A1">
        <w:rPr>
          <w:rFonts w:eastAsia="標楷體" w:hint="eastAsia"/>
          <w:sz w:val="36"/>
        </w:rPr>
        <w:t>2</w:t>
      </w:r>
      <w:r w:rsidR="00C73560" w:rsidRPr="00E255A1">
        <w:rPr>
          <w:rFonts w:eastAsia="標楷體" w:hint="eastAsia"/>
          <w:sz w:val="36"/>
        </w:rPr>
        <w:t>億</w:t>
      </w:r>
      <w:r w:rsidR="00C73560" w:rsidRPr="00E255A1">
        <w:rPr>
          <w:rFonts w:eastAsia="標楷體" w:hint="eastAsia"/>
          <w:sz w:val="36"/>
        </w:rPr>
        <w:t>2,4</w:t>
      </w:r>
      <w:r w:rsidR="00DC3D28">
        <w:rPr>
          <w:rFonts w:eastAsia="標楷體" w:hint="eastAsia"/>
          <w:sz w:val="36"/>
        </w:rPr>
        <w:t>39</w:t>
      </w:r>
      <w:r w:rsidR="004C5877" w:rsidRPr="00E255A1">
        <w:rPr>
          <w:rFonts w:eastAsia="標楷體"/>
          <w:sz w:val="36"/>
        </w:rPr>
        <w:t>萬</w:t>
      </w:r>
      <w:r w:rsidR="00DC3D28">
        <w:rPr>
          <w:rFonts w:eastAsia="標楷體" w:hint="eastAsia"/>
          <w:sz w:val="36"/>
        </w:rPr>
        <w:t>5</w:t>
      </w:r>
      <w:r w:rsidR="009110BD" w:rsidRPr="00E255A1">
        <w:rPr>
          <w:rFonts w:eastAsia="標楷體" w:hint="eastAsia"/>
          <w:sz w:val="36"/>
        </w:rPr>
        <w:t>,000</w:t>
      </w:r>
      <w:r w:rsidR="004C5877" w:rsidRPr="00E255A1">
        <w:rPr>
          <w:rFonts w:eastAsia="標楷體"/>
          <w:sz w:val="36"/>
        </w:rPr>
        <w:t>元</w:t>
      </w:r>
      <w:proofErr w:type="gramStart"/>
      <w:r w:rsidR="004C5877" w:rsidRPr="00E255A1">
        <w:rPr>
          <w:rFonts w:eastAsia="標楷體"/>
          <w:sz w:val="36"/>
        </w:rPr>
        <w:t>（</w:t>
      </w:r>
      <w:proofErr w:type="gramEnd"/>
      <w:r w:rsidR="00B23A93" w:rsidRPr="00E255A1">
        <w:rPr>
          <w:rFonts w:eastAsia="標楷體" w:hint="eastAsia"/>
          <w:sz w:val="36"/>
          <w:szCs w:val="36"/>
        </w:rPr>
        <w:t>折</w:t>
      </w:r>
      <w:r w:rsidR="00B23A93" w:rsidRPr="008A5BAF">
        <w:rPr>
          <w:rFonts w:eastAsia="標楷體" w:hint="eastAsia"/>
          <w:sz w:val="36"/>
          <w:szCs w:val="36"/>
        </w:rPr>
        <w:t>合新臺幣</w:t>
      </w:r>
      <w:r w:rsidR="00D230FF" w:rsidRPr="008A5BAF">
        <w:rPr>
          <w:rFonts w:eastAsia="標楷體" w:hint="eastAsia"/>
          <w:sz w:val="36"/>
          <w:szCs w:val="36"/>
        </w:rPr>
        <w:t>67</w:t>
      </w:r>
      <w:r w:rsidR="00B23A93" w:rsidRPr="008A5BAF">
        <w:rPr>
          <w:rFonts w:eastAsia="標楷體" w:hint="eastAsia"/>
          <w:sz w:val="36"/>
          <w:szCs w:val="36"/>
        </w:rPr>
        <w:t>億</w:t>
      </w:r>
      <w:r w:rsidR="008A5BAF" w:rsidRPr="008A5BAF">
        <w:rPr>
          <w:rFonts w:eastAsia="標楷體" w:hint="eastAsia"/>
          <w:sz w:val="36"/>
          <w:szCs w:val="36"/>
        </w:rPr>
        <w:t>3,185</w:t>
      </w:r>
      <w:r w:rsidR="00B23A93" w:rsidRPr="008A5BAF">
        <w:rPr>
          <w:rFonts w:eastAsia="標楷體" w:hint="eastAsia"/>
          <w:sz w:val="36"/>
          <w:szCs w:val="36"/>
        </w:rPr>
        <w:t>萬</w:t>
      </w:r>
      <w:r w:rsidR="00B23A93" w:rsidRPr="00E255A1">
        <w:rPr>
          <w:rFonts w:eastAsia="標楷體" w:hint="eastAsia"/>
          <w:sz w:val="36"/>
          <w:szCs w:val="36"/>
        </w:rPr>
        <w:t>元；</w:t>
      </w:r>
      <w:r w:rsidR="00DC3D28">
        <w:rPr>
          <w:rFonts w:eastAsia="標楷體" w:hint="eastAsia"/>
          <w:sz w:val="36"/>
        </w:rPr>
        <w:t>10.61</w:t>
      </w:r>
      <w:r w:rsidR="00A246F4" w:rsidRPr="00E255A1">
        <w:rPr>
          <w:rFonts w:eastAsia="標楷體"/>
          <w:sz w:val="36"/>
        </w:rPr>
        <w:t>％</w:t>
      </w:r>
      <w:proofErr w:type="gramStart"/>
      <w:r w:rsidR="00A246F4" w:rsidRPr="00E255A1">
        <w:rPr>
          <w:rFonts w:eastAsia="標楷體"/>
          <w:sz w:val="36"/>
        </w:rPr>
        <w:t>）</w:t>
      </w:r>
      <w:proofErr w:type="gramEnd"/>
      <w:r w:rsidR="00A246F4" w:rsidRPr="00E255A1">
        <w:rPr>
          <w:rFonts w:eastAsia="標楷體"/>
          <w:sz w:val="36"/>
        </w:rPr>
        <w:t>、</w:t>
      </w:r>
      <w:r w:rsidR="00DC3D28">
        <w:rPr>
          <w:rFonts w:eastAsia="標楷體" w:hint="eastAsia"/>
          <w:sz w:val="36"/>
        </w:rPr>
        <w:t>浙江省</w:t>
      </w:r>
      <w:r w:rsidR="004C5877" w:rsidRPr="00E255A1">
        <w:rPr>
          <w:rFonts w:eastAsia="標楷體"/>
          <w:sz w:val="36"/>
        </w:rPr>
        <w:t>美金</w:t>
      </w:r>
      <w:r w:rsidR="00C73560" w:rsidRPr="00E255A1">
        <w:rPr>
          <w:rFonts w:eastAsia="標楷體" w:hint="eastAsia"/>
          <w:sz w:val="36"/>
        </w:rPr>
        <w:t>1</w:t>
      </w:r>
      <w:r w:rsidR="00C73560" w:rsidRPr="00E255A1">
        <w:rPr>
          <w:rFonts w:eastAsia="標楷體" w:hint="eastAsia"/>
          <w:sz w:val="36"/>
        </w:rPr>
        <w:t>億</w:t>
      </w:r>
      <w:r w:rsidR="00DC3D28">
        <w:rPr>
          <w:rFonts w:eastAsia="標楷體" w:hint="eastAsia"/>
          <w:sz w:val="36"/>
        </w:rPr>
        <w:t>7,184</w:t>
      </w:r>
      <w:r w:rsidR="004C5877" w:rsidRPr="00E255A1">
        <w:rPr>
          <w:rFonts w:eastAsia="標楷體"/>
          <w:sz w:val="36"/>
        </w:rPr>
        <w:t>萬</w:t>
      </w:r>
      <w:r w:rsidR="00DC3D28">
        <w:rPr>
          <w:rFonts w:eastAsia="標楷體" w:hint="eastAsia"/>
          <w:sz w:val="36"/>
        </w:rPr>
        <w:t>9</w:t>
      </w:r>
      <w:r w:rsidR="0015241A" w:rsidRPr="00E255A1">
        <w:rPr>
          <w:rFonts w:eastAsia="標楷體" w:hint="eastAsia"/>
          <w:sz w:val="36"/>
        </w:rPr>
        <w:t>,000</w:t>
      </w:r>
      <w:r w:rsidR="004C5877" w:rsidRPr="00E255A1">
        <w:rPr>
          <w:rFonts w:eastAsia="標楷體"/>
          <w:sz w:val="36"/>
        </w:rPr>
        <w:t>元</w:t>
      </w:r>
      <w:proofErr w:type="gramStart"/>
      <w:r w:rsidR="004C5877" w:rsidRPr="00E255A1">
        <w:rPr>
          <w:rFonts w:eastAsia="標楷體"/>
          <w:sz w:val="36"/>
        </w:rPr>
        <w:t>（</w:t>
      </w:r>
      <w:proofErr w:type="gramEnd"/>
      <w:r w:rsidR="00433CE2" w:rsidRPr="00E255A1">
        <w:rPr>
          <w:rFonts w:eastAsia="標楷體" w:hint="eastAsia"/>
          <w:sz w:val="36"/>
          <w:szCs w:val="36"/>
        </w:rPr>
        <w:t>折合</w:t>
      </w:r>
      <w:r w:rsidR="00433CE2" w:rsidRPr="008A5BAF">
        <w:rPr>
          <w:rFonts w:eastAsia="標楷體" w:hint="eastAsia"/>
          <w:sz w:val="36"/>
          <w:szCs w:val="36"/>
        </w:rPr>
        <w:t>新臺幣</w:t>
      </w:r>
      <w:r w:rsidR="008A5BAF" w:rsidRPr="008A5BAF">
        <w:rPr>
          <w:rFonts w:eastAsia="標楷體" w:hint="eastAsia"/>
          <w:sz w:val="36"/>
          <w:szCs w:val="36"/>
        </w:rPr>
        <w:t>51</w:t>
      </w:r>
      <w:r w:rsidR="00433CE2" w:rsidRPr="008A5BAF">
        <w:rPr>
          <w:rFonts w:eastAsia="標楷體" w:hint="eastAsia"/>
          <w:sz w:val="36"/>
          <w:szCs w:val="36"/>
        </w:rPr>
        <w:t>億</w:t>
      </w:r>
      <w:r w:rsidR="008A5BAF" w:rsidRPr="008A5BAF">
        <w:rPr>
          <w:rFonts w:eastAsia="標楷體" w:hint="eastAsia"/>
          <w:sz w:val="36"/>
          <w:szCs w:val="36"/>
        </w:rPr>
        <w:t>5,547</w:t>
      </w:r>
      <w:r w:rsidR="00433CE2" w:rsidRPr="008A5BAF">
        <w:rPr>
          <w:rFonts w:eastAsia="標楷體" w:hint="eastAsia"/>
          <w:sz w:val="36"/>
          <w:szCs w:val="36"/>
        </w:rPr>
        <w:t>萬元；</w:t>
      </w:r>
      <w:r w:rsidR="00DC3D28" w:rsidRPr="008A5BAF">
        <w:rPr>
          <w:rFonts w:eastAsia="標楷體" w:hint="eastAsia"/>
          <w:sz w:val="36"/>
        </w:rPr>
        <w:t>8.13</w:t>
      </w:r>
      <w:r w:rsidR="004C5877" w:rsidRPr="008A5BAF">
        <w:rPr>
          <w:rFonts w:eastAsia="標楷體"/>
          <w:sz w:val="36"/>
        </w:rPr>
        <w:t>％</w:t>
      </w:r>
      <w:proofErr w:type="gramStart"/>
      <w:r w:rsidR="004C5877" w:rsidRPr="008A5BAF">
        <w:rPr>
          <w:rFonts w:eastAsia="標楷體"/>
          <w:sz w:val="36"/>
        </w:rPr>
        <w:t>）</w:t>
      </w:r>
      <w:proofErr w:type="gramEnd"/>
      <w:r w:rsidR="00C46466" w:rsidRPr="008A5BAF">
        <w:rPr>
          <w:rFonts w:eastAsia="標楷體" w:hint="eastAsia"/>
          <w:sz w:val="36"/>
        </w:rPr>
        <w:t>及</w:t>
      </w:r>
      <w:r w:rsidR="00DC3D28" w:rsidRPr="008A5BAF">
        <w:rPr>
          <w:rFonts w:eastAsia="標楷體" w:hint="eastAsia"/>
          <w:sz w:val="36"/>
        </w:rPr>
        <w:t>安徽省</w:t>
      </w:r>
      <w:r w:rsidR="005C41CF" w:rsidRPr="008A5BAF">
        <w:rPr>
          <w:rFonts w:eastAsia="標楷體"/>
          <w:sz w:val="36"/>
        </w:rPr>
        <w:t>美金</w:t>
      </w:r>
      <w:r w:rsidR="00DC3D28" w:rsidRPr="008A5BAF">
        <w:rPr>
          <w:rFonts w:eastAsia="標楷體" w:hint="eastAsia"/>
          <w:sz w:val="36"/>
        </w:rPr>
        <w:t>1</w:t>
      </w:r>
      <w:r w:rsidR="00DC3D28" w:rsidRPr="008A5BAF">
        <w:rPr>
          <w:rFonts w:eastAsia="標楷體" w:hint="eastAsia"/>
          <w:sz w:val="36"/>
        </w:rPr>
        <w:t>億</w:t>
      </w:r>
      <w:r w:rsidR="00DC3D28" w:rsidRPr="008A5BAF">
        <w:rPr>
          <w:rFonts w:eastAsia="標楷體" w:hint="eastAsia"/>
          <w:sz w:val="36"/>
        </w:rPr>
        <w:t>6,970</w:t>
      </w:r>
      <w:r w:rsidR="005C41CF" w:rsidRPr="008A5BAF">
        <w:rPr>
          <w:rFonts w:eastAsia="標楷體"/>
          <w:sz w:val="36"/>
        </w:rPr>
        <w:t>萬</w:t>
      </w:r>
      <w:r w:rsidR="00DC3D28" w:rsidRPr="008A5BAF">
        <w:rPr>
          <w:rFonts w:eastAsia="標楷體" w:hint="eastAsia"/>
          <w:sz w:val="36"/>
        </w:rPr>
        <w:t>1</w:t>
      </w:r>
      <w:r w:rsidR="00C73560" w:rsidRPr="008A5BAF">
        <w:rPr>
          <w:rFonts w:eastAsia="標楷體" w:hint="eastAsia"/>
          <w:sz w:val="36"/>
        </w:rPr>
        <w:t>,</w:t>
      </w:r>
      <w:r w:rsidR="00F92AA8" w:rsidRPr="008A5BAF">
        <w:rPr>
          <w:rFonts w:eastAsia="標楷體" w:hint="eastAsia"/>
          <w:sz w:val="36"/>
        </w:rPr>
        <w:t>000</w:t>
      </w:r>
      <w:r w:rsidR="005C41CF" w:rsidRPr="008A5BAF">
        <w:rPr>
          <w:rFonts w:eastAsia="標楷體"/>
          <w:sz w:val="36"/>
        </w:rPr>
        <w:t>元</w:t>
      </w:r>
      <w:proofErr w:type="gramStart"/>
      <w:r w:rsidR="005C41CF" w:rsidRPr="008A5BAF">
        <w:rPr>
          <w:rFonts w:eastAsia="標楷體"/>
          <w:sz w:val="36"/>
        </w:rPr>
        <w:t>（</w:t>
      </w:r>
      <w:proofErr w:type="gramEnd"/>
      <w:r w:rsidR="00433CE2" w:rsidRPr="008A5BAF">
        <w:rPr>
          <w:rFonts w:eastAsia="標楷體" w:hint="eastAsia"/>
          <w:sz w:val="36"/>
          <w:szCs w:val="36"/>
        </w:rPr>
        <w:t>折合新臺幣</w:t>
      </w:r>
      <w:r w:rsidR="008A5BAF" w:rsidRPr="008A5BAF">
        <w:rPr>
          <w:rFonts w:eastAsia="標楷體" w:hint="eastAsia"/>
          <w:sz w:val="36"/>
          <w:szCs w:val="36"/>
        </w:rPr>
        <w:t>50</w:t>
      </w:r>
      <w:r w:rsidR="00433CE2" w:rsidRPr="008A5BAF">
        <w:rPr>
          <w:rFonts w:eastAsia="標楷體" w:hint="eastAsia"/>
          <w:sz w:val="36"/>
          <w:szCs w:val="36"/>
        </w:rPr>
        <w:t>億</w:t>
      </w:r>
      <w:r w:rsidR="008A5BAF" w:rsidRPr="008A5BAF">
        <w:rPr>
          <w:rFonts w:eastAsia="標楷體" w:hint="eastAsia"/>
          <w:sz w:val="36"/>
          <w:szCs w:val="36"/>
        </w:rPr>
        <w:t>9,103</w:t>
      </w:r>
      <w:r w:rsidR="00433CE2" w:rsidRPr="008A5BAF">
        <w:rPr>
          <w:rFonts w:eastAsia="標楷體" w:hint="eastAsia"/>
          <w:sz w:val="36"/>
          <w:szCs w:val="36"/>
        </w:rPr>
        <w:t>萬元；</w:t>
      </w:r>
      <w:r w:rsidR="00DC3D28" w:rsidRPr="008A5BAF">
        <w:rPr>
          <w:rFonts w:eastAsia="標楷體" w:hint="eastAsia"/>
          <w:sz w:val="36"/>
        </w:rPr>
        <w:t>8.03</w:t>
      </w:r>
      <w:r w:rsidR="00646A04" w:rsidRPr="008A5BAF">
        <w:rPr>
          <w:rFonts w:eastAsia="標楷體"/>
          <w:sz w:val="36"/>
        </w:rPr>
        <w:t>％</w:t>
      </w:r>
      <w:proofErr w:type="gramStart"/>
      <w:r w:rsidR="00C46466" w:rsidRPr="008A5BAF">
        <w:rPr>
          <w:rFonts w:eastAsia="標楷體"/>
          <w:sz w:val="36"/>
        </w:rPr>
        <w:t>）</w:t>
      </w:r>
      <w:proofErr w:type="gramEnd"/>
      <w:r w:rsidR="004C5877" w:rsidRPr="008A5BAF">
        <w:rPr>
          <w:rFonts w:eastAsia="標楷體"/>
          <w:sz w:val="36"/>
        </w:rPr>
        <w:t>分居前</w:t>
      </w:r>
      <w:r w:rsidR="004C5877" w:rsidRPr="008A5BAF">
        <w:rPr>
          <w:rFonts w:eastAsia="標楷體"/>
          <w:sz w:val="36"/>
        </w:rPr>
        <w:t>5</w:t>
      </w:r>
      <w:r w:rsidR="004C5877" w:rsidRPr="008A5BAF">
        <w:rPr>
          <w:rFonts w:eastAsia="標楷體"/>
          <w:sz w:val="36"/>
        </w:rPr>
        <w:t>名，合計</w:t>
      </w:r>
      <w:proofErr w:type="gramStart"/>
      <w:r w:rsidR="004C5877" w:rsidRPr="008A5BAF">
        <w:rPr>
          <w:rFonts w:eastAsia="標楷體"/>
          <w:sz w:val="36"/>
        </w:rPr>
        <w:t>約占本期</w:t>
      </w:r>
      <w:proofErr w:type="gramEnd"/>
      <w:r w:rsidR="004C5877" w:rsidRPr="008A5BAF">
        <w:rPr>
          <w:rFonts w:eastAsia="標楷體"/>
          <w:sz w:val="36"/>
        </w:rPr>
        <w:t>核准對中國大陸投資</w:t>
      </w:r>
      <w:r w:rsidR="004C5877" w:rsidRPr="00E255A1">
        <w:rPr>
          <w:rFonts w:eastAsia="標楷體"/>
          <w:sz w:val="36"/>
        </w:rPr>
        <w:t>總額的</w:t>
      </w:r>
      <w:r w:rsidR="008A5BAF">
        <w:rPr>
          <w:rFonts w:eastAsia="標楷體" w:hint="eastAsia"/>
          <w:sz w:val="36"/>
        </w:rPr>
        <w:t>73.61</w:t>
      </w:r>
      <w:r w:rsidR="004C5877" w:rsidRPr="00E255A1">
        <w:rPr>
          <w:rFonts w:eastAsia="標楷體"/>
          <w:sz w:val="36"/>
        </w:rPr>
        <w:t>％</w:t>
      </w:r>
      <w:r w:rsidR="004C5877" w:rsidRPr="00E255A1">
        <w:rPr>
          <w:rFonts w:eastAsia="標楷體"/>
          <w:sz w:val="36"/>
        </w:rPr>
        <w:t>(</w:t>
      </w:r>
      <w:r w:rsidR="004C5877" w:rsidRPr="00E255A1">
        <w:rPr>
          <w:rFonts w:eastAsia="標楷體"/>
          <w:sz w:val="36"/>
        </w:rPr>
        <w:t>請參閱表</w:t>
      </w:r>
      <w:r w:rsidR="004C5877" w:rsidRPr="00E255A1">
        <w:rPr>
          <w:rFonts w:eastAsia="標楷體"/>
          <w:sz w:val="36"/>
        </w:rPr>
        <w:t>4-2)</w:t>
      </w:r>
      <w:r w:rsidR="004C5877" w:rsidRPr="00E255A1">
        <w:rPr>
          <w:rFonts w:eastAsia="標楷體"/>
          <w:sz w:val="36"/>
        </w:rPr>
        <w:t>；在投資業別方面，</w:t>
      </w:r>
      <w:r w:rsidR="004C5877" w:rsidRPr="008A5BAF">
        <w:rPr>
          <w:rFonts w:eastAsia="標楷體"/>
          <w:sz w:val="36"/>
        </w:rPr>
        <w:t>則以</w:t>
      </w:r>
      <w:r w:rsidR="00DC3D28" w:rsidRPr="008A5BAF">
        <w:rPr>
          <w:rFonts w:eastAsia="標楷體" w:hint="eastAsia"/>
          <w:sz w:val="36"/>
        </w:rPr>
        <w:t>電腦、電子產品及光學製品製造業</w:t>
      </w:r>
      <w:r w:rsidR="00E0679A" w:rsidRPr="008A5BAF">
        <w:rPr>
          <w:rFonts w:eastAsia="標楷體"/>
          <w:sz w:val="36"/>
        </w:rPr>
        <w:t>美金</w:t>
      </w:r>
      <w:r w:rsidR="00DC3D28" w:rsidRPr="008A5BAF">
        <w:rPr>
          <w:rFonts w:eastAsia="標楷體" w:hint="eastAsia"/>
          <w:sz w:val="36"/>
        </w:rPr>
        <w:t>4</w:t>
      </w:r>
      <w:r w:rsidR="00E0679A" w:rsidRPr="008A5BAF">
        <w:rPr>
          <w:rFonts w:eastAsia="標楷體" w:hint="eastAsia"/>
          <w:sz w:val="36"/>
        </w:rPr>
        <w:t>億</w:t>
      </w:r>
      <w:r w:rsidR="00DC3D28" w:rsidRPr="008A5BAF">
        <w:rPr>
          <w:rFonts w:eastAsia="標楷體" w:hint="eastAsia"/>
          <w:sz w:val="36"/>
        </w:rPr>
        <w:t>4,854</w:t>
      </w:r>
      <w:r w:rsidR="00E0679A" w:rsidRPr="008A5BAF">
        <w:rPr>
          <w:rFonts w:eastAsia="標楷體"/>
          <w:sz w:val="36"/>
        </w:rPr>
        <w:t>萬</w:t>
      </w:r>
      <w:r w:rsidR="00DC3D28" w:rsidRPr="008A5BAF">
        <w:rPr>
          <w:rFonts w:eastAsia="標楷體" w:hint="eastAsia"/>
          <w:sz w:val="36"/>
        </w:rPr>
        <w:t>2</w:t>
      </w:r>
      <w:r w:rsidR="00282DA3" w:rsidRPr="008A5BAF">
        <w:rPr>
          <w:rFonts w:eastAsia="標楷體" w:hint="eastAsia"/>
          <w:sz w:val="36"/>
        </w:rPr>
        <w:t>,000</w:t>
      </w:r>
      <w:r w:rsidR="00E0679A" w:rsidRPr="008A5BAF">
        <w:rPr>
          <w:rFonts w:eastAsia="標楷體"/>
          <w:sz w:val="36"/>
        </w:rPr>
        <w:t>元</w:t>
      </w:r>
      <w:proofErr w:type="gramStart"/>
      <w:r w:rsidR="00E0679A" w:rsidRPr="008A5BAF">
        <w:rPr>
          <w:rFonts w:eastAsia="標楷體"/>
          <w:sz w:val="36"/>
        </w:rPr>
        <w:t>（</w:t>
      </w:r>
      <w:proofErr w:type="gramEnd"/>
      <w:r w:rsidR="00E0679A" w:rsidRPr="008A5BAF">
        <w:rPr>
          <w:rFonts w:eastAsia="標楷體" w:hint="eastAsia"/>
          <w:sz w:val="36"/>
          <w:szCs w:val="36"/>
        </w:rPr>
        <w:t>折合新臺幣</w:t>
      </w:r>
      <w:r w:rsidR="008A5BAF" w:rsidRPr="008A5BAF">
        <w:rPr>
          <w:rFonts w:eastAsia="標楷體" w:hint="eastAsia"/>
          <w:sz w:val="36"/>
          <w:szCs w:val="36"/>
        </w:rPr>
        <w:t>134</w:t>
      </w:r>
      <w:r w:rsidR="00E0679A" w:rsidRPr="008A5BAF">
        <w:rPr>
          <w:rFonts w:eastAsia="標楷體" w:hint="eastAsia"/>
          <w:sz w:val="36"/>
          <w:szCs w:val="36"/>
        </w:rPr>
        <w:t>億</w:t>
      </w:r>
      <w:r w:rsidR="008A5BAF" w:rsidRPr="008A5BAF">
        <w:rPr>
          <w:rFonts w:eastAsia="標楷體" w:hint="eastAsia"/>
          <w:sz w:val="36"/>
          <w:szCs w:val="36"/>
        </w:rPr>
        <w:t>5,626</w:t>
      </w:r>
      <w:r w:rsidR="00E0679A" w:rsidRPr="008A5BAF">
        <w:rPr>
          <w:rFonts w:eastAsia="標楷體" w:hint="eastAsia"/>
          <w:sz w:val="36"/>
          <w:szCs w:val="36"/>
        </w:rPr>
        <w:t>萬元；</w:t>
      </w:r>
      <w:r w:rsidR="00DC3D28" w:rsidRPr="008A5BAF">
        <w:rPr>
          <w:rFonts w:eastAsia="標楷體" w:hint="eastAsia"/>
          <w:sz w:val="36"/>
        </w:rPr>
        <w:t>21.21</w:t>
      </w:r>
      <w:r w:rsidR="00E0679A" w:rsidRPr="008A5BAF">
        <w:rPr>
          <w:rFonts w:eastAsia="標楷體"/>
          <w:sz w:val="36"/>
        </w:rPr>
        <w:t>％</w:t>
      </w:r>
      <w:proofErr w:type="gramStart"/>
      <w:r w:rsidR="00E0679A" w:rsidRPr="008A5BAF">
        <w:rPr>
          <w:rFonts w:eastAsia="標楷體"/>
          <w:sz w:val="36"/>
        </w:rPr>
        <w:t>）</w:t>
      </w:r>
      <w:proofErr w:type="gramEnd"/>
      <w:r w:rsidR="00E0679A" w:rsidRPr="008A5BAF">
        <w:rPr>
          <w:rFonts w:eastAsia="標楷體" w:hint="eastAsia"/>
          <w:sz w:val="36"/>
        </w:rPr>
        <w:t>、</w:t>
      </w:r>
      <w:r w:rsidR="00CF4B99" w:rsidRPr="008A5BAF">
        <w:rPr>
          <w:rFonts w:eastAsia="標楷體"/>
          <w:sz w:val="36"/>
        </w:rPr>
        <w:t>電子零組件</w:t>
      </w:r>
      <w:r w:rsidR="00CF4B99" w:rsidRPr="008A5BAF">
        <w:rPr>
          <w:rFonts w:eastAsia="標楷體" w:hint="eastAsia"/>
          <w:sz w:val="36"/>
        </w:rPr>
        <w:t>製造</w:t>
      </w:r>
      <w:r w:rsidR="00B1387E" w:rsidRPr="008A5BAF">
        <w:rPr>
          <w:rFonts w:eastAsia="標楷體"/>
          <w:sz w:val="36"/>
        </w:rPr>
        <w:t>業</w:t>
      </w:r>
      <w:r w:rsidR="004C5877" w:rsidRPr="008A5BAF">
        <w:rPr>
          <w:rFonts w:eastAsia="標楷體"/>
          <w:sz w:val="36"/>
        </w:rPr>
        <w:t>美金</w:t>
      </w:r>
      <w:r w:rsidR="00DC3D28" w:rsidRPr="008A5BAF">
        <w:rPr>
          <w:rFonts w:eastAsia="標楷體" w:hint="eastAsia"/>
          <w:sz w:val="36"/>
        </w:rPr>
        <w:t>4</w:t>
      </w:r>
      <w:r w:rsidR="000A57A7" w:rsidRPr="008A5BAF">
        <w:rPr>
          <w:rFonts w:eastAsia="標楷體" w:hint="eastAsia"/>
          <w:sz w:val="36"/>
        </w:rPr>
        <w:t>億</w:t>
      </w:r>
      <w:r w:rsidR="00DC3D28" w:rsidRPr="008A5BAF">
        <w:rPr>
          <w:rFonts w:eastAsia="標楷體" w:hint="eastAsia"/>
          <w:sz w:val="36"/>
        </w:rPr>
        <w:t>1,057</w:t>
      </w:r>
      <w:r w:rsidR="004C5877" w:rsidRPr="008A5BAF">
        <w:rPr>
          <w:rFonts w:eastAsia="標楷體"/>
          <w:sz w:val="36"/>
        </w:rPr>
        <w:t>萬</w:t>
      </w:r>
      <w:r w:rsidR="00DC3D28" w:rsidRPr="008A5BAF">
        <w:rPr>
          <w:rFonts w:eastAsia="標楷體" w:hint="eastAsia"/>
          <w:sz w:val="36"/>
        </w:rPr>
        <w:t>2</w:t>
      </w:r>
      <w:r w:rsidR="00C1443C" w:rsidRPr="008A5BAF">
        <w:rPr>
          <w:rFonts w:eastAsia="標楷體" w:hint="eastAsia"/>
          <w:sz w:val="36"/>
        </w:rPr>
        <w:t>,000</w:t>
      </w:r>
      <w:r w:rsidR="004C5877" w:rsidRPr="008A5BAF">
        <w:rPr>
          <w:rFonts w:eastAsia="標楷體"/>
          <w:sz w:val="36"/>
        </w:rPr>
        <w:t>元</w:t>
      </w:r>
      <w:proofErr w:type="gramStart"/>
      <w:r w:rsidR="004C5877" w:rsidRPr="008A5BAF">
        <w:rPr>
          <w:rFonts w:eastAsia="標楷體"/>
          <w:sz w:val="36"/>
        </w:rPr>
        <w:t>（</w:t>
      </w:r>
      <w:proofErr w:type="gramEnd"/>
      <w:r w:rsidR="00181615" w:rsidRPr="008A5BAF">
        <w:rPr>
          <w:rFonts w:eastAsia="標楷體" w:hint="eastAsia"/>
          <w:sz w:val="36"/>
          <w:szCs w:val="36"/>
        </w:rPr>
        <w:t>折合新臺幣</w:t>
      </w:r>
      <w:r w:rsidR="008A5BAF" w:rsidRPr="008A5BAF">
        <w:rPr>
          <w:rFonts w:eastAsia="標楷體" w:hint="eastAsia"/>
          <w:sz w:val="36"/>
          <w:szCs w:val="36"/>
        </w:rPr>
        <w:t>123</w:t>
      </w:r>
      <w:r w:rsidR="00181615" w:rsidRPr="008A5BAF">
        <w:rPr>
          <w:rFonts w:eastAsia="標楷體" w:hint="eastAsia"/>
          <w:sz w:val="36"/>
          <w:szCs w:val="36"/>
        </w:rPr>
        <w:t>億</w:t>
      </w:r>
      <w:r w:rsidR="008A5BAF" w:rsidRPr="008A5BAF">
        <w:rPr>
          <w:rFonts w:eastAsia="標楷體" w:hint="eastAsia"/>
          <w:sz w:val="36"/>
          <w:szCs w:val="36"/>
        </w:rPr>
        <w:t>1,716</w:t>
      </w:r>
      <w:r w:rsidR="00181615" w:rsidRPr="008A5BAF">
        <w:rPr>
          <w:rFonts w:eastAsia="標楷體" w:hint="eastAsia"/>
          <w:sz w:val="36"/>
          <w:szCs w:val="36"/>
        </w:rPr>
        <w:t>萬元；</w:t>
      </w:r>
      <w:r w:rsidR="00DC3D28" w:rsidRPr="008A5BAF">
        <w:rPr>
          <w:rFonts w:eastAsia="標楷體" w:hint="eastAsia"/>
          <w:sz w:val="36"/>
        </w:rPr>
        <w:t>19.42</w:t>
      </w:r>
      <w:r w:rsidR="006A13AE" w:rsidRPr="000B2630">
        <w:rPr>
          <w:rFonts w:eastAsia="標楷體"/>
          <w:sz w:val="36"/>
        </w:rPr>
        <w:t>％</w:t>
      </w:r>
      <w:proofErr w:type="gramStart"/>
      <w:r w:rsidR="006A13AE" w:rsidRPr="000B2630">
        <w:rPr>
          <w:rFonts w:eastAsia="標楷體"/>
          <w:sz w:val="36"/>
        </w:rPr>
        <w:t>）</w:t>
      </w:r>
      <w:proofErr w:type="gramEnd"/>
      <w:r w:rsidR="006A13AE" w:rsidRPr="000B2630">
        <w:rPr>
          <w:rFonts w:eastAsia="標楷體"/>
          <w:sz w:val="36"/>
        </w:rPr>
        <w:t>、</w:t>
      </w:r>
      <w:r w:rsidR="00DC3D28" w:rsidRPr="00E255A1">
        <w:rPr>
          <w:rFonts w:eastAsia="標楷體"/>
          <w:sz w:val="36"/>
        </w:rPr>
        <w:t>批發及零售業</w:t>
      </w:r>
      <w:r w:rsidR="006A13AE" w:rsidRPr="000B2630">
        <w:rPr>
          <w:rFonts w:eastAsia="標楷體"/>
          <w:sz w:val="36"/>
        </w:rPr>
        <w:t>美金</w:t>
      </w:r>
      <w:r w:rsidR="00DC3D28">
        <w:rPr>
          <w:rFonts w:eastAsia="標楷體" w:hint="eastAsia"/>
          <w:sz w:val="36"/>
        </w:rPr>
        <w:t>3</w:t>
      </w:r>
      <w:r w:rsidR="00282DA3" w:rsidRPr="000B2630">
        <w:rPr>
          <w:rFonts w:eastAsia="標楷體" w:hint="eastAsia"/>
          <w:sz w:val="36"/>
        </w:rPr>
        <w:t>億</w:t>
      </w:r>
      <w:r w:rsidR="00DC3D28">
        <w:rPr>
          <w:rFonts w:eastAsia="標楷體" w:hint="eastAsia"/>
          <w:sz w:val="36"/>
        </w:rPr>
        <w:t>2,845</w:t>
      </w:r>
      <w:r w:rsidR="006A13AE" w:rsidRPr="000B2630">
        <w:rPr>
          <w:rFonts w:eastAsia="標楷體"/>
          <w:sz w:val="36"/>
        </w:rPr>
        <w:t>萬元</w:t>
      </w:r>
      <w:proofErr w:type="gramStart"/>
      <w:r w:rsidR="006A13AE" w:rsidRPr="000B2630">
        <w:rPr>
          <w:rFonts w:eastAsia="標楷體"/>
          <w:sz w:val="36"/>
        </w:rPr>
        <w:t>（</w:t>
      </w:r>
      <w:proofErr w:type="gramEnd"/>
      <w:r w:rsidR="00181615" w:rsidRPr="000B2630">
        <w:rPr>
          <w:rFonts w:eastAsia="標楷體" w:hint="eastAsia"/>
          <w:sz w:val="36"/>
          <w:szCs w:val="36"/>
        </w:rPr>
        <w:t>折</w:t>
      </w:r>
      <w:r w:rsidR="00181615" w:rsidRPr="008A5BAF">
        <w:rPr>
          <w:rFonts w:eastAsia="標楷體" w:hint="eastAsia"/>
          <w:sz w:val="36"/>
          <w:szCs w:val="36"/>
        </w:rPr>
        <w:t>合新臺幣</w:t>
      </w:r>
      <w:r w:rsidR="008A5BAF" w:rsidRPr="008A5BAF">
        <w:rPr>
          <w:rFonts w:eastAsia="標楷體" w:hint="eastAsia"/>
          <w:sz w:val="36"/>
          <w:szCs w:val="36"/>
        </w:rPr>
        <w:t>98</w:t>
      </w:r>
      <w:r w:rsidR="00181615" w:rsidRPr="008A5BAF">
        <w:rPr>
          <w:rFonts w:eastAsia="標楷體" w:hint="eastAsia"/>
          <w:sz w:val="36"/>
          <w:szCs w:val="36"/>
        </w:rPr>
        <w:t>億</w:t>
      </w:r>
      <w:r w:rsidR="008A5BAF" w:rsidRPr="008A5BAF">
        <w:rPr>
          <w:rFonts w:eastAsia="標楷體" w:hint="eastAsia"/>
          <w:sz w:val="36"/>
          <w:szCs w:val="36"/>
        </w:rPr>
        <w:t>5,350</w:t>
      </w:r>
      <w:r w:rsidR="00181615" w:rsidRPr="008A5BAF">
        <w:rPr>
          <w:rFonts w:eastAsia="標楷體" w:hint="eastAsia"/>
          <w:sz w:val="36"/>
          <w:szCs w:val="36"/>
        </w:rPr>
        <w:t>萬元</w:t>
      </w:r>
      <w:r w:rsidR="00181615" w:rsidRPr="000B2630">
        <w:rPr>
          <w:rFonts w:eastAsia="標楷體" w:hint="eastAsia"/>
          <w:sz w:val="36"/>
          <w:szCs w:val="36"/>
        </w:rPr>
        <w:t>；</w:t>
      </w:r>
      <w:r w:rsidR="00DC3D28">
        <w:rPr>
          <w:rFonts w:eastAsia="標楷體" w:hint="eastAsia"/>
          <w:sz w:val="36"/>
        </w:rPr>
        <w:t>15.53</w:t>
      </w:r>
      <w:r w:rsidR="006A13AE" w:rsidRPr="00E255A1">
        <w:rPr>
          <w:rFonts w:eastAsia="標楷體"/>
          <w:sz w:val="36"/>
        </w:rPr>
        <w:t>％</w:t>
      </w:r>
      <w:proofErr w:type="gramStart"/>
      <w:r w:rsidR="006A13AE" w:rsidRPr="00E255A1">
        <w:rPr>
          <w:rFonts w:eastAsia="標楷體"/>
          <w:sz w:val="36"/>
        </w:rPr>
        <w:t>）</w:t>
      </w:r>
      <w:proofErr w:type="gramEnd"/>
      <w:r w:rsidR="00B1387E" w:rsidRPr="00E255A1">
        <w:rPr>
          <w:rFonts w:eastAsia="標楷體" w:hint="eastAsia"/>
          <w:sz w:val="36"/>
        </w:rPr>
        <w:t>、</w:t>
      </w:r>
      <w:r w:rsidR="00282DA3" w:rsidRPr="00E255A1">
        <w:rPr>
          <w:rFonts w:eastAsia="標楷體" w:hint="eastAsia"/>
          <w:sz w:val="36"/>
        </w:rPr>
        <w:t>機器設備製造</w:t>
      </w:r>
      <w:r w:rsidR="00EC6E55" w:rsidRPr="00E255A1">
        <w:rPr>
          <w:rFonts w:eastAsia="標楷體"/>
          <w:sz w:val="36"/>
        </w:rPr>
        <w:t>業</w:t>
      </w:r>
      <w:r w:rsidR="004C5877" w:rsidRPr="00E255A1">
        <w:rPr>
          <w:rFonts w:eastAsia="標楷體"/>
          <w:sz w:val="36"/>
        </w:rPr>
        <w:t>美金</w:t>
      </w:r>
      <w:r w:rsidR="00DC3D28">
        <w:rPr>
          <w:rFonts w:eastAsia="標楷體" w:hint="eastAsia"/>
          <w:sz w:val="36"/>
        </w:rPr>
        <w:t>9,621</w:t>
      </w:r>
      <w:r w:rsidR="0082124F" w:rsidRPr="00E255A1">
        <w:rPr>
          <w:rFonts w:eastAsia="標楷體" w:hint="eastAsia"/>
          <w:sz w:val="36"/>
        </w:rPr>
        <w:t>萬</w:t>
      </w:r>
      <w:r w:rsidR="00282DA3" w:rsidRPr="00E255A1">
        <w:rPr>
          <w:rFonts w:eastAsia="標楷體" w:hint="eastAsia"/>
          <w:sz w:val="36"/>
        </w:rPr>
        <w:t>2</w:t>
      </w:r>
      <w:r w:rsidR="0082124F" w:rsidRPr="00E255A1">
        <w:rPr>
          <w:rFonts w:eastAsia="標楷體" w:hint="eastAsia"/>
          <w:sz w:val="36"/>
        </w:rPr>
        <w:t>,000</w:t>
      </w:r>
      <w:r w:rsidR="004C5877" w:rsidRPr="00E255A1">
        <w:rPr>
          <w:rFonts w:eastAsia="標楷體"/>
          <w:sz w:val="36"/>
        </w:rPr>
        <w:t>元</w:t>
      </w:r>
      <w:proofErr w:type="gramStart"/>
      <w:r w:rsidR="004C5877" w:rsidRPr="00E255A1">
        <w:rPr>
          <w:rFonts w:eastAsia="標楷體"/>
          <w:sz w:val="36"/>
        </w:rPr>
        <w:t>（</w:t>
      </w:r>
      <w:proofErr w:type="gramEnd"/>
      <w:r w:rsidR="00181615" w:rsidRPr="008A5BAF">
        <w:rPr>
          <w:rFonts w:eastAsia="標楷體" w:hint="eastAsia"/>
          <w:sz w:val="36"/>
          <w:szCs w:val="36"/>
        </w:rPr>
        <w:t>折合新臺幣</w:t>
      </w:r>
      <w:r w:rsidR="008A5BAF" w:rsidRPr="008A5BAF">
        <w:rPr>
          <w:rFonts w:eastAsia="標楷體" w:hint="eastAsia"/>
          <w:sz w:val="36"/>
          <w:szCs w:val="36"/>
        </w:rPr>
        <w:t>28</w:t>
      </w:r>
      <w:r w:rsidR="00181615" w:rsidRPr="008A5BAF">
        <w:rPr>
          <w:rFonts w:eastAsia="標楷體" w:hint="eastAsia"/>
          <w:sz w:val="36"/>
          <w:szCs w:val="36"/>
        </w:rPr>
        <w:t>億</w:t>
      </w:r>
      <w:r w:rsidR="008A5BAF" w:rsidRPr="008A5BAF">
        <w:rPr>
          <w:rFonts w:eastAsia="標楷體" w:hint="eastAsia"/>
          <w:sz w:val="36"/>
          <w:szCs w:val="36"/>
        </w:rPr>
        <w:t>8,</w:t>
      </w:r>
      <w:r w:rsidR="008A5BAF">
        <w:rPr>
          <w:rFonts w:eastAsia="標楷體" w:hint="eastAsia"/>
          <w:sz w:val="36"/>
          <w:szCs w:val="36"/>
        </w:rPr>
        <w:t>636</w:t>
      </w:r>
      <w:r w:rsidR="00181615" w:rsidRPr="008A5BAF">
        <w:rPr>
          <w:rFonts w:eastAsia="標楷體" w:hint="eastAsia"/>
          <w:sz w:val="36"/>
          <w:szCs w:val="36"/>
        </w:rPr>
        <w:t>萬元；</w:t>
      </w:r>
      <w:r w:rsidR="00DC3D28" w:rsidRPr="008A5BAF">
        <w:rPr>
          <w:rFonts w:eastAsia="標楷體" w:hint="eastAsia"/>
          <w:sz w:val="36"/>
        </w:rPr>
        <w:t>4.55</w:t>
      </w:r>
      <w:r w:rsidR="00B07455" w:rsidRPr="008A5BAF">
        <w:rPr>
          <w:rFonts w:eastAsia="標楷體"/>
          <w:sz w:val="36"/>
        </w:rPr>
        <w:t>％</w:t>
      </w:r>
      <w:proofErr w:type="gramStart"/>
      <w:r w:rsidR="00B07455" w:rsidRPr="008A5BAF">
        <w:rPr>
          <w:rFonts w:eastAsia="標楷體"/>
          <w:sz w:val="36"/>
        </w:rPr>
        <w:t>）</w:t>
      </w:r>
      <w:proofErr w:type="gramEnd"/>
      <w:r w:rsidR="004C5877" w:rsidRPr="008A5BAF">
        <w:rPr>
          <w:rFonts w:eastAsia="標楷體"/>
          <w:sz w:val="36"/>
        </w:rPr>
        <w:t>及</w:t>
      </w:r>
      <w:r w:rsidR="00282DA3" w:rsidRPr="008A5BAF">
        <w:rPr>
          <w:rFonts w:eastAsia="標楷體" w:hint="eastAsia"/>
          <w:sz w:val="36"/>
        </w:rPr>
        <w:t>電力設備製造</w:t>
      </w:r>
      <w:r w:rsidR="005F21AA" w:rsidRPr="008A5BAF">
        <w:rPr>
          <w:rFonts w:eastAsia="標楷體" w:hint="eastAsia"/>
          <w:sz w:val="36"/>
        </w:rPr>
        <w:t>業</w:t>
      </w:r>
      <w:r w:rsidR="00B63F4F" w:rsidRPr="008A5BAF">
        <w:rPr>
          <w:rFonts w:eastAsia="標楷體"/>
          <w:sz w:val="36"/>
        </w:rPr>
        <w:t>美金</w:t>
      </w:r>
      <w:r w:rsidR="00DC3D28" w:rsidRPr="008A5BAF">
        <w:rPr>
          <w:rFonts w:eastAsia="標楷體" w:hint="eastAsia"/>
          <w:sz w:val="36"/>
        </w:rPr>
        <w:t>8,575</w:t>
      </w:r>
      <w:r w:rsidR="00B63F4F" w:rsidRPr="008A5BAF">
        <w:rPr>
          <w:rFonts w:eastAsia="標楷體"/>
          <w:sz w:val="36"/>
        </w:rPr>
        <w:t>萬</w:t>
      </w:r>
      <w:r w:rsidR="00DC3D28" w:rsidRPr="008A5BAF">
        <w:rPr>
          <w:rFonts w:eastAsia="標楷體" w:hint="eastAsia"/>
          <w:sz w:val="36"/>
        </w:rPr>
        <w:t>5</w:t>
      </w:r>
      <w:r w:rsidR="003E4C3C" w:rsidRPr="008A5BAF">
        <w:rPr>
          <w:rFonts w:eastAsia="標楷體" w:hint="eastAsia"/>
          <w:sz w:val="36"/>
        </w:rPr>
        <w:t>,000</w:t>
      </w:r>
      <w:r w:rsidR="00B63F4F" w:rsidRPr="008A5BAF">
        <w:rPr>
          <w:rFonts w:eastAsia="標楷體"/>
          <w:sz w:val="36"/>
        </w:rPr>
        <w:t>元</w:t>
      </w:r>
      <w:proofErr w:type="gramStart"/>
      <w:r w:rsidR="00B63F4F" w:rsidRPr="008A5BAF">
        <w:rPr>
          <w:rFonts w:eastAsia="標楷體"/>
          <w:sz w:val="36"/>
        </w:rPr>
        <w:t>（</w:t>
      </w:r>
      <w:proofErr w:type="gramEnd"/>
      <w:r w:rsidR="009775A7" w:rsidRPr="008A5BAF">
        <w:rPr>
          <w:rFonts w:eastAsia="標楷體" w:hint="eastAsia"/>
          <w:sz w:val="36"/>
          <w:szCs w:val="36"/>
        </w:rPr>
        <w:t>折合新臺幣</w:t>
      </w:r>
      <w:r w:rsidR="008A5BAF" w:rsidRPr="008A5BAF">
        <w:rPr>
          <w:rFonts w:eastAsia="標楷體" w:hint="eastAsia"/>
          <w:sz w:val="36"/>
          <w:szCs w:val="36"/>
        </w:rPr>
        <w:t>25</w:t>
      </w:r>
      <w:r w:rsidR="009775A7" w:rsidRPr="008A5BAF">
        <w:rPr>
          <w:rFonts w:eastAsia="標楷體" w:hint="eastAsia"/>
          <w:sz w:val="36"/>
          <w:szCs w:val="36"/>
        </w:rPr>
        <w:t>億</w:t>
      </w:r>
      <w:r w:rsidR="008A5BAF" w:rsidRPr="008A5BAF">
        <w:rPr>
          <w:rFonts w:eastAsia="標楷體" w:hint="eastAsia"/>
          <w:sz w:val="36"/>
          <w:szCs w:val="36"/>
        </w:rPr>
        <w:t>7,265</w:t>
      </w:r>
      <w:r w:rsidR="009775A7" w:rsidRPr="008A5BAF">
        <w:rPr>
          <w:rFonts w:eastAsia="標楷體" w:hint="eastAsia"/>
          <w:sz w:val="36"/>
          <w:szCs w:val="36"/>
        </w:rPr>
        <w:t>萬元；</w:t>
      </w:r>
      <w:r w:rsidR="00DC3D28" w:rsidRPr="008A5BAF">
        <w:rPr>
          <w:rFonts w:eastAsia="標楷體" w:hint="eastAsia"/>
          <w:sz w:val="36"/>
        </w:rPr>
        <w:t>4.06</w:t>
      </w:r>
      <w:r w:rsidR="00B63F4F" w:rsidRPr="008A5BAF">
        <w:rPr>
          <w:rFonts w:eastAsia="標楷體"/>
          <w:sz w:val="36"/>
        </w:rPr>
        <w:t>％</w:t>
      </w:r>
      <w:proofErr w:type="gramStart"/>
      <w:r w:rsidR="00B63F4F" w:rsidRPr="008A5BAF">
        <w:rPr>
          <w:rFonts w:eastAsia="標楷體"/>
          <w:sz w:val="36"/>
        </w:rPr>
        <w:t>）</w:t>
      </w:r>
      <w:proofErr w:type="gramEnd"/>
      <w:r w:rsidR="004C5877" w:rsidRPr="008A5BAF">
        <w:rPr>
          <w:rFonts w:eastAsia="標楷體"/>
          <w:sz w:val="36"/>
        </w:rPr>
        <w:t>分居前</w:t>
      </w:r>
      <w:r w:rsidR="004C5877" w:rsidRPr="008A5BAF">
        <w:rPr>
          <w:rFonts w:eastAsia="標楷體"/>
          <w:sz w:val="36"/>
        </w:rPr>
        <w:t>5</w:t>
      </w:r>
      <w:r w:rsidR="004C5877" w:rsidRPr="008A5BAF">
        <w:rPr>
          <w:rFonts w:eastAsia="標楷體"/>
          <w:sz w:val="36"/>
        </w:rPr>
        <w:t>名</w:t>
      </w:r>
      <w:r w:rsidR="004C5877" w:rsidRPr="00E255A1">
        <w:rPr>
          <w:rFonts w:eastAsia="標楷體"/>
          <w:sz w:val="36"/>
        </w:rPr>
        <w:t>，合計</w:t>
      </w:r>
      <w:proofErr w:type="gramStart"/>
      <w:r w:rsidR="004C5877" w:rsidRPr="00E255A1">
        <w:rPr>
          <w:rFonts w:eastAsia="標楷體"/>
          <w:sz w:val="36"/>
        </w:rPr>
        <w:t>約占本期</w:t>
      </w:r>
      <w:proofErr w:type="gramEnd"/>
      <w:r w:rsidR="004C5877" w:rsidRPr="00E255A1">
        <w:rPr>
          <w:rFonts w:eastAsia="標楷體"/>
          <w:sz w:val="36"/>
        </w:rPr>
        <w:t>核准對中國大陸投資總額的</w:t>
      </w:r>
      <w:r w:rsidR="008A5BAF">
        <w:rPr>
          <w:rFonts w:eastAsia="標楷體" w:hint="eastAsia"/>
          <w:sz w:val="36"/>
        </w:rPr>
        <w:t>64.77</w:t>
      </w:r>
      <w:r w:rsidR="004C5877" w:rsidRPr="00E255A1">
        <w:rPr>
          <w:rFonts w:eastAsia="標楷體"/>
          <w:sz w:val="36"/>
        </w:rPr>
        <w:t>％</w:t>
      </w:r>
      <w:r w:rsidR="004C5877" w:rsidRPr="00E255A1">
        <w:rPr>
          <w:rFonts w:eastAsia="標楷體"/>
          <w:sz w:val="36"/>
        </w:rPr>
        <w:t>(</w:t>
      </w:r>
      <w:r w:rsidR="004C5877" w:rsidRPr="00E255A1">
        <w:rPr>
          <w:rFonts w:eastAsia="標楷體"/>
          <w:sz w:val="36"/>
        </w:rPr>
        <w:t>請參閱表</w:t>
      </w:r>
      <w:r w:rsidR="004C5877" w:rsidRPr="00E255A1">
        <w:rPr>
          <w:rFonts w:eastAsia="標楷體"/>
          <w:sz w:val="36"/>
        </w:rPr>
        <w:t>4-3)</w:t>
      </w:r>
      <w:r w:rsidR="004C5877" w:rsidRPr="00E255A1">
        <w:rPr>
          <w:rFonts w:eastAsia="標楷體"/>
          <w:sz w:val="36"/>
        </w:rPr>
        <w:t>。</w:t>
      </w:r>
    </w:p>
    <w:p w:rsidR="00E15544" w:rsidRPr="00E255A1" w:rsidRDefault="004C5877">
      <w:pPr>
        <w:pageBreakBefore/>
        <w:spacing w:after="188" w:line="560" w:lineRule="exact"/>
        <w:ind w:left="329" w:firstLine="482"/>
        <w:jc w:val="both"/>
        <w:rPr>
          <w:sz w:val="36"/>
          <w:szCs w:val="36"/>
        </w:rPr>
      </w:pPr>
      <w:r w:rsidRPr="00E255A1">
        <w:rPr>
          <w:rFonts w:eastAsia="標楷體"/>
          <w:sz w:val="36"/>
          <w:szCs w:val="36"/>
        </w:rPr>
        <w:lastRenderedPageBreak/>
        <w:t>表</w:t>
      </w:r>
      <w:r w:rsidRPr="00E255A1">
        <w:rPr>
          <w:rFonts w:eastAsia="標楷體"/>
          <w:sz w:val="36"/>
          <w:szCs w:val="36"/>
        </w:rPr>
        <w:t>1-1</w:t>
      </w:r>
      <w:r w:rsidRPr="00E255A1">
        <w:rPr>
          <w:rFonts w:eastAsia="標楷體"/>
          <w:sz w:val="36"/>
          <w:szCs w:val="36"/>
        </w:rPr>
        <w:t xml:space="preserve">　</w:t>
      </w:r>
      <w:r w:rsidR="000A480C" w:rsidRPr="00E255A1">
        <w:rPr>
          <w:rFonts w:eastAsia="標楷體"/>
          <w:sz w:val="36"/>
          <w:szCs w:val="36"/>
        </w:rPr>
        <w:t>1</w:t>
      </w:r>
      <w:r w:rsidR="003707C7" w:rsidRPr="00E255A1">
        <w:rPr>
          <w:rFonts w:eastAsia="標楷體" w:hint="eastAsia"/>
          <w:sz w:val="36"/>
          <w:szCs w:val="36"/>
        </w:rPr>
        <w:t>10</w:t>
      </w:r>
      <w:r w:rsidRPr="00E255A1">
        <w:rPr>
          <w:rFonts w:eastAsia="標楷體"/>
          <w:sz w:val="36"/>
          <w:szCs w:val="36"/>
        </w:rPr>
        <w:t>年</w:t>
      </w:r>
      <w:r w:rsidR="009F601C">
        <w:rPr>
          <w:rFonts w:eastAsia="標楷體" w:hint="eastAsia"/>
          <w:sz w:val="36"/>
          <w:szCs w:val="36"/>
        </w:rPr>
        <w:t>7</w:t>
      </w:r>
      <w:r w:rsidR="002362D1" w:rsidRPr="00E255A1">
        <w:rPr>
          <w:rFonts w:eastAsia="標楷體"/>
          <w:sz w:val="36"/>
          <w:szCs w:val="36"/>
        </w:rPr>
        <w:t>月</w:t>
      </w:r>
      <w:r w:rsidRPr="00E255A1">
        <w:rPr>
          <w:rFonts w:eastAsia="標楷體"/>
          <w:sz w:val="36"/>
          <w:szCs w:val="36"/>
        </w:rPr>
        <w:t>及最近</w:t>
      </w:r>
      <w:r w:rsidRPr="00E255A1">
        <w:rPr>
          <w:rFonts w:eastAsia="標楷體"/>
          <w:sz w:val="36"/>
          <w:szCs w:val="36"/>
        </w:rPr>
        <w:t>2</w:t>
      </w:r>
      <w:r w:rsidRPr="00E255A1">
        <w:rPr>
          <w:rFonts w:eastAsia="標楷體"/>
          <w:sz w:val="36"/>
          <w:szCs w:val="36"/>
        </w:rPr>
        <w:t>年僑外投資概況</w:t>
      </w:r>
    </w:p>
    <w:tbl>
      <w:tblPr>
        <w:tblW w:w="932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95"/>
        <w:gridCol w:w="709"/>
        <w:gridCol w:w="567"/>
        <w:gridCol w:w="1171"/>
        <w:gridCol w:w="543"/>
        <w:gridCol w:w="709"/>
        <w:gridCol w:w="567"/>
        <w:gridCol w:w="1134"/>
        <w:gridCol w:w="567"/>
        <w:gridCol w:w="567"/>
        <w:gridCol w:w="553"/>
        <w:gridCol w:w="993"/>
        <w:gridCol w:w="552"/>
      </w:tblGrid>
      <w:tr w:rsidR="00E15544" w:rsidRPr="00E255A1" w:rsidTr="00950192">
        <w:trPr>
          <w:cantSplit/>
          <w:jc w:val="center"/>
        </w:trPr>
        <w:tc>
          <w:tcPr>
            <w:tcW w:w="368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E15544">
            <w:pPr>
              <w:pStyle w:val="a3"/>
              <w:spacing w:line="400" w:lineRule="exac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7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65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55A1">
              <w:rPr>
                <w:rFonts w:ascii="Times New Roman" w:hAnsi="Times New Roman"/>
                <w:sz w:val="24"/>
                <w:szCs w:val="24"/>
              </w:rPr>
              <w:t>單位：千美元；％</w:t>
            </w:r>
          </w:p>
        </w:tc>
      </w:tr>
      <w:tr w:rsidR="00E15544" w:rsidRPr="00E255A1" w:rsidTr="00DF36ED">
        <w:trPr>
          <w:cantSplit/>
          <w:jc w:val="center"/>
        </w:trPr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9A3D55" w:rsidP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期間</w:t>
            </w:r>
          </w:p>
        </w:tc>
        <w:tc>
          <w:tcPr>
            <w:tcW w:w="2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B60D00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108</w:t>
            </w:r>
            <w:r w:rsidR="004C5877" w:rsidRPr="00E255A1">
              <w:rPr>
                <w:rFonts w:ascii="Times New Roman" w:hAnsi="Times New Roman"/>
                <w:sz w:val="22"/>
                <w:szCs w:val="22"/>
              </w:rPr>
              <w:t>年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B60D00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109</w:t>
            </w:r>
            <w:r w:rsidR="004C5877" w:rsidRPr="00E255A1">
              <w:rPr>
                <w:rFonts w:ascii="Times New Roman" w:hAnsi="Times New Roman"/>
                <w:sz w:val="22"/>
                <w:szCs w:val="22"/>
              </w:rPr>
              <w:t>年</w:t>
            </w:r>
          </w:p>
        </w:tc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B60D00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110</w:t>
            </w:r>
            <w:r w:rsidR="004C5877" w:rsidRPr="00E255A1">
              <w:rPr>
                <w:rFonts w:ascii="Times New Roman" w:hAnsi="Times New Roman"/>
                <w:sz w:val="22"/>
                <w:szCs w:val="22"/>
              </w:rPr>
              <w:t>年</w:t>
            </w:r>
          </w:p>
        </w:tc>
      </w:tr>
      <w:tr w:rsidR="00E15544" w:rsidRPr="00E255A1" w:rsidTr="00DF36ED">
        <w:trPr>
          <w:cantSplit/>
          <w:trHeight w:val="70"/>
          <w:jc w:val="center"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件</w:t>
            </w:r>
          </w:p>
          <w:p w:rsidR="00E15544" w:rsidRPr="00E255A1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成</w:t>
            </w: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長</w:t>
            </w: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率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金</w:t>
            </w:r>
          </w:p>
          <w:p w:rsidR="00E15544" w:rsidRPr="00E255A1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額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成</w:t>
            </w: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長</w:t>
            </w: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件</w:t>
            </w:r>
          </w:p>
          <w:p w:rsidR="00E15544" w:rsidRPr="00E255A1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成</w:t>
            </w: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長</w:t>
            </w: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金</w:t>
            </w:r>
          </w:p>
          <w:p w:rsidR="00E15544" w:rsidRPr="00E255A1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成</w:t>
            </w: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長</w:t>
            </w: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件</w:t>
            </w:r>
          </w:p>
          <w:p w:rsidR="00E15544" w:rsidRPr="00E255A1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數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成</w:t>
            </w: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長</w:t>
            </w: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金</w:t>
            </w:r>
          </w:p>
          <w:p w:rsidR="00E15544" w:rsidRPr="00E255A1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額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成</w:t>
            </w: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長</w:t>
            </w: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率</w:t>
            </w:r>
          </w:p>
        </w:tc>
      </w:tr>
      <w:tr w:rsidR="00B60D00" w:rsidRPr="00E255A1" w:rsidTr="00DF36ED">
        <w:trPr>
          <w:cantSplit/>
          <w:trHeight w:val="70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D00" w:rsidRPr="00E255A1" w:rsidRDefault="00B60D00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1</w:t>
            </w:r>
            <w:r w:rsidRPr="00E255A1">
              <w:rPr>
                <w:rFonts w:ascii="Times New Roman" w:hAnsi="Times New Roman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D00" w:rsidRPr="00E255A1" w:rsidRDefault="00B60D00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293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D00" w:rsidRPr="00E255A1" w:rsidRDefault="00B60D00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pacing w:val="-10"/>
                <w:sz w:val="22"/>
                <w:szCs w:val="22"/>
              </w:rPr>
              <w:t>0.3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D00" w:rsidRPr="00E255A1" w:rsidRDefault="00B60D00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340,763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D00" w:rsidRPr="00E255A1" w:rsidRDefault="00B60D00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-7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D00" w:rsidRPr="00E255A1" w:rsidRDefault="00B60D00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416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D00" w:rsidRPr="00E255A1" w:rsidRDefault="00B60D00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pacing w:val="-10"/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D00" w:rsidRPr="00E255A1" w:rsidRDefault="00B60D00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997,634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D00" w:rsidRPr="00E255A1" w:rsidRDefault="00B60D00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193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D00" w:rsidRPr="00E255A1" w:rsidRDefault="00A2373D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228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D00" w:rsidRPr="00E255A1" w:rsidRDefault="00A2373D" w:rsidP="00DF36ED">
            <w:pPr>
              <w:pStyle w:val="a3"/>
              <w:spacing w:line="400" w:lineRule="exact"/>
              <w:jc w:val="right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pacing w:val="-10"/>
                <w:sz w:val="22"/>
                <w:szCs w:val="22"/>
              </w:rPr>
              <w:t>-45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D00" w:rsidRPr="00E255A1" w:rsidRDefault="00A2373D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508,115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D00" w:rsidRPr="00E255A1" w:rsidRDefault="00A2373D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-49</w:t>
            </w:r>
          </w:p>
        </w:tc>
      </w:tr>
      <w:tr w:rsidR="00B31318" w:rsidRPr="00E255A1" w:rsidTr="00DF36ED">
        <w:trPr>
          <w:cantSplit/>
          <w:trHeight w:val="70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318" w:rsidRPr="00E255A1" w:rsidRDefault="00B31318" w:rsidP="00B31318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2</w:t>
            </w:r>
            <w:r w:rsidRPr="00E255A1">
              <w:rPr>
                <w:rFonts w:ascii="Times New Roman" w:hAnsi="Times New Roman" w:hint="eastAsia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318" w:rsidRPr="00E255A1" w:rsidRDefault="00B31318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262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318" w:rsidRPr="00E255A1" w:rsidRDefault="00B31318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pacing w:val="-10"/>
                <w:sz w:val="22"/>
                <w:szCs w:val="22"/>
              </w:rPr>
              <w:t>26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318" w:rsidRPr="00E255A1" w:rsidRDefault="00B31318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217,326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318" w:rsidRPr="00E255A1" w:rsidRDefault="00B31318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318" w:rsidRPr="00E255A1" w:rsidRDefault="00B31318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216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318" w:rsidRPr="00E255A1" w:rsidRDefault="00B31318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pacing w:val="-10"/>
                <w:sz w:val="22"/>
                <w:szCs w:val="22"/>
              </w:rPr>
              <w:t>-18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318" w:rsidRPr="00E255A1" w:rsidRDefault="00B31318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471,264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318" w:rsidRPr="00E255A1" w:rsidRDefault="00B31318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318" w:rsidRPr="00E255A1" w:rsidRDefault="0015689B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154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318" w:rsidRPr="00E255A1" w:rsidRDefault="0015689B" w:rsidP="00DF36ED">
            <w:pPr>
              <w:pStyle w:val="a3"/>
              <w:spacing w:line="400" w:lineRule="exact"/>
              <w:jc w:val="right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pacing w:val="-10"/>
                <w:sz w:val="22"/>
                <w:szCs w:val="22"/>
              </w:rPr>
              <w:t>-29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318" w:rsidRPr="00E255A1" w:rsidRDefault="0015689B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365,862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318" w:rsidRPr="00E255A1" w:rsidRDefault="0015689B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-22</w:t>
            </w:r>
          </w:p>
        </w:tc>
      </w:tr>
      <w:tr w:rsidR="0077578D" w:rsidRPr="00E255A1" w:rsidTr="00DF36ED">
        <w:trPr>
          <w:cantSplit/>
          <w:trHeight w:val="70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78D" w:rsidRPr="00E255A1" w:rsidRDefault="0077578D" w:rsidP="00B31318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3</w:t>
            </w:r>
            <w:r w:rsidRPr="00E255A1">
              <w:rPr>
                <w:rFonts w:ascii="Times New Roman" w:hAnsi="Times New Roman" w:hint="eastAsia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78D" w:rsidRPr="00E255A1" w:rsidRDefault="0077578D" w:rsidP="0077578D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276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78D" w:rsidRPr="00E255A1" w:rsidRDefault="0077578D" w:rsidP="0077578D">
            <w:pPr>
              <w:pStyle w:val="a3"/>
              <w:spacing w:line="400" w:lineRule="exact"/>
              <w:jc w:val="right"/>
              <w:rPr>
                <w:rFonts w:ascii="Times New Roman"/>
                <w:spacing w:val="-10"/>
                <w:sz w:val="22"/>
                <w:szCs w:val="22"/>
              </w:rPr>
            </w:pPr>
            <w:r w:rsidRPr="00E255A1">
              <w:rPr>
                <w:rFonts w:ascii="Times New Roman" w:hint="eastAsia"/>
                <w:spacing w:val="-10"/>
                <w:sz w:val="22"/>
                <w:szCs w:val="22"/>
              </w:rPr>
              <w:t>-3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78D" w:rsidRPr="00E255A1" w:rsidRDefault="0077578D" w:rsidP="0077578D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466,332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78D" w:rsidRPr="00E255A1" w:rsidRDefault="0077578D" w:rsidP="0077578D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-52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78D" w:rsidRPr="00E255A1" w:rsidRDefault="0077578D" w:rsidP="0077578D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311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78D" w:rsidRPr="00E255A1" w:rsidRDefault="0077578D" w:rsidP="0077578D">
            <w:pPr>
              <w:pStyle w:val="a3"/>
              <w:spacing w:line="400" w:lineRule="exact"/>
              <w:jc w:val="right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pacing w:val="-1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78D" w:rsidRPr="00E255A1" w:rsidRDefault="0077578D" w:rsidP="0077578D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953,206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78D" w:rsidRPr="00E255A1" w:rsidRDefault="0077578D" w:rsidP="0077578D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78D" w:rsidRPr="00E255A1" w:rsidRDefault="00AA2E5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282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78D" w:rsidRPr="00E255A1" w:rsidRDefault="00AA2E5F" w:rsidP="00DF36ED">
            <w:pPr>
              <w:pStyle w:val="a3"/>
              <w:tabs>
                <w:tab w:val="left" w:pos="288"/>
              </w:tabs>
              <w:spacing w:line="400" w:lineRule="exact"/>
              <w:jc w:val="right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pacing w:val="-10"/>
                <w:sz w:val="22"/>
                <w:szCs w:val="22"/>
              </w:rPr>
              <w:tab/>
            </w:r>
            <w:r w:rsidRPr="00E255A1">
              <w:rPr>
                <w:rFonts w:ascii="Times New Roman" w:hAnsi="Times New Roman" w:hint="eastAsia"/>
                <w:spacing w:val="-10"/>
                <w:sz w:val="22"/>
                <w:szCs w:val="22"/>
              </w:rPr>
              <w:t>-9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78D" w:rsidRPr="00E255A1" w:rsidRDefault="00AA2E5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343,656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78D" w:rsidRPr="00E255A1" w:rsidRDefault="00AA2E5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-64</w:t>
            </w:r>
          </w:p>
        </w:tc>
      </w:tr>
      <w:tr w:rsidR="00AD506E" w:rsidRPr="00E255A1" w:rsidTr="00DF36ED">
        <w:trPr>
          <w:cantSplit/>
          <w:trHeight w:val="70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506E" w:rsidRPr="00E255A1" w:rsidRDefault="00AD506E" w:rsidP="00B31318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4</w:t>
            </w:r>
            <w:r w:rsidRPr="00E255A1">
              <w:rPr>
                <w:rFonts w:ascii="Times New Roman" w:hAnsi="Times New Roman" w:hint="eastAsia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506E" w:rsidRPr="00E255A1" w:rsidRDefault="00AD506E" w:rsidP="00DC6630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289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506E" w:rsidRPr="00E255A1" w:rsidRDefault="00AD506E" w:rsidP="00DC6630">
            <w:pPr>
              <w:pStyle w:val="a3"/>
              <w:spacing w:line="400" w:lineRule="exact"/>
              <w:jc w:val="right"/>
              <w:rPr>
                <w:rFonts w:ascii="Times New Roman"/>
                <w:spacing w:val="-10"/>
                <w:sz w:val="22"/>
                <w:szCs w:val="22"/>
              </w:rPr>
            </w:pPr>
            <w:r w:rsidRPr="00E255A1">
              <w:rPr>
                <w:rFonts w:ascii="Times New Roman" w:hint="eastAsia"/>
                <w:spacing w:val="-10"/>
                <w:sz w:val="22"/>
                <w:szCs w:val="22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506E" w:rsidRPr="00E255A1" w:rsidRDefault="00AD506E" w:rsidP="00DC6630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971,460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506E" w:rsidRPr="00E255A1" w:rsidRDefault="00AD506E" w:rsidP="00DC6630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331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506E" w:rsidRPr="00E255A1" w:rsidRDefault="00AD506E" w:rsidP="00DC6630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277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506E" w:rsidRPr="00E255A1" w:rsidRDefault="00AD506E" w:rsidP="00DC6630">
            <w:pPr>
              <w:pStyle w:val="a3"/>
              <w:spacing w:line="400" w:lineRule="exact"/>
              <w:jc w:val="right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pacing w:val="-10"/>
                <w:sz w:val="22"/>
                <w:szCs w:val="22"/>
              </w:rPr>
              <w:t>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506E" w:rsidRPr="00E255A1" w:rsidRDefault="00AD506E" w:rsidP="00DC6630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545,443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506E" w:rsidRPr="00E255A1" w:rsidRDefault="00AD506E" w:rsidP="00DC6630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506E" w:rsidRPr="00E255A1" w:rsidRDefault="00AD506E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196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506E" w:rsidRPr="00E255A1" w:rsidRDefault="00AD506E" w:rsidP="00DF36ED">
            <w:pPr>
              <w:pStyle w:val="a3"/>
              <w:tabs>
                <w:tab w:val="left" w:pos="288"/>
              </w:tabs>
              <w:spacing w:line="400" w:lineRule="exact"/>
              <w:ind w:firstLineChars="100" w:firstLine="210"/>
              <w:jc w:val="right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pacing w:val="-10"/>
                <w:sz w:val="22"/>
                <w:szCs w:val="22"/>
              </w:rPr>
              <w:t>-29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506E" w:rsidRPr="00E255A1" w:rsidRDefault="00AD506E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338,021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506E" w:rsidRPr="00E255A1" w:rsidRDefault="00AD506E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-38</w:t>
            </w:r>
          </w:p>
        </w:tc>
      </w:tr>
      <w:tr w:rsidR="00C5522B" w:rsidRPr="00E255A1" w:rsidTr="00DF36ED">
        <w:trPr>
          <w:cantSplit/>
          <w:trHeight w:val="70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22B" w:rsidRPr="00E255A1" w:rsidRDefault="00C5522B" w:rsidP="00B31318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5</w:t>
            </w:r>
            <w:r w:rsidRPr="00E255A1">
              <w:rPr>
                <w:rFonts w:ascii="Times New Roman" w:hAnsi="Times New Roman" w:hint="eastAsia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22B" w:rsidRPr="00E255A1" w:rsidRDefault="00C5522B" w:rsidP="0083175B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356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22B" w:rsidRPr="00E255A1" w:rsidRDefault="00C5522B" w:rsidP="0083175B">
            <w:pPr>
              <w:pStyle w:val="a3"/>
              <w:spacing w:line="400" w:lineRule="exact"/>
              <w:jc w:val="right"/>
              <w:rPr>
                <w:rFonts w:ascii="Times New Roman"/>
                <w:spacing w:val="-10"/>
                <w:sz w:val="22"/>
                <w:szCs w:val="22"/>
              </w:rPr>
            </w:pPr>
            <w:r w:rsidRPr="00E255A1">
              <w:rPr>
                <w:rFonts w:ascii="Times New Roman" w:hint="eastAsia"/>
                <w:spacing w:val="-10"/>
                <w:sz w:val="22"/>
                <w:szCs w:val="22"/>
              </w:rPr>
              <w:t>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22B" w:rsidRPr="00E255A1" w:rsidRDefault="00C5522B" w:rsidP="0083175B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1</w:t>
            </w:r>
            <w:r w:rsidRPr="00E255A1">
              <w:rPr>
                <w:rFonts w:ascii="Times New Roman"/>
                <w:sz w:val="22"/>
                <w:szCs w:val="22"/>
              </w:rPr>
              <w:t>,</w:t>
            </w:r>
            <w:r w:rsidRPr="00E255A1">
              <w:rPr>
                <w:rFonts w:ascii="Times New Roman" w:hint="eastAsia"/>
                <w:sz w:val="22"/>
                <w:szCs w:val="22"/>
              </w:rPr>
              <w:t>06</w:t>
            </w:r>
            <w:r w:rsidRPr="00E255A1">
              <w:rPr>
                <w:rFonts w:ascii="Times New Roman"/>
                <w:sz w:val="22"/>
                <w:szCs w:val="22"/>
              </w:rPr>
              <w:t>0</w:t>
            </w:r>
            <w:r w:rsidRPr="00E255A1">
              <w:rPr>
                <w:rFonts w:ascii="Times New Roman" w:hint="eastAsia"/>
                <w:sz w:val="22"/>
                <w:szCs w:val="22"/>
              </w:rPr>
              <w:t>,</w:t>
            </w:r>
            <w:r w:rsidRPr="00E255A1">
              <w:rPr>
                <w:rFonts w:ascii="Times New Roman"/>
                <w:sz w:val="22"/>
                <w:szCs w:val="22"/>
              </w:rPr>
              <w:t>038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22B" w:rsidRPr="00E255A1" w:rsidRDefault="00C5522B" w:rsidP="0083175B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232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22B" w:rsidRPr="00E255A1" w:rsidRDefault="00C5522B" w:rsidP="0083175B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215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22B" w:rsidRPr="00E255A1" w:rsidRDefault="00C5522B" w:rsidP="0083175B">
            <w:pPr>
              <w:pStyle w:val="a3"/>
              <w:spacing w:line="400" w:lineRule="exact"/>
              <w:jc w:val="right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pacing w:val="-10"/>
                <w:sz w:val="22"/>
                <w:szCs w:val="22"/>
              </w:rPr>
              <w:t>-40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22B" w:rsidRPr="00E255A1" w:rsidRDefault="00C5522B" w:rsidP="0083175B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453,450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22B" w:rsidRPr="00E255A1" w:rsidRDefault="00C5522B" w:rsidP="0083175B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22B" w:rsidRPr="00E255A1" w:rsidRDefault="0083175B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220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0379" w:rsidRPr="00E255A1" w:rsidRDefault="00B00379" w:rsidP="00DF36ED">
            <w:pPr>
              <w:pStyle w:val="a3"/>
              <w:tabs>
                <w:tab w:val="left" w:pos="288"/>
              </w:tabs>
              <w:spacing w:line="400" w:lineRule="exact"/>
              <w:ind w:firstLineChars="100" w:firstLine="210"/>
              <w:jc w:val="right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pacing w:val="-10"/>
                <w:sz w:val="22"/>
                <w:szCs w:val="22"/>
              </w:rPr>
              <w:t>2.3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22B" w:rsidRPr="00E255A1" w:rsidRDefault="0083175B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431,216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22B" w:rsidRPr="00E255A1" w:rsidRDefault="00B0037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-4.9</w:t>
            </w:r>
          </w:p>
        </w:tc>
      </w:tr>
      <w:tr w:rsidR="00135F44" w:rsidRPr="00E255A1" w:rsidTr="00DF36ED">
        <w:trPr>
          <w:cantSplit/>
          <w:trHeight w:val="70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F44" w:rsidRPr="00E255A1" w:rsidRDefault="00135F44" w:rsidP="00B31318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6</w:t>
            </w:r>
            <w:r w:rsidRPr="00E255A1">
              <w:rPr>
                <w:rFonts w:ascii="Times New Roman" w:hAnsi="Times New Roman" w:hint="eastAsia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F44" w:rsidRPr="00E255A1" w:rsidRDefault="00DF36ED" w:rsidP="0083175B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242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F44" w:rsidRPr="00E255A1" w:rsidRDefault="00DF36ED" w:rsidP="0083175B">
            <w:pPr>
              <w:pStyle w:val="a3"/>
              <w:spacing w:line="400" w:lineRule="exact"/>
              <w:jc w:val="right"/>
              <w:rPr>
                <w:rFonts w:ascii="Times New Roman"/>
                <w:spacing w:val="-10"/>
                <w:sz w:val="22"/>
                <w:szCs w:val="22"/>
              </w:rPr>
            </w:pPr>
            <w:r w:rsidRPr="00E255A1">
              <w:rPr>
                <w:rFonts w:ascii="Times New Roman" w:hint="eastAsia"/>
                <w:spacing w:val="-10"/>
                <w:sz w:val="22"/>
                <w:szCs w:val="22"/>
              </w:rPr>
              <w:t>-10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F44" w:rsidRPr="00E255A1" w:rsidRDefault="00DF36ED" w:rsidP="0083175B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457,700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F44" w:rsidRPr="00E255A1" w:rsidRDefault="00DF36ED" w:rsidP="0083175B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F44" w:rsidRPr="00E255A1" w:rsidRDefault="00DF36ED" w:rsidP="0083175B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253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F44" w:rsidRPr="00E255A1" w:rsidRDefault="00DF36ED" w:rsidP="0083175B">
            <w:pPr>
              <w:pStyle w:val="a3"/>
              <w:spacing w:line="400" w:lineRule="exact"/>
              <w:jc w:val="right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pacing w:val="-1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F44" w:rsidRPr="00E255A1" w:rsidRDefault="00DF36ED" w:rsidP="0083175B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418,231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F44" w:rsidRPr="00E255A1" w:rsidRDefault="00DF36ED" w:rsidP="0083175B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F44" w:rsidRPr="00E255A1" w:rsidRDefault="00135F44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233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F44" w:rsidRPr="00E255A1" w:rsidRDefault="00DF36ED" w:rsidP="00DF36ED">
            <w:pPr>
              <w:pStyle w:val="a3"/>
              <w:tabs>
                <w:tab w:val="left" w:pos="288"/>
              </w:tabs>
              <w:spacing w:line="400" w:lineRule="exact"/>
              <w:ind w:firstLineChars="100" w:firstLine="210"/>
              <w:jc w:val="right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pacing w:val="-10"/>
                <w:sz w:val="22"/>
                <w:szCs w:val="22"/>
              </w:rPr>
              <w:t>-7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F44" w:rsidRPr="00E255A1" w:rsidRDefault="00135F44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351,612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F44" w:rsidRPr="00E255A1" w:rsidRDefault="00DF36ED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-15</w:t>
            </w:r>
          </w:p>
        </w:tc>
      </w:tr>
      <w:tr w:rsidR="00981BE4" w:rsidRPr="00E255A1" w:rsidTr="00DF36ED">
        <w:trPr>
          <w:cantSplit/>
          <w:trHeight w:val="70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1BE4" w:rsidRPr="00902B9D" w:rsidRDefault="00981BE4" w:rsidP="00B31318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7</w:t>
            </w:r>
            <w:r w:rsidRPr="00902B9D">
              <w:rPr>
                <w:rFonts w:ascii="Times New Roman" w:hAnsi="Times New Roman" w:hint="eastAsia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1BE4" w:rsidRPr="00902B9D" w:rsidRDefault="00981BE4" w:rsidP="001B5FC5">
            <w:pPr>
              <w:pStyle w:val="a3"/>
              <w:spacing w:line="400" w:lineRule="exact"/>
              <w:jc w:val="right"/>
              <w:rPr>
                <w:rFonts w:ascii="Times New Roman"/>
                <w:color w:val="0D0D0D"/>
                <w:sz w:val="22"/>
                <w:szCs w:val="22"/>
              </w:rPr>
            </w:pPr>
            <w:r w:rsidRPr="00902B9D">
              <w:rPr>
                <w:rFonts w:ascii="Times New Roman" w:hAnsi="Times New Roman"/>
                <w:color w:val="0D0D0D"/>
                <w:sz w:val="22"/>
                <w:szCs w:val="22"/>
              </w:rPr>
              <w:t>333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1BE4" w:rsidRPr="00902B9D" w:rsidRDefault="00981BE4" w:rsidP="001B5FC5">
            <w:pPr>
              <w:pStyle w:val="a3"/>
              <w:spacing w:line="400" w:lineRule="exact"/>
              <w:jc w:val="right"/>
              <w:rPr>
                <w:rFonts w:ascii="Times New Roman"/>
                <w:color w:val="0D0D0D"/>
                <w:spacing w:val="-10"/>
                <w:sz w:val="22"/>
                <w:szCs w:val="22"/>
              </w:rPr>
            </w:pPr>
            <w:r w:rsidRPr="00902B9D">
              <w:rPr>
                <w:rFonts w:ascii="Times New Roman" w:hAnsi="Times New Roman"/>
                <w:color w:val="0D0D0D"/>
                <w:spacing w:val="-10"/>
                <w:sz w:val="22"/>
                <w:szCs w:val="22"/>
              </w:rPr>
              <w:t>-9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1BE4" w:rsidRPr="00902B9D" w:rsidRDefault="00981BE4" w:rsidP="001B5FC5">
            <w:pPr>
              <w:pStyle w:val="a3"/>
              <w:spacing w:line="400" w:lineRule="exact"/>
              <w:jc w:val="right"/>
              <w:rPr>
                <w:rFonts w:ascii="Times New Roman"/>
                <w:color w:val="0D0D0D"/>
                <w:sz w:val="22"/>
                <w:szCs w:val="22"/>
              </w:rPr>
            </w:pPr>
            <w:r w:rsidRPr="00902B9D">
              <w:rPr>
                <w:rFonts w:ascii="Times New Roman" w:hAnsi="Times New Roman"/>
                <w:color w:val="0D0D0D"/>
                <w:sz w:val="22"/>
                <w:szCs w:val="22"/>
              </w:rPr>
              <w:t>468,895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1BE4" w:rsidRPr="00902B9D" w:rsidRDefault="00981BE4" w:rsidP="001B5FC5">
            <w:pPr>
              <w:pStyle w:val="a3"/>
              <w:spacing w:line="400" w:lineRule="exact"/>
              <w:jc w:val="right"/>
              <w:rPr>
                <w:rFonts w:ascii="Times New Roman"/>
                <w:color w:val="0D0D0D"/>
                <w:sz w:val="22"/>
                <w:szCs w:val="22"/>
              </w:rPr>
            </w:pPr>
            <w:r w:rsidRPr="00902B9D">
              <w:rPr>
                <w:rFonts w:ascii="Times New Roman" w:hAnsi="Times New Roman"/>
                <w:color w:val="0D0D0D"/>
                <w:sz w:val="22"/>
                <w:szCs w:val="22"/>
              </w:rPr>
              <w:t>-84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1BE4" w:rsidRPr="00902B9D" w:rsidRDefault="00981BE4" w:rsidP="001B5FC5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color w:val="0D0D0D"/>
                <w:sz w:val="22"/>
                <w:szCs w:val="22"/>
              </w:rPr>
              <w:t>260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1BE4" w:rsidRPr="00902B9D" w:rsidRDefault="00981BE4" w:rsidP="001B5FC5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pacing w:val="-10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color w:val="0D0D0D"/>
                <w:spacing w:val="-10"/>
                <w:sz w:val="22"/>
                <w:szCs w:val="22"/>
              </w:rPr>
              <w:t>-22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1BE4" w:rsidRPr="00902B9D" w:rsidRDefault="00981BE4" w:rsidP="001B5FC5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color w:val="0D0D0D"/>
                <w:sz w:val="22"/>
                <w:szCs w:val="22"/>
              </w:rPr>
              <w:t>563,812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1BE4" w:rsidRPr="00902B9D" w:rsidRDefault="00981BE4" w:rsidP="001B5FC5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color w:val="0D0D0D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1BE4" w:rsidRPr="00902B9D" w:rsidRDefault="00981BE4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221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1BE4" w:rsidRPr="00902B9D" w:rsidRDefault="00902B9D" w:rsidP="00DF36ED">
            <w:pPr>
              <w:pStyle w:val="a3"/>
              <w:tabs>
                <w:tab w:val="left" w:pos="288"/>
              </w:tabs>
              <w:spacing w:line="400" w:lineRule="exact"/>
              <w:ind w:firstLineChars="100" w:firstLine="210"/>
              <w:jc w:val="right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pacing w:val="-10"/>
                <w:sz w:val="22"/>
                <w:szCs w:val="22"/>
              </w:rPr>
              <w:t>-15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1BE4" w:rsidRPr="00902B9D" w:rsidRDefault="00981BE4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871,316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1BE4" w:rsidRPr="00902B9D" w:rsidRDefault="00902B9D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54</w:t>
            </w:r>
          </w:p>
        </w:tc>
      </w:tr>
      <w:tr w:rsidR="00B3129C" w:rsidRPr="00E255A1" w:rsidTr="00DF36ED">
        <w:trPr>
          <w:cantSplit/>
          <w:trHeight w:val="70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29C" w:rsidRPr="00902B9D" w:rsidRDefault="00B3129C" w:rsidP="00B31318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1-7</w:t>
            </w:r>
            <w:r w:rsidRPr="00902B9D">
              <w:rPr>
                <w:rFonts w:ascii="Times New Roman" w:hAnsi="Times New Roman" w:hint="eastAsia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29C" w:rsidRPr="00902B9D" w:rsidRDefault="00B3129C" w:rsidP="0042245E">
            <w:pPr>
              <w:pStyle w:val="a3"/>
              <w:spacing w:line="400" w:lineRule="exact"/>
              <w:jc w:val="right"/>
              <w:rPr>
                <w:rFonts w:ascii="Times New Roman"/>
                <w:color w:val="0D0D0D"/>
                <w:sz w:val="22"/>
                <w:szCs w:val="22"/>
              </w:rPr>
            </w:pPr>
            <w:r w:rsidRPr="00902B9D">
              <w:rPr>
                <w:rFonts w:ascii="Times New Roman" w:hAnsi="Times New Roman"/>
                <w:color w:val="0D0D0D"/>
                <w:sz w:val="22"/>
                <w:szCs w:val="22"/>
              </w:rPr>
              <w:t>2,051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29C" w:rsidRPr="00902B9D" w:rsidRDefault="00B3129C" w:rsidP="0042245E">
            <w:pPr>
              <w:pStyle w:val="a3"/>
              <w:spacing w:line="400" w:lineRule="exact"/>
              <w:jc w:val="right"/>
              <w:rPr>
                <w:rFonts w:ascii="Times New Roman"/>
                <w:color w:val="0D0D0D"/>
                <w:spacing w:val="-10"/>
                <w:sz w:val="22"/>
                <w:szCs w:val="22"/>
              </w:rPr>
            </w:pPr>
            <w:r w:rsidRPr="00902B9D">
              <w:rPr>
                <w:rFonts w:ascii="Times New Roman" w:hAnsi="Times New Roman"/>
                <w:color w:val="0D0D0D"/>
                <w:spacing w:val="-10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29C" w:rsidRPr="00902B9D" w:rsidRDefault="00B3129C" w:rsidP="0042245E">
            <w:pPr>
              <w:pStyle w:val="a3"/>
              <w:spacing w:line="400" w:lineRule="exact"/>
              <w:jc w:val="right"/>
              <w:rPr>
                <w:rFonts w:ascii="Times New Roman"/>
                <w:color w:val="0D0D0D"/>
                <w:sz w:val="22"/>
                <w:szCs w:val="22"/>
              </w:rPr>
            </w:pPr>
            <w:r w:rsidRPr="00902B9D">
              <w:rPr>
                <w:rFonts w:ascii="Times New Roman" w:hAnsi="Times New Roman"/>
                <w:color w:val="0D0D0D"/>
                <w:sz w:val="22"/>
                <w:szCs w:val="22"/>
              </w:rPr>
              <w:t>3,982,515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29C" w:rsidRPr="00902B9D" w:rsidRDefault="00B3129C" w:rsidP="0042245E">
            <w:pPr>
              <w:pStyle w:val="a3"/>
              <w:spacing w:line="400" w:lineRule="exact"/>
              <w:jc w:val="right"/>
              <w:rPr>
                <w:rFonts w:ascii="Times New Roman"/>
                <w:color w:val="0D0D0D"/>
                <w:sz w:val="22"/>
                <w:szCs w:val="22"/>
              </w:rPr>
            </w:pPr>
            <w:r w:rsidRPr="00902B9D">
              <w:rPr>
                <w:rFonts w:ascii="Times New Roman" w:hAnsi="Times New Roman"/>
                <w:color w:val="0D0D0D"/>
                <w:sz w:val="22"/>
                <w:szCs w:val="22"/>
              </w:rPr>
              <w:t>-34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29C" w:rsidRPr="00902B9D" w:rsidRDefault="00B3129C" w:rsidP="0042245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color w:val="0D0D0D"/>
                <w:sz w:val="22"/>
                <w:szCs w:val="22"/>
              </w:rPr>
              <w:t>1,948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29C" w:rsidRPr="00902B9D" w:rsidRDefault="00B3129C" w:rsidP="0042245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pacing w:val="-10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color w:val="0D0D0D"/>
                <w:spacing w:val="-10"/>
                <w:sz w:val="22"/>
                <w:szCs w:val="22"/>
              </w:rPr>
              <w:t>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29C" w:rsidRPr="00902B9D" w:rsidRDefault="00B3129C" w:rsidP="0042245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color w:val="0D0D0D"/>
                <w:sz w:val="22"/>
                <w:szCs w:val="22"/>
              </w:rPr>
              <w:t>4,403,039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29C" w:rsidRPr="00902B9D" w:rsidRDefault="00B3129C" w:rsidP="0042245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color w:val="0D0D0D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29C" w:rsidRPr="00902B9D" w:rsidRDefault="00B3129C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1,534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29C" w:rsidRPr="00902B9D" w:rsidRDefault="00B3129C" w:rsidP="00B3129C">
            <w:pPr>
              <w:pStyle w:val="a3"/>
              <w:spacing w:line="400" w:lineRule="exact"/>
              <w:jc w:val="right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pacing w:val="-10"/>
                <w:sz w:val="22"/>
                <w:szCs w:val="22"/>
              </w:rPr>
              <w:t>-21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29C" w:rsidRPr="00902B9D" w:rsidRDefault="00FF1F3C" w:rsidP="00FF1F3C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</w:t>
            </w:r>
            <w:r w:rsidRPr="00FF1F3C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hint="eastAsia"/>
                <w:sz w:val="22"/>
                <w:szCs w:val="22"/>
              </w:rPr>
              <w:t>0</w:t>
            </w:r>
            <w:r w:rsidRPr="00FF1F3C">
              <w:rPr>
                <w:rFonts w:ascii="Times New Roman" w:hAnsi="Times New Roman"/>
                <w:sz w:val="22"/>
                <w:szCs w:val="22"/>
              </w:rPr>
              <w:t>9,799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29C" w:rsidRPr="00902B9D" w:rsidRDefault="00B3129C" w:rsidP="00B3129C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-27</w:t>
            </w:r>
          </w:p>
        </w:tc>
      </w:tr>
      <w:tr w:rsidR="00B60D00" w:rsidRPr="00E255A1" w:rsidTr="00DF36ED">
        <w:trPr>
          <w:trHeight w:val="70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D00" w:rsidRPr="00E255A1" w:rsidRDefault="00B60D00" w:rsidP="00D53412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1-12</w:t>
            </w:r>
            <w:r w:rsidRPr="00E255A1">
              <w:rPr>
                <w:rFonts w:ascii="Times New Roman" w:hAnsi="Times New Roman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D00" w:rsidRPr="00E255A1" w:rsidRDefault="00B60D00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4,118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D00" w:rsidRPr="00E255A1" w:rsidRDefault="00B60D00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14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D00" w:rsidRPr="00E255A1" w:rsidRDefault="00B60D00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11,195,975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D00" w:rsidRPr="00E255A1" w:rsidRDefault="00B60D00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D00" w:rsidRPr="00E255A1" w:rsidRDefault="00A2373D" w:rsidP="007A06F0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3,418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D00" w:rsidRPr="00E255A1" w:rsidRDefault="00A2373D" w:rsidP="007A06F0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D00" w:rsidRPr="00E255A1" w:rsidRDefault="00A2373D" w:rsidP="00A2373D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9,144,336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D00" w:rsidRPr="00E255A1" w:rsidRDefault="00A2373D" w:rsidP="007A06F0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D00" w:rsidRPr="00E255A1" w:rsidRDefault="00A2373D" w:rsidP="007A06F0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D00" w:rsidRPr="00E255A1" w:rsidRDefault="00B60D00" w:rsidP="00A2373D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D00" w:rsidRPr="00E255A1" w:rsidRDefault="00A2373D" w:rsidP="007A06F0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D00" w:rsidRPr="00E255A1" w:rsidRDefault="00A2373D" w:rsidP="00A2373D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</w:t>
            </w:r>
          </w:p>
        </w:tc>
      </w:tr>
      <w:tr w:rsidR="0021051A" w:rsidRPr="00E255A1" w:rsidTr="00950192">
        <w:trPr>
          <w:cantSplit/>
          <w:trHeight w:val="70"/>
          <w:jc w:val="center"/>
        </w:trPr>
        <w:tc>
          <w:tcPr>
            <w:tcW w:w="9327" w:type="dxa"/>
            <w:gridSpan w:val="1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051A" w:rsidRPr="00E255A1" w:rsidRDefault="0021051A">
            <w:pPr>
              <w:pStyle w:val="a3"/>
              <w:spacing w:before="120" w:line="300" w:lineRule="exact"/>
              <w:rPr>
                <w:rFonts w:ascii="Times New Roman" w:hAnsi="Times New Roman"/>
                <w:sz w:val="24"/>
              </w:rPr>
            </w:pPr>
            <w:proofErr w:type="gramStart"/>
            <w:r w:rsidRPr="00E255A1">
              <w:rPr>
                <w:rFonts w:ascii="Times New Roman" w:hAnsi="Times New Roman"/>
                <w:sz w:val="24"/>
              </w:rPr>
              <w:t>註</w:t>
            </w:r>
            <w:proofErr w:type="gramEnd"/>
            <w:r w:rsidRPr="00E255A1">
              <w:rPr>
                <w:rFonts w:ascii="Times New Roman" w:hAnsi="Times New Roman"/>
                <w:sz w:val="24"/>
              </w:rPr>
              <w:t>：成長率係與上年度同期比較。</w:t>
            </w:r>
          </w:p>
        </w:tc>
      </w:tr>
    </w:tbl>
    <w:p w:rsidR="00E15544" w:rsidRPr="00E255A1" w:rsidRDefault="00E15544">
      <w:pPr>
        <w:pStyle w:val="a3"/>
        <w:spacing w:after="240" w:line="560" w:lineRule="exact"/>
        <w:ind w:firstLine="811"/>
        <w:jc w:val="both"/>
        <w:rPr>
          <w:rFonts w:ascii="Times New Roman" w:hAnsi="Times New Roman"/>
          <w:sz w:val="36"/>
        </w:rPr>
      </w:pPr>
    </w:p>
    <w:p w:rsidR="00E15544" w:rsidRPr="00E255A1" w:rsidRDefault="004C5877">
      <w:pPr>
        <w:pageBreakBefore/>
        <w:jc w:val="center"/>
        <w:rPr>
          <w:sz w:val="36"/>
          <w:szCs w:val="36"/>
        </w:rPr>
      </w:pPr>
      <w:r w:rsidRPr="00E255A1">
        <w:rPr>
          <w:rFonts w:eastAsia="標楷體"/>
          <w:sz w:val="36"/>
          <w:szCs w:val="36"/>
        </w:rPr>
        <w:lastRenderedPageBreak/>
        <w:t>表</w:t>
      </w:r>
      <w:r w:rsidRPr="00E255A1">
        <w:rPr>
          <w:rFonts w:eastAsia="標楷體"/>
          <w:sz w:val="36"/>
          <w:szCs w:val="36"/>
        </w:rPr>
        <w:t>1-2</w:t>
      </w:r>
      <w:r w:rsidRPr="00E255A1">
        <w:rPr>
          <w:rFonts w:eastAsia="標楷體"/>
          <w:sz w:val="36"/>
          <w:szCs w:val="36"/>
        </w:rPr>
        <w:t xml:space="preserve">　</w:t>
      </w:r>
      <w:r w:rsidR="006B3BAA" w:rsidRPr="00E255A1">
        <w:rPr>
          <w:rFonts w:eastAsia="標楷體" w:hint="eastAsia"/>
          <w:sz w:val="36"/>
          <w:szCs w:val="36"/>
        </w:rPr>
        <w:t>110</w:t>
      </w:r>
      <w:r w:rsidR="003F11DF" w:rsidRPr="00E255A1">
        <w:rPr>
          <w:rFonts w:eastAsia="標楷體"/>
          <w:sz w:val="36"/>
          <w:szCs w:val="36"/>
        </w:rPr>
        <w:t>年</w:t>
      </w:r>
      <w:r w:rsidR="00814FFC" w:rsidRPr="00E255A1">
        <w:rPr>
          <w:rFonts w:eastAsia="標楷體" w:hint="eastAsia"/>
          <w:sz w:val="36"/>
          <w:szCs w:val="36"/>
        </w:rPr>
        <w:t>1</w:t>
      </w:r>
      <w:r w:rsidR="001B5FC5">
        <w:rPr>
          <w:rFonts w:eastAsia="標楷體" w:hint="eastAsia"/>
          <w:sz w:val="36"/>
          <w:szCs w:val="36"/>
        </w:rPr>
        <w:t>-7</w:t>
      </w:r>
      <w:r w:rsidR="002362D1" w:rsidRPr="00E255A1">
        <w:rPr>
          <w:rFonts w:eastAsia="標楷體"/>
          <w:sz w:val="36"/>
          <w:szCs w:val="36"/>
        </w:rPr>
        <w:t>月</w:t>
      </w:r>
      <w:r w:rsidRPr="00E255A1">
        <w:rPr>
          <w:rFonts w:eastAsia="標楷體"/>
          <w:sz w:val="36"/>
          <w:szCs w:val="36"/>
        </w:rPr>
        <w:t>僑外投資前五大地區統計表</w:t>
      </w:r>
    </w:p>
    <w:p w:rsidR="00E15544" w:rsidRPr="00E255A1" w:rsidRDefault="004C5877">
      <w:pPr>
        <w:ind w:right="480" w:firstLine="6840"/>
      </w:pPr>
      <w:r w:rsidRPr="00E255A1">
        <w:t xml:space="preserve">　</w:t>
      </w:r>
      <w:r w:rsidRPr="00E255A1">
        <w:rPr>
          <w:rFonts w:eastAsia="標楷體"/>
          <w:sz w:val="22"/>
          <w:szCs w:val="22"/>
        </w:rPr>
        <w:t>單位：千美元；％</w:t>
      </w:r>
    </w:p>
    <w:tbl>
      <w:tblPr>
        <w:tblW w:w="818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89"/>
        <w:gridCol w:w="837"/>
        <w:gridCol w:w="1536"/>
        <w:gridCol w:w="1452"/>
        <w:gridCol w:w="1553"/>
        <w:gridCol w:w="1177"/>
        <w:gridCol w:w="40"/>
      </w:tblGrid>
      <w:tr w:rsidR="00C43C40" w:rsidRPr="00E255A1" w:rsidTr="00270D27">
        <w:trPr>
          <w:cantSplit/>
          <w:jc w:val="center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C40" w:rsidRPr="00E255A1" w:rsidRDefault="00C43C40" w:rsidP="00270D2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地區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C40" w:rsidRPr="00E255A1" w:rsidRDefault="00C43C40" w:rsidP="00270D2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件數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C40" w:rsidRPr="00E255A1" w:rsidRDefault="00C43C40" w:rsidP="00270D2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金額</w:t>
            </w:r>
          </w:p>
          <w:p w:rsidR="00C43C40" w:rsidRPr="00E255A1" w:rsidRDefault="00C43C40" w:rsidP="00270D2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（比重）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C40" w:rsidRPr="00E255A1" w:rsidRDefault="00C43C40" w:rsidP="00270D2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去年同期</w:t>
            </w:r>
          </w:p>
          <w:p w:rsidR="00C43C40" w:rsidRPr="00E255A1" w:rsidRDefault="00C43C40" w:rsidP="00270D2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金額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C40" w:rsidRPr="00E255A1" w:rsidRDefault="00C43C40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與去年同期比較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C40" w:rsidRPr="00E255A1" w:rsidRDefault="00C43C40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3C40" w:rsidRPr="00E255A1" w:rsidTr="00270D27">
        <w:trPr>
          <w:cantSplit/>
          <w:jc w:val="center"/>
        </w:trPr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C40" w:rsidRPr="00E255A1" w:rsidRDefault="00C43C40">
            <w:pPr>
              <w:pStyle w:val="a3"/>
              <w:spacing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C40" w:rsidRPr="00E255A1" w:rsidRDefault="00C43C40">
            <w:pPr>
              <w:pStyle w:val="a3"/>
              <w:spacing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C40" w:rsidRPr="00E255A1" w:rsidRDefault="00C43C40">
            <w:pPr>
              <w:pStyle w:val="a3"/>
              <w:spacing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C40" w:rsidRPr="00E255A1" w:rsidRDefault="00C43C40">
            <w:pPr>
              <w:pStyle w:val="a3"/>
              <w:spacing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C40" w:rsidRPr="00E255A1" w:rsidRDefault="00C43C40" w:rsidP="00270D2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金額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C40" w:rsidRPr="00E255A1" w:rsidRDefault="00C43C40" w:rsidP="00270D2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成長率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C40" w:rsidRPr="00E255A1" w:rsidRDefault="00C43C40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5FC5" w:rsidRPr="00E255A1" w:rsidTr="008E0F21">
        <w:trPr>
          <w:cantSplit/>
          <w:jc w:val="center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FC5" w:rsidRPr="00E255A1" w:rsidRDefault="001B5FC5">
            <w:pPr>
              <w:rPr>
                <w:rFonts w:ascii="標楷體" w:eastAsia="標楷體" w:hAnsi="標楷體" w:cs="新細明體"/>
                <w:szCs w:val="24"/>
              </w:rPr>
            </w:pPr>
            <w:r w:rsidRPr="00E255A1">
              <w:rPr>
                <w:rFonts w:ascii="標楷體" w:eastAsia="標楷體" w:hAnsi="標楷體" w:hint="eastAsia"/>
                <w:szCs w:val="24"/>
              </w:rPr>
              <w:t>加勒比海英國屬地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FC5" w:rsidRPr="008C3142" w:rsidRDefault="001B5FC5" w:rsidP="008C314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C3142">
              <w:rPr>
                <w:rFonts w:ascii="Times New Roman" w:hAnsi="Times New Roman"/>
                <w:sz w:val="22"/>
                <w:szCs w:val="22"/>
              </w:rPr>
              <w:t xml:space="preserve">108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FC5" w:rsidRPr="008C3142" w:rsidRDefault="001B5FC5" w:rsidP="008C314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C3142">
              <w:rPr>
                <w:rFonts w:ascii="Times New Roman" w:hAnsi="Times New Roman"/>
                <w:sz w:val="22"/>
                <w:szCs w:val="22"/>
              </w:rPr>
              <w:t>773,653</w:t>
            </w:r>
          </w:p>
          <w:p w:rsidR="001B5FC5" w:rsidRPr="008C3142" w:rsidRDefault="001B5FC5" w:rsidP="008C314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C3142">
              <w:rPr>
                <w:rFonts w:ascii="Times New Roman" w:hAnsi="Times New Roman" w:hint="eastAsia"/>
                <w:sz w:val="22"/>
                <w:szCs w:val="22"/>
              </w:rPr>
              <w:t>(24.10)</w:t>
            </w:r>
            <w:r w:rsidRPr="008C314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FC5" w:rsidRPr="008C3142" w:rsidRDefault="001B5FC5" w:rsidP="008C314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C3142">
              <w:rPr>
                <w:rFonts w:ascii="Times New Roman" w:hAnsi="Times New Roman"/>
                <w:sz w:val="22"/>
                <w:szCs w:val="22"/>
              </w:rPr>
              <w:t xml:space="preserve">875,477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FC5" w:rsidRPr="008C3142" w:rsidRDefault="001B5FC5" w:rsidP="008C314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C3142">
              <w:rPr>
                <w:rFonts w:ascii="Times New Roman" w:hAnsi="Times New Roman"/>
                <w:sz w:val="22"/>
                <w:szCs w:val="22"/>
              </w:rPr>
              <w:t xml:space="preserve">-101,825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FC5" w:rsidRPr="008C3142" w:rsidRDefault="001B5FC5" w:rsidP="008C314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C3142">
              <w:rPr>
                <w:rFonts w:ascii="Times New Roman" w:hAnsi="Times New Roman"/>
                <w:sz w:val="22"/>
                <w:szCs w:val="22"/>
              </w:rPr>
              <w:t>-11.63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5FC5" w:rsidRPr="00E255A1" w:rsidRDefault="001B5FC5" w:rsidP="008D2485">
            <w:pPr>
              <w:jc w:val="right"/>
              <w:rPr>
                <w:rFonts w:eastAsia="標楷體"/>
                <w:sz w:val="22"/>
                <w:szCs w:val="22"/>
              </w:rPr>
            </w:pPr>
          </w:p>
        </w:tc>
      </w:tr>
      <w:tr w:rsidR="001B5FC5" w:rsidRPr="00E255A1" w:rsidTr="008E0F21">
        <w:trPr>
          <w:cantSplit/>
          <w:jc w:val="center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FC5" w:rsidRPr="00E255A1" w:rsidRDefault="001B5FC5">
            <w:pPr>
              <w:rPr>
                <w:rFonts w:ascii="標楷體" w:eastAsia="標楷體" w:hAnsi="標楷體"/>
                <w:szCs w:val="24"/>
              </w:rPr>
            </w:pPr>
            <w:r w:rsidRPr="001B5FC5">
              <w:rPr>
                <w:rFonts w:ascii="標楷體" w:eastAsia="標楷體" w:hAnsi="標楷體" w:hint="eastAsia"/>
                <w:szCs w:val="24"/>
              </w:rPr>
              <w:t>美國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FC5" w:rsidRPr="008C3142" w:rsidRDefault="001B5FC5" w:rsidP="008C314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C3142">
              <w:rPr>
                <w:rFonts w:ascii="Times New Roman" w:hAnsi="Times New Roman"/>
                <w:sz w:val="22"/>
                <w:szCs w:val="22"/>
              </w:rPr>
              <w:t xml:space="preserve">156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FC5" w:rsidRPr="008C3142" w:rsidRDefault="001B5FC5" w:rsidP="008C314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C3142">
              <w:rPr>
                <w:rFonts w:ascii="Times New Roman" w:hAnsi="Times New Roman"/>
                <w:sz w:val="22"/>
                <w:szCs w:val="22"/>
              </w:rPr>
              <w:t>504,473</w:t>
            </w:r>
          </w:p>
          <w:p w:rsidR="001B5FC5" w:rsidRPr="008C3142" w:rsidRDefault="001B5FC5" w:rsidP="008C314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C3142">
              <w:rPr>
                <w:rFonts w:ascii="Times New Roman" w:hAnsi="Times New Roman" w:hint="eastAsia"/>
                <w:sz w:val="22"/>
                <w:szCs w:val="22"/>
              </w:rPr>
              <w:t>(15.72)</w:t>
            </w:r>
            <w:r w:rsidRPr="008C314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FC5" w:rsidRPr="008C3142" w:rsidRDefault="001B5FC5" w:rsidP="008C314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C3142">
              <w:rPr>
                <w:rFonts w:ascii="Times New Roman" w:hAnsi="Times New Roman"/>
                <w:sz w:val="22"/>
                <w:szCs w:val="22"/>
              </w:rPr>
              <w:t xml:space="preserve">111,076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FC5" w:rsidRPr="008C3142" w:rsidRDefault="001B5FC5" w:rsidP="008C314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C3142">
              <w:rPr>
                <w:rFonts w:ascii="Times New Roman" w:hAnsi="Times New Roman"/>
                <w:sz w:val="22"/>
                <w:szCs w:val="22"/>
              </w:rPr>
              <w:t xml:space="preserve">393,397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FC5" w:rsidRPr="008C3142" w:rsidRDefault="001B5FC5" w:rsidP="008C314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C3142">
              <w:rPr>
                <w:rFonts w:ascii="Times New Roman" w:hAnsi="Times New Roman"/>
                <w:sz w:val="22"/>
                <w:szCs w:val="22"/>
              </w:rPr>
              <w:t>354.17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5FC5" w:rsidRPr="00E255A1" w:rsidRDefault="001B5FC5" w:rsidP="0091686C">
            <w:pPr>
              <w:ind w:right="110"/>
              <w:jc w:val="right"/>
              <w:rPr>
                <w:rFonts w:eastAsia="標楷體"/>
                <w:sz w:val="22"/>
                <w:szCs w:val="22"/>
              </w:rPr>
            </w:pPr>
          </w:p>
        </w:tc>
      </w:tr>
      <w:tr w:rsidR="001B5FC5" w:rsidRPr="00E255A1" w:rsidTr="008E0F21">
        <w:trPr>
          <w:cantSplit/>
          <w:jc w:val="center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FC5" w:rsidRPr="00E255A1" w:rsidRDefault="001B5FC5" w:rsidP="001B5FC5">
            <w:pPr>
              <w:rPr>
                <w:rFonts w:ascii="標楷體" w:eastAsia="標楷體" w:hAnsi="標楷體"/>
                <w:szCs w:val="24"/>
              </w:rPr>
            </w:pPr>
            <w:r w:rsidRPr="00E255A1">
              <w:rPr>
                <w:rFonts w:ascii="標楷體" w:eastAsia="標楷體" w:hAnsi="標楷體" w:hint="eastAsia"/>
                <w:szCs w:val="24"/>
              </w:rPr>
              <w:t>日本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FC5" w:rsidRPr="008C3142" w:rsidRDefault="001B5FC5" w:rsidP="008C314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C3142">
              <w:rPr>
                <w:rFonts w:ascii="Times New Roman" w:hAnsi="Times New Roman"/>
                <w:sz w:val="22"/>
                <w:szCs w:val="22"/>
              </w:rPr>
              <w:t xml:space="preserve">149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FC5" w:rsidRPr="008C3142" w:rsidRDefault="001B5FC5" w:rsidP="008C314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C3142">
              <w:rPr>
                <w:rFonts w:ascii="Times New Roman" w:hAnsi="Times New Roman"/>
                <w:sz w:val="22"/>
                <w:szCs w:val="22"/>
              </w:rPr>
              <w:t>366,698</w:t>
            </w:r>
          </w:p>
          <w:p w:rsidR="001B5FC5" w:rsidRPr="008C3142" w:rsidRDefault="001B5FC5" w:rsidP="008C314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C3142">
              <w:rPr>
                <w:rFonts w:ascii="Times New Roman" w:hAnsi="Times New Roman" w:hint="eastAsia"/>
                <w:sz w:val="22"/>
                <w:szCs w:val="22"/>
              </w:rPr>
              <w:t>(11.42)</w:t>
            </w:r>
            <w:r w:rsidRPr="008C314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FC5" w:rsidRPr="008C3142" w:rsidRDefault="001B5FC5" w:rsidP="008C314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C3142">
              <w:rPr>
                <w:rFonts w:ascii="Times New Roman" w:hAnsi="Times New Roman"/>
                <w:sz w:val="22"/>
                <w:szCs w:val="22"/>
              </w:rPr>
              <w:t xml:space="preserve">722,585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FC5" w:rsidRPr="008C3142" w:rsidRDefault="001B5FC5" w:rsidP="008C314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C3142">
              <w:rPr>
                <w:rFonts w:ascii="Times New Roman" w:hAnsi="Times New Roman"/>
                <w:sz w:val="22"/>
                <w:szCs w:val="22"/>
              </w:rPr>
              <w:t xml:space="preserve">-355,887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FC5" w:rsidRPr="008C3142" w:rsidRDefault="001B5FC5" w:rsidP="008C314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C3142">
              <w:rPr>
                <w:rFonts w:ascii="Times New Roman" w:hAnsi="Times New Roman"/>
                <w:sz w:val="22"/>
                <w:szCs w:val="22"/>
              </w:rPr>
              <w:t>-49.25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5FC5" w:rsidRPr="00E255A1" w:rsidRDefault="001B5FC5" w:rsidP="008E534D">
            <w:pPr>
              <w:ind w:right="110"/>
              <w:jc w:val="right"/>
              <w:rPr>
                <w:rFonts w:eastAsia="標楷體"/>
                <w:sz w:val="22"/>
                <w:szCs w:val="22"/>
              </w:rPr>
            </w:pPr>
          </w:p>
        </w:tc>
      </w:tr>
      <w:tr w:rsidR="001B5FC5" w:rsidRPr="00E255A1" w:rsidTr="00FA6358">
        <w:trPr>
          <w:cantSplit/>
          <w:jc w:val="center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FC5" w:rsidRPr="00E255A1" w:rsidRDefault="001B5FC5" w:rsidP="001B5FC5">
            <w:pPr>
              <w:rPr>
                <w:rFonts w:ascii="標楷體" w:eastAsia="標楷體" w:hAnsi="標楷體"/>
                <w:szCs w:val="24"/>
              </w:rPr>
            </w:pPr>
            <w:r w:rsidRPr="00E255A1">
              <w:rPr>
                <w:rFonts w:ascii="標楷體" w:eastAsia="標楷體" w:hAnsi="標楷體" w:hint="eastAsia"/>
                <w:szCs w:val="24"/>
              </w:rPr>
              <w:t>德國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FC5" w:rsidRPr="008C3142" w:rsidRDefault="001B5FC5" w:rsidP="008C314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C3142">
              <w:rPr>
                <w:rFonts w:ascii="Times New Roman" w:hAnsi="Times New Roman"/>
                <w:sz w:val="22"/>
                <w:szCs w:val="22"/>
              </w:rPr>
              <w:t xml:space="preserve">16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FC5" w:rsidRPr="008C3142" w:rsidRDefault="001B5FC5" w:rsidP="008C314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C3142">
              <w:rPr>
                <w:rFonts w:ascii="Times New Roman" w:hAnsi="Times New Roman"/>
                <w:sz w:val="22"/>
                <w:szCs w:val="22"/>
              </w:rPr>
              <w:t>236,665</w:t>
            </w:r>
          </w:p>
          <w:p w:rsidR="001B5FC5" w:rsidRPr="008C3142" w:rsidRDefault="001B5FC5" w:rsidP="008C314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C3142">
              <w:rPr>
                <w:rFonts w:ascii="Times New Roman" w:hAnsi="Times New Roman" w:hint="eastAsia"/>
                <w:sz w:val="22"/>
                <w:szCs w:val="22"/>
              </w:rPr>
              <w:t>(7.37)</w:t>
            </w:r>
            <w:r w:rsidRPr="008C314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FC5" w:rsidRPr="008C3142" w:rsidRDefault="001B5FC5" w:rsidP="008C314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C3142">
              <w:rPr>
                <w:rFonts w:ascii="Times New Roman" w:hAnsi="Times New Roman"/>
                <w:sz w:val="22"/>
                <w:szCs w:val="22"/>
              </w:rPr>
              <w:t xml:space="preserve">20,972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FC5" w:rsidRPr="008C3142" w:rsidRDefault="001B5FC5" w:rsidP="008C314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C3142">
              <w:rPr>
                <w:rFonts w:ascii="Times New Roman" w:hAnsi="Times New Roman"/>
                <w:sz w:val="22"/>
                <w:szCs w:val="22"/>
              </w:rPr>
              <w:t xml:space="preserve">215,693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FC5" w:rsidRPr="008C3142" w:rsidRDefault="001B5FC5" w:rsidP="008C314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C3142">
              <w:rPr>
                <w:rFonts w:ascii="Times New Roman" w:hAnsi="Times New Roman"/>
                <w:sz w:val="22"/>
                <w:szCs w:val="22"/>
              </w:rPr>
              <w:t>1028.46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5FC5" w:rsidRPr="00E255A1" w:rsidRDefault="001B5FC5">
            <w:pPr>
              <w:jc w:val="right"/>
              <w:rPr>
                <w:rFonts w:eastAsia="標楷體"/>
                <w:sz w:val="22"/>
                <w:szCs w:val="22"/>
              </w:rPr>
            </w:pPr>
          </w:p>
        </w:tc>
      </w:tr>
      <w:tr w:rsidR="001B5FC5" w:rsidRPr="00E255A1" w:rsidTr="00FA6358">
        <w:trPr>
          <w:cantSplit/>
          <w:jc w:val="center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FC5" w:rsidRPr="00E255A1" w:rsidRDefault="001B5FC5" w:rsidP="001B5FC5">
            <w:pPr>
              <w:rPr>
                <w:rFonts w:ascii="標楷體" w:eastAsia="標楷體" w:hAnsi="標楷體"/>
                <w:szCs w:val="24"/>
              </w:rPr>
            </w:pPr>
            <w:r w:rsidRPr="00E255A1">
              <w:rPr>
                <w:rFonts w:ascii="標楷體" w:eastAsia="標楷體" w:hAnsi="標楷體" w:hint="eastAsia"/>
                <w:szCs w:val="24"/>
              </w:rPr>
              <w:t>韓國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FC5" w:rsidRPr="008C3142" w:rsidRDefault="001B5FC5" w:rsidP="008C314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C3142">
              <w:rPr>
                <w:rFonts w:ascii="Times New Roman" w:hAnsi="Times New Roman"/>
                <w:sz w:val="22"/>
                <w:szCs w:val="22"/>
              </w:rPr>
              <w:t xml:space="preserve">48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FC5" w:rsidRPr="008C3142" w:rsidRDefault="001B5FC5" w:rsidP="008C314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C3142">
              <w:rPr>
                <w:rFonts w:ascii="Times New Roman" w:hAnsi="Times New Roman"/>
                <w:sz w:val="22"/>
                <w:szCs w:val="22"/>
              </w:rPr>
              <w:t>212,380</w:t>
            </w:r>
          </w:p>
          <w:p w:rsidR="001B5FC5" w:rsidRPr="008C3142" w:rsidRDefault="001B5FC5" w:rsidP="008C314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C3142">
              <w:rPr>
                <w:rFonts w:ascii="Times New Roman" w:hAnsi="Times New Roman" w:hint="eastAsia"/>
                <w:sz w:val="22"/>
                <w:szCs w:val="22"/>
              </w:rPr>
              <w:t>(6.62)</w:t>
            </w:r>
            <w:r w:rsidRPr="008C314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FC5" w:rsidRPr="008C3142" w:rsidRDefault="001B5FC5" w:rsidP="008C314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C3142">
              <w:rPr>
                <w:rFonts w:ascii="Times New Roman" w:hAnsi="Times New Roman"/>
                <w:sz w:val="22"/>
                <w:szCs w:val="22"/>
              </w:rPr>
              <w:t xml:space="preserve">20,411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FC5" w:rsidRPr="008C3142" w:rsidRDefault="001B5FC5" w:rsidP="008C314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C3142">
              <w:rPr>
                <w:rFonts w:ascii="Times New Roman" w:hAnsi="Times New Roman"/>
                <w:sz w:val="22"/>
                <w:szCs w:val="22"/>
              </w:rPr>
              <w:t xml:space="preserve">191,968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FC5" w:rsidRPr="008C3142" w:rsidRDefault="001B5FC5" w:rsidP="008C314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C3142">
              <w:rPr>
                <w:rFonts w:ascii="Times New Roman" w:hAnsi="Times New Roman"/>
                <w:sz w:val="22"/>
                <w:szCs w:val="22"/>
              </w:rPr>
              <w:t>940.49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5FC5" w:rsidRPr="00E255A1" w:rsidRDefault="001B5FC5">
            <w:pPr>
              <w:jc w:val="right"/>
              <w:rPr>
                <w:rFonts w:eastAsia="標楷體"/>
                <w:sz w:val="22"/>
                <w:szCs w:val="22"/>
              </w:rPr>
            </w:pPr>
          </w:p>
        </w:tc>
      </w:tr>
    </w:tbl>
    <w:p w:rsidR="00E15544" w:rsidRPr="00E255A1" w:rsidRDefault="00E15544">
      <w:pPr>
        <w:jc w:val="center"/>
        <w:rPr>
          <w:rFonts w:eastAsia="標楷體"/>
          <w:sz w:val="36"/>
          <w:szCs w:val="36"/>
        </w:rPr>
      </w:pPr>
    </w:p>
    <w:p w:rsidR="00E15544" w:rsidRPr="00E255A1" w:rsidRDefault="004C5877">
      <w:pPr>
        <w:jc w:val="center"/>
        <w:rPr>
          <w:rFonts w:eastAsia="標楷體"/>
          <w:sz w:val="36"/>
          <w:szCs w:val="36"/>
        </w:rPr>
      </w:pPr>
      <w:r w:rsidRPr="00E255A1">
        <w:rPr>
          <w:rFonts w:eastAsia="標楷體"/>
          <w:sz w:val="36"/>
          <w:szCs w:val="36"/>
        </w:rPr>
        <w:t>表</w:t>
      </w:r>
      <w:r w:rsidRPr="00E255A1">
        <w:rPr>
          <w:rFonts w:eastAsia="標楷體"/>
          <w:sz w:val="36"/>
          <w:szCs w:val="36"/>
        </w:rPr>
        <w:t>1-3</w:t>
      </w:r>
      <w:r w:rsidRPr="00E255A1">
        <w:rPr>
          <w:rFonts w:eastAsia="標楷體"/>
          <w:sz w:val="36"/>
          <w:szCs w:val="36"/>
        </w:rPr>
        <w:t xml:space="preserve">　</w:t>
      </w:r>
      <w:r w:rsidR="00C421C9" w:rsidRPr="00E255A1">
        <w:rPr>
          <w:rFonts w:eastAsia="標楷體" w:hint="eastAsia"/>
          <w:sz w:val="36"/>
          <w:szCs w:val="36"/>
        </w:rPr>
        <w:t>110</w:t>
      </w:r>
      <w:r w:rsidR="00197702" w:rsidRPr="00E255A1">
        <w:rPr>
          <w:rFonts w:eastAsia="標楷體"/>
          <w:sz w:val="36"/>
          <w:szCs w:val="36"/>
        </w:rPr>
        <w:t>年</w:t>
      </w:r>
      <w:r w:rsidR="00C421C9" w:rsidRPr="00E255A1">
        <w:rPr>
          <w:rFonts w:eastAsia="標楷體" w:hint="eastAsia"/>
          <w:sz w:val="36"/>
          <w:szCs w:val="36"/>
        </w:rPr>
        <w:t>1</w:t>
      </w:r>
      <w:r w:rsidR="001B5FC5">
        <w:rPr>
          <w:rFonts w:eastAsia="標楷體" w:hint="eastAsia"/>
          <w:sz w:val="36"/>
          <w:szCs w:val="36"/>
        </w:rPr>
        <w:t>-7</w:t>
      </w:r>
      <w:r w:rsidR="002362D1" w:rsidRPr="00E255A1">
        <w:rPr>
          <w:rFonts w:eastAsia="標楷體"/>
          <w:sz w:val="36"/>
          <w:szCs w:val="36"/>
        </w:rPr>
        <w:t>月</w:t>
      </w:r>
      <w:r w:rsidRPr="00E255A1">
        <w:rPr>
          <w:rFonts w:eastAsia="標楷體"/>
          <w:sz w:val="36"/>
          <w:szCs w:val="36"/>
        </w:rPr>
        <w:t>僑外投資前五大業別統計表</w:t>
      </w:r>
    </w:p>
    <w:p w:rsidR="00E15544" w:rsidRPr="00E255A1" w:rsidRDefault="004C5877">
      <w:pPr>
        <w:ind w:right="480" w:firstLine="6720"/>
        <w:rPr>
          <w:rFonts w:eastAsia="標楷體"/>
          <w:sz w:val="22"/>
          <w:szCs w:val="22"/>
        </w:rPr>
      </w:pPr>
      <w:r w:rsidRPr="00E255A1">
        <w:rPr>
          <w:rFonts w:eastAsia="標楷體"/>
        </w:rPr>
        <w:t xml:space="preserve">　</w:t>
      </w:r>
      <w:r w:rsidRPr="00E255A1">
        <w:rPr>
          <w:rFonts w:eastAsia="標楷體"/>
          <w:sz w:val="22"/>
          <w:szCs w:val="22"/>
        </w:rPr>
        <w:t>單位：千美元；％</w:t>
      </w:r>
    </w:p>
    <w:tbl>
      <w:tblPr>
        <w:tblW w:w="818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383"/>
        <w:gridCol w:w="850"/>
        <w:gridCol w:w="1559"/>
        <w:gridCol w:w="1418"/>
        <w:gridCol w:w="1559"/>
        <w:gridCol w:w="1418"/>
      </w:tblGrid>
      <w:tr w:rsidR="000E353D" w:rsidRPr="00E255A1" w:rsidTr="000E353D">
        <w:trPr>
          <w:cantSplit/>
          <w:jc w:val="center"/>
        </w:trPr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53D" w:rsidRPr="00E255A1" w:rsidRDefault="000E353D" w:rsidP="00133B5A">
            <w:pPr>
              <w:jc w:val="center"/>
              <w:rPr>
                <w:rFonts w:eastAsia="標楷體"/>
                <w:szCs w:val="24"/>
              </w:rPr>
            </w:pPr>
            <w:r w:rsidRPr="00E255A1">
              <w:rPr>
                <w:rFonts w:eastAsia="標楷體"/>
                <w:szCs w:val="24"/>
              </w:rPr>
              <w:t>行業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53D" w:rsidRPr="00E255A1" w:rsidRDefault="000E353D" w:rsidP="00CF6362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件數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53D" w:rsidRPr="00E255A1" w:rsidRDefault="000E353D" w:rsidP="00CF6362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金額</w:t>
            </w:r>
          </w:p>
          <w:p w:rsidR="000E353D" w:rsidRPr="00E255A1" w:rsidRDefault="000E353D" w:rsidP="00CF6362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（比重）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53D" w:rsidRPr="00E255A1" w:rsidRDefault="000E353D" w:rsidP="00CF6362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去年同期</w:t>
            </w:r>
          </w:p>
          <w:p w:rsidR="000E353D" w:rsidRPr="00E255A1" w:rsidRDefault="000E353D" w:rsidP="00CF6362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金額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53D" w:rsidRPr="00E255A1" w:rsidRDefault="000E353D" w:rsidP="00CF6362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與去年同期比較</w:t>
            </w:r>
          </w:p>
        </w:tc>
      </w:tr>
      <w:tr w:rsidR="000E353D" w:rsidRPr="00E255A1" w:rsidTr="000E353D">
        <w:trPr>
          <w:cantSplit/>
          <w:jc w:val="center"/>
        </w:trPr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53D" w:rsidRPr="00E255A1" w:rsidRDefault="000E353D" w:rsidP="00133B5A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53D" w:rsidRPr="00E255A1" w:rsidRDefault="000E353D" w:rsidP="00CF6362">
            <w:pPr>
              <w:pStyle w:val="a3"/>
              <w:spacing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53D" w:rsidRPr="00E255A1" w:rsidRDefault="000E353D" w:rsidP="00CF6362">
            <w:pPr>
              <w:pStyle w:val="a3"/>
              <w:spacing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53D" w:rsidRPr="00E255A1" w:rsidRDefault="000E353D" w:rsidP="00CF6362">
            <w:pPr>
              <w:pStyle w:val="a3"/>
              <w:spacing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53D" w:rsidRPr="00E255A1" w:rsidRDefault="000E353D" w:rsidP="00CF6362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金額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53D" w:rsidRPr="00E255A1" w:rsidRDefault="000E353D" w:rsidP="00CF6362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成長率</w:t>
            </w:r>
          </w:p>
        </w:tc>
      </w:tr>
      <w:tr w:rsidR="001B5FC5" w:rsidRPr="00E255A1" w:rsidTr="000E353D">
        <w:trPr>
          <w:cantSplit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FC5" w:rsidRPr="00E255A1" w:rsidRDefault="001B5FC5">
            <w:pPr>
              <w:rPr>
                <w:rFonts w:ascii="標楷體" w:eastAsia="標楷體" w:hAnsi="標楷體"/>
                <w:szCs w:val="24"/>
              </w:rPr>
            </w:pPr>
            <w:r w:rsidRPr="00E255A1">
              <w:rPr>
                <w:rFonts w:ascii="標楷體" w:eastAsia="標楷體" w:hAnsi="標楷體" w:hint="eastAsia"/>
                <w:szCs w:val="24"/>
              </w:rPr>
              <w:t>金融及保險業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FC5" w:rsidRPr="008C3142" w:rsidRDefault="001B5FC5" w:rsidP="008C314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C3142">
              <w:rPr>
                <w:rFonts w:ascii="Times New Roman" w:hAnsi="Times New Roman"/>
                <w:sz w:val="22"/>
                <w:szCs w:val="22"/>
              </w:rPr>
              <w:t xml:space="preserve">139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FC5" w:rsidRPr="008C3142" w:rsidRDefault="001B5FC5" w:rsidP="008C314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C3142">
              <w:rPr>
                <w:rFonts w:ascii="Times New Roman" w:hAnsi="Times New Roman"/>
                <w:sz w:val="22"/>
                <w:szCs w:val="22"/>
              </w:rPr>
              <w:t>762,273</w:t>
            </w:r>
          </w:p>
          <w:p w:rsidR="001B5FC5" w:rsidRPr="008C3142" w:rsidRDefault="001B5FC5" w:rsidP="008C314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C3142">
              <w:rPr>
                <w:rFonts w:ascii="Times New Roman" w:hAnsi="Times New Roman" w:hint="eastAsia"/>
                <w:sz w:val="22"/>
                <w:szCs w:val="22"/>
              </w:rPr>
              <w:t>(23.75)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FC5" w:rsidRPr="008C3142" w:rsidRDefault="001B5FC5" w:rsidP="008C314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C3142">
              <w:rPr>
                <w:rFonts w:ascii="Times New Roman" w:hAnsi="Times New Roman"/>
                <w:sz w:val="22"/>
                <w:szCs w:val="22"/>
              </w:rPr>
              <w:t xml:space="preserve">898,627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FC5" w:rsidRPr="008C3142" w:rsidRDefault="001B5FC5" w:rsidP="008C314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C3142">
              <w:rPr>
                <w:rFonts w:ascii="Times New Roman" w:hAnsi="Times New Roman"/>
                <w:sz w:val="22"/>
                <w:szCs w:val="22"/>
              </w:rPr>
              <w:t xml:space="preserve">-136,354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FC5" w:rsidRPr="008C3142" w:rsidRDefault="001B5FC5" w:rsidP="008C314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C3142">
              <w:rPr>
                <w:rFonts w:ascii="Times New Roman" w:hAnsi="Times New Roman"/>
                <w:sz w:val="22"/>
                <w:szCs w:val="22"/>
              </w:rPr>
              <w:t>-15.17</w:t>
            </w:r>
          </w:p>
        </w:tc>
      </w:tr>
      <w:tr w:rsidR="001B5FC5" w:rsidRPr="00E255A1" w:rsidTr="000E353D">
        <w:trPr>
          <w:cantSplit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FC5" w:rsidRPr="00E255A1" w:rsidRDefault="001B5FC5">
            <w:pPr>
              <w:rPr>
                <w:rFonts w:ascii="標楷體" w:eastAsia="標楷體" w:hAnsi="標楷體"/>
                <w:szCs w:val="24"/>
              </w:rPr>
            </w:pPr>
            <w:r w:rsidRPr="00E255A1">
              <w:rPr>
                <w:rFonts w:ascii="標楷體" w:eastAsia="標楷體" w:hAnsi="標楷體" w:hint="eastAsia"/>
                <w:szCs w:val="24"/>
              </w:rPr>
              <w:t>批發及零售業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FC5" w:rsidRPr="008C3142" w:rsidRDefault="001B5FC5" w:rsidP="008C314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C3142">
              <w:rPr>
                <w:rFonts w:ascii="Times New Roman" w:hAnsi="Times New Roman"/>
                <w:sz w:val="22"/>
                <w:szCs w:val="22"/>
              </w:rPr>
              <w:t xml:space="preserve">590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FC5" w:rsidRPr="008C3142" w:rsidRDefault="001B5FC5" w:rsidP="008C314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C3142">
              <w:rPr>
                <w:rFonts w:ascii="Times New Roman" w:hAnsi="Times New Roman"/>
                <w:sz w:val="22"/>
                <w:szCs w:val="22"/>
              </w:rPr>
              <w:t>538,767</w:t>
            </w:r>
          </w:p>
          <w:p w:rsidR="001B5FC5" w:rsidRPr="008C3142" w:rsidRDefault="001B5FC5" w:rsidP="008C314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C3142">
              <w:rPr>
                <w:rFonts w:ascii="Times New Roman" w:hAnsi="Times New Roman" w:hint="eastAsia"/>
                <w:sz w:val="22"/>
                <w:szCs w:val="22"/>
              </w:rPr>
              <w:t>(16.79)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FC5" w:rsidRPr="008C3142" w:rsidRDefault="001B5FC5" w:rsidP="008C314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C3142">
              <w:rPr>
                <w:rFonts w:ascii="Times New Roman" w:hAnsi="Times New Roman"/>
                <w:sz w:val="22"/>
                <w:szCs w:val="22"/>
              </w:rPr>
              <w:t xml:space="preserve">602,417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FC5" w:rsidRPr="008C3142" w:rsidRDefault="001B5FC5" w:rsidP="008C314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C3142">
              <w:rPr>
                <w:rFonts w:ascii="Times New Roman" w:hAnsi="Times New Roman"/>
                <w:sz w:val="22"/>
                <w:szCs w:val="22"/>
              </w:rPr>
              <w:t xml:space="preserve">-63,650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FC5" w:rsidRPr="008C3142" w:rsidRDefault="001B5FC5" w:rsidP="008C314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C3142">
              <w:rPr>
                <w:rFonts w:ascii="Times New Roman" w:hAnsi="Times New Roman"/>
                <w:sz w:val="22"/>
                <w:szCs w:val="22"/>
              </w:rPr>
              <w:t>-10.57</w:t>
            </w:r>
          </w:p>
        </w:tc>
      </w:tr>
      <w:tr w:rsidR="001B5FC5" w:rsidRPr="00E255A1" w:rsidTr="000E353D">
        <w:trPr>
          <w:cantSplit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FC5" w:rsidRPr="00E255A1" w:rsidRDefault="001B5FC5">
            <w:pPr>
              <w:rPr>
                <w:rFonts w:ascii="標楷體" w:eastAsia="標楷體" w:hAnsi="標楷體"/>
                <w:szCs w:val="24"/>
              </w:rPr>
            </w:pPr>
            <w:r w:rsidRPr="001B5FC5">
              <w:rPr>
                <w:rFonts w:ascii="標楷體" w:eastAsia="標楷體" w:hAnsi="標楷體" w:hint="eastAsia"/>
                <w:szCs w:val="24"/>
              </w:rPr>
              <w:t>資訊及通訊傳播業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FC5" w:rsidRPr="008C3142" w:rsidRDefault="001B5FC5" w:rsidP="008C314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C3142">
              <w:rPr>
                <w:rFonts w:ascii="Times New Roman" w:hAnsi="Times New Roman"/>
                <w:sz w:val="22"/>
                <w:szCs w:val="22"/>
              </w:rPr>
              <w:t xml:space="preserve">174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FC5" w:rsidRPr="008C3142" w:rsidRDefault="001B5FC5" w:rsidP="008C314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C3142">
              <w:rPr>
                <w:rFonts w:ascii="Times New Roman" w:hAnsi="Times New Roman"/>
                <w:sz w:val="22"/>
                <w:szCs w:val="22"/>
              </w:rPr>
              <w:t>443,484</w:t>
            </w:r>
          </w:p>
          <w:p w:rsidR="001B5FC5" w:rsidRPr="008C3142" w:rsidRDefault="001B5FC5" w:rsidP="008C314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C3142">
              <w:rPr>
                <w:rFonts w:ascii="Times New Roman" w:hAnsi="Times New Roman" w:hint="eastAsia"/>
                <w:sz w:val="22"/>
                <w:szCs w:val="22"/>
              </w:rPr>
              <w:t>(13.82)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FC5" w:rsidRPr="008C3142" w:rsidRDefault="001B5FC5" w:rsidP="008C314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C3142">
              <w:rPr>
                <w:rFonts w:ascii="Times New Roman" w:hAnsi="Times New Roman"/>
                <w:sz w:val="22"/>
                <w:szCs w:val="22"/>
              </w:rPr>
              <w:t xml:space="preserve">226,721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FC5" w:rsidRPr="008C3142" w:rsidRDefault="001B5FC5" w:rsidP="008C314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C3142">
              <w:rPr>
                <w:rFonts w:ascii="Times New Roman" w:hAnsi="Times New Roman"/>
                <w:sz w:val="22"/>
                <w:szCs w:val="22"/>
              </w:rPr>
              <w:t xml:space="preserve">216,763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FC5" w:rsidRPr="008C3142" w:rsidRDefault="001B5FC5" w:rsidP="008C314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C3142">
              <w:rPr>
                <w:rFonts w:ascii="Times New Roman" w:hAnsi="Times New Roman"/>
                <w:sz w:val="22"/>
                <w:szCs w:val="22"/>
              </w:rPr>
              <w:t>95.61</w:t>
            </w:r>
          </w:p>
        </w:tc>
      </w:tr>
      <w:tr w:rsidR="001B5FC5" w:rsidRPr="00E255A1" w:rsidTr="000E353D">
        <w:trPr>
          <w:cantSplit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FC5" w:rsidRPr="00E255A1" w:rsidRDefault="001B5FC5" w:rsidP="001B5FC5">
            <w:pPr>
              <w:rPr>
                <w:rFonts w:ascii="標楷體" w:eastAsia="標楷體" w:hAnsi="標楷體"/>
                <w:szCs w:val="24"/>
              </w:rPr>
            </w:pPr>
            <w:r w:rsidRPr="00E255A1">
              <w:rPr>
                <w:rFonts w:ascii="標楷體" w:eastAsia="標楷體" w:hAnsi="標楷體" w:hint="eastAsia"/>
                <w:szCs w:val="24"/>
              </w:rPr>
              <w:t>專業、科學及技術服務業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FC5" w:rsidRPr="008C3142" w:rsidRDefault="001B5FC5" w:rsidP="008C314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C3142">
              <w:rPr>
                <w:rFonts w:ascii="Times New Roman" w:hAnsi="Times New Roman"/>
                <w:sz w:val="22"/>
                <w:szCs w:val="22"/>
              </w:rPr>
              <w:t xml:space="preserve">233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FC5" w:rsidRPr="008C3142" w:rsidRDefault="001B5FC5" w:rsidP="008C314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C3142">
              <w:rPr>
                <w:rFonts w:ascii="Times New Roman" w:hAnsi="Times New Roman"/>
                <w:sz w:val="22"/>
                <w:szCs w:val="22"/>
              </w:rPr>
              <w:t>236,600</w:t>
            </w:r>
          </w:p>
          <w:p w:rsidR="001B5FC5" w:rsidRPr="008C3142" w:rsidRDefault="001B5FC5" w:rsidP="008C314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C3142">
              <w:rPr>
                <w:rFonts w:ascii="Times New Roman" w:hAnsi="Times New Roman" w:hint="eastAsia"/>
                <w:sz w:val="22"/>
                <w:szCs w:val="22"/>
              </w:rPr>
              <w:t>(7.37)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FC5" w:rsidRPr="008C3142" w:rsidRDefault="001B5FC5" w:rsidP="008C314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C3142">
              <w:rPr>
                <w:rFonts w:ascii="Times New Roman" w:hAnsi="Times New Roman"/>
                <w:sz w:val="22"/>
                <w:szCs w:val="22"/>
              </w:rPr>
              <w:t xml:space="preserve">306,427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FC5" w:rsidRPr="008C3142" w:rsidRDefault="001B5FC5" w:rsidP="008C314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C3142">
              <w:rPr>
                <w:rFonts w:ascii="Times New Roman" w:hAnsi="Times New Roman"/>
                <w:sz w:val="22"/>
                <w:szCs w:val="22"/>
              </w:rPr>
              <w:t xml:space="preserve">-69,827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FC5" w:rsidRPr="008C3142" w:rsidRDefault="001B5FC5" w:rsidP="008C314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C3142">
              <w:rPr>
                <w:rFonts w:ascii="Times New Roman" w:hAnsi="Times New Roman"/>
                <w:sz w:val="22"/>
                <w:szCs w:val="22"/>
              </w:rPr>
              <w:t>-22.79</w:t>
            </w:r>
          </w:p>
        </w:tc>
      </w:tr>
      <w:tr w:rsidR="001B5FC5" w:rsidRPr="00E255A1" w:rsidTr="000E353D">
        <w:trPr>
          <w:cantSplit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FC5" w:rsidRPr="00E255A1" w:rsidRDefault="001B5FC5" w:rsidP="001B5FC5">
            <w:pPr>
              <w:rPr>
                <w:rFonts w:ascii="標楷體" w:eastAsia="標楷體" w:hAnsi="標楷體"/>
                <w:szCs w:val="24"/>
              </w:rPr>
            </w:pPr>
            <w:r w:rsidRPr="00E255A1">
              <w:rPr>
                <w:rFonts w:ascii="標楷體" w:eastAsia="標楷體" w:hAnsi="標楷體" w:hint="eastAsia"/>
                <w:szCs w:val="24"/>
              </w:rPr>
              <w:t>不動產業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FC5" w:rsidRPr="008C3142" w:rsidRDefault="001B5FC5" w:rsidP="008C314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C3142">
              <w:rPr>
                <w:rFonts w:ascii="Times New Roman" w:hAnsi="Times New Roman"/>
                <w:sz w:val="22"/>
                <w:szCs w:val="22"/>
              </w:rPr>
              <w:t xml:space="preserve">19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FC5" w:rsidRPr="008C3142" w:rsidRDefault="001B5FC5" w:rsidP="008C314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C3142">
              <w:rPr>
                <w:rFonts w:ascii="Times New Roman" w:hAnsi="Times New Roman"/>
                <w:sz w:val="22"/>
                <w:szCs w:val="22"/>
              </w:rPr>
              <w:t>202,313</w:t>
            </w:r>
          </w:p>
          <w:p w:rsidR="001B5FC5" w:rsidRPr="008C3142" w:rsidRDefault="001B5FC5" w:rsidP="008C314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C3142">
              <w:rPr>
                <w:rFonts w:ascii="Times New Roman" w:hAnsi="Times New Roman" w:hint="eastAsia"/>
                <w:sz w:val="22"/>
                <w:szCs w:val="22"/>
              </w:rPr>
              <w:t>(6.30)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FC5" w:rsidRPr="008C3142" w:rsidRDefault="001B5FC5" w:rsidP="008C314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C3142">
              <w:rPr>
                <w:rFonts w:ascii="Times New Roman" w:hAnsi="Times New Roman"/>
                <w:sz w:val="22"/>
                <w:szCs w:val="22"/>
              </w:rPr>
              <w:t xml:space="preserve">373,538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FC5" w:rsidRPr="008C3142" w:rsidRDefault="001B5FC5" w:rsidP="008C314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C3142">
              <w:rPr>
                <w:rFonts w:ascii="Times New Roman" w:hAnsi="Times New Roman"/>
                <w:sz w:val="22"/>
                <w:szCs w:val="22"/>
              </w:rPr>
              <w:t xml:space="preserve">-171,225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FC5" w:rsidRPr="008C3142" w:rsidRDefault="001B5FC5" w:rsidP="008C314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C3142">
              <w:rPr>
                <w:rFonts w:ascii="Times New Roman" w:hAnsi="Times New Roman"/>
                <w:sz w:val="22"/>
                <w:szCs w:val="22"/>
              </w:rPr>
              <w:t>-45.84</w:t>
            </w:r>
          </w:p>
        </w:tc>
      </w:tr>
    </w:tbl>
    <w:p w:rsidR="000E353D" w:rsidRPr="00E255A1" w:rsidRDefault="000E353D" w:rsidP="000E353D">
      <w:pPr>
        <w:ind w:right="480" w:firstLine="6720"/>
        <w:rPr>
          <w:rFonts w:eastAsia="標楷體"/>
          <w:sz w:val="22"/>
          <w:szCs w:val="22"/>
        </w:rPr>
      </w:pPr>
    </w:p>
    <w:p w:rsidR="000E353D" w:rsidRPr="00E255A1" w:rsidRDefault="000E353D">
      <w:pPr>
        <w:ind w:right="480" w:firstLine="6720"/>
      </w:pPr>
    </w:p>
    <w:p w:rsidR="00E15544" w:rsidRPr="00E255A1" w:rsidRDefault="004C5877">
      <w:pPr>
        <w:pageBreakBefore/>
        <w:spacing w:after="188" w:line="560" w:lineRule="exact"/>
        <w:ind w:left="329" w:firstLine="482"/>
        <w:jc w:val="both"/>
        <w:rPr>
          <w:rFonts w:eastAsia="標楷體"/>
          <w:sz w:val="36"/>
        </w:rPr>
      </w:pPr>
      <w:r w:rsidRPr="00E255A1">
        <w:rPr>
          <w:rFonts w:eastAsia="標楷體"/>
          <w:sz w:val="36"/>
        </w:rPr>
        <w:lastRenderedPageBreak/>
        <w:t>表</w:t>
      </w:r>
      <w:r w:rsidRPr="00E255A1">
        <w:rPr>
          <w:rFonts w:eastAsia="標楷體"/>
          <w:sz w:val="36"/>
        </w:rPr>
        <w:t>2-1</w:t>
      </w:r>
      <w:r w:rsidRPr="00E255A1">
        <w:rPr>
          <w:rFonts w:eastAsia="標楷體"/>
          <w:sz w:val="36"/>
        </w:rPr>
        <w:t xml:space="preserve">　</w:t>
      </w:r>
      <w:r w:rsidR="00293F93" w:rsidRPr="00E255A1">
        <w:rPr>
          <w:rFonts w:eastAsia="標楷體" w:hint="eastAsia"/>
          <w:sz w:val="36"/>
          <w:szCs w:val="36"/>
        </w:rPr>
        <w:t>110</w:t>
      </w:r>
      <w:r w:rsidR="00293F93" w:rsidRPr="00E255A1">
        <w:rPr>
          <w:rFonts w:eastAsia="標楷體" w:hint="eastAsia"/>
          <w:sz w:val="36"/>
          <w:szCs w:val="36"/>
        </w:rPr>
        <w:t>年</w:t>
      </w:r>
      <w:r w:rsidR="00293F93" w:rsidRPr="00E255A1">
        <w:rPr>
          <w:rFonts w:eastAsia="標楷體" w:hint="eastAsia"/>
          <w:sz w:val="36"/>
          <w:szCs w:val="36"/>
        </w:rPr>
        <w:t>1</w:t>
      </w:r>
      <w:r w:rsidR="00B3129C">
        <w:rPr>
          <w:rFonts w:eastAsia="標楷體" w:hint="eastAsia"/>
          <w:sz w:val="36"/>
          <w:szCs w:val="36"/>
        </w:rPr>
        <w:t>-7</w:t>
      </w:r>
      <w:r w:rsidR="002362D1" w:rsidRPr="00E255A1">
        <w:rPr>
          <w:rFonts w:eastAsia="標楷體"/>
          <w:sz w:val="36"/>
          <w:szCs w:val="36"/>
        </w:rPr>
        <w:t>月</w:t>
      </w:r>
      <w:r w:rsidRPr="00E255A1">
        <w:rPr>
          <w:rFonts w:eastAsia="標楷體"/>
          <w:sz w:val="36"/>
        </w:rPr>
        <w:t>及最近</w:t>
      </w:r>
      <w:r w:rsidRPr="00E255A1">
        <w:rPr>
          <w:rFonts w:eastAsia="標楷體"/>
          <w:sz w:val="36"/>
        </w:rPr>
        <w:t>2</w:t>
      </w:r>
      <w:r w:rsidRPr="00E255A1">
        <w:rPr>
          <w:rFonts w:eastAsia="標楷體"/>
          <w:sz w:val="36"/>
        </w:rPr>
        <w:t>年陸資來</w:t>
      </w:r>
      <w:proofErr w:type="gramStart"/>
      <w:r w:rsidRPr="00E255A1">
        <w:rPr>
          <w:rFonts w:eastAsia="標楷體"/>
          <w:sz w:val="36"/>
        </w:rPr>
        <w:t>臺</w:t>
      </w:r>
      <w:proofErr w:type="gramEnd"/>
      <w:r w:rsidRPr="00E255A1">
        <w:rPr>
          <w:rFonts w:eastAsia="標楷體"/>
          <w:sz w:val="36"/>
        </w:rPr>
        <w:t>投資概況</w:t>
      </w:r>
    </w:p>
    <w:tbl>
      <w:tblPr>
        <w:tblW w:w="9355" w:type="dxa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850"/>
        <w:gridCol w:w="681"/>
        <w:gridCol w:w="526"/>
        <w:gridCol w:w="1033"/>
        <w:gridCol w:w="392"/>
        <w:gridCol w:w="203"/>
        <w:gridCol w:w="526"/>
        <w:gridCol w:w="680"/>
        <w:gridCol w:w="907"/>
        <w:gridCol w:w="469"/>
        <w:gridCol w:w="253"/>
        <w:gridCol w:w="525"/>
        <w:gridCol w:w="680"/>
        <w:gridCol w:w="1035"/>
        <w:gridCol w:w="595"/>
      </w:tblGrid>
      <w:tr w:rsidR="00E15544" w:rsidRPr="00E255A1" w:rsidTr="00E15544">
        <w:trPr>
          <w:cantSplit/>
          <w:jc w:val="right"/>
        </w:trPr>
        <w:tc>
          <w:tcPr>
            <w:tcW w:w="3482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E15544">
            <w:pPr>
              <w:pStyle w:val="a3"/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88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 w:rsidP="008D3AB4">
            <w:pPr>
              <w:pStyle w:val="a3"/>
              <w:spacing w:line="0" w:lineRule="atLeast"/>
              <w:jc w:val="right"/>
              <w:rPr>
                <w:rFonts w:ascii="Arial" w:hAnsi="Arial" w:cs="Arial"/>
                <w:sz w:val="20"/>
              </w:rPr>
            </w:pPr>
            <w:r w:rsidRPr="00E255A1">
              <w:rPr>
                <w:rFonts w:ascii="Arial" w:hAnsi="Arial" w:cs="Arial"/>
                <w:sz w:val="20"/>
              </w:rPr>
              <w:t xml:space="preserve">         </w:t>
            </w:r>
            <w:r w:rsidRPr="00E255A1">
              <w:rPr>
                <w:rFonts w:ascii="Arial" w:hAnsi="Arial" w:cs="Arial"/>
                <w:sz w:val="20"/>
              </w:rPr>
              <w:t>單位：千美元；％</w:t>
            </w:r>
          </w:p>
        </w:tc>
      </w:tr>
      <w:tr w:rsidR="0017073F" w:rsidRPr="00E255A1" w:rsidTr="00270D27">
        <w:trPr>
          <w:cantSplit/>
          <w:jc w:val="right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073F" w:rsidRPr="00E255A1" w:rsidRDefault="0017073F" w:rsidP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期間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073F" w:rsidRPr="00E255A1" w:rsidRDefault="00293F93" w:rsidP="007A06F0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 w:hint="eastAsia"/>
                <w:sz w:val="24"/>
              </w:rPr>
              <w:t>108</w:t>
            </w:r>
            <w:r w:rsidR="0017073F" w:rsidRPr="00E255A1">
              <w:rPr>
                <w:rFonts w:ascii="Times New Roman" w:hAnsi="Times New Roman"/>
                <w:sz w:val="24"/>
              </w:rPr>
              <w:t>年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073F" w:rsidRPr="00E255A1" w:rsidRDefault="00293F93" w:rsidP="007A06F0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1</w:t>
            </w:r>
            <w:r w:rsidRPr="00E255A1">
              <w:rPr>
                <w:rFonts w:ascii="Times New Roman" w:hAnsi="Times New Roman" w:hint="eastAsia"/>
                <w:sz w:val="24"/>
              </w:rPr>
              <w:t>09</w:t>
            </w:r>
            <w:r w:rsidR="0017073F" w:rsidRPr="00E255A1">
              <w:rPr>
                <w:rFonts w:ascii="Times New Roman" w:hAnsi="Times New Roman"/>
                <w:sz w:val="24"/>
              </w:rPr>
              <w:t>年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073F" w:rsidRPr="00E255A1" w:rsidRDefault="0017073F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 w:hint="eastAsia"/>
                <w:sz w:val="24"/>
              </w:rPr>
              <w:t>1</w:t>
            </w:r>
            <w:r w:rsidR="00293F93" w:rsidRPr="00E255A1">
              <w:rPr>
                <w:rFonts w:ascii="Times New Roman" w:hAnsi="Times New Roman" w:hint="eastAsia"/>
                <w:sz w:val="24"/>
              </w:rPr>
              <w:t>10</w:t>
            </w:r>
            <w:r w:rsidRPr="00E255A1">
              <w:rPr>
                <w:rFonts w:ascii="Times New Roman" w:hAnsi="Times New Roman" w:hint="eastAsia"/>
                <w:sz w:val="24"/>
              </w:rPr>
              <w:t>年</w:t>
            </w:r>
          </w:p>
        </w:tc>
      </w:tr>
      <w:tr w:rsidR="009A3D55" w:rsidRPr="00E255A1" w:rsidTr="00270D27">
        <w:trPr>
          <w:cantSplit/>
          <w:trHeight w:val="70"/>
          <w:jc w:val="right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件</w:t>
            </w:r>
          </w:p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數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成</w:t>
            </w:r>
          </w:p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長</w:t>
            </w:r>
          </w:p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率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金</w:t>
            </w:r>
          </w:p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額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成</w:t>
            </w:r>
          </w:p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長</w:t>
            </w:r>
          </w:p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率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件</w:t>
            </w:r>
          </w:p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成</w:t>
            </w:r>
          </w:p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長</w:t>
            </w:r>
          </w:p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率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金</w:t>
            </w:r>
          </w:p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額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成</w:t>
            </w:r>
          </w:p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長</w:t>
            </w:r>
          </w:p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率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件</w:t>
            </w:r>
          </w:p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成</w:t>
            </w:r>
          </w:p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長</w:t>
            </w:r>
          </w:p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率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金</w:t>
            </w:r>
          </w:p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額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成</w:t>
            </w:r>
          </w:p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長</w:t>
            </w:r>
          </w:p>
          <w:p w:rsidR="009A3D55" w:rsidRPr="00E255A1" w:rsidRDefault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率</w:t>
            </w:r>
          </w:p>
        </w:tc>
      </w:tr>
      <w:tr w:rsidR="00293F93" w:rsidRPr="00E255A1" w:rsidTr="00E15544">
        <w:trPr>
          <w:cantSplit/>
          <w:trHeight w:val="70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F93" w:rsidRPr="00E255A1" w:rsidRDefault="00293F93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1</w:t>
            </w:r>
            <w:r w:rsidRPr="00E255A1">
              <w:rPr>
                <w:rFonts w:ascii="Times New Roman" w:hAnsi="Times New Roman"/>
                <w:sz w:val="22"/>
                <w:szCs w:val="22"/>
              </w:rPr>
              <w:t>月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F93" w:rsidRPr="00E255A1" w:rsidRDefault="00293F93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F93" w:rsidRPr="00E255A1" w:rsidRDefault="00293F93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-47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F93" w:rsidRPr="00E255A1" w:rsidRDefault="00293F93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3,152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F93" w:rsidRPr="00E255A1" w:rsidRDefault="00293F93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-96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F93" w:rsidRPr="00E255A1" w:rsidRDefault="00293F93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F93" w:rsidRPr="00E255A1" w:rsidRDefault="00293F93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F93" w:rsidRPr="00E255A1" w:rsidRDefault="00293F93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2,295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F93" w:rsidRPr="00E255A1" w:rsidRDefault="00293F93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-27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F93" w:rsidRPr="00E255A1" w:rsidRDefault="00CB66E0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F93" w:rsidRPr="00E255A1" w:rsidRDefault="00CB66E0" w:rsidP="00293F93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-66.6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F93" w:rsidRPr="00E255A1" w:rsidRDefault="00CB66E0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1,512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F93" w:rsidRPr="00E255A1" w:rsidRDefault="00CB66E0" w:rsidP="00293F93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-34</w:t>
            </w:r>
          </w:p>
        </w:tc>
      </w:tr>
      <w:tr w:rsidR="00FD3F9C" w:rsidRPr="00E255A1" w:rsidTr="00E15544">
        <w:trPr>
          <w:cantSplit/>
          <w:trHeight w:val="70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F9C" w:rsidRPr="00E255A1" w:rsidRDefault="00434B8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2</w:t>
            </w:r>
            <w:r w:rsidRPr="00E255A1">
              <w:rPr>
                <w:rFonts w:ascii="Times New Roman" w:hAnsi="Times New Roman" w:hint="eastAsia"/>
                <w:sz w:val="22"/>
                <w:szCs w:val="22"/>
              </w:rPr>
              <w:t>月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F9C" w:rsidRPr="00E255A1" w:rsidRDefault="00434B87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8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F9C" w:rsidRPr="00E255A1" w:rsidRDefault="00434B87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167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F9C" w:rsidRPr="00E255A1" w:rsidRDefault="00434B87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4,253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F9C" w:rsidRPr="00E255A1" w:rsidRDefault="00434B87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4904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F9C" w:rsidRPr="00E255A1" w:rsidRDefault="00434B87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F9C" w:rsidRPr="00E255A1" w:rsidRDefault="00434B87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25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F9C" w:rsidRPr="00E255A1" w:rsidRDefault="00A35B64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20,</w:t>
            </w:r>
            <w:r w:rsidR="00434B87" w:rsidRPr="00E255A1">
              <w:rPr>
                <w:rFonts w:ascii="Times New Roman" w:hAnsi="Times New Roman" w:hint="eastAsia"/>
                <w:sz w:val="22"/>
                <w:szCs w:val="22"/>
              </w:rPr>
              <w:t>172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F9C" w:rsidRPr="00E255A1" w:rsidRDefault="00434B87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374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F9C" w:rsidRPr="00E255A1" w:rsidRDefault="00434B87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F9C" w:rsidRPr="00E255A1" w:rsidRDefault="00434B87" w:rsidP="00293F93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-70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F9C" w:rsidRPr="00E255A1" w:rsidRDefault="00434B87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11,602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F9C" w:rsidRPr="00E255A1" w:rsidRDefault="00434B87" w:rsidP="00293F93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-42</w:t>
            </w:r>
          </w:p>
        </w:tc>
      </w:tr>
      <w:tr w:rsidR="00FD496C" w:rsidRPr="00E255A1" w:rsidTr="00E15544">
        <w:trPr>
          <w:cantSplit/>
          <w:trHeight w:val="70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96C" w:rsidRPr="00E255A1" w:rsidRDefault="00FD496C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3</w:t>
            </w:r>
            <w:r w:rsidRPr="00E255A1">
              <w:rPr>
                <w:rFonts w:ascii="Times New Roman" w:hAnsi="Times New Roman" w:hint="eastAsia"/>
                <w:sz w:val="22"/>
                <w:szCs w:val="22"/>
              </w:rPr>
              <w:t>月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96C" w:rsidRPr="00E255A1" w:rsidRDefault="00FD496C" w:rsidP="00FD496C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13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96C" w:rsidRPr="00E255A1" w:rsidRDefault="00FD496C" w:rsidP="00FD496C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-24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96C" w:rsidRPr="00E255A1" w:rsidRDefault="00FD496C" w:rsidP="00FD496C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3,602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96C" w:rsidRPr="00E255A1" w:rsidRDefault="00FD496C" w:rsidP="00FD496C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-42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96C" w:rsidRPr="00E255A1" w:rsidRDefault="00FD496C" w:rsidP="00FD496C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14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96C" w:rsidRPr="00E255A1" w:rsidRDefault="00FD496C" w:rsidP="00FD496C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96C" w:rsidRPr="00E255A1" w:rsidRDefault="00FD496C" w:rsidP="00FD496C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12,943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96C" w:rsidRPr="00E255A1" w:rsidRDefault="00FD496C" w:rsidP="00FD496C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259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96C" w:rsidRPr="00E255A1" w:rsidRDefault="00FD496C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96C" w:rsidRPr="00E255A1" w:rsidRDefault="00FD496C" w:rsidP="00FD496C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-93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96C" w:rsidRPr="00E255A1" w:rsidRDefault="00FD496C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1,251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496C" w:rsidRPr="00E255A1" w:rsidRDefault="00FD496C" w:rsidP="00293F93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-935</w:t>
            </w:r>
          </w:p>
        </w:tc>
      </w:tr>
      <w:tr w:rsidR="001C162B" w:rsidRPr="00E255A1" w:rsidTr="00E15544">
        <w:trPr>
          <w:cantSplit/>
          <w:trHeight w:val="70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62B" w:rsidRPr="00E255A1" w:rsidRDefault="001C162B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4</w:t>
            </w:r>
            <w:r w:rsidRPr="00E255A1">
              <w:rPr>
                <w:rFonts w:ascii="Times New Roman" w:hAnsi="Times New Roman" w:hint="eastAsia"/>
                <w:sz w:val="22"/>
                <w:szCs w:val="22"/>
              </w:rPr>
              <w:t>月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62B" w:rsidRPr="00E255A1" w:rsidRDefault="001C162B" w:rsidP="00DC6630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12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62B" w:rsidRPr="00E255A1" w:rsidRDefault="001C162B" w:rsidP="00DC6630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71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62B" w:rsidRPr="00E255A1" w:rsidRDefault="001C162B" w:rsidP="00DC6630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14,875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62B" w:rsidRPr="00E255A1" w:rsidRDefault="001C162B" w:rsidP="00DC6630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28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62B" w:rsidRPr="00E255A1" w:rsidRDefault="001C162B" w:rsidP="00DC6630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62B" w:rsidRPr="00E255A1" w:rsidRDefault="001C162B" w:rsidP="00DC6630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62B" w:rsidRPr="00E255A1" w:rsidRDefault="001C162B" w:rsidP="00DC6630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6,429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62B" w:rsidRPr="00E255A1" w:rsidRDefault="001C162B" w:rsidP="00DC6630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-57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62B" w:rsidRPr="00E255A1" w:rsidRDefault="001C162B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62B" w:rsidRPr="00E255A1" w:rsidRDefault="001C162B" w:rsidP="00FD496C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-55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62B" w:rsidRPr="00E255A1" w:rsidRDefault="001C162B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3,108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62B" w:rsidRPr="00E255A1" w:rsidRDefault="001C162B" w:rsidP="001C162B">
            <w:pPr>
              <w:pStyle w:val="a3"/>
              <w:tabs>
                <w:tab w:val="left" w:pos="160"/>
              </w:tabs>
              <w:spacing w:line="400" w:lineRule="exac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ab/>
            </w:r>
            <w:r w:rsidRPr="00E255A1">
              <w:rPr>
                <w:rFonts w:ascii="Times New Roman" w:hAnsi="Times New Roman" w:hint="eastAsia"/>
                <w:sz w:val="22"/>
                <w:szCs w:val="22"/>
              </w:rPr>
              <w:t>-52</w:t>
            </w:r>
          </w:p>
        </w:tc>
      </w:tr>
      <w:tr w:rsidR="00A41108" w:rsidRPr="00E255A1" w:rsidTr="00E15544">
        <w:trPr>
          <w:cantSplit/>
          <w:trHeight w:val="70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108" w:rsidRPr="00E255A1" w:rsidRDefault="00A41108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5</w:t>
            </w:r>
            <w:r w:rsidRPr="00E255A1">
              <w:rPr>
                <w:rFonts w:ascii="Times New Roman" w:hAnsi="Times New Roman" w:hint="eastAsia"/>
                <w:sz w:val="22"/>
                <w:szCs w:val="22"/>
              </w:rPr>
              <w:t>月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108" w:rsidRPr="00E255A1" w:rsidRDefault="00A41108" w:rsidP="00A504BB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13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108" w:rsidRPr="00E255A1" w:rsidRDefault="00A41108" w:rsidP="00A504BB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-7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108" w:rsidRPr="00E255A1" w:rsidRDefault="00A41108" w:rsidP="00A504BB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2,320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108" w:rsidRPr="00E255A1" w:rsidRDefault="00A41108" w:rsidP="00A504BB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-76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108" w:rsidRPr="00E255A1" w:rsidRDefault="00A41108" w:rsidP="00A504BB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108" w:rsidRPr="00E255A1" w:rsidRDefault="00A41108" w:rsidP="00A504BB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-54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108" w:rsidRPr="00E255A1" w:rsidRDefault="00A41108" w:rsidP="00A504BB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5,581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108" w:rsidRPr="00E255A1" w:rsidRDefault="00A41108" w:rsidP="00A504BB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141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108" w:rsidRPr="00E255A1" w:rsidRDefault="00A41108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108" w:rsidRPr="00E255A1" w:rsidRDefault="00A41108" w:rsidP="00FD496C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-33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108" w:rsidRPr="00E255A1" w:rsidRDefault="00A41108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708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108" w:rsidRPr="00E255A1" w:rsidRDefault="00A41108" w:rsidP="00A41108">
            <w:pPr>
              <w:pStyle w:val="a3"/>
              <w:tabs>
                <w:tab w:val="left" w:pos="160"/>
              </w:tabs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-87</w:t>
            </w:r>
          </w:p>
        </w:tc>
      </w:tr>
      <w:tr w:rsidR="00213B12" w:rsidRPr="00E255A1" w:rsidTr="00E15544">
        <w:trPr>
          <w:cantSplit/>
          <w:trHeight w:val="70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3B12" w:rsidRPr="00E255A1" w:rsidRDefault="00213B12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6</w:t>
            </w:r>
            <w:r w:rsidRPr="00E255A1">
              <w:rPr>
                <w:rFonts w:ascii="Times New Roman" w:hAnsi="Times New Roman" w:hint="eastAsia"/>
                <w:sz w:val="22"/>
                <w:szCs w:val="22"/>
              </w:rPr>
              <w:t>月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3B12" w:rsidRPr="00E255A1" w:rsidRDefault="00213B12" w:rsidP="00B35B2A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3B12" w:rsidRPr="00E255A1" w:rsidRDefault="00213B12" w:rsidP="00B35B2A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-25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3B12" w:rsidRPr="00E255A1" w:rsidRDefault="00213B12" w:rsidP="00B35B2A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19,270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3B12" w:rsidRPr="00E255A1" w:rsidRDefault="00213B12" w:rsidP="00B35B2A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-31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3B12" w:rsidRPr="00E255A1" w:rsidRDefault="00213B12" w:rsidP="00B35B2A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3B12" w:rsidRPr="00E255A1" w:rsidRDefault="00213B12" w:rsidP="00B35B2A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50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3B12" w:rsidRPr="00E255A1" w:rsidRDefault="00213B12" w:rsidP="00B35B2A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2,133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3B12" w:rsidRPr="00E255A1" w:rsidRDefault="00213B12" w:rsidP="00B35B2A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-89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3B12" w:rsidRPr="00E255A1" w:rsidRDefault="00D8554A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3B12" w:rsidRPr="00E255A1" w:rsidRDefault="00993005" w:rsidP="00FD496C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-44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3B12" w:rsidRPr="00E255A1" w:rsidRDefault="00213B1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8,605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3B12" w:rsidRPr="00E255A1" w:rsidRDefault="00213B12" w:rsidP="00A41108">
            <w:pPr>
              <w:pStyle w:val="a3"/>
              <w:tabs>
                <w:tab w:val="left" w:pos="160"/>
              </w:tabs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303</w:t>
            </w:r>
          </w:p>
        </w:tc>
      </w:tr>
      <w:tr w:rsidR="001B5FC5" w:rsidRPr="00902B9D" w:rsidTr="00E15544">
        <w:trPr>
          <w:cantSplit/>
          <w:trHeight w:val="70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5FC5" w:rsidRPr="00902B9D" w:rsidRDefault="001B5FC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7</w:t>
            </w:r>
            <w:r w:rsidRPr="00902B9D">
              <w:rPr>
                <w:rFonts w:ascii="Times New Roman" w:hAnsi="Times New Roman" w:hint="eastAsia"/>
                <w:sz w:val="22"/>
                <w:szCs w:val="22"/>
              </w:rPr>
              <w:t>月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5FC5" w:rsidRPr="00902B9D" w:rsidRDefault="001B5FC5" w:rsidP="001B5FC5">
            <w:pPr>
              <w:pStyle w:val="a3"/>
              <w:spacing w:line="400" w:lineRule="exact"/>
              <w:jc w:val="right"/>
              <w:rPr>
                <w:rFonts w:ascii="Times New Roman"/>
                <w:color w:val="0D0D0D"/>
                <w:sz w:val="22"/>
                <w:szCs w:val="22"/>
              </w:rPr>
            </w:pPr>
            <w:r w:rsidRPr="00902B9D">
              <w:rPr>
                <w:rFonts w:ascii="Times New Roman" w:hAnsi="Times New Roman"/>
                <w:color w:val="0D0D0D"/>
                <w:sz w:val="22"/>
                <w:szCs w:val="22"/>
              </w:rPr>
              <w:t>23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5FC5" w:rsidRPr="00902B9D" w:rsidRDefault="001B5FC5" w:rsidP="001B5FC5">
            <w:pPr>
              <w:pStyle w:val="a3"/>
              <w:spacing w:line="400" w:lineRule="exact"/>
              <w:jc w:val="right"/>
              <w:rPr>
                <w:rFonts w:ascii="Times New Roman"/>
                <w:color w:val="0D0D0D"/>
                <w:sz w:val="22"/>
                <w:szCs w:val="22"/>
              </w:rPr>
            </w:pPr>
            <w:r w:rsidRPr="00902B9D">
              <w:rPr>
                <w:rFonts w:ascii="Times New Roman" w:hAnsi="Times New Roman"/>
                <w:color w:val="0D0D0D"/>
                <w:sz w:val="22"/>
                <w:szCs w:val="22"/>
              </w:rPr>
              <w:t>-92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5FC5" w:rsidRPr="00902B9D" w:rsidRDefault="001B5FC5" w:rsidP="001B5FC5">
            <w:pPr>
              <w:pStyle w:val="a3"/>
              <w:spacing w:line="400" w:lineRule="exact"/>
              <w:jc w:val="right"/>
              <w:rPr>
                <w:rFonts w:ascii="Times New Roman"/>
                <w:color w:val="0D0D0D"/>
                <w:sz w:val="22"/>
                <w:szCs w:val="22"/>
              </w:rPr>
            </w:pPr>
            <w:r w:rsidRPr="00902B9D">
              <w:rPr>
                <w:rFonts w:ascii="Times New Roman" w:hAnsi="Times New Roman"/>
                <w:color w:val="0D0D0D"/>
                <w:sz w:val="22"/>
                <w:szCs w:val="22"/>
              </w:rPr>
              <w:t>12,959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5FC5" w:rsidRPr="00902B9D" w:rsidRDefault="001B5FC5" w:rsidP="001B5FC5">
            <w:pPr>
              <w:pStyle w:val="a3"/>
              <w:spacing w:line="400" w:lineRule="exact"/>
              <w:jc w:val="right"/>
              <w:rPr>
                <w:rFonts w:ascii="Times New Roman"/>
                <w:color w:val="0D0D0D"/>
                <w:sz w:val="22"/>
                <w:szCs w:val="22"/>
              </w:rPr>
            </w:pPr>
            <w:r w:rsidRPr="00902B9D">
              <w:rPr>
                <w:rFonts w:ascii="Times New Roman" w:hAnsi="Times New Roman"/>
                <w:color w:val="0D0D0D"/>
                <w:sz w:val="22"/>
                <w:szCs w:val="22"/>
              </w:rPr>
              <w:t>17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5FC5" w:rsidRPr="00902B9D" w:rsidRDefault="001B5FC5" w:rsidP="001B5FC5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color w:val="0D0D0D"/>
                <w:sz w:val="22"/>
                <w:szCs w:val="22"/>
              </w:rPr>
              <w:t>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5FC5" w:rsidRPr="00902B9D" w:rsidRDefault="001B5FC5" w:rsidP="001B5FC5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color w:val="0D0D0D"/>
                <w:sz w:val="22"/>
                <w:szCs w:val="22"/>
              </w:rPr>
              <w:t>-61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5FC5" w:rsidRPr="00902B9D" w:rsidRDefault="001B5FC5" w:rsidP="001B5FC5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color w:val="0D0D0D"/>
                <w:sz w:val="22"/>
                <w:szCs w:val="22"/>
              </w:rPr>
              <w:t>8,605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5FC5" w:rsidRPr="00902B9D" w:rsidRDefault="001B5FC5" w:rsidP="001B5FC5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color w:val="0D0D0D"/>
                <w:sz w:val="22"/>
                <w:szCs w:val="22"/>
              </w:rPr>
              <w:t>-34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5FC5" w:rsidRPr="00902B9D" w:rsidRDefault="00B3129C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5FC5" w:rsidRPr="00902B9D" w:rsidRDefault="00902B9D" w:rsidP="00902B9D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-66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5FC5" w:rsidRPr="00902B9D" w:rsidRDefault="00B3129C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1,094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5FC5" w:rsidRPr="00902B9D" w:rsidRDefault="00902B9D" w:rsidP="00A41108">
            <w:pPr>
              <w:pStyle w:val="a3"/>
              <w:tabs>
                <w:tab w:val="left" w:pos="160"/>
              </w:tabs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-87</w:t>
            </w:r>
          </w:p>
        </w:tc>
      </w:tr>
      <w:tr w:rsidR="001B5FC5" w:rsidRPr="00E255A1" w:rsidTr="00E15544">
        <w:trPr>
          <w:cantSplit/>
          <w:trHeight w:val="70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5FC5" w:rsidRPr="00E255A1" w:rsidRDefault="001B5FC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1-7</w:t>
            </w:r>
            <w:r w:rsidRPr="00E255A1">
              <w:rPr>
                <w:rFonts w:ascii="Times New Roman" w:hAnsi="Times New Roman" w:hint="eastAsia"/>
                <w:sz w:val="22"/>
                <w:szCs w:val="22"/>
              </w:rPr>
              <w:t>月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5FC5" w:rsidRPr="0053569D" w:rsidRDefault="001B5FC5" w:rsidP="001B5FC5">
            <w:pPr>
              <w:pStyle w:val="a3"/>
              <w:spacing w:line="400" w:lineRule="exact"/>
              <w:jc w:val="right"/>
              <w:rPr>
                <w:rFonts w:ascii="Times New Roman"/>
                <w:color w:val="0D0D0D"/>
                <w:sz w:val="22"/>
                <w:szCs w:val="22"/>
              </w:rPr>
            </w:pPr>
            <w:r w:rsidRPr="0053569D">
              <w:rPr>
                <w:rFonts w:ascii="Times New Roman" w:hAnsi="Times New Roman"/>
                <w:color w:val="0D0D0D"/>
                <w:sz w:val="22"/>
                <w:szCs w:val="22"/>
              </w:rPr>
              <w:t>85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5FC5" w:rsidRPr="0053569D" w:rsidRDefault="001B5FC5" w:rsidP="001B5FC5">
            <w:pPr>
              <w:pStyle w:val="a3"/>
              <w:spacing w:line="400" w:lineRule="exact"/>
              <w:jc w:val="right"/>
              <w:rPr>
                <w:rFonts w:ascii="Times New Roman"/>
                <w:color w:val="0D0D0D"/>
                <w:sz w:val="22"/>
                <w:szCs w:val="22"/>
              </w:rPr>
            </w:pPr>
            <w:r w:rsidRPr="0053569D">
              <w:rPr>
                <w:rFonts w:ascii="Times New Roman" w:hAnsi="Times New Roman"/>
                <w:color w:val="0D0D0D"/>
                <w:sz w:val="22"/>
                <w:szCs w:val="22"/>
              </w:rPr>
              <w:t>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5FC5" w:rsidRPr="0053569D" w:rsidRDefault="001B5FC5" w:rsidP="001B5FC5">
            <w:pPr>
              <w:pStyle w:val="a3"/>
              <w:spacing w:line="400" w:lineRule="exact"/>
              <w:jc w:val="right"/>
              <w:rPr>
                <w:rFonts w:ascii="Times New Roman"/>
                <w:color w:val="0D0D0D"/>
                <w:sz w:val="22"/>
                <w:szCs w:val="22"/>
              </w:rPr>
            </w:pPr>
            <w:r w:rsidRPr="0053569D">
              <w:rPr>
                <w:rFonts w:ascii="Times New Roman" w:hAnsi="Times New Roman"/>
                <w:color w:val="0D0D0D"/>
                <w:sz w:val="22"/>
                <w:szCs w:val="22"/>
              </w:rPr>
              <w:t>60,431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5FC5" w:rsidRPr="0053569D" w:rsidRDefault="001B5FC5" w:rsidP="001B5FC5">
            <w:pPr>
              <w:pStyle w:val="a3"/>
              <w:spacing w:line="400" w:lineRule="exact"/>
              <w:jc w:val="right"/>
              <w:rPr>
                <w:rFonts w:ascii="Times New Roman"/>
                <w:color w:val="0D0D0D"/>
                <w:sz w:val="22"/>
                <w:szCs w:val="22"/>
              </w:rPr>
            </w:pPr>
            <w:r w:rsidRPr="0053569D">
              <w:rPr>
                <w:rFonts w:ascii="Times New Roman" w:hAnsi="Times New Roman"/>
                <w:color w:val="0D0D0D"/>
                <w:sz w:val="22"/>
                <w:szCs w:val="22"/>
              </w:rPr>
              <w:t>-59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5FC5" w:rsidRPr="0053569D" w:rsidRDefault="001B5FC5" w:rsidP="001B5FC5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53569D">
              <w:rPr>
                <w:rFonts w:ascii="Times New Roman" w:hAnsi="Times New Roman" w:hint="eastAsia"/>
                <w:color w:val="0D0D0D"/>
                <w:sz w:val="22"/>
                <w:szCs w:val="22"/>
              </w:rPr>
              <w:t>65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5FC5" w:rsidRPr="0053569D" w:rsidRDefault="001B5FC5" w:rsidP="001B5FC5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53569D">
              <w:rPr>
                <w:rFonts w:ascii="Times New Roman" w:hAnsi="Times New Roman" w:hint="eastAsia"/>
                <w:color w:val="0D0D0D"/>
                <w:sz w:val="22"/>
                <w:szCs w:val="22"/>
              </w:rPr>
              <w:t>-24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5FC5" w:rsidRPr="0053569D" w:rsidRDefault="001B5FC5" w:rsidP="001B5FC5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53569D">
              <w:rPr>
                <w:rFonts w:ascii="Times New Roman" w:hAnsi="Times New Roman" w:hint="eastAsia"/>
                <w:color w:val="0D0D0D"/>
                <w:sz w:val="22"/>
                <w:szCs w:val="22"/>
              </w:rPr>
              <w:t>58,158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5FC5" w:rsidRPr="0053569D" w:rsidRDefault="001B5FC5" w:rsidP="001B5FC5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53569D">
              <w:rPr>
                <w:rFonts w:ascii="Times New Roman" w:hAnsi="Times New Roman" w:hint="eastAsia"/>
                <w:color w:val="0D0D0D"/>
                <w:sz w:val="22"/>
                <w:szCs w:val="22"/>
              </w:rPr>
              <w:t>-4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5FC5" w:rsidRPr="00E255A1" w:rsidRDefault="00B3129C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23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5FC5" w:rsidRPr="00E255A1" w:rsidRDefault="001B5FC5" w:rsidP="00293F93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-64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5FC5" w:rsidRPr="00E255A1" w:rsidRDefault="00B3129C" w:rsidP="00213B1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27,880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5FC5" w:rsidRPr="00E255A1" w:rsidRDefault="00B3129C" w:rsidP="001C162B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-52</w:t>
            </w:r>
          </w:p>
        </w:tc>
      </w:tr>
      <w:tr w:rsidR="00293F93" w:rsidRPr="00E255A1" w:rsidTr="007A06F0">
        <w:trPr>
          <w:trHeight w:val="70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F93" w:rsidRPr="00E255A1" w:rsidRDefault="00293F93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1-12</w:t>
            </w:r>
            <w:r w:rsidRPr="00E255A1">
              <w:rPr>
                <w:rFonts w:ascii="Times New Roman" w:hAnsi="Times New Roman"/>
                <w:sz w:val="22"/>
                <w:szCs w:val="22"/>
              </w:rPr>
              <w:t>月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F93" w:rsidRPr="00E255A1" w:rsidRDefault="00293F93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143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F93" w:rsidRPr="00E255A1" w:rsidRDefault="00293F93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F93" w:rsidRPr="00E255A1" w:rsidRDefault="00293F93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97,180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F93" w:rsidRPr="00E255A1" w:rsidRDefault="00293F93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-58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F93" w:rsidRPr="00E255A1" w:rsidRDefault="00CB66E0" w:rsidP="00293F93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F93" w:rsidRPr="00E255A1" w:rsidRDefault="00CB66E0" w:rsidP="007A06F0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-37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F93" w:rsidRPr="00E255A1" w:rsidRDefault="00CB66E0" w:rsidP="007A06F0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126,311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F93" w:rsidRPr="00E255A1" w:rsidRDefault="00CB66E0" w:rsidP="007A06F0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3F93" w:rsidRPr="00E255A1" w:rsidRDefault="00293F93" w:rsidP="007A06F0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3F93" w:rsidRPr="00E255A1" w:rsidRDefault="00293F93" w:rsidP="007A06F0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3F93" w:rsidRPr="00E255A1" w:rsidRDefault="00293F93" w:rsidP="007A06F0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3F93" w:rsidRPr="00E255A1" w:rsidRDefault="00293F93" w:rsidP="007A06F0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</w:t>
            </w:r>
          </w:p>
        </w:tc>
      </w:tr>
      <w:tr w:rsidR="00E15544" w:rsidRPr="00E255A1" w:rsidTr="00E15544">
        <w:trPr>
          <w:cantSplit/>
          <w:trHeight w:val="70"/>
          <w:jc w:val="right"/>
        </w:trPr>
        <w:tc>
          <w:tcPr>
            <w:tcW w:w="9355" w:type="dxa"/>
            <w:gridSpan w:val="15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before="120" w:line="300" w:lineRule="exact"/>
              <w:rPr>
                <w:rFonts w:ascii="Times New Roman" w:hAnsi="Times New Roman"/>
                <w:sz w:val="24"/>
              </w:rPr>
            </w:pPr>
            <w:proofErr w:type="gramStart"/>
            <w:r w:rsidRPr="00E255A1">
              <w:rPr>
                <w:rFonts w:ascii="Times New Roman" w:hAnsi="Times New Roman"/>
                <w:sz w:val="24"/>
              </w:rPr>
              <w:t>註</w:t>
            </w:r>
            <w:proofErr w:type="gramEnd"/>
            <w:r w:rsidRPr="00E255A1">
              <w:rPr>
                <w:rFonts w:ascii="Times New Roman" w:hAnsi="Times New Roman"/>
                <w:sz w:val="24"/>
              </w:rPr>
              <w:t>1</w:t>
            </w:r>
            <w:r w:rsidRPr="00E255A1">
              <w:rPr>
                <w:rFonts w:ascii="Times New Roman" w:hAnsi="Times New Roman"/>
                <w:sz w:val="24"/>
              </w:rPr>
              <w:t>：</w:t>
            </w:r>
            <w:r w:rsidRPr="00E255A1">
              <w:rPr>
                <w:rFonts w:ascii="Times New Roman" w:hAnsi="Times New Roman"/>
                <w:sz w:val="24"/>
              </w:rPr>
              <w:t>98</w:t>
            </w:r>
            <w:r w:rsidRPr="00E255A1">
              <w:rPr>
                <w:rFonts w:ascii="Times New Roman" w:hAnsi="Times New Roman"/>
                <w:sz w:val="24"/>
              </w:rPr>
              <w:t>年</w:t>
            </w:r>
            <w:r w:rsidRPr="00E255A1">
              <w:rPr>
                <w:rFonts w:ascii="Times New Roman" w:hAnsi="Times New Roman"/>
                <w:sz w:val="24"/>
              </w:rPr>
              <w:t>6</w:t>
            </w:r>
            <w:r w:rsidRPr="00E255A1">
              <w:rPr>
                <w:rFonts w:ascii="Times New Roman" w:hAnsi="Times New Roman"/>
                <w:sz w:val="24"/>
              </w:rPr>
              <w:t>月</w:t>
            </w:r>
            <w:r w:rsidRPr="00E255A1">
              <w:rPr>
                <w:rFonts w:ascii="Times New Roman" w:hAnsi="Times New Roman"/>
                <w:sz w:val="24"/>
              </w:rPr>
              <w:t>30</w:t>
            </w:r>
            <w:r w:rsidRPr="00E255A1">
              <w:rPr>
                <w:rFonts w:ascii="Times New Roman" w:hAnsi="Times New Roman"/>
                <w:sz w:val="24"/>
              </w:rPr>
              <w:t>日起開放陸資來</w:t>
            </w:r>
            <w:proofErr w:type="gramStart"/>
            <w:r w:rsidRPr="00E255A1">
              <w:rPr>
                <w:rFonts w:ascii="Times New Roman" w:hAnsi="Times New Roman"/>
                <w:sz w:val="24"/>
              </w:rPr>
              <w:t>臺</w:t>
            </w:r>
            <w:proofErr w:type="gramEnd"/>
            <w:r w:rsidRPr="00E255A1">
              <w:rPr>
                <w:rFonts w:ascii="Times New Roman" w:hAnsi="Times New Roman"/>
                <w:sz w:val="24"/>
              </w:rPr>
              <w:t>投資。</w:t>
            </w:r>
          </w:p>
          <w:p w:rsidR="00E15544" w:rsidRPr="00E255A1" w:rsidRDefault="004C5877">
            <w:pPr>
              <w:pStyle w:val="a3"/>
              <w:spacing w:before="120" w:line="300" w:lineRule="exact"/>
              <w:rPr>
                <w:rFonts w:ascii="Times New Roman" w:hAnsi="Times New Roman"/>
                <w:sz w:val="24"/>
              </w:rPr>
            </w:pPr>
            <w:proofErr w:type="gramStart"/>
            <w:r w:rsidRPr="00E255A1">
              <w:rPr>
                <w:rFonts w:ascii="Times New Roman" w:hAnsi="Times New Roman"/>
                <w:sz w:val="24"/>
              </w:rPr>
              <w:t>註</w:t>
            </w:r>
            <w:proofErr w:type="gramEnd"/>
            <w:r w:rsidRPr="00E255A1">
              <w:rPr>
                <w:rFonts w:ascii="Times New Roman" w:hAnsi="Times New Roman"/>
                <w:sz w:val="24"/>
              </w:rPr>
              <w:t>2</w:t>
            </w:r>
            <w:r w:rsidRPr="00E255A1">
              <w:rPr>
                <w:rFonts w:ascii="Times New Roman" w:hAnsi="Times New Roman"/>
                <w:sz w:val="24"/>
              </w:rPr>
              <w:t>：成長率係與上年度同期比較。</w:t>
            </w:r>
          </w:p>
        </w:tc>
      </w:tr>
    </w:tbl>
    <w:p w:rsidR="00E15544" w:rsidRPr="00E255A1" w:rsidRDefault="00E15544">
      <w:pPr>
        <w:spacing w:after="188" w:line="560" w:lineRule="exact"/>
        <w:ind w:left="329" w:firstLine="482"/>
        <w:jc w:val="both"/>
        <w:rPr>
          <w:rFonts w:eastAsia="標楷體"/>
          <w:sz w:val="36"/>
        </w:rPr>
      </w:pPr>
    </w:p>
    <w:p w:rsidR="00E15544" w:rsidRPr="00E255A1" w:rsidRDefault="00E15544">
      <w:pPr>
        <w:spacing w:after="188" w:line="560" w:lineRule="exact"/>
        <w:ind w:left="329" w:firstLine="482"/>
        <w:jc w:val="both"/>
        <w:rPr>
          <w:rFonts w:eastAsia="標楷體"/>
          <w:sz w:val="36"/>
        </w:rPr>
      </w:pPr>
    </w:p>
    <w:p w:rsidR="00E15544" w:rsidRPr="00E255A1" w:rsidRDefault="00E15544">
      <w:pPr>
        <w:spacing w:after="188" w:line="560" w:lineRule="exact"/>
        <w:ind w:left="329" w:firstLine="482"/>
        <w:jc w:val="both"/>
        <w:rPr>
          <w:rFonts w:eastAsia="標楷體"/>
          <w:sz w:val="36"/>
        </w:rPr>
      </w:pPr>
    </w:p>
    <w:p w:rsidR="00E15544" w:rsidRPr="00E255A1" w:rsidRDefault="00E15544">
      <w:pPr>
        <w:spacing w:after="188" w:line="560" w:lineRule="exact"/>
        <w:ind w:left="329" w:firstLine="482"/>
        <w:jc w:val="both"/>
        <w:rPr>
          <w:rFonts w:eastAsia="標楷體"/>
          <w:sz w:val="36"/>
        </w:rPr>
      </w:pPr>
    </w:p>
    <w:p w:rsidR="00E15544" w:rsidRPr="00E255A1" w:rsidRDefault="00E15544">
      <w:pPr>
        <w:spacing w:after="188" w:line="560" w:lineRule="exact"/>
        <w:ind w:left="329" w:firstLine="482"/>
        <w:jc w:val="both"/>
        <w:rPr>
          <w:rFonts w:eastAsia="標楷體"/>
          <w:sz w:val="36"/>
        </w:rPr>
      </w:pPr>
    </w:p>
    <w:p w:rsidR="00E15544" w:rsidRPr="00E255A1" w:rsidRDefault="00E15544">
      <w:pPr>
        <w:spacing w:after="188" w:line="560" w:lineRule="exact"/>
        <w:ind w:left="329" w:firstLine="482"/>
        <w:jc w:val="both"/>
        <w:rPr>
          <w:rFonts w:eastAsia="標楷體"/>
          <w:sz w:val="36"/>
        </w:rPr>
      </w:pPr>
    </w:p>
    <w:p w:rsidR="00E15544" w:rsidRPr="00E255A1" w:rsidRDefault="004C5877">
      <w:pPr>
        <w:pageBreakBefore/>
        <w:spacing w:after="188" w:line="560" w:lineRule="exact"/>
        <w:ind w:firstLine="811"/>
        <w:jc w:val="both"/>
        <w:rPr>
          <w:rFonts w:eastAsia="標楷體"/>
          <w:sz w:val="36"/>
        </w:rPr>
      </w:pPr>
      <w:r w:rsidRPr="00E255A1">
        <w:rPr>
          <w:rFonts w:eastAsia="標楷體"/>
          <w:sz w:val="36"/>
        </w:rPr>
        <w:lastRenderedPageBreak/>
        <w:t>表</w:t>
      </w:r>
      <w:r w:rsidRPr="00E255A1">
        <w:rPr>
          <w:rFonts w:eastAsia="標楷體"/>
          <w:sz w:val="36"/>
        </w:rPr>
        <w:t xml:space="preserve">2-2   </w:t>
      </w:r>
      <w:r w:rsidRPr="00E255A1">
        <w:rPr>
          <w:rFonts w:eastAsia="標楷體"/>
          <w:sz w:val="36"/>
        </w:rPr>
        <w:t>截至</w:t>
      </w:r>
      <w:r w:rsidR="005C2C59" w:rsidRPr="00E255A1">
        <w:rPr>
          <w:rFonts w:eastAsia="標楷體" w:hint="eastAsia"/>
          <w:sz w:val="36"/>
          <w:szCs w:val="36"/>
        </w:rPr>
        <w:t>110</w:t>
      </w:r>
      <w:r w:rsidR="00197702" w:rsidRPr="00E255A1">
        <w:rPr>
          <w:rFonts w:eastAsia="標楷體"/>
          <w:sz w:val="36"/>
          <w:szCs w:val="36"/>
        </w:rPr>
        <w:t>年</w:t>
      </w:r>
      <w:r w:rsidR="00B3129C">
        <w:rPr>
          <w:rFonts w:eastAsia="標楷體" w:hint="eastAsia"/>
          <w:sz w:val="36"/>
          <w:szCs w:val="36"/>
        </w:rPr>
        <w:t>7</w:t>
      </w:r>
      <w:r w:rsidR="002362D1" w:rsidRPr="00E255A1">
        <w:rPr>
          <w:rFonts w:eastAsia="標楷體"/>
          <w:sz w:val="36"/>
          <w:szCs w:val="36"/>
        </w:rPr>
        <w:t>月</w:t>
      </w:r>
      <w:r w:rsidRPr="00E255A1">
        <w:rPr>
          <w:rFonts w:eastAsia="標楷體"/>
          <w:sz w:val="36"/>
        </w:rPr>
        <w:t>陸資來</w:t>
      </w:r>
      <w:proofErr w:type="gramStart"/>
      <w:r w:rsidRPr="00E255A1">
        <w:rPr>
          <w:rFonts w:eastAsia="標楷體"/>
          <w:sz w:val="36"/>
        </w:rPr>
        <w:t>臺</w:t>
      </w:r>
      <w:proofErr w:type="gramEnd"/>
      <w:r w:rsidRPr="00E255A1">
        <w:rPr>
          <w:rFonts w:eastAsia="標楷體"/>
          <w:sz w:val="36"/>
        </w:rPr>
        <w:t>投資業別統計表</w:t>
      </w:r>
      <w:r w:rsidRPr="00E255A1">
        <w:rPr>
          <w:rFonts w:eastAsia="標楷體"/>
          <w:sz w:val="36"/>
        </w:rPr>
        <w:t xml:space="preserve"> </w:t>
      </w:r>
    </w:p>
    <w:tbl>
      <w:tblPr>
        <w:tblW w:w="9740" w:type="dxa"/>
        <w:tblInd w:w="18" w:type="dxa"/>
        <w:tblCellMar>
          <w:left w:w="28" w:type="dxa"/>
          <w:right w:w="28" w:type="dxa"/>
        </w:tblCellMar>
        <w:tblLook w:val="04A0"/>
      </w:tblPr>
      <w:tblGrid>
        <w:gridCol w:w="3820"/>
        <w:gridCol w:w="1580"/>
        <w:gridCol w:w="1131"/>
        <w:gridCol w:w="1729"/>
        <w:gridCol w:w="1480"/>
      </w:tblGrid>
      <w:tr w:rsidR="0055298C" w:rsidRPr="00E255A1" w:rsidTr="00FE0580">
        <w:trPr>
          <w:trHeight w:val="361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98C" w:rsidRPr="00E255A1" w:rsidRDefault="009A3D55" w:rsidP="009A3D55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ascii="標楷體" w:eastAsia="標楷體" w:hAnsi="標楷體" w:cs="新細明體"/>
                <w:b/>
                <w:kern w:val="0"/>
                <w:sz w:val="20"/>
              </w:rPr>
            </w:pPr>
            <w:r w:rsidRPr="00E255A1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行業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98C" w:rsidRPr="00E255A1" w:rsidRDefault="0055298C" w:rsidP="009A3D55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ascii="標楷體" w:eastAsia="標楷體" w:hAnsi="標楷體" w:cs="新細明體"/>
                <w:b/>
                <w:kern w:val="0"/>
                <w:sz w:val="20"/>
              </w:rPr>
            </w:pPr>
            <w:r w:rsidRPr="00E255A1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件數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98C" w:rsidRPr="00E255A1" w:rsidRDefault="0055298C" w:rsidP="009A3D55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ascii="標楷體" w:eastAsia="標楷體" w:hAnsi="標楷體" w:cs="新細明體"/>
                <w:b/>
                <w:kern w:val="0"/>
                <w:sz w:val="20"/>
              </w:rPr>
            </w:pPr>
            <w:r w:rsidRPr="00E255A1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比重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8C" w:rsidRPr="00E255A1" w:rsidRDefault="0055298C" w:rsidP="009A3D55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ascii="標楷體" w:eastAsia="標楷體" w:hAnsi="標楷體" w:cs="新細明體"/>
                <w:b/>
                <w:kern w:val="0"/>
                <w:sz w:val="20"/>
              </w:rPr>
            </w:pPr>
            <w:r w:rsidRPr="00E255A1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金額（千美元）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98C" w:rsidRPr="00E255A1" w:rsidRDefault="0055298C" w:rsidP="009A3D55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rFonts w:ascii="標楷體" w:eastAsia="標楷體" w:hAnsi="標楷體" w:cs="新細明體"/>
                <w:b/>
                <w:kern w:val="0"/>
                <w:sz w:val="20"/>
              </w:rPr>
            </w:pPr>
            <w:r w:rsidRPr="00E255A1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比重</w:t>
            </w:r>
          </w:p>
        </w:tc>
      </w:tr>
      <w:tr w:rsidR="00B3129C" w:rsidRPr="00E255A1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9C" w:rsidRPr="00B3129C" w:rsidRDefault="00B3129C">
            <w:pPr>
              <w:rPr>
                <w:rFonts w:ascii="標楷體" w:eastAsia="標楷體" w:hAnsi="標楷體"/>
                <w:sz w:val="20"/>
              </w:rPr>
            </w:pPr>
            <w:r w:rsidRPr="00B3129C">
              <w:rPr>
                <w:rFonts w:ascii="標楷體" w:eastAsia="標楷體" w:hAnsi="標楷體" w:hint="eastAsia"/>
                <w:sz w:val="20"/>
              </w:rPr>
              <w:t xml:space="preserve"> 批發及零售業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>982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>66.17%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 xml:space="preserve">                700,009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>28.70%</w:t>
            </w:r>
          </w:p>
        </w:tc>
      </w:tr>
      <w:tr w:rsidR="00B3129C" w:rsidRPr="00E255A1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9C" w:rsidRPr="00B3129C" w:rsidRDefault="00B3129C">
            <w:pPr>
              <w:rPr>
                <w:rFonts w:ascii="標楷體" w:eastAsia="標楷體" w:hAnsi="標楷體"/>
                <w:sz w:val="20"/>
              </w:rPr>
            </w:pPr>
            <w:r w:rsidRPr="00B3129C">
              <w:rPr>
                <w:rFonts w:ascii="標楷體" w:eastAsia="標楷體" w:hAnsi="標楷體" w:hint="eastAsia"/>
                <w:sz w:val="20"/>
              </w:rPr>
              <w:t xml:space="preserve"> 電子零組件製造業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>63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>4.25%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 xml:space="preserve">                344,110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>14.11%</w:t>
            </w:r>
          </w:p>
        </w:tc>
      </w:tr>
      <w:tr w:rsidR="00B3129C" w:rsidRPr="00E255A1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9C" w:rsidRPr="00B3129C" w:rsidRDefault="00B3129C">
            <w:pPr>
              <w:rPr>
                <w:rFonts w:ascii="標楷體" w:eastAsia="標楷體" w:hAnsi="標楷體"/>
                <w:sz w:val="20"/>
              </w:rPr>
            </w:pPr>
            <w:r w:rsidRPr="00B3129C">
              <w:rPr>
                <w:rFonts w:ascii="標楷體" w:eastAsia="標楷體" w:hAnsi="標楷體" w:hint="eastAsia"/>
                <w:sz w:val="20"/>
              </w:rPr>
              <w:t xml:space="preserve"> 銀行業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>0.20%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 xml:space="preserve">                201,441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>8.26%</w:t>
            </w:r>
          </w:p>
        </w:tc>
      </w:tr>
      <w:tr w:rsidR="00B3129C" w:rsidRPr="00E255A1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9C" w:rsidRPr="00B3129C" w:rsidRDefault="00B3129C">
            <w:pPr>
              <w:rPr>
                <w:rFonts w:ascii="標楷體" w:eastAsia="標楷體" w:hAnsi="標楷體"/>
                <w:sz w:val="20"/>
              </w:rPr>
            </w:pPr>
            <w:r w:rsidRPr="00B3129C">
              <w:rPr>
                <w:rFonts w:ascii="標楷體" w:eastAsia="標楷體" w:hAnsi="標楷體" w:hint="eastAsia"/>
                <w:sz w:val="20"/>
              </w:rPr>
              <w:t xml:space="preserve"> 港埠業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>0.07%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 xml:space="preserve">                139,108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>5.70%</w:t>
            </w:r>
          </w:p>
        </w:tc>
      </w:tr>
      <w:tr w:rsidR="00B3129C" w:rsidRPr="00E255A1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9C" w:rsidRPr="00B3129C" w:rsidRDefault="00B3129C">
            <w:pPr>
              <w:rPr>
                <w:rFonts w:ascii="標楷體" w:eastAsia="標楷體" w:hAnsi="標楷體"/>
                <w:sz w:val="20"/>
              </w:rPr>
            </w:pPr>
            <w:r w:rsidRPr="00B3129C">
              <w:rPr>
                <w:rFonts w:ascii="標楷體" w:eastAsia="標楷體" w:hAnsi="標楷體" w:hint="eastAsia"/>
                <w:sz w:val="20"/>
              </w:rPr>
              <w:t xml:space="preserve"> 資訊軟體服務業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>109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>7.35%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 xml:space="preserve">                125,328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>5.14%</w:t>
            </w:r>
          </w:p>
        </w:tc>
      </w:tr>
      <w:tr w:rsidR="00B3129C" w:rsidRPr="00E255A1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9C" w:rsidRPr="00B3129C" w:rsidRDefault="00B3129C">
            <w:pPr>
              <w:rPr>
                <w:rFonts w:ascii="標楷體" w:eastAsia="標楷體" w:hAnsi="標楷體"/>
                <w:sz w:val="20"/>
              </w:rPr>
            </w:pPr>
            <w:r w:rsidRPr="00B3129C">
              <w:rPr>
                <w:rFonts w:ascii="標楷體" w:eastAsia="標楷體" w:hAnsi="標楷體" w:hint="eastAsia"/>
                <w:sz w:val="20"/>
              </w:rPr>
              <w:t xml:space="preserve"> 機械設備製造業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>37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>2.49%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 xml:space="preserve">                116,177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>4.76%</w:t>
            </w:r>
          </w:p>
        </w:tc>
      </w:tr>
      <w:tr w:rsidR="00B3129C" w:rsidRPr="00E255A1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9C" w:rsidRPr="00B3129C" w:rsidRDefault="00B3129C">
            <w:pPr>
              <w:rPr>
                <w:rFonts w:ascii="標楷體" w:eastAsia="標楷體" w:hAnsi="標楷體"/>
                <w:sz w:val="20"/>
              </w:rPr>
            </w:pPr>
            <w:r w:rsidRPr="00B3129C">
              <w:rPr>
                <w:rFonts w:ascii="標楷體" w:eastAsia="標楷體" w:hAnsi="標楷體" w:hint="eastAsia"/>
                <w:sz w:val="20"/>
              </w:rPr>
              <w:t xml:space="preserve"> 研究發展服務業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>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>0.61%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 xml:space="preserve">                112,135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>4.60%</w:t>
            </w:r>
          </w:p>
        </w:tc>
      </w:tr>
      <w:tr w:rsidR="00B3129C" w:rsidRPr="00E255A1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9C" w:rsidRPr="00B3129C" w:rsidRDefault="00B3129C">
            <w:pPr>
              <w:rPr>
                <w:rFonts w:ascii="標楷體" w:eastAsia="標楷體" w:hAnsi="標楷體"/>
                <w:sz w:val="20"/>
              </w:rPr>
            </w:pPr>
            <w:r w:rsidRPr="00B3129C">
              <w:rPr>
                <w:rFonts w:ascii="標楷體" w:eastAsia="標楷體" w:hAnsi="標楷體" w:hint="eastAsia"/>
                <w:sz w:val="20"/>
              </w:rPr>
              <w:t xml:space="preserve"> 電力設備製造業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>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>0.61%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 xml:space="preserve">                111,124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>4.56%</w:t>
            </w:r>
          </w:p>
        </w:tc>
      </w:tr>
      <w:tr w:rsidR="00B3129C" w:rsidRPr="00E255A1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9C" w:rsidRPr="00B3129C" w:rsidRDefault="00B3129C">
            <w:pPr>
              <w:rPr>
                <w:rFonts w:ascii="標楷體" w:eastAsia="標楷體" w:hAnsi="標楷體"/>
                <w:sz w:val="20"/>
              </w:rPr>
            </w:pPr>
            <w:r w:rsidRPr="00B3129C">
              <w:rPr>
                <w:rFonts w:ascii="標楷體" w:eastAsia="標楷體" w:hAnsi="標楷體" w:hint="eastAsia"/>
                <w:sz w:val="20"/>
              </w:rPr>
              <w:t xml:space="preserve"> 電腦、電子產品及光學製品製造業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>35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>2.36%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 xml:space="preserve">                111,062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>4.55%</w:t>
            </w:r>
          </w:p>
        </w:tc>
      </w:tr>
      <w:tr w:rsidR="00B3129C" w:rsidRPr="00E255A1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9C" w:rsidRPr="00B3129C" w:rsidRDefault="00B3129C">
            <w:pPr>
              <w:rPr>
                <w:rFonts w:ascii="標楷體" w:eastAsia="標楷體" w:hAnsi="標楷體"/>
                <w:sz w:val="20"/>
              </w:rPr>
            </w:pPr>
            <w:r w:rsidRPr="00B3129C">
              <w:rPr>
                <w:rFonts w:ascii="標楷體" w:eastAsia="標楷體" w:hAnsi="標楷體" w:hint="eastAsia"/>
                <w:sz w:val="20"/>
              </w:rPr>
              <w:t xml:space="preserve"> 金屬製品製造業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>14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>0.94%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 xml:space="preserve">                107,052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>4.39%</w:t>
            </w:r>
          </w:p>
        </w:tc>
      </w:tr>
      <w:tr w:rsidR="00B3129C" w:rsidRPr="00E255A1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9C" w:rsidRPr="00B3129C" w:rsidRDefault="00B3129C">
            <w:pPr>
              <w:rPr>
                <w:rFonts w:ascii="標楷體" w:eastAsia="標楷體" w:hAnsi="標楷體"/>
                <w:sz w:val="20"/>
              </w:rPr>
            </w:pPr>
            <w:r w:rsidRPr="00B3129C">
              <w:rPr>
                <w:rFonts w:ascii="標楷體" w:eastAsia="標楷體" w:hAnsi="標楷體" w:hint="eastAsia"/>
                <w:sz w:val="20"/>
              </w:rPr>
              <w:t xml:space="preserve"> 住宿服務業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>0.34%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 xml:space="preserve">                104,651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>4.29%</w:t>
            </w:r>
          </w:p>
        </w:tc>
      </w:tr>
      <w:tr w:rsidR="00B3129C" w:rsidRPr="00E255A1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9C" w:rsidRPr="00B3129C" w:rsidRDefault="00B3129C">
            <w:pPr>
              <w:rPr>
                <w:rFonts w:ascii="標楷體" w:eastAsia="標楷體" w:hAnsi="標楷體"/>
                <w:sz w:val="20"/>
              </w:rPr>
            </w:pPr>
            <w:r w:rsidRPr="00B3129C">
              <w:rPr>
                <w:rFonts w:ascii="標楷體" w:eastAsia="標楷體" w:hAnsi="標楷體" w:hint="eastAsia"/>
                <w:sz w:val="20"/>
              </w:rPr>
              <w:t xml:space="preserve"> 化學製品製造業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>0.40%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 xml:space="preserve">                  75,856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>3.11%</w:t>
            </w:r>
          </w:p>
        </w:tc>
      </w:tr>
      <w:tr w:rsidR="00B3129C" w:rsidRPr="00E255A1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9C" w:rsidRPr="00B3129C" w:rsidRDefault="00B3129C">
            <w:pPr>
              <w:rPr>
                <w:rFonts w:ascii="標楷體" w:eastAsia="標楷體" w:hAnsi="標楷體"/>
                <w:sz w:val="20"/>
              </w:rPr>
            </w:pPr>
            <w:r w:rsidRPr="00B3129C">
              <w:rPr>
                <w:rFonts w:ascii="標楷體" w:eastAsia="標楷體" w:hAnsi="標楷體" w:hint="eastAsia"/>
                <w:sz w:val="20"/>
              </w:rPr>
              <w:t xml:space="preserve"> 餐飲業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>70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>4.72%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 xml:space="preserve">                  35,458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>1.45%</w:t>
            </w:r>
          </w:p>
        </w:tc>
      </w:tr>
      <w:tr w:rsidR="00B3129C" w:rsidRPr="00E255A1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9C" w:rsidRPr="00B3129C" w:rsidRDefault="00B3129C">
            <w:pPr>
              <w:rPr>
                <w:rFonts w:ascii="標楷體" w:eastAsia="標楷體" w:hAnsi="標楷體"/>
                <w:sz w:val="20"/>
              </w:rPr>
            </w:pPr>
            <w:r w:rsidRPr="00B3129C">
              <w:rPr>
                <w:rFonts w:ascii="標楷體" w:eastAsia="標楷體" w:hAnsi="標楷體" w:hint="eastAsia"/>
                <w:sz w:val="20"/>
              </w:rPr>
              <w:t xml:space="preserve"> 醫療器材製造業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>0.20%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 xml:space="preserve">                  26,281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>1.08%</w:t>
            </w:r>
          </w:p>
        </w:tc>
      </w:tr>
      <w:tr w:rsidR="00B3129C" w:rsidRPr="00E255A1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9C" w:rsidRPr="00B3129C" w:rsidRDefault="00B3129C">
            <w:pPr>
              <w:rPr>
                <w:rFonts w:ascii="標楷體" w:eastAsia="標楷體" w:hAnsi="標楷體"/>
                <w:sz w:val="20"/>
              </w:rPr>
            </w:pPr>
            <w:r w:rsidRPr="00B3129C">
              <w:rPr>
                <w:rFonts w:ascii="標楷體" w:eastAsia="標楷體" w:hAnsi="標楷體" w:hint="eastAsia"/>
                <w:sz w:val="20"/>
              </w:rPr>
              <w:t xml:space="preserve"> 廢棄物清除、處理及資源回收業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>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>0.61%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 xml:space="preserve">                  21,658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>0.89%</w:t>
            </w:r>
          </w:p>
        </w:tc>
      </w:tr>
      <w:tr w:rsidR="00B3129C" w:rsidRPr="00E255A1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9C" w:rsidRPr="00B3129C" w:rsidRDefault="00B3129C">
            <w:pPr>
              <w:rPr>
                <w:rFonts w:ascii="標楷體" w:eastAsia="標楷體" w:hAnsi="標楷體"/>
                <w:sz w:val="20"/>
              </w:rPr>
            </w:pPr>
            <w:r w:rsidRPr="00B3129C">
              <w:rPr>
                <w:rFonts w:ascii="標楷體" w:eastAsia="標楷體" w:hAnsi="標楷體" w:hint="eastAsia"/>
                <w:sz w:val="20"/>
              </w:rPr>
              <w:t xml:space="preserve"> 紡織業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>0.13%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 xml:space="preserve">                  18,250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>0.75%</w:t>
            </w:r>
          </w:p>
        </w:tc>
      </w:tr>
      <w:tr w:rsidR="00B3129C" w:rsidRPr="00E255A1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9C" w:rsidRPr="00B3129C" w:rsidRDefault="00B3129C">
            <w:pPr>
              <w:rPr>
                <w:rFonts w:ascii="標楷體" w:eastAsia="標楷體" w:hAnsi="標楷體"/>
                <w:sz w:val="20"/>
              </w:rPr>
            </w:pPr>
            <w:r w:rsidRPr="00B3129C">
              <w:rPr>
                <w:rFonts w:ascii="標楷體" w:eastAsia="標楷體" w:hAnsi="標楷體" w:hint="eastAsia"/>
                <w:sz w:val="20"/>
              </w:rPr>
              <w:t xml:space="preserve"> 食品製造業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>0.20%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 xml:space="preserve">                  14,795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>0.61%</w:t>
            </w:r>
          </w:p>
        </w:tc>
      </w:tr>
      <w:tr w:rsidR="00B3129C" w:rsidRPr="00E255A1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9C" w:rsidRPr="00B3129C" w:rsidRDefault="00B3129C">
            <w:pPr>
              <w:rPr>
                <w:rFonts w:ascii="標楷體" w:eastAsia="標楷體" w:hAnsi="標楷體"/>
                <w:sz w:val="20"/>
              </w:rPr>
            </w:pPr>
            <w:r w:rsidRPr="00B3129C">
              <w:rPr>
                <w:rFonts w:ascii="標楷體" w:eastAsia="標楷體" w:hAnsi="標楷體" w:hint="eastAsia"/>
                <w:sz w:val="20"/>
              </w:rPr>
              <w:t xml:space="preserve"> 化學材料製造業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>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>0.47%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 xml:space="preserve">                  13,461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>0.55%</w:t>
            </w:r>
          </w:p>
        </w:tc>
      </w:tr>
      <w:tr w:rsidR="00B3129C" w:rsidRPr="00E255A1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9C" w:rsidRPr="00B3129C" w:rsidRDefault="00B3129C">
            <w:pPr>
              <w:rPr>
                <w:rFonts w:ascii="標楷體" w:eastAsia="標楷體" w:hAnsi="標楷體"/>
                <w:sz w:val="20"/>
              </w:rPr>
            </w:pPr>
            <w:r w:rsidRPr="00B3129C">
              <w:rPr>
                <w:rFonts w:ascii="標楷體" w:eastAsia="標楷體" w:hAnsi="標楷體" w:hint="eastAsia"/>
                <w:sz w:val="20"/>
              </w:rPr>
              <w:t xml:space="preserve"> 汽車及其零件製造業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>0.27%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 xml:space="preserve">                    8,349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>0.34%</w:t>
            </w:r>
          </w:p>
        </w:tc>
      </w:tr>
      <w:tr w:rsidR="00B3129C" w:rsidRPr="00E255A1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9C" w:rsidRPr="00B3129C" w:rsidRDefault="00B3129C">
            <w:pPr>
              <w:rPr>
                <w:rFonts w:ascii="標楷體" w:eastAsia="標楷體" w:hAnsi="標楷體"/>
                <w:sz w:val="20"/>
              </w:rPr>
            </w:pPr>
            <w:r w:rsidRPr="00B3129C">
              <w:rPr>
                <w:rFonts w:ascii="標楷體" w:eastAsia="標楷體" w:hAnsi="標楷體" w:hint="eastAsia"/>
                <w:sz w:val="20"/>
              </w:rPr>
              <w:t xml:space="preserve"> 塑膠製品製造業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>15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>1.01%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 xml:space="preserve">                    7,699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>0.32%</w:t>
            </w:r>
          </w:p>
        </w:tc>
      </w:tr>
      <w:tr w:rsidR="00B3129C" w:rsidRPr="00E255A1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9C" w:rsidRPr="00B3129C" w:rsidRDefault="00B3129C">
            <w:pPr>
              <w:rPr>
                <w:rFonts w:ascii="標楷體" w:eastAsia="標楷體" w:hAnsi="標楷體"/>
                <w:sz w:val="20"/>
              </w:rPr>
            </w:pPr>
            <w:r w:rsidRPr="00B3129C">
              <w:rPr>
                <w:rFonts w:ascii="標楷體" w:eastAsia="標楷體" w:hAnsi="標楷體" w:hint="eastAsia"/>
                <w:sz w:val="20"/>
              </w:rPr>
              <w:t xml:space="preserve"> 其他製造業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>0.13%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 xml:space="preserve">                    5,405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>0.22%</w:t>
            </w:r>
          </w:p>
        </w:tc>
      </w:tr>
      <w:tr w:rsidR="00B3129C" w:rsidRPr="00E255A1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9C" w:rsidRPr="00B3129C" w:rsidRDefault="00B3129C">
            <w:pPr>
              <w:rPr>
                <w:rFonts w:ascii="標楷體" w:eastAsia="標楷體" w:hAnsi="標楷體"/>
                <w:sz w:val="20"/>
              </w:rPr>
            </w:pPr>
            <w:r w:rsidRPr="00B3129C">
              <w:rPr>
                <w:rFonts w:ascii="標楷體" w:eastAsia="標楷體" w:hAnsi="標楷體" w:hint="eastAsia"/>
                <w:sz w:val="20"/>
              </w:rPr>
              <w:t xml:space="preserve"> 產業用機械設備維修及安裝業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>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>0.47%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 xml:space="preserve">                    5,156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>0.21%</w:t>
            </w:r>
          </w:p>
        </w:tc>
      </w:tr>
      <w:tr w:rsidR="00B3129C" w:rsidRPr="00E255A1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9C" w:rsidRPr="00B3129C" w:rsidRDefault="00B3129C">
            <w:pPr>
              <w:rPr>
                <w:rFonts w:ascii="標楷體" w:eastAsia="標楷體" w:hAnsi="標楷體"/>
                <w:sz w:val="20"/>
              </w:rPr>
            </w:pPr>
            <w:r w:rsidRPr="00B3129C">
              <w:rPr>
                <w:rFonts w:ascii="標楷體" w:eastAsia="標楷體" w:hAnsi="標楷體" w:hint="eastAsia"/>
                <w:sz w:val="20"/>
              </w:rPr>
              <w:t xml:space="preserve"> 技術檢測及分析服務業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>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>0.47%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 xml:space="preserve">                    4,984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>0.20%</w:t>
            </w:r>
          </w:p>
        </w:tc>
      </w:tr>
      <w:tr w:rsidR="00B3129C" w:rsidRPr="00E255A1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9C" w:rsidRPr="00B3129C" w:rsidRDefault="00B3129C">
            <w:pPr>
              <w:rPr>
                <w:rFonts w:ascii="標楷體" w:eastAsia="標楷體" w:hAnsi="標楷體"/>
                <w:sz w:val="20"/>
              </w:rPr>
            </w:pPr>
            <w:r w:rsidRPr="00B3129C">
              <w:rPr>
                <w:rFonts w:ascii="標楷體" w:eastAsia="標楷體" w:hAnsi="標楷體" w:hint="eastAsia"/>
                <w:sz w:val="20"/>
              </w:rPr>
              <w:t xml:space="preserve"> 會議服務業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>21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>1.42%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 xml:space="preserve">                    4,896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>0.20%</w:t>
            </w:r>
          </w:p>
        </w:tc>
      </w:tr>
      <w:tr w:rsidR="00B3129C" w:rsidRPr="00E255A1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9C" w:rsidRPr="00B3129C" w:rsidRDefault="00B3129C">
            <w:pPr>
              <w:rPr>
                <w:rFonts w:ascii="標楷體" w:eastAsia="標楷體" w:hAnsi="標楷體"/>
                <w:sz w:val="20"/>
              </w:rPr>
            </w:pPr>
            <w:r w:rsidRPr="00B3129C">
              <w:rPr>
                <w:rFonts w:ascii="標楷體" w:eastAsia="標楷體" w:hAnsi="標楷體" w:hint="eastAsia"/>
                <w:sz w:val="20"/>
              </w:rPr>
              <w:t xml:space="preserve"> 專業設計服務業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>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>0.88%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 xml:space="preserve">                    4,127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>0.17%</w:t>
            </w:r>
          </w:p>
        </w:tc>
      </w:tr>
      <w:tr w:rsidR="00B3129C" w:rsidRPr="00E255A1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9C" w:rsidRPr="00B3129C" w:rsidRDefault="00B3129C">
            <w:pPr>
              <w:rPr>
                <w:rFonts w:ascii="標楷體" w:eastAsia="標楷體" w:hAnsi="標楷體"/>
                <w:sz w:val="20"/>
              </w:rPr>
            </w:pPr>
            <w:r w:rsidRPr="00B3129C">
              <w:rPr>
                <w:rFonts w:ascii="標楷體" w:eastAsia="標楷體" w:hAnsi="標楷體" w:hint="eastAsia"/>
                <w:sz w:val="20"/>
              </w:rPr>
              <w:t xml:space="preserve"> 橡膠製品製造業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>0.13%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 xml:space="preserve">                    4,002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>0.16%</w:t>
            </w:r>
          </w:p>
        </w:tc>
      </w:tr>
      <w:tr w:rsidR="00B3129C" w:rsidRPr="00E255A1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9C" w:rsidRPr="00B3129C" w:rsidRDefault="00B3129C">
            <w:pPr>
              <w:rPr>
                <w:rFonts w:ascii="標楷體" w:eastAsia="標楷體" w:hAnsi="標楷體"/>
                <w:sz w:val="20"/>
              </w:rPr>
            </w:pPr>
            <w:r w:rsidRPr="00B3129C">
              <w:rPr>
                <w:rFonts w:ascii="標楷體" w:eastAsia="標楷體" w:hAnsi="標楷體" w:hint="eastAsia"/>
                <w:sz w:val="20"/>
              </w:rPr>
              <w:t xml:space="preserve"> 未分類其他專業、科學及技術服務業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>0.27%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 xml:space="preserve">                    3,810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>0.16%</w:t>
            </w:r>
          </w:p>
        </w:tc>
      </w:tr>
      <w:tr w:rsidR="00B3129C" w:rsidRPr="00E255A1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9C" w:rsidRPr="00B3129C" w:rsidRDefault="00B3129C">
            <w:pPr>
              <w:rPr>
                <w:rFonts w:ascii="標楷體" w:eastAsia="標楷體" w:hAnsi="標楷體"/>
                <w:sz w:val="20"/>
              </w:rPr>
            </w:pPr>
            <w:r w:rsidRPr="00B3129C">
              <w:rPr>
                <w:rFonts w:ascii="標楷體" w:eastAsia="標楷體" w:hAnsi="標楷體" w:hint="eastAsia"/>
                <w:sz w:val="20"/>
              </w:rPr>
              <w:t xml:space="preserve"> 運輸及倉儲業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>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>1.35%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 xml:space="preserve">                    3,048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>0.12%</w:t>
            </w:r>
          </w:p>
        </w:tc>
      </w:tr>
      <w:tr w:rsidR="00B3129C" w:rsidRPr="00E255A1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9C" w:rsidRPr="00B3129C" w:rsidRDefault="00B3129C">
            <w:pPr>
              <w:rPr>
                <w:rFonts w:ascii="標楷體" w:eastAsia="標楷體" w:hAnsi="標楷體"/>
                <w:sz w:val="20"/>
              </w:rPr>
            </w:pPr>
            <w:r w:rsidRPr="00B3129C">
              <w:rPr>
                <w:rFonts w:ascii="標楷體" w:eastAsia="標楷體" w:hAnsi="標楷體" w:hint="eastAsia"/>
                <w:sz w:val="20"/>
              </w:rPr>
              <w:t xml:space="preserve"> 未分類其他運輸工具及其零件製造業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>0.40%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 xml:space="preserve">                    2,985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>0.12%</w:t>
            </w:r>
          </w:p>
        </w:tc>
      </w:tr>
      <w:tr w:rsidR="00B3129C" w:rsidRPr="00E255A1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9C" w:rsidRPr="00B3129C" w:rsidRDefault="00B3129C">
            <w:pPr>
              <w:rPr>
                <w:rFonts w:ascii="標楷體" w:eastAsia="標楷體" w:hAnsi="標楷體"/>
                <w:sz w:val="20"/>
              </w:rPr>
            </w:pPr>
            <w:r w:rsidRPr="00B3129C">
              <w:rPr>
                <w:rFonts w:ascii="標楷體" w:eastAsia="標楷體" w:hAnsi="標楷體" w:hint="eastAsia"/>
                <w:sz w:val="20"/>
              </w:rPr>
              <w:t xml:space="preserve"> 成衣及服飾品製造業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>0.13%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 xml:space="preserve">                    2,947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>0.12%</w:t>
            </w:r>
          </w:p>
        </w:tc>
      </w:tr>
      <w:tr w:rsidR="00B3129C" w:rsidRPr="00E255A1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9C" w:rsidRPr="00B3129C" w:rsidRDefault="00B3129C">
            <w:pPr>
              <w:rPr>
                <w:rFonts w:ascii="標楷體" w:eastAsia="標楷體" w:hAnsi="標楷體"/>
                <w:sz w:val="20"/>
              </w:rPr>
            </w:pPr>
            <w:r w:rsidRPr="00B3129C">
              <w:rPr>
                <w:rFonts w:ascii="標楷體" w:eastAsia="標楷體" w:hAnsi="標楷體" w:hint="eastAsia"/>
                <w:sz w:val="20"/>
              </w:rPr>
              <w:t xml:space="preserve"> 創業投資業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>0.07%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 xml:space="preserve">                    1,994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>0.08%</w:t>
            </w:r>
          </w:p>
        </w:tc>
      </w:tr>
      <w:tr w:rsidR="00B3129C" w:rsidRPr="00E255A1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9C" w:rsidRPr="00B3129C" w:rsidRDefault="00B3129C">
            <w:pPr>
              <w:rPr>
                <w:rFonts w:ascii="標楷體" w:eastAsia="標楷體" w:hAnsi="標楷體"/>
                <w:sz w:val="20"/>
              </w:rPr>
            </w:pPr>
            <w:r w:rsidRPr="00B3129C">
              <w:rPr>
                <w:rFonts w:ascii="標楷體" w:eastAsia="標楷體" w:hAnsi="標楷體" w:hint="eastAsia"/>
                <w:sz w:val="20"/>
              </w:rPr>
              <w:t xml:space="preserve"> 租賃業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>0.27%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 xml:space="preserve">                    1,162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>0.05%</w:t>
            </w:r>
          </w:p>
        </w:tc>
      </w:tr>
      <w:tr w:rsidR="00B3129C" w:rsidRPr="00E255A1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9C" w:rsidRPr="00B3129C" w:rsidRDefault="00B3129C">
            <w:pPr>
              <w:rPr>
                <w:rFonts w:ascii="標楷體" w:eastAsia="標楷體" w:hAnsi="標楷體"/>
                <w:sz w:val="20"/>
              </w:rPr>
            </w:pPr>
            <w:r w:rsidRPr="00B3129C">
              <w:rPr>
                <w:rFonts w:ascii="標楷體" w:eastAsia="標楷體" w:hAnsi="標楷體" w:hint="eastAsia"/>
                <w:sz w:val="20"/>
              </w:rPr>
              <w:t xml:space="preserve"> 廢污水處理業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>0.34%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 xml:space="preserve">                       385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>0.02%</w:t>
            </w:r>
          </w:p>
        </w:tc>
      </w:tr>
      <w:tr w:rsidR="00B3129C" w:rsidRPr="00E255A1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9C" w:rsidRPr="00B3129C" w:rsidRDefault="00B3129C">
            <w:pPr>
              <w:rPr>
                <w:rFonts w:ascii="標楷體" w:eastAsia="標楷體" w:hAnsi="標楷體"/>
                <w:sz w:val="20"/>
              </w:rPr>
            </w:pPr>
            <w:r w:rsidRPr="00B3129C">
              <w:rPr>
                <w:rFonts w:ascii="標楷體" w:eastAsia="標楷體" w:hAnsi="標楷體" w:hint="eastAsia"/>
                <w:sz w:val="20"/>
              </w:rPr>
              <w:t xml:space="preserve"> 清潔服務業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>0.13%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 xml:space="preserve">                       209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>0.01%</w:t>
            </w:r>
          </w:p>
        </w:tc>
      </w:tr>
      <w:tr w:rsidR="00B3129C" w:rsidRPr="00E255A1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9C" w:rsidRPr="00B3129C" w:rsidRDefault="00B3129C">
            <w:pPr>
              <w:rPr>
                <w:rFonts w:ascii="標楷體" w:eastAsia="標楷體" w:hAnsi="標楷體"/>
                <w:sz w:val="20"/>
              </w:rPr>
            </w:pPr>
            <w:r w:rsidRPr="00B3129C">
              <w:rPr>
                <w:rFonts w:ascii="標楷體" w:eastAsia="標楷體" w:hAnsi="標楷體" w:hint="eastAsia"/>
                <w:sz w:val="20"/>
              </w:rPr>
              <w:t xml:space="preserve"> 家具製造業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>0.07%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 xml:space="preserve">                         40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29C" w:rsidRPr="00B3129C" w:rsidRDefault="00B3129C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 w:hint="eastAsia"/>
                <w:sz w:val="20"/>
              </w:rPr>
              <w:t>0.00%</w:t>
            </w:r>
          </w:p>
        </w:tc>
      </w:tr>
      <w:tr w:rsidR="00A504BB" w:rsidRPr="00E255A1" w:rsidTr="00FE0580">
        <w:trPr>
          <w:trHeight w:val="34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BB" w:rsidRPr="00E255A1" w:rsidRDefault="00A504BB">
            <w:pPr>
              <w:rPr>
                <w:rFonts w:ascii="標楷體" w:eastAsia="標楷體" w:hAnsi="標楷體" w:cs="新細明體"/>
                <w:sz w:val="20"/>
              </w:rPr>
            </w:pPr>
            <w:r w:rsidRPr="00E255A1">
              <w:rPr>
                <w:rFonts w:ascii="標楷體" w:eastAsia="標楷體" w:hAnsi="標楷體" w:hint="eastAsia"/>
                <w:sz w:val="20"/>
              </w:rPr>
              <w:t xml:space="preserve"> 廣告業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BB" w:rsidRPr="00E255A1" w:rsidRDefault="00A504BB" w:rsidP="00695AC3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E255A1">
              <w:rPr>
                <w:rFonts w:eastAsia="標楷體"/>
                <w:sz w:val="20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BB" w:rsidRPr="00B3129C" w:rsidRDefault="00A504BB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B3129C">
              <w:rPr>
                <w:rFonts w:eastAsia="標楷體"/>
                <w:sz w:val="20"/>
              </w:rPr>
              <w:t>0.07%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BB" w:rsidRPr="00E255A1" w:rsidRDefault="00A504BB" w:rsidP="00442B0E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E255A1">
              <w:rPr>
                <w:rFonts w:eastAsia="標楷體"/>
                <w:sz w:val="20"/>
              </w:rPr>
              <w:t>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4BB" w:rsidRPr="00E255A1" w:rsidRDefault="00A504BB" w:rsidP="00B3129C">
            <w:pPr>
              <w:ind w:rightChars="48" w:right="115"/>
              <w:jc w:val="right"/>
              <w:rPr>
                <w:rFonts w:eastAsia="標楷體"/>
                <w:sz w:val="20"/>
              </w:rPr>
            </w:pPr>
            <w:r w:rsidRPr="00E255A1">
              <w:rPr>
                <w:rFonts w:eastAsia="標楷體"/>
                <w:sz w:val="20"/>
              </w:rPr>
              <w:t>0.00%</w:t>
            </w:r>
          </w:p>
        </w:tc>
      </w:tr>
      <w:tr w:rsidR="005C2C59" w:rsidRPr="00E255A1" w:rsidTr="005C2C59">
        <w:trPr>
          <w:trHeight w:val="301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59" w:rsidRPr="00E255A1" w:rsidRDefault="005C2C59">
            <w:pPr>
              <w:rPr>
                <w:rFonts w:ascii="標楷體" w:eastAsia="標楷體" w:hAnsi="標楷體"/>
                <w:b/>
                <w:sz w:val="20"/>
              </w:rPr>
            </w:pPr>
            <w:r w:rsidRPr="00E255A1">
              <w:rPr>
                <w:rFonts w:ascii="標楷體" w:eastAsia="標楷體" w:hAnsi="標楷體" w:hint="eastAsia"/>
                <w:b/>
                <w:sz w:val="20"/>
              </w:rPr>
              <w:t xml:space="preserve"> 小計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59" w:rsidRPr="00E255A1" w:rsidRDefault="00B3129C" w:rsidP="005C2C59">
            <w:pPr>
              <w:ind w:rightChars="48" w:right="115"/>
              <w:jc w:val="right"/>
              <w:rPr>
                <w:rFonts w:eastAsia="Arial Unicode MS"/>
                <w:b/>
                <w:sz w:val="20"/>
              </w:rPr>
            </w:pPr>
            <w:r>
              <w:rPr>
                <w:rFonts w:eastAsia="Arial Unicode MS" w:hint="eastAsia"/>
                <w:b/>
                <w:sz w:val="20"/>
              </w:rPr>
              <w:t>1,484</w:t>
            </w:r>
            <w:r w:rsidR="005C2C59" w:rsidRPr="00E255A1">
              <w:rPr>
                <w:rFonts w:eastAsia="Arial Unicode MS" w:hint="eastAsia"/>
                <w:b/>
                <w:sz w:val="20"/>
              </w:rPr>
              <w:t xml:space="preserve">                     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59" w:rsidRPr="00E255A1" w:rsidRDefault="005C2C59" w:rsidP="005C2C59">
            <w:pPr>
              <w:ind w:rightChars="48" w:right="115"/>
              <w:jc w:val="right"/>
              <w:rPr>
                <w:rFonts w:eastAsia="Arial Unicode MS"/>
                <w:b/>
                <w:sz w:val="20"/>
              </w:rPr>
            </w:pPr>
            <w:r w:rsidRPr="00E255A1">
              <w:rPr>
                <w:rFonts w:eastAsia="Arial Unicode MS" w:hint="eastAsia"/>
                <w:b/>
                <w:sz w:val="20"/>
              </w:rPr>
              <w:t>100.00%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59" w:rsidRPr="00E255A1" w:rsidRDefault="005C2C59" w:rsidP="00B3129C">
            <w:pPr>
              <w:ind w:rightChars="48" w:right="115"/>
              <w:jc w:val="right"/>
              <w:rPr>
                <w:rFonts w:eastAsia="Arial Unicode MS"/>
                <w:b/>
                <w:sz w:val="20"/>
              </w:rPr>
            </w:pPr>
            <w:r w:rsidRPr="00E255A1">
              <w:rPr>
                <w:rFonts w:eastAsia="Arial Unicode MS" w:hint="eastAsia"/>
                <w:b/>
                <w:sz w:val="20"/>
              </w:rPr>
              <w:t xml:space="preserve">            </w:t>
            </w:r>
            <w:r w:rsidR="00442B0E" w:rsidRPr="00E255A1">
              <w:rPr>
                <w:rFonts w:eastAsia="Arial Unicode MS" w:hint="eastAsia"/>
                <w:b/>
                <w:sz w:val="20"/>
              </w:rPr>
              <w:t>2,4</w:t>
            </w:r>
            <w:r w:rsidR="00B3129C">
              <w:rPr>
                <w:rFonts w:eastAsia="Arial Unicode MS" w:hint="eastAsia"/>
                <w:b/>
                <w:sz w:val="20"/>
              </w:rPr>
              <w:t>39</w:t>
            </w:r>
            <w:r w:rsidR="00442B0E" w:rsidRPr="00E255A1">
              <w:rPr>
                <w:rFonts w:eastAsia="Arial Unicode MS" w:hint="eastAsia"/>
                <w:b/>
                <w:sz w:val="20"/>
              </w:rPr>
              <w:t>,</w:t>
            </w:r>
            <w:r w:rsidR="00B3129C">
              <w:rPr>
                <w:rFonts w:eastAsia="Arial Unicode MS" w:hint="eastAsia"/>
                <w:b/>
                <w:sz w:val="20"/>
              </w:rPr>
              <w:t>162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C59" w:rsidRPr="00E255A1" w:rsidRDefault="005C2C59" w:rsidP="005C2C59">
            <w:pPr>
              <w:ind w:rightChars="48" w:right="115"/>
              <w:jc w:val="right"/>
              <w:rPr>
                <w:rFonts w:eastAsia="Arial Unicode MS"/>
                <w:b/>
                <w:sz w:val="20"/>
              </w:rPr>
            </w:pPr>
            <w:r w:rsidRPr="00E255A1">
              <w:rPr>
                <w:rFonts w:eastAsia="Arial Unicode MS" w:hint="eastAsia"/>
                <w:b/>
                <w:sz w:val="20"/>
              </w:rPr>
              <w:t>100.00%</w:t>
            </w:r>
          </w:p>
        </w:tc>
      </w:tr>
    </w:tbl>
    <w:p w:rsidR="00E15544" w:rsidRPr="00E255A1" w:rsidRDefault="004C5877" w:rsidP="002E4EA4">
      <w:pPr>
        <w:pStyle w:val="a3"/>
        <w:spacing w:before="60" w:line="300" w:lineRule="exact"/>
        <w:rPr>
          <w:rFonts w:ascii="Times New Roman" w:hAnsi="Times New Roman"/>
          <w:sz w:val="20"/>
        </w:rPr>
        <w:sectPr w:rsidR="00E15544" w:rsidRPr="00E255A1" w:rsidSect="00720A13">
          <w:footerReference w:type="default" r:id="rId8"/>
          <w:pgSz w:w="11907" w:h="16840"/>
          <w:pgMar w:top="851" w:right="1134" w:bottom="680" w:left="1134" w:header="851" w:footer="992" w:gutter="0"/>
          <w:cols w:space="720"/>
          <w:docGrid w:type="lines" w:linePitch="333"/>
        </w:sectPr>
      </w:pPr>
      <w:proofErr w:type="gramStart"/>
      <w:r w:rsidRPr="00E255A1">
        <w:rPr>
          <w:rFonts w:ascii="Times New Roman" w:hAnsi="Times New Roman"/>
          <w:sz w:val="20"/>
        </w:rPr>
        <w:t>註</w:t>
      </w:r>
      <w:proofErr w:type="gramEnd"/>
      <w:r w:rsidRPr="00E255A1">
        <w:rPr>
          <w:rFonts w:ascii="Times New Roman" w:hAnsi="Times New Roman"/>
          <w:sz w:val="20"/>
        </w:rPr>
        <w:t>：</w:t>
      </w:r>
      <w:r w:rsidRPr="00E255A1">
        <w:rPr>
          <w:rFonts w:ascii="Times New Roman" w:hAnsi="Times New Roman"/>
          <w:sz w:val="20"/>
        </w:rPr>
        <w:t>98</w:t>
      </w:r>
      <w:r w:rsidRPr="00E255A1">
        <w:rPr>
          <w:rFonts w:ascii="Times New Roman" w:hAnsi="Times New Roman"/>
          <w:sz w:val="20"/>
        </w:rPr>
        <w:t>年</w:t>
      </w:r>
      <w:r w:rsidRPr="00E255A1">
        <w:rPr>
          <w:rFonts w:ascii="Times New Roman" w:hAnsi="Times New Roman"/>
          <w:sz w:val="20"/>
        </w:rPr>
        <w:t>6</w:t>
      </w:r>
      <w:r w:rsidRPr="00E255A1">
        <w:rPr>
          <w:rFonts w:ascii="Times New Roman" w:hAnsi="Times New Roman"/>
          <w:sz w:val="20"/>
        </w:rPr>
        <w:t>月</w:t>
      </w:r>
      <w:r w:rsidRPr="00E255A1">
        <w:rPr>
          <w:rFonts w:ascii="Times New Roman" w:hAnsi="Times New Roman"/>
          <w:sz w:val="20"/>
        </w:rPr>
        <w:t>30</w:t>
      </w:r>
      <w:r w:rsidRPr="00E255A1">
        <w:rPr>
          <w:rFonts w:ascii="Times New Roman" w:hAnsi="Times New Roman"/>
          <w:sz w:val="20"/>
        </w:rPr>
        <w:t>日起開放陸資來</w:t>
      </w:r>
      <w:proofErr w:type="gramStart"/>
      <w:r w:rsidRPr="00E255A1">
        <w:rPr>
          <w:rFonts w:ascii="Times New Roman" w:hAnsi="Times New Roman"/>
          <w:sz w:val="20"/>
        </w:rPr>
        <w:t>臺</w:t>
      </w:r>
      <w:proofErr w:type="gramEnd"/>
      <w:r w:rsidRPr="00E255A1">
        <w:rPr>
          <w:rFonts w:ascii="Times New Roman" w:hAnsi="Times New Roman"/>
          <w:sz w:val="20"/>
        </w:rPr>
        <w:t>投資。</w:t>
      </w:r>
    </w:p>
    <w:p w:rsidR="00E15544" w:rsidRPr="00E255A1" w:rsidRDefault="004C5877">
      <w:pPr>
        <w:spacing w:after="188" w:line="560" w:lineRule="exact"/>
        <w:ind w:firstLine="811"/>
        <w:jc w:val="both"/>
        <w:rPr>
          <w:rFonts w:eastAsia="標楷體"/>
          <w:sz w:val="36"/>
        </w:rPr>
      </w:pPr>
      <w:r w:rsidRPr="00E255A1">
        <w:rPr>
          <w:rFonts w:eastAsia="標楷體"/>
          <w:sz w:val="36"/>
        </w:rPr>
        <w:lastRenderedPageBreak/>
        <w:t xml:space="preserve">   </w:t>
      </w:r>
      <w:r w:rsidRPr="00E255A1">
        <w:rPr>
          <w:rFonts w:eastAsia="標楷體"/>
          <w:sz w:val="36"/>
        </w:rPr>
        <w:t>表</w:t>
      </w:r>
      <w:r w:rsidRPr="00E255A1">
        <w:rPr>
          <w:rFonts w:eastAsia="標楷體"/>
          <w:sz w:val="36"/>
        </w:rPr>
        <w:t>3-1</w:t>
      </w:r>
      <w:r w:rsidRPr="00E255A1">
        <w:rPr>
          <w:rFonts w:eastAsia="標楷體"/>
          <w:sz w:val="36"/>
        </w:rPr>
        <w:t xml:space="preserve">　</w:t>
      </w:r>
      <w:r w:rsidR="00166671" w:rsidRPr="00E255A1">
        <w:rPr>
          <w:rFonts w:eastAsia="標楷體" w:hint="eastAsia"/>
          <w:sz w:val="36"/>
          <w:szCs w:val="36"/>
        </w:rPr>
        <w:t>110</w:t>
      </w:r>
      <w:r w:rsidR="00197702" w:rsidRPr="00E255A1">
        <w:rPr>
          <w:rFonts w:eastAsia="標楷體"/>
          <w:sz w:val="36"/>
          <w:szCs w:val="36"/>
        </w:rPr>
        <w:t>年</w:t>
      </w:r>
      <w:r w:rsidR="0042245E">
        <w:rPr>
          <w:rFonts w:eastAsia="標楷體" w:hint="eastAsia"/>
          <w:sz w:val="36"/>
          <w:szCs w:val="36"/>
        </w:rPr>
        <w:t>7</w:t>
      </w:r>
      <w:r w:rsidR="002362D1" w:rsidRPr="00E255A1">
        <w:rPr>
          <w:rFonts w:eastAsia="標楷體"/>
          <w:sz w:val="36"/>
          <w:szCs w:val="36"/>
        </w:rPr>
        <w:t>月</w:t>
      </w:r>
      <w:r w:rsidRPr="00E255A1">
        <w:rPr>
          <w:rFonts w:eastAsia="標楷體"/>
          <w:sz w:val="36"/>
        </w:rPr>
        <w:t>及最近</w:t>
      </w:r>
      <w:r w:rsidRPr="00E255A1">
        <w:rPr>
          <w:rFonts w:eastAsia="標楷體"/>
          <w:sz w:val="36"/>
        </w:rPr>
        <w:t>2</w:t>
      </w:r>
      <w:r w:rsidRPr="00E255A1">
        <w:rPr>
          <w:rFonts w:eastAsia="標楷體"/>
          <w:sz w:val="36"/>
        </w:rPr>
        <w:t>年對外投資概況</w:t>
      </w:r>
    </w:p>
    <w:tbl>
      <w:tblPr>
        <w:tblW w:w="9414" w:type="dxa"/>
        <w:tblInd w:w="5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40"/>
        <w:gridCol w:w="774"/>
        <w:gridCol w:w="480"/>
        <w:gridCol w:w="1200"/>
        <w:gridCol w:w="555"/>
        <w:gridCol w:w="525"/>
        <w:gridCol w:w="480"/>
        <w:gridCol w:w="1200"/>
        <w:gridCol w:w="600"/>
        <w:gridCol w:w="600"/>
        <w:gridCol w:w="480"/>
        <w:gridCol w:w="1080"/>
        <w:gridCol w:w="600"/>
      </w:tblGrid>
      <w:tr w:rsidR="00E15544" w:rsidRPr="00E255A1" w:rsidTr="00E15544">
        <w:trPr>
          <w:cantSplit/>
        </w:trPr>
        <w:tc>
          <w:tcPr>
            <w:tcW w:w="3849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E15544">
            <w:pPr>
              <w:pStyle w:val="a3"/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805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60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單位：千美元</w:t>
            </w:r>
          </w:p>
        </w:tc>
      </w:tr>
      <w:tr w:rsidR="0017073F" w:rsidRPr="00E255A1" w:rsidTr="00E15544">
        <w:trPr>
          <w:cantSplit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073F" w:rsidRPr="00E255A1" w:rsidRDefault="0017073F" w:rsidP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期間</w:t>
            </w:r>
          </w:p>
        </w:tc>
        <w:tc>
          <w:tcPr>
            <w:tcW w:w="3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073F" w:rsidRPr="00E255A1" w:rsidRDefault="005C2C59" w:rsidP="007A06F0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 w:hint="eastAsia"/>
                <w:sz w:val="24"/>
              </w:rPr>
              <w:t>108</w:t>
            </w:r>
            <w:r w:rsidR="0017073F" w:rsidRPr="00E255A1">
              <w:rPr>
                <w:rFonts w:ascii="Times New Roman" w:hAnsi="Times New Roman"/>
                <w:sz w:val="24"/>
              </w:rPr>
              <w:t>年</w:t>
            </w:r>
          </w:p>
        </w:tc>
        <w:tc>
          <w:tcPr>
            <w:tcW w:w="2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073F" w:rsidRPr="00E255A1" w:rsidRDefault="005C2C59" w:rsidP="005C2C59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 w:hint="eastAsia"/>
                <w:sz w:val="24"/>
              </w:rPr>
              <w:t>109</w:t>
            </w:r>
            <w:r w:rsidR="0017073F" w:rsidRPr="00E255A1">
              <w:rPr>
                <w:rFonts w:ascii="Times New Roman" w:hAnsi="Times New Roman"/>
                <w:sz w:val="24"/>
              </w:rPr>
              <w:t>年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073F" w:rsidRPr="00E255A1" w:rsidRDefault="005C2C59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 w:hint="eastAsia"/>
                <w:sz w:val="24"/>
              </w:rPr>
              <w:t>110</w:t>
            </w:r>
            <w:r w:rsidR="0017073F" w:rsidRPr="00E255A1">
              <w:rPr>
                <w:rFonts w:ascii="Times New Roman" w:hAnsi="Times New Roman"/>
                <w:sz w:val="24"/>
              </w:rPr>
              <w:t>年</w:t>
            </w:r>
          </w:p>
        </w:tc>
      </w:tr>
      <w:tr w:rsidR="00E15544" w:rsidRPr="00E255A1" w:rsidTr="00E15544">
        <w:trPr>
          <w:cantSplit/>
          <w:trHeight w:val="70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E15544">
            <w:pPr>
              <w:pStyle w:val="a3"/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件</w:t>
            </w:r>
          </w:p>
          <w:p w:rsidR="00E15544" w:rsidRPr="00E255A1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數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成</w:t>
            </w: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長</w:t>
            </w: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率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金</w:t>
            </w:r>
          </w:p>
          <w:p w:rsidR="00E15544" w:rsidRPr="00E255A1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額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成</w:t>
            </w: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長</w:t>
            </w: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率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件</w:t>
            </w:r>
          </w:p>
          <w:p w:rsidR="00E15544" w:rsidRPr="00E255A1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數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成</w:t>
            </w: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長</w:t>
            </w: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率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金</w:t>
            </w:r>
          </w:p>
          <w:p w:rsidR="00E15544" w:rsidRPr="00E255A1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額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成</w:t>
            </w: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長</w:t>
            </w: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率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件</w:t>
            </w:r>
          </w:p>
          <w:p w:rsidR="00E15544" w:rsidRPr="00E255A1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數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成</w:t>
            </w: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長</w:t>
            </w: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金</w:t>
            </w:r>
          </w:p>
          <w:p w:rsidR="00E15544" w:rsidRPr="00E255A1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額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成</w:t>
            </w: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長</w:t>
            </w: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率</w:t>
            </w:r>
          </w:p>
        </w:tc>
      </w:tr>
      <w:tr w:rsidR="005C2C59" w:rsidRPr="00E255A1" w:rsidTr="00E15544">
        <w:trPr>
          <w:cantSplit/>
          <w:trHeight w:val="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C59" w:rsidRPr="00E255A1" w:rsidRDefault="005C2C59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1</w:t>
            </w:r>
            <w:r w:rsidRPr="00E255A1">
              <w:rPr>
                <w:rFonts w:ascii="Times New Roman" w:hAnsi="Times New Roman"/>
                <w:sz w:val="22"/>
                <w:szCs w:val="22"/>
              </w:rPr>
              <w:t>月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C59" w:rsidRPr="00E255A1" w:rsidRDefault="005C2C59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C59" w:rsidRPr="00E255A1" w:rsidRDefault="005C2C59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C59" w:rsidRPr="00E255A1" w:rsidRDefault="005C2C59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672,207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C59" w:rsidRPr="00E255A1" w:rsidRDefault="005C2C59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C59" w:rsidRPr="00E255A1" w:rsidRDefault="005C2C59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40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C59" w:rsidRPr="00E255A1" w:rsidRDefault="005C2C59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-41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C59" w:rsidRPr="00E255A1" w:rsidRDefault="005C2C59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763,652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C59" w:rsidRPr="00E255A1" w:rsidRDefault="005C2C59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C59" w:rsidRPr="00E255A1" w:rsidRDefault="005F3266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23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C59" w:rsidRPr="00E255A1" w:rsidRDefault="005F3266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C59" w:rsidRPr="00E255A1" w:rsidRDefault="005F3266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377,364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C59" w:rsidRPr="00E255A1" w:rsidRDefault="005F3266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-51</w:t>
            </w:r>
          </w:p>
        </w:tc>
      </w:tr>
      <w:tr w:rsidR="00FD3F9C" w:rsidRPr="00E255A1" w:rsidTr="00E15544">
        <w:trPr>
          <w:cantSplit/>
          <w:trHeight w:val="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F9C" w:rsidRPr="00E255A1" w:rsidRDefault="00FD3F9C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2</w:t>
            </w:r>
            <w:r w:rsidRPr="00E255A1">
              <w:rPr>
                <w:rFonts w:ascii="Times New Roman" w:hAnsi="Times New Roman" w:hint="eastAsia"/>
                <w:sz w:val="22"/>
                <w:szCs w:val="22"/>
              </w:rPr>
              <w:t>月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F9C" w:rsidRPr="00E255A1" w:rsidRDefault="002659AF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36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F9C" w:rsidRPr="00E255A1" w:rsidRDefault="002659AF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24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F9C" w:rsidRPr="00E255A1" w:rsidRDefault="002659AF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810,994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F9C" w:rsidRPr="00E255A1" w:rsidRDefault="002659AF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225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F9C" w:rsidRPr="00E255A1" w:rsidRDefault="002659AF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42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F9C" w:rsidRPr="00E255A1" w:rsidRDefault="002659AF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17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F9C" w:rsidRPr="00E255A1" w:rsidRDefault="002659AF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298,997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F9C" w:rsidRPr="00E255A1" w:rsidRDefault="002659AF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-63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F9C" w:rsidRPr="00E255A1" w:rsidRDefault="002659A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30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F9C" w:rsidRPr="00E255A1" w:rsidRDefault="00ED2055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F9C" w:rsidRPr="00E255A1" w:rsidRDefault="002659A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575,289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3F9C" w:rsidRPr="00E255A1" w:rsidRDefault="00ED2055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92</w:t>
            </w:r>
          </w:p>
        </w:tc>
      </w:tr>
      <w:tr w:rsidR="00832B62" w:rsidRPr="00E255A1" w:rsidTr="00E15544">
        <w:trPr>
          <w:cantSplit/>
          <w:trHeight w:val="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B62" w:rsidRPr="00E255A1" w:rsidRDefault="00832B62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3</w:t>
            </w:r>
            <w:r w:rsidRPr="00E255A1">
              <w:rPr>
                <w:rFonts w:ascii="Times New Roman" w:hAnsi="Times New Roman" w:hint="eastAsia"/>
                <w:sz w:val="22"/>
                <w:szCs w:val="22"/>
              </w:rPr>
              <w:t>月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B62" w:rsidRPr="00E255A1" w:rsidRDefault="00832B62" w:rsidP="005A7F97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44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B62" w:rsidRPr="00E255A1" w:rsidRDefault="00832B62" w:rsidP="005A7F97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-20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B62" w:rsidRPr="00E255A1" w:rsidRDefault="00832B62" w:rsidP="005A7F97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509,162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B62" w:rsidRPr="00E255A1" w:rsidRDefault="00832B62" w:rsidP="005A7F97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B62" w:rsidRPr="00E255A1" w:rsidRDefault="00832B62" w:rsidP="005A7F97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55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B62" w:rsidRPr="00E255A1" w:rsidRDefault="00832B62" w:rsidP="005A7F97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25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B62" w:rsidRPr="00E255A1" w:rsidRDefault="00832B62" w:rsidP="005A7F97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702,058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B62" w:rsidRPr="00E255A1" w:rsidRDefault="00832B62" w:rsidP="005A7F97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38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B62" w:rsidRPr="00E255A1" w:rsidRDefault="00832B6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38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B62" w:rsidRPr="00E255A1" w:rsidRDefault="00832B6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</w:t>
            </w:r>
            <w:r w:rsidR="00BD7264" w:rsidRPr="00E255A1">
              <w:rPr>
                <w:rFonts w:ascii="Times New Roman" w:hAnsi="Times New Roman" w:hint="eastAsia"/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B62" w:rsidRPr="00E255A1" w:rsidRDefault="00832B6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258,692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B62" w:rsidRPr="00E255A1" w:rsidRDefault="00BD7264" w:rsidP="00832B6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-63</w:t>
            </w:r>
          </w:p>
        </w:tc>
      </w:tr>
      <w:tr w:rsidR="00E42C05" w:rsidRPr="00E255A1" w:rsidTr="00E15544">
        <w:trPr>
          <w:cantSplit/>
          <w:trHeight w:val="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C05" w:rsidRPr="00E255A1" w:rsidRDefault="00E42C0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4</w:t>
            </w:r>
            <w:r w:rsidRPr="00E255A1">
              <w:rPr>
                <w:rFonts w:ascii="Times New Roman" w:hAnsi="Times New Roman" w:hint="eastAsia"/>
                <w:sz w:val="22"/>
                <w:szCs w:val="22"/>
              </w:rPr>
              <w:t>月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C05" w:rsidRPr="00E255A1" w:rsidRDefault="00E42C05" w:rsidP="00DC6630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54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C05" w:rsidRPr="00E255A1" w:rsidRDefault="00E42C05" w:rsidP="00DC6630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42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C05" w:rsidRPr="00E255A1" w:rsidRDefault="00E42C05" w:rsidP="00DC6630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335,326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C05" w:rsidRPr="00E255A1" w:rsidRDefault="00E42C05" w:rsidP="00DC6630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-32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C05" w:rsidRPr="00E255A1" w:rsidRDefault="00E42C05" w:rsidP="00DC6630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47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C05" w:rsidRPr="00E255A1" w:rsidRDefault="00E42C05" w:rsidP="00DC6630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-13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C05" w:rsidRPr="00E255A1" w:rsidRDefault="00E42C05" w:rsidP="00DC6630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1,128,392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C05" w:rsidRPr="00E255A1" w:rsidRDefault="00E42C05" w:rsidP="00DC6630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237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C05" w:rsidRPr="00E255A1" w:rsidRDefault="00E42C05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43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C05" w:rsidRPr="00E255A1" w:rsidRDefault="00A9251A" w:rsidP="00A9251A">
            <w:pPr>
              <w:pStyle w:val="a3"/>
              <w:tabs>
                <w:tab w:val="left" w:pos="238"/>
              </w:tabs>
              <w:spacing w:line="400" w:lineRule="exac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ab/>
            </w:r>
            <w:r w:rsidRPr="00E255A1">
              <w:rPr>
                <w:rFonts w:ascii="Times New Roman" w:hAnsi="Times New Roman" w:hint="eastAsia"/>
                <w:sz w:val="22"/>
                <w:szCs w:val="22"/>
              </w:rPr>
              <w:t>-9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C05" w:rsidRPr="00E255A1" w:rsidRDefault="00E42C05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262,597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C05" w:rsidRPr="00E255A1" w:rsidRDefault="00A9251A" w:rsidP="00832B6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-77</w:t>
            </w:r>
          </w:p>
        </w:tc>
      </w:tr>
      <w:tr w:rsidR="00695AC3" w:rsidRPr="00E255A1" w:rsidTr="00E15544">
        <w:trPr>
          <w:cantSplit/>
          <w:trHeight w:val="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AC3" w:rsidRPr="00E255A1" w:rsidRDefault="00695AC3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5</w:t>
            </w:r>
            <w:r w:rsidRPr="00E255A1">
              <w:rPr>
                <w:rFonts w:ascii="Times New Roman" w:hAnsi="Times New Roman" w:hint="eastAsia"/>
                <w:sz w:val="22"/>
                <w:szCs w:val="22"/>
              </w:rPr>
              <w:t>月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AC3" w:rsidRPr="00E255A1" w:rsidRDefault="00695AC3" w:rsidP="0042596F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55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AC3" w:rsidRPr="00E255A1" w:rsidRDefault="00695AC3" w:rsidP="0042596F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/>
                <w:sz w:val="22"/>
                <w:szCs w:val="22"/>
              </w:rPr>
              <w:t>-</w:t>
            </w:r>
            <w:r w:rsidRPr="00E255A1">
              <w:rPr>
                <w:rFonts w:ascii="Times New Roman" w:hint="eastAsia"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AC3" w:rsidRPr="00E255A1" w:rsidRDefault="00695AC3" w:rsidP="0042596F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/>
                <w:sz w:val="22"/>
                <w:szCs w:val="22"/>
              </w:rPr>
              <w:t>680,710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AC3" w:rsidRPr="00E255A1" w:rsidRDefault="00695AC3" w:rsidP="0042596F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-48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AC3" w:rsidRPr="00E255A1" w:rsidRDefault="00695AC3" w:rsidP="0042596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36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AC3" w:rsidRPr="00E255A1" w:rsidRDefault="00695AC3" w:rsidP="0042596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-35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AC3" w:rsidRPr="00E255A1" w:rsidRDefault="00695AC3" w:rsidP="0042596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359,122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AC3" w:rsidRPr="00E255A1" w:rsidRDefault="00695AC3" w:rsidP="0042596F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AC3" w:rsidRPr="00E255A1" w:rsidRDefault="00695AC3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32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AC3" w:rsidRPr="00E255A1" w:rsidRDefault="00695AC3" w:rsidP="00695AC3">
            <w:pPr>
              <w:pStyle w:val="a3"/>
              <w:tabs>
                <w:tab w:val="left" w:pos="238"/>
              </w:tabs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AC3" w:rsidRPr="00E255A1" w:rsidRDefault="00695AC3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228,344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AC3" w:rsidRPr="00E255A1" w:rsidRDefault="00695AC3" w:rsidP="00832B6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-36</w:t>
            </w:r>
          </w:p>
        </w:tc>
      </w:tr>
      <w:tr w:rsidR="00DD27BF" w:rsidRPr="00E255A1" w:rsidTr="00E15544">
        <w:trPr>
          <w:cantSplit/>
          <w:trHeight w:val="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7BF" w:rsidRPr="00902B9D" w:rsidRDefault="00DD27BF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6</w:t>
            </w:r>
            <w:r w:rsidRPr="00902B9D">
              <w:rPr>
                <w:rFonts w:ascii="Times New Roman" w:hAnsi="Times New Roman" w:hint="eastAsia"/>
                <w:sz w:val="22"/>
                <w:szCs w:val="22"/>
              </w:rPr>
              <w:t>月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7BF" w:rsidRPr="00902B9D" w:rsidRDefault="00DD27BF" w:rsidP="00B35B2A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902B9D">
              <w:rPr>
                <w:rFonts w:ascii="Times New Roman" w:hint="eastAsia"/>
                <w:sz w:val="22"/>
                <w:szCs w:val="22"/>
              </w:rPr>
              <w:t>56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7BF" w:rsidRPr="00902B9D" w:rsidRDefault="00DD27BF" w:rsidP="00B35B2A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902B9D">
              <w:rPr>
                <w:rFonts w:ascii="Times New Roman" w:hint="eastAsia"/>
                <w:sz w:val="22"/>
                <w:szCs w:val="22"/>
              </w:rPr>
              <w:t>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7BF" w:rsidRPr="00902B9D" w:rsidRDefault="00DD27BF" w:rsidP="00B35B2A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902B9D">
              <w:rPr>
                <w:rFonts w:ascii="Times New Roman" w:hint="eastAsia"/>
                <w:sz w:val="22"/>
                <w:szCs w:val="22"/>
              </w:rPr>
              <w:t>559,519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7BF" w:rsidRPr="00902B9D" w:rsidRDefault="00DD27BF" w:rsidP="00B35B2A">
            <w:pPr>
              <w:pStyle w:val="a3"/>
              <w:spacing w:line="400" w:lineRule="exact"/>
              <w:jc w:val="right"/>
              <w:rPr>
                <w:rFonts w:ascii="Times New Roman"/>
                <w:sz w:val="22"/>
                <w:szCs w:val="22"/>
              </w:rPr>
            </w:pPr>
            <w:r w:rsidRPr="00902B9D">
              <w:rPr>
                <w:rFonts w:ascii="Times New Roman" w:hint="eastAsia"/>
                <w:sz w:val="22"/>
                <w:szCs w:val="22"/>
              </w:rPr>
              <w:t>-69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7BF" w:rsidRPr="00902B9D" w:rsidRDefault="00DD27BF" w:rsidP="00B35B2A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46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7BF" w:rsidRPr="00902B9D" w:rsidRDefault="00DD27BF" w:rsidP="00B35B2A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-18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7BF" w:rsidRPr="00902B9D" w:rsidRDefault="00DD27BF" w:rsidP="00B35B2A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1,654,046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7BF" w:rsidRPr="00902B9D" w:rsidRDefault="00DD27BF" w:rsidP="00B35B2A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196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7BF" w:rsidRPr="00902B9D" w:rsidRDefault="00910A9E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34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7BF" w:rsidRPr="00902B9D" w:rsidRDefault="00910A9E" w:rsidP="00695AC3">
            <w:pPr>
              <w:pStyle w:val="a3"/>
              <w:tabs>
                <w:tab w:val="left" w:pos="238"/>
              </w:tabs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-26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7BF" w:rsidRPr="00902B9D" w:rsidRDefault="00910A9E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2,700,060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7BF" w:rsidRPr="00902B9D" w:rsidRDefault="00910A9E" w:rsidP="00902B9D">
            <w:pPr>
              <w:pStyle w:val="a3"/>
              <w:tabs>
                <w:tab w:val="left" w:pos="315"/>
              </w:tabs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/>
                <w:sz w:val="22"/>
                <w:szCs w:val="22"/>
              </w:rPr>
              <w:tab/>
            </w:r>
            <w:r w:rsidRPr="00902B9D">
              <w:rPr>
                <w:rFonts w:ascii="Times New Roman" w:hAnsi="Times New Roman" w:hint="eastAsia"/>
                <w:sz w:val="22"/>
                <w:szCs w:val="22"/>
              </w:rPr>
              <w:t>63</w:t>
            </w:r>
          </w:p>
        </w:tc>
      </w:tr>
      <w:tr w:rsidR="0042245E" w:rsidRPr="00E255A1" w:rsidTr="00E15544">
        <w:trPr>
          <w:cantSplit/>
          <w:trHeight w:val="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245E" w:rsidRPr="00902B9D" w:rsidRDefault="0042245E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7</w:t>
            </w:r>
            <w:r w:rsidRPr="00902B9D">
              <w:rPr>
                <w:rFonts w:ascii="Times New Roman" w:hAnsi="Times New Roman" w:hint="eastAsia"/>
                <w:sz w:val="22"/>
                <w:szCs w:val="22"/>
              </w:rPr>
              <w:t>月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245E" w:rsidRPr="00902B9D" w:rsidRDefault="0042245E" w:rsidP="0042245E">
            <w:pPr>
              <w:pStyle w:val="a3"/>
              <w:spacing w:line="400" w:lineRule="exact"/>
              <w:jc w:val="right"/>
              <w:rPr>
                <w:rFonts w:ascii="Times New Roman"/>
                <w:color w:val="0D0D0D"/>
                <w:sz w:val="22"/>
                <w:szCs w:val="22"/>
              </w:rPr>
            </w:pPr>
            <w:r w:rsidRPr="00902B9D">
              <w:rPr>
                <w:rFonts w:ascii="Times New Roman" w:hAnsi="Times New Roman"/>
                <w:color w:val="0D0D0D"/>
                <w:sz w:val="22"/>
                <w:szCs w:val="22"/>
              </w:rPr>
              <w:t>58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245E" w:rsidRPr="00902B9D" w:rsidRDefault="0042245E" w:rsidP="0042245E">
            <w:pPr>
              <w:pStyle w:val="a3"/>
              <w:spacing w:line="400" w:lineRule="exact"/>
              <w:jc w:val="right"/>
              <w:rPr>
                <w:rFonts w:ascii="Times New Roman"/>
                <w:color w:val="0D0D0D"/>
                <w:sz w:val="22"/>
                <w:szCs w:val="22"/>
              </w:rPr>
            </w:pPr>
            <w:r w:rsidRPr="00902B9D">
              <w:rPr>
                <w:rFonts w:ascii="Times New Roman" w:hAnsi="Times New Roman"/>
                <w:color w:val="0D0D0D"/>
                <w:sz w:val="22"/>
                <w:szCs w:val="22"/>
              </w:rPr>
              <w:t>-9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245E" w:rsidRPr="00902B9D" w:rsidRDefault="0042245E" w:rsidP="0042245E">
            <w:pPr>
              <w:pStyle w:val="a3"/>
              <w:spacing w:line="400" w:lineRule="exact"/>
              <w:jc w:val="right"/>
              <w:rPr>
                <w:rFonts w:ascii="Times New Roman"/>
                <w:color w:val="0D0D0D"/>
                <w:sz w:val="22"/>
                <w:szCs w:val="22"/>
              </w:rPr>
            </w:pPr>
            <w:r w:rsidRPr="00902B9D">
              <w:rPr>
                <w:rFonts w:ascii="Times New Roman" w:hAnsi="Times New Roman"/>
                <w:color w:val="0D0D0D"/>
                <w:sz w:val="22"/>
                <w:szCs w:val="22"/>
              </w:rPr>
              <w:t>527,559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245E" w:rsidRPr="00902B9D" w:rsidRDefault="0042245E" w:rsidP="0042245E">
            <w:pPr>
              <w:pStyle w:val="a3"/>
              <w:spacing w:line="400" w:lineRule="exact"/>
              <w:jc w:val="right"/>
              <w:rPr>
                <w:rFonts w:ascii="Times New Roman"/>
                <w:color w:val="0D0D0D"/>
                <w:sz w:val="22"/>
                <w:szCs w:val="22"/>
              </w:rPr>
            </w:pPr>
            <w:r w:rsidRPr="00902B9D">
              <w:rPr>
                <w:rFonts w:ascii="Times New Roman" w:hAnsi="Times New Roman"/>
                <w:color w:val="0D0D0D"/>
                <w:sz w:val="22"/>
                <w:szCs w:val="22"/>
              </w:rPr>
              <w:t>-70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245E" w:rsidRPr="00902B9D" w:rsidRDefault="0042245E" w:rsidP="0042245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color w:val="0D0D0D"/>
                <w:sz w:val="22"/>
                <w:szCs w:val="22"/>
              </w:rPr>
              <w:t>53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245E" w:rsidRPr="00902B9D" w:rsidRDefault="0042245E" w:rsidP="0042245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color w:val="0D0D0D"/>
                <w:sz w:val="22"/>
                <w:szCs w:val="22"/>
              </w:rPr>
              <w:t>-9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245E" w:rsidRPr="00902B9D" w:rsidRDefault="0042245E" w:rsidP="0042245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color w:val="0D0D0D"/>
                <w:sz w:val="22"/>
                <w:szCs w:val="22"/>
              </w:rPr>
              <w:t>796,732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245E" w:rsidRPr="00902B9D" w:rsidRDefault="0042245E" w:rsidP="0042245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color w:val="0D0D0D"/>
                <w:sz w:val="22"/>
                <w:szCs w:val="22"/>
              </w:rPr>
              <w:t>51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245E" w:rsidRPr="00902B9D" w:rsidRDefault="0042245E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26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245E" w:rsidRPr="00902B9D" w:rsidRDefault="00902B9D" w:rsidP="00695AC3">
            <w:pPr>
              <w:pStyle w:val="a3"/>
              <w:tabs>
                <w:tab w:val="left" w:pos="238"/>
              </w:tabs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-50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245E" w:rsidRPr="00902B9D" w:rsidRDefault="0042245E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3,205,289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245E" w:rsidRPr="00902B9D" w:rsidRDefault="00902B9D" w:rsidP="00902B9D">
            <w:pPr>
              <w:pStyle w:val="a3"/>
              <w:tabs>
                <w:tab w:val="left" w:pos="315"/>
              </w:tabs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302</w:t>
            </w:r>
          </w:p>
        </w:tc>
      </w:tr>
      <w:tr w:rsidR="0042245E" w:rsidRPr="00E255A1" w:rsidTr="00E15544">
        <w:trPr>
          <w:cantSplit/>
          <w:trHeight w:val="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245E" w:rsidRPr="00E255A1" w:rsidRDefault="0042245E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1-7</w:t>
            </w:r>
            <w:r w:rsidRPr="00E255A1">
              <w:rPr>
                <w:rFonts w:ascii="Times New Roman" w:hAnsi="Times New Roman" w:hint="eastAsia"/>
                <w:sz w:val="22"/>
                <w:szCs w:val="22"/>
              </w:rPr>
              <w:t>月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245E" w:rsidRPr="0053569D" w:rsidRDefault="0042245E" w:rsidP="0042245E">
            <w:pPr>
              <w:pStyle w:val="a3"/>
              <w:spacing w:line="400" w:lineRule="exact"/>
              <w:jc w:val="right"/>
              <w:rPr>
                <w:rFonts w:ascii="Times New Roman"/>
                <w:color w:val="0D0D0D"/>
                <w:sz w:val="22"/>
                <w:szCs w:val="22"/>
              </w:rPr>
            </w:pPr>
            <w:r w:rsidRPr="0053569D">
              <w:rPr>
                <w:rFonts w:ascii="Times New Roman" w:hAnsi="Times New Roman"/>
                <w:color w:val="0D0D0D"/>
                <w:sz w:val="22"/>
                <w:szCs w:val="22"/>
              </w:rPr>
              <w:t>371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245E" w:rsidRPr="0053569D" w:rsidRDefault="0042245E" w:rsidP="0042245E">
            <w:pPr>
              <w:pStyle w:val="a3"/>
              <w:spacing w:line="400" w:lineRule="exact"/>
              <w:jc w:val="right"/>
              <w:rPr>
                <w:rFonts w:ascii="Times New Roman"/>
                <w:color w:val="0D0D0D"/>
                <w:sz w:val="22"/>
                <w:szCs w:val="22"/>
              </w:rPr>
            </w:pPr>
            <w:r w:rsidRPr="0053569D">
              <w:rPr>
                <w:rFonts w:ascii="Times New Roman" w:hAnsi="Times New Roman"/>
                <w:color w:val="0D0D0D"/>
                <w:sz w:val="22"/>
                <w:szCs w:val="22"/>
              </w:rPr>
              <w:t>11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245E" w:rsidRPr="0053569D" w:rsidRDefault="0042245E" w:rsidP="0042245E">
            <w:pPr>
              <w:pStyle w:val="a3"/>
              <w:spacing w:line="400" w:lineRule="exact"/>
              <w:jc w:val="right"/>
              <w:rPr>
                <w:rFonts w:ascii="Times New Roman"/>
                <w:color w:val="0D0D0D"/>
                <w:sz w:val="22"/>
                <w:szCs w:val="22"/>
              </w:rPr>
            </w:pPr>
            <w:r w:rsidRPr="0053569D">
              <w:rPr>
                <w:rFonts w:ascii="Times New Roman" w:hAnsi="Times New Roman"/>
                <w:color w:val="0D0D0D"/>
                <w:sz w:val="22"/>
                <w:szCs w:val="22"/>
              </w:rPr>
              <w:t>4,095,478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245E" w:rsidRPr="0053569D" w:rsidRDefault="0042245E" w:rsidP="0042245E">
            <w:pPr>
              <w:pStyle w:val="a3"/>
              <w:spacing w:line="400" w:lineRule="exact"/>
              <w:jc w:val="right"/>
              <w:rPr>
                <w:rFonts w:ascii="Times New Roman"/>
                <w:color w:val="0D0D0D"/>
                <w:sz w:val="22"/>
                <w:szCs w:val="22"/>
              </w:rPr>
            </w:pPr>
            <w:r w:rsidRPr="0053569D">
              <w:rPr>
                <w:rFonts w:ascii="Times New Roman" w:hAnsi="Times New Roman"/>
                <w:color w:val="0D0D0D"/>
                <w:sz w:val="22"/>
                <w:szCs w:val="22"/>
              </w:rPr>
              <w:t>-38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245E" w:rsidRPr="0053569D" w:rsidRDefault="0042245E" w:rsidP="0042245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53569D">
              <w:rPr>
                <w:rFonts w:ascii="Times New Roman" w:hAnsi="Times New Roman" w:hint="eastAsia"/>
                <w:color w:val="0D0D0D"/>
                <w:sz w:val="22"/>
                <w:szCs w:val="22"/>
              </w:rPr>
              <w:t>319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245E" w:rsidRPr="0053569D" w:rsidRDefault="0042245E" w:rsidP="0042245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53569D">
              <w:rPr>
                <w:rFonts w:ascii="Times New Roman" w:hAnsi="Times New Roman" w:hint="eastAsia"/>
                <w:color w:val="0D0D0D"/>
                <w:sz w:val="22"/>
                <w:szCs w:val="22"/>
              </w:rPr>
              <w:t>-14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245E" w:rsidRPr="0053569D" w:rsidRDefault="0042245E" w:rsidP="0042245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53569D">
              <w:rPr>
                <w:rFonts w:ascii="Times New Roman" w:hAnsi="Times New Roman" w:hint="eastAsia"/>
                <w:color w:val="0D0D0D"/>
                <w:sz w:val="22"/>
                <w:szCs w:val="22"/>
              </w:rPr>
              <w:t>5,702,998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245E" w:rsidRPr="0053569D" w:rsidRDefault="0042245E" w:rsidP="0042245E">
            <w:pPr>
              <w:pStyle w:val="a3"/>
              <w:spacing w:line="400" w:lineRule="exac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53569D">
              <w:rPr>
                <w:rFonts w:ascii="Times New Roman" w:hAnsi="Times New Roman" w:hint="eastAsia"/>
                <w:color w:val="0D0D0D"/>
                <w:sz w:val="22"/>
                <w:szCs w:val="22"/>
              </w:rPr>
              <w:t>39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245E" w:rsidRPr="00E255A1" w:rsidRDefault="0042245E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226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245E" w:rsidRPr="00E255A1" w:rsidRDefault="0042245E" w:rsidP="0042245E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</w:t>
            </w:r>
            <w:r>
              <w:rPr>
                <w:rFonts w:ascii="Times New Roman" w:hAnsi="Times New Roman" w:hint="eastAsia"/>
                <w:sz w:val="22"/>
                <w:szCs w:val="22"/>
              </w:rPr>
              <w:t>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245E" w:rsidRPr="00E255A1" w:rsidRDefault="0042245E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7,607,636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245E" w:rsidRPr="00E255A1" w:rsidRDefault="0042245E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33.4</w:t>
            </w:r>
          </w:p>
        </w:tc>
      </w:tr>
      <w:tr w:rsidR="005C2C59" w:rsidRPr="00E255A1" w:rsidTr="007A06F0">
        <w:trPr>
          <w:trHeight w:val="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C59" w:rsidRPr="00E255A1" w:rsidRDefault="005C2C59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1-12</w:t>
            </w:r>
            <w:r w:rsidRPr="00E255A1">
              <w:rPr>
                <w:rFonts w:ascii="Times New Roman" w:hAnsi="Times New Roman"/>
                <w:sz w:val="22"/>
                <w:szCs w:val="22"/>
              </w:rPr>
              <w:t>月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C59" w:rsidRPr="00E255A1" w:rsidRDefault="005C2C59" w:rsidP="005C2C59">
            <w:pPr>
              <w:pStyle w:val="a3"/>
              <w:tabs>
                <w:tab w:val="left" w:pos="470"/>
              </w:tabs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670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C59" w:rsidRPr="00E255A1" w:rsidRDefault="005C2C59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C59" w:rsidRPr="00E255A1" w:rsidRDefault="005C2C59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6,851,155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C59" w:rsidRPr="00E255A1" w:rsidRDefault="005C2C59" w:rsidP="005C2C59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-52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C59" w:rsidRPr="00E255A1" w:rsidRDefault="005C2C59" w:rsidP="005C2C59">
            <w:pPr>
              <w:pStyle w:val="a3"/>
              <w:tabs>
                <w:tab w:val="left" w:pos="470"/>
              </w:tabs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516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C59" w:rsidRPr="00E255A1" w:rsidRDefault="005C2C59" w:rsidP="005C2C59">
            <w:pPr>
              <w:pStyle w:val="a3"/>
              <w:spacing w:line="400" w:lineRule="exact"/>
              <w:ind w:right="11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-23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C59" w:rsidRPr="00E255A1" w:rsidRDefault="005C2C59" w:rsidP="007A06F0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11,805,105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C59" w:rsidRPr="00E255A1" w:rsidRDefault="005C2C59" w:rsidP="007A06F0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C59" w:rsidRPr="00E255A1" w:rsidRDefault="00ED2055" w:rsidP="005C2C59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C59" w:rsidRPr="00E255A1" w:rsidRDefault="00ED2055" w:rsidP="005C2C59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C59" w:rsidRPr="00E255A1" w:rsidRDefault="00ED2055" w:rsidP="005C2C59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C59" w:rsidRPr="00E255A1" w:rsidRDefault="00ED2055" w:rsidP="007A06F0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</w:t>
            </w:r>
          </w:p>
        </w:tc>
      </w:tr>
    </w:tbl>
    <w:p w:rsidR="00E15544" w:rsidRPr="00E255A1" w:rsidRDefault="004C5877">
      <w:pPr>
        <w:pStyle w:val="a3"/>
        <w:spacing w:line="400" w:lineRule="exact"/>
        <w:ind w:firstLine="480"/>
      </w:pPr>
      <w:proofErr w:type="gramStart"/>
      <w:r w:rsidRPr="00E255A1">
        <w:rPr>
          <w:rFonts w:ascii="Times New Roman" w:hAnsi="Times New Roman"/>
          <w:sz w:val="24"/>
        </w:rPr>
        <w:t>註</w:t>
      </w:r>
      <w:proofErr w:type="gramEnd"/>
      <w:r w:rsidRPr="00E255A1">
        <w:rPr>
          <w:rFonts w:ascii="Times New Roman" w:hAnsi="Times New Roman"/>
          <w:sz w:val="24"/>
        </w:rPr>
        <w:t>：成長率係與上年度同期比較。</w:t>
      </w:r>
    </w:p>
    <w:p w:rsidR="00E15544" w:rsidRPr="00E255A1" w:rsidRDefault="004C5877">
      <w:pPr>
        <w:pageBreakBefore/>
        <w:jc w:val="center"/>
      </w:pPr>
      <w:r w:rsidRPr="00E255A1">
        <w:rPr>
          <w:rFonts w:eastAsia="標楷體"/>
          <w:sz w:val="36"/>
          <w:szCs w:val="36"/>
        </w:rPr>
        <w:lastRenderedPageBreak/>
        <w:t>表</w:t>
      </w:r>
      <w:r w:rsidRPr="00E255A1">
        <w:rPr>
          <w:rFonts w:eastAsia="標楷體"/>
          <w:sz w:val="36"/>
          <w:szCs w:val="36"/>
        </w:rPr>
        <w:t>3-2</w:t>
      </w:r>
      <w:r w:rsidRPr="00E255A1">
        <w:rPr>
          <w:rFonts w:eastAsia="標楷體"/>
          <w:sz w:val="36"/>
          <w:szCs w:val="36"/>
        </w:rPr>
        <w:t xml:space="preserve">　</w:t>
      </w:r>
      <w:r w:rsidR="005F3266" w:rsidRPr="00E255A1">
        <w:rPr>
          <w:rFonts w:eastAsia="標楷體" w:hint="eastAsia"/>
          <w:sz w:val="36"/>
          <w:szCs w:val="36"/>
        </w:rPr>
        <w:t>110</w:t>
      </w:r>
      <w:r w:rsidR="00197702" w:rsidRPr="00E255A1">
        <w:rPr>
          <w:rFonts w:eastAsia="標楷體"/>
          <w:sz w:val="36"/>
          <w:szCs w:val="36"/>
        </w:rPr>
        <w:t>年</w:t>
      </w:r>
      <w:r w:rsidR="005F3266" w:rsidRPr="00E255A1">
        <w:rPr>
          <w:rFonts w:eastAsia="標楷體" w:hint="eastAsia"/>
          <w:sz w:val="36"/>
          <w:szCs w:val="36"/>
        </w:rPr>
        <w:t>1</w:t>
      </w:r>
      <w:r w:rsidR="0042245E">
        <w:rPr>
          <w:rFonts w:eastAsia="標楷體" w:hint="eastAsia"/>
          <w:sz w:val="36"/>
          <w:szCs w:val="36"/>
        </w:rPr>
        <w:t>-7</w:t>
      </w:r>
      <w:r w:rsidR="00B77FCA" w:rsidRPr="00E255A1">
        <w:rPr>
          <w:rFonts w:eastAsia="標楷體"/>
          <w:sz w:val="36"/>
          <w:szCs w:val="36"/>
        </w:rPr>
        <w:t>月</w:t>
      </w:r>
      <w:r w:rsidRPr="00E255A1">
        <w:rPr>
          <w:rFonts w:eastAsia="標楷體"/>
          <w:sz w:val="36"/>
          <w:szCs w:val="36"/>
        </w:rPr>
        <w:t>對外投資前五大地區統計表</w:t>
      </w:r>
    </w:p>
    <w:p w:rsidR="00E15544" w:rsidRPr="00E255A1" w:rsidRDefault="004C5877">
      <w:pPr>
        <w:ind w:firstLine="6840"/>
      </w:pPr>
      <w:r w:rsidRPr="00E255A1">
        <w:rPr>
          <w:rFonts w:eastAsia="標楷體"/>
        </w:rPr>
        <w:t xml:space="preserve">　</w:t>
      </w:r>
      <w:r w:rsidRPr="00E255A1">
        <w:rPr>
          <w:rFonts w:eastAsia="標楷體"/>
          <w:sz w:val="22"/>
          <w:szCs w:val="22"/>
        </w:rPr>
        <w:t>單位：千美元；％</w:t>
      </w:r>
    </w:p>
    <w:tbl>
      <w:tblPr>
        <w:tblW w:w="804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01"/>
        <w:gridCol w:w="846"/>
        <w:gridCol w:w="1362"/>
        <w:gridCol w:w="1464"/>
        <w:gridCol w:w="1554"/>
        <w:gridCol w:w="1320"/>
      </w:tblGrid>
      <w:tr w:rsidR="00E15544" w:rsidRPr="00E255A1" w:rsidTr="00F15949">
        <w:trPr>
          <w:cantSplit/>
          <w:jc w:val="center"/>
        </w:trPr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地區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件數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金額</w:t>
            </w:r>
          </w:p>
          <w:p w:rsidR="00E15544" w:rsidRPr="00E255A1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（比重）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去年同期</w:t>
            </w:r>
          </w:p>
          <w:p w:rsidR="00E15544" w:rsidRPr="00E255A1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金額</w:t>
            </w:r>
          </w:p>
        </w:tc>
        <w:tc>
          <w:tcPr>
            <w:tcW w:w="2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與去年同期比較</w:t>
            </w:r>
          </w:p>
        </w:tc>
      </w:tr>
      <w:tr w:rsidR="00E15544" w:rsidRPr="00E255A1" w:rsidTr="00F15949">
        <w:trPr>
          <w:cantSplit/>
          <w:jc w:val="center"/>
        </w:trPr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E15544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E15544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E15544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E15544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金額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成長率</w:t>
            </w:r>
          </w:p>
        </w:tc>
      </w:tr>
      <w:tr w:rsidR="00CE0E10" w:rsidRPr="00E255A1" w:rsidTr="00F15949">
        <w:trPr>
          <w:cantSplit/>
          <w:trHeight w:val="660"/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0E10" w:rsidRPr="00E255A1" w:rsidRDefault="00CE0E10" w:rsidP="00910A9E">
            <w:pPr>
              <w:pStyle w:val="a3"/>
              <w:spacing w:line="360" w:lineRule="exac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新加坡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0E10" w:rsidRPr="008C3142" w:rsidRDefault="00CE0E10" w:rsidP="008C314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C3142">
              <w:rPr>
                <w:rFonts w:ascii="Times New Roman" w:hAnsi="Times New Roman"/>
                <w:sz w:val="22"/>
                <w:szCs w:val="22"/>
              </w:rPr>
              <w:t xml:space="preserve">5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142" w:rsidRPr="008C3142" w:rsidRDefault="00CE0E10" w:rsidP="008C314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C3142">
              <w:rPr>
                <w:rFonts w:ascii="Times New Roman" w:hAnsi="Times New Roman"/>
                <w:sz w:val="22"/>
                <w:szCs w:val="22"/>
              </w:rPr>
              <w:t>3,661,353</w:t>
            </w:r>
          </w:p>
          <w:p w:rsidR="00CE0E10" w:rsidRPr="008C3142" w:rsidRDefault="008C3142" w:rsidP="008C314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C3142">
              <w:rPr>
                <w:rFonts w:ascii="Times New Roman" w:hAnsi="Times New Roman" w:hint="eastAsia"/>
                <w:sz w:val="22"/>
                <w:szCs w:val="22"/>
              </w:rPr>
              <w:t>(48.13)</w:t>
            </w:r>
            <w:r w:rsidR="00CE0E10" w:rsidRPr="008C314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0E10" w:rsidRPr="008C3142" w:rsidRDefault="00CE0E10" w:rsidP="008C314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C3142">
              <w:rPr>
                <w:rFonts w:ascii="Times New Roman" w:hAnsi="Times New Roman"/>
                <w:sz w:val="22"/>
                <w:szCs w:val="22"/>
              </w:rPr>
              <w:t xml:space="preserve">587,517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0E10" w:rsidRPr="008C3142" w:rsidRDefault="00CE0E10" w:rsidP="008C314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C3142">
              <w:rPr>
                <w:rFonts w:ascii="Times New Roman" w:hAnsi="Times New Roman"/>
                <w:sz w:val="22"/>
                <w:szCs w:val="22"/>
              </w:rPr>
              <w:t xml:space="preserve">3,073,836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0E10" w:rsidRPr="008C3142" w:rsidRDefault="00CE0E10" w:rsidP="008C314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C3142">
              <w:rPr>
                <w:rFonts w:ascii="Times New Roman" w:hAnsi="Times New Roman"/>
                <w:sz w:val="22"/>
                <w:szCs w:val="22"/>
              </w:rPr>
              <w:t>523.19</w:t>
            </w:r>
          </w:p>
        </w:tc>
      </w:tr>
      <w:tr w:rsidR="00CE0E10" w:rsidRPr="00E255A1" w:rsidTr="00F15949">
        <w:trPr>
          <w:cantSplit/>
          <w:trHeight w:val="698"/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0E10" w:rsidRPr="00E255A1" w:rsidRDefault="00CE0E10" w:rsidP="00910A9E">
            <w:pPr>
              <w:pStyle w:val="a3"/>
              <w:spacing w:line="360" w:lineRule="exac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越南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0E10" w:rsidRPr="008C3142" w:rsidRDefault="00CE0E10" w:rsidP="008C314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C3142">
              <w:rPr>
                <w:rFonts w:ascii="Times New Roman" w:hAnsi="Times New Roman"/>
                <w:sz w:val="22"/>
                <w:szCs w:val="22"/>
              </w:rPr>
              <w:t xml:space="preserve">23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142" w:rsidRPr="008C3142" w:rsidRDefault="00CE0E10" w:rsidP="008C314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C3142">
              <w:rPr>
                <w:rFonts w:ascii="Times New Roman" w:hAnsi="Times New Roman"/>
                <w:sz w:val="22"/>
                <w:szCs w:val="22"/>
              </w:rPr>
              <w:t>759,606</w:t>
            </w:r>
          </w:p>
          <w:p w:rsidR="00CE0E10" w:rsidRPr="008C3142" w:rsidRDefault="008C3142" w:rsidP="008C314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C3142">
              <w:rPr>
                <w:rFonts w:ascii="Times New Roman" w:hAnsi="Times New Roman" w:hint="eastAsia"/>
                <w:sz w:val="22"/>
                <w:szCs w:val="22"/>
              </w:rPr>
              <w:t>(9.98)</w:t>
            </w:r>
            <w:r w:rsidR="00CE0E10" w:rsidRPr="008C314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0E10" w:rsidRPr="008C3142" w:rsidRDefault="00CE0E10" w:rsidP="008C314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C3142">
              <w:rPr>
                <w:rFonts w:ascii="Times New Roman" w:hAnsi="Times New Roman"/>
                <w:sz w:val="22"/>
                <w:szCs w:val="22"/>
              </w:rPr>
              <w:t xml:space="preserve">511,643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0E10" w:rsidRPr="008C3142" w:rsidRDefault="00CE0E10" w:rsidP="008C314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C3142">
              <w:rPr>
                <w:rFonts w:ascii="Times New Roman" w:hAnsi="Times New Roman"/>
                <w:sz w:val="22"/>
                <w:szCs w:val="22"/>
              </w:rPr>
              <w:t xml:space="preserve">247,963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0E10" w:rsidRPr="008C3142" w:rsidRDefault="00CE0E10" w:rsidP="008C314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C3142">
              <w:rPr>
                <w:rFonts w:ascii="Times New Roman" w:hAnsi="Times New Roman"/>
                <w:sz w:val="22"/>
                <w:szCs w:val="22"/>
              </w:rPr>
              <w:t>48.46</w:t>
            </w:r>
          </w:p>
        </w:tc>
      </w:tr>
      <w:tr w:rsidR="00CE0E10" w:rsidRPr="00E255A1" w:rsidTr="00F15949">
        <w:trPr>
          <w:cantSplit/>
          <w:trHeight w:val="708"/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0E10" w:rsidRPr="00E255A1" w:rsidRDefault="00CE0E10" w:rsidP="00910A9E">
            <w:pPr>
              <w:pStyle w:val="a3"/>
              <w:spacing w:line="360" w:lineRule="exact"/>
              <w:rPr>
                <w:rFonts w:ascii="Times New Roman" w:hAnsi="Times New Roman"/>
                <w:sz w:val="22"/>
                <w:szCs w:val="22"/>
              </w:rPr>
            </w:pPr>
            <w:r w:rsidRPr="00CE0E10">
              <w:rPr>
                <w:rFonts w:ascii="Times New Roman" w:hAnsi="Times New Roman" w:hint="eastAsia"/>
                <w:sz w:val="22"/>
                <w:szCs w:val="22"/>
              </w:rPr>
              <w:t>加勒比海英國屬地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0E10" w:rsidRPr="008C3142" w:rsidRDefault="00CE0E10" w:rsidP="008C314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C3142">
              <w:rPr>
                <w:rFonts w:ascii="Times New Roman" w:hAnsi="Times New Roman"/>
                <w:sz w:val="22"/>
                <w:szCs w:val="22"/>
              </w:rPr>
              <w:t xml:space="preserve">37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142" w:rsidRPr="008C3142" w:rsidRDefault="00CE0E10" w:rsidP="008C314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C3142">
              <w:rPr>
                <w:rFonts w:ascii="Times New Roman" w:hAnsi="Times New Roman"/>
                <w:sz w:val="22"/>
                <w:szCs w:val="22"/>
              </w:rPr>
              <w:t>611,871</w:t>
            </w:r>
          </w:p>
          <w:p w:rsidR="00CE0E10" w:rsidRPr="008C3142" w:rsidRDefault="008C3142" w:rsidP="008C314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C3142">
              <w:rPr>
                <w:rFonts w:ascii="Times New Roman" w:hAnsi="Times New Roman" w:hint="eastAsia"/>
                <w:sz w:val="22"/>
                <w:szCs w:val="22"/>
              </w:rPr>
              <w:t>(8.04)</w:t>
            </w:r>
            <w:r w:rsidR="00CE0E10" w:rsidRPr="008C314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0E10" w:rsidRPr="008C3142" w:rsidRDefault="00CE0E10" w:rsidP="008C314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C3142">
              <w:rPr>
                <w:rFonts w:ascii="Times New Roman" w:hAnsi="Times New Roman"/>
                <w:sz w:val="22"/>
                <w:szCs w:val="22"/>
              </w:rPr>
              <w:t xml:space="preserve">584,680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0E10" w:rsidRPr="008C3142" w:rsidRDefault="00CE0E10" w:rsidP="008C314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C3142">
              <w:rPr>
                <w:rFonts w:ascii="Times New Roman" w:hAnsi="Times New Roman"/>
                <w:sz w:val="22"/>
                <w:szCs w:val="22"/>
              </w:rPr>
              <w:t xml:space="preserve">27,191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0E10" w:rsidRPr="008C3142" w:rsidRDefault="00CE0E10" w:rsidP="008C314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C3142">
              <w:rPr>
                <w:rFonts w:ascii="Times New Roman" w:hAnsi="Times New Roman"/>
                <w:sz w:val="22"/>
                <w:szCs w:val="22"/>
              </w:rPr>
              <w:t>4.65</w:t>
            </w:r>
          </w:p>
        </w:tc>
      </w:tr>
      <w:tr w:rsidR="00CE0E10" w:rsidRPr="00E255A1" w:rsidTr="00F15949">
        <w:trPr>
          <w:cantSplit/>
          <w:trHeight w:val="691"/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0E10" w:rsidRPr="00E255A1" w:rsidRDefault="00CE0E10" w:rsidP="00CE0E10">
            <w:pPr>
              <w:pStyle w:val="a3"/>
              <w:spacing w:line="360" w:lineRule="exac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百慕達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0E10" w:rsidRPr="008C3142" w:rsidRDefault="00CE0E10" w:rsidP="008C314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C3142">
              <w:rPr>
                <w:rFonts w:ascii="Times New Roman" w:hAnsi="Times New Roman"/>
                <w:sz w:val="22"/>
                <w:szCs w:val="22"/>
              </w:rPr>
              <w:t xml:space="preserve">0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142" w:rsidRPr="008C3142" w:rsidRDefault="00CE0E10" w:rsidP="008C314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C3142">
              <w:rPr>
                <w:rFonts w:ascii="Times New Roman" w:hAnsi="Times New Roman"/>
                <w:sz w:val="22"/>
                <w:szCs w:val="22"/>
              </w:rPr>
              <w:t>545,000</w:t>
            </w:r>
          </w:p>
          <w:p w:rsidR="00CE0E10" w:rsidRPr="008C3142" w:rsidRDefault="008C3142" w:rsidP="008C314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C3142">
              <w:rPr>
                <w:rFonts w:ascii="Times New Roman" w:hAnsi="Times New Roman" w:hint="eastAsia"/>
                <w:sz w:val="22"/>
                <w:szCs w:val="22"/>
              </w:rPr>
              <w:t>(7.16)</w:t>
            </w:r>
            <w:r w:rsidR="00CE0E10" w:rsidRPr="008C314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0E10" w:rsidRPr="008C3142" w:rsidRDefault="00CE0E10" w:rsidP="008C314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C3142">
              <w:rPr>
                <w:rFonts w:ascii="Times New Roman" w:hAnsi="Times New Roman"/>
                <w:sz w:val="22"/>
                <w:szCs w:val="22"/>
              </w:rPr>
              <w:t xml:space="preserve">37,000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0E10" w:rsidRPr="008C3142" w:rsidRDefault="00CE0E10" w:rsidP="008C314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C3142">
              <w:rPr>
                <w:rFonts w:ascii="Times New Roman" w:hAnsi="Times New Roman"/>
                <w:sz w:val="22"/>
                <w:szCs w:val="22"/>
              </w:rPr>
              <w:t xml:space="preserve">508,000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0E10" w:rsidRPr="008C3142" w:rsidRDefault="00CE0E10" w:rsidP="008C314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C3142">
              <w:rPr>
                <w:rFonts w:ascii="Times New Roman" w:hAnsi="Times New Roman"/>
                <w:sz w:val="22"/>
                <w:szCs w:val="22"/>
              </w:rPr>
              <w:t>1372.97</w:t>
            </w:r>
          </w:p>
        </w:tc>
      </w:tr>
      <w:tr w:rsidR="00CE0E10" w:rsidRPr="00E255A1" w:rsidTr="00F15949">
        <w:trPr>
          <w:cantSplit/>
          <w:trHeight w:val="700"/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0E10" w:rsidRPr="00E255A1" w:rsidRDefault="00CE0E10" w:rsidP="00CE0E10">
            <w:pPr>
              <w:pStyle w:val="a3"/>
              <w:spacing w:line="360" w:lineRule="exac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韓國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0E10" w:rsidRPr="008C3142" w:rsidRDefault="00CE0E10" w:rsidP="008C314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C3142">
              <w:rPr>
                <w:rFonts w:ascii="Times New Roman" w:hAnsi="Times New Roman"/>
                <w:sz w:val="22"/>
                <w:szCs w:val="22"/>
              </w:rPr>
              <w:t xml:space="preserve">1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142" w:rsidRPr="008C3142" w:rsidRDefault="00CE0E10" w:rsidP="008C314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C3142">
              <w:rPr>
                <w:rFonts w:ascii="Times New Roman" w:hAnsi="Times New Roman"/>
                <w:sz w:val="22"/>
                <w:szCs w:val="22"/>
              </w:rPr>
              <w:t>422,077</w:t>
            </w:r>
          </w:p>
          <w:p w:rsidR="00CE0E10" w:rsidRPr="008C3142" w:rsidRDefault="008C3142" w:rsidP="008C314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C3142">
              <w:rPr>
                <w:rFonts w:ascii="Times New Roman" w:hAnsi="Times New Roman"/>
                <w:sz w:val="22"/>
                <w:szCs w:val="22"/>
              </w:rPr>
              <w:t>(5.55)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0E10" w:rsidRPr="008C3142" w:rsidRDefault="00CE0E10" w:rsidP="008C314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C3142">
              <w:rPr>
                <w:rFonts w:ascii="Times New Roman" w:hAnsi="Times New Roman"/>
                <w:sz w:val="22"/>
                <w:szCs w:val="22"/>
              </w:rPr>
              <w:t xml:space="preserve">8,393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0E10" w:rsidRPr="008C3142" w:rsidRDefault="00CE0E10" w:rsidP="008C314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C3142">
              <w:rPr>
                <w:rFonts w:ascii="Times New Roman" w:hAnsi="Times New Roman"/>
                <w:sz w:val="22"/>
                <w:szCs w:val="22"/>
              </w:rPr>
              <w:t xml:space="preserve">413,684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0E10" w:rsidRPr="008C3142" w:rsidRDefault="00CE0E10" w:rsidP="008C3142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C3142">
              <w:rPr>
                <w:rFonts w:ascii="Times New Roman" w:hAnsi="Times New Roman"/>
                <w:sz w:val="22"/>
                <w:szCs w:val="22"/>
              </w:rPr>
              <w:t>4928.82</w:t>
            </w:r>
          </w:p>
        </w:tc>
      </w:tr>
    </w:tbl>
    <w:p w:rsidR="00E15544" w:rsidRPr="00E255A1" w:rsidRDefault="00E15544">
      <w:pPr>
        <w:jc w:val="center"/>
        <w:rPr>
          <w:rFonts w:eastAsia="標楷體"/>
          <w:sz w:val="36"/>
          <w:szCs w:val="36"/>
        </w:rPr>
      </w:pPr>
    </w:p>
    <w:p w:rsidR="00126D7E" w:rsidRPr="00E255A1" w:rsidRDefault="00126D7E" w:rsidP="00F1720F">
      <w:pPr>
        <w:rPr>
          <w:rFonts w:eastAsia="標楷體"/>
          <w:sz w:val="36"/>
          <w:szCs w:val="36"/>
        </w:rPr>
      </w:pPr>
    </w:p>
    <w:p w:rsidR="00E15544" w:rsidRPr="00E255A1" w:rsidRDefault="004C5877">
      <w:pPr>
        <w:jc w:val="center"/>
        <w:rPr>
          <w:rFonts w:eastAsia="標楷體"/>
          <w:sz w:val="36"/>
          <w:szCs w:val="36"/>
        </w:rPr>
      </w:pPr>
      <w:r w:rsidRPr="00E255A1">
        <w:rPr>
          <w:rFonts w:eastAsia="標楷體"/>
          <w:sz w:val="36"/>
          <w:szCs w:val="36"/>
        </w:rPr>
        <w:t>表</w:t>
      </w:r>
      <w:r w:rsidRPr="00E255A1">
        <w:rPr>
          <w:rFonts w:eastAsia="標楷體"/>
          <w:sz w:val="36"/>
          <w:szCs w:val="36"/>
        </w:rPr>
        <w:t>3-3</w:t>
      </w:r>
      <w:r w:rsidRPr="00E255A1">
        <w:rPr>
          <w:rFonts w:eastAsia="標楷體"/>
          <w:sz w:val="36"/>
          <w:szCs w:val="36"/>
        </w:rPr>
        <w:t xml:space="preserve">　</w:t>
      </w:r>
      <w:r w:rsidR="008A4603" w:rsidRPr="00E255A1">
        <w:rPr>
          <w:rFonts w:eastAsia="標楷體" w:hint="eastAsia"/>
          <w:sz w:val="36"/>
          <w:szCs w:val="36"/>
        </w:rPr>
        <w:t>110</w:t>
      </w:r>
      <w:r w:rsidR="00197702" w:rsidRPr="00E255A1">
        <w:rPr>
          <w:rFonts w:eastAsia="標楷體"/>
          <w:sz w:val="36"/>
          <w:szCs w:val="36"/>
        </w:rPr>
        <w:t>年</w:t>
      </w:r>
      <w:r w:rsidR="008A4603" w:rsidRPr="00E255A1">
        <w:rPr>
          <w:rFonts w:eastAsia="標楷體" w:hint="eastAsia"/>
          <w:sz w:val="36"/>
          <w:szCs w:val="36"/>
        </w:rPr>
        <w:t>1</w:t>
      </w:r>
      <w:r w:rsidR="006927AA" w:rsidRPr="00E255A1">
        <w:rPr>
          <w:rFonts w:eastAsia="標楷體" w:hint="eastAsia"/>
          <w:sz w:val="36"/>
          <w:szCs w:val="36"/>
        </w:rPr>
        <w:t>-</w:t>
      </w:r>
      <w:r w:rsidR="00B77FCA">
        <w:rPr>
          <w:rFonts w:eastAsia="標楷體"/>
          <w:sz w:val="36"/>
          <w:szCs w:val="36"/>
        </w:rPr>
        <w:t>7</w:t>
      </w:r>
      <w:r w:rsidR="00B77FCA" w:rsidRPr="00E255A1">
        <w:rPr>
          <w:rFonts w:eastAsia="標楷體"/>
          <w:sz w:val="36"/>
          <w:szCs w:val="36"/>
        </w:rPr>
        <w:t>月</w:t>
      </w:r>
      <w:r w:rsidRPr="00E255A1">
        <w:rPr>
          <w:rFonts w:eastAsia="標楷體"/>
          <w:sz w:val="36"/>
          <w:szCs w:val="36"/>
        </w:rPr>
        <w:t>對外投資前五大業別統計表</w:t>
      </w:r>
    </w:p>
    <w:p w:rsidR="00CB5608" w:rsidRPr="00E255A1" w:rsidRDefault="004C5877" w:rsidP="00CB5608">
      <w:pPr>
        <w:ind w:firstLine="6840"/>
        <w:rPr>
          <w:rFonts w:eastAsia="標楷體"/>
          <w:sz w:val="22"/>
          <w:szCs w:val="22"/>
        </w:rPr>
      </w:pPr>
      <w:r w:rsidRPr="00E255A1">
        <w:rPr>
          <w:rFonts w:eastAsia="標楷體"/>
        </w:rPr>
        <w:t xml:space="preserve">　</w:t>
      </w:r>
      <w:r w:rsidRPr="00E255A1">
        <w:rPr>
          <w:rFonts w:eastAsia="標楷體"/>
          <w:sz w:val="22"/>
          <w:szCs w:val="22"/>
        </w:rPr>
        <w:t>單位：千美元；％</w:t>
      </w:r>
    </w:p>
    <w:tbl>
      <w:tblPr>
        <w:tblW w:w="806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09"/>
        <w:gridCol w:w="992"/>
        <w:gridCol w:w="1276"/>
        <w:gridCol w:w="1411"/>
        <w:gridCol w:w="1554"/>
        <w:gridCol w:w="1320"/>
      </w:tblGrid>
      <w:tr w:rsidR="00E15544" w:rsidRPr="00E255A1" w:rsidTr="00F15949">
        <w:trPr>
          <w:cantSplit/>
          <w:jc w:val="center"/>
        </w:trPr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行業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4C5877">
            <w:pPr>
              <w:pStyle w:val="a3"/>
              <w:spacing w:line="360" w:lineRule="exact"/>
              <w:jc w:val="center"/>
            </w:pPr>
            <w:r w:rsidRPr="00E255A1">
              <w:rPr>
                <w:rFonts w:ascii="Times New Roman" w:hAnsi="Times New Roman"/>
                <w:sz w:val="22"/>
                <w:szCs w:val="22"/>
              </w:rPr>
              <w:t>件數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金額</w:t>
            </w:r>
          </w:p>
          <w:p w:rsidR="00E15544" w:rsidRPr="00E255A1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（比重）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去年同期</w:t>
            </w:r>
          </w:p>
          <w:p w:rsidR="00E15544" w:rsidRPr="00E255A1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金額</w:t>
            </w:r>
          </w:p>
        </w:tc>
        <w:tc>
          <w:tcPr>
            <w:tcW w:w="2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與去年同期比較</w:t>
            </w:r>
          </w:p>
        </w:tc>
      </w:tr>
      <w:tr w:rsidR="00E15544" w:rsidRPr="00E255A1" w:rsidTr="00F15949">
        <w:trPr>
          <w:cantSplit/>
          <w:jc w:val="center"/>
        </w:trPr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E15544">
            <w:pPr>
              <w:pStyle w:val="a3"/>
              <w:spacing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E15544">
            <w:pPr>
              <w:pStyle w:val="a3"/>
              <w:spacing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E15544">
            <w:pPr>
              <w:pStyle w:val="a3"/>
              <w:spacing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E15544">
            <w:pPr>
              <w:pStyle w:val="a3"/>
              <w:spacing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金額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成長率</w:t>
            </w:r>
          </w:p>
        </w:tc>
      </w:tr>
      <w:tr w:rsidR="008C3142" w:rsidRPr="00E255A1" w:rsidTr="004E60C4">
        <w:trPr>
          <w:cantSplit/>
          <w:trHeight w:val="622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142" w:rsidRPr="00E255A1" w:rsidRDefault="008C3142" w:rsidP="00910A9E">
            <w:pPr>
              <w:pStyle w:val="a3"/>
              <w:spacing w:line="360" w:lineRule="exac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金融及保險業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142" w:rsidRPr="00B77FCA" w:rsidRDefault="008C3142" w:rsidP="00B77FCA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7FCA">
              <w:rPr>
                <w:rFonts w:ascii="Times New Roman" w:hAnsi="Times New Roman"/>
                <w:sz w:val="22"/>
                <w:szCs w:val="22"/>
              </w:rPr>
              <w:t xml:space="preserve">59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FCA" w:rsidRPr="00B77FCA" w:rsidRDefault="008C3142" w:rsidP="00B77FCA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7FCA">
              <w:rPr>
                <w:rFonts w:ascii="Times New Roman" w:hAnsi="Times New Roman"/>
                <w:sz w:val="22"/>
                <w:szCs w:val="22"/>
              </w:rPr>
              <w:t>3,598,108</w:t>
            </w:r>
          </w:p>
          <w:p w:rsidR="008C3142" w:rsidRPr="00B77FCA" w:rsidRDefault="00B77FCA" w:rsidP="00B77FCA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7FCA">
              <w:rPr>
                <w:rFonts w:ascii="Times New Roman" w:hAnsi="Times New Roman"/>
                <w:sz w:val="22"/>
                <w:szCs w:val="22"/>
              </w:rPr>
              <w:t>(47.30)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142" w:rsidRPr="00B77FCA" w:rsidRDefault="008C3142" w:rsidP="00B77FCA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7FCA">
              <w:rPr>
                <w:rFonts w:ascii="Times New Roman" w:hAnsi="Times New Roman"/>
                <w:sz w:val="22"/>
                <w:szCs w:val="22"/>
              </w:rPr>
              <w:t xml:space="preserve">3,357,481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142" w:rsidRPr="00B77FCA" w:rsidRDefault="008C3142" w:rsidP="00B77FCA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7FCA">
              <w:rPr>
                <w:rFonts w:ascii="Times New Roman" w:hAnsi="Times New Roman"/>
                <w:sz w:val="22"/>
                <w:szCs w:val="22"/>
              </w:rPr>
              <w:t xml:space="preserve">240,628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142" w:rsidRPr="00B77FCA" w:rsidRDefault="008C3142" w:rsidP="00B77FCA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7FCA">
              <w:rPr>
                <w:rFonts w:ascii="Times New Roman" w:hAnsi="Times New Roman"/>
                <w:sz w:val="22"/>
                <w:szCs w:val="22"/>
              </w:rPr>
              <w:t>7.17</w:t>
            </w:r>
          </w:p>
        </w:tc>
      </w:tr>
      <w:tr w:rsidR="008C3142" w:rsidRPr="00E255A1" w:rsidTr="00F15949">
        <w:trPr>
          <w:cantSplit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142" w:rsidRPr="00E255A1" w:rsidRDefault="008C3142" w:rsidP="008C3142">
            <w:pPr>
              <w:pStyle w:val="a3"/>
              <w:spacing w:line="360" w:lineRule="exac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批發及零售業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142" w:rsidRPr="00B77FCA" w:rsidRDefault="008C3142" w:rsidP="00B77FCA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7FCA">
              <w:rPr>
                <w:rFonts w:ascii="Times New Roman" w:hAnsi="Times New Roman"/>
                <w:sz w:val="22"/>
                <w:szCs w:val="22"/>
              </w:rPr>
              <w:t xml:space="preserve">55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FCA" w:rsidRPr="00B77FCA" w:rsidRDefault="008C3142" w:rsidP="00B77FCA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7FCA">
              <w:rPr>
                <w:rFonts w:ascii="Times New Roman" w:hAnsi="Times New Roman"/>
                <w:sz w:val="22"/>
                <w:szCs w:val="22"/>
              </w:rPr>
              <w:t>2,721,672</w:t>
            </w:r>
          </w:p>
          <w:p w:rsidR="008C3142" w:rsidRPr="00B77FCA" w:rsidRDefault="00B77FCA" w:rsidP="00B77FCA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7FCA">
              <w:rPr>
                <w:rFonts w:ascii="Times New Roman" w:hAnsi="Times New Roman"/>
                <w:sz w:val="22"/>
                <w:szCs w:val="22"/>
              </w:rPr>
              <w:t>(</w:t>
            </w:r>
            <w:r w:rsidRPr="00B77FCA">
              <w:rPr>
                <w:rFonts w:ascii="Times New Roman" w:hAnsi="Times New Roman" w:hint="eastAsia"/>
                <w:sz w:val="22"/>
                <w:szCs w:val="22"/>
              </w:rPr>
              <w:t>35.78)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142" w:rsidRPr="00B77FCA" w:rsidRDefault="008C3142" w:rsidP="00B77FCA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7FCA">
              <w:rPr>
                <w:rFonts w:ascii="Times New Roman" w:hAnsi="Times New Roman"/>
                <w:sz w:val="22"/>
                <w:szCs w:val="22"/>
              </w:rPr>
              <w:t xml:space="preserve">593,051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142" w:rsidRPr="00B77FCA" w:rsidRDefault="008C3142" w:rsidP="00B77FCA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7FCA">
              <w:rPr>
                <w:rFonts w:ascii="Times New Roman" w:hAnsi="Times New Roman"/>
                <w:sz w:val="22"/>
                <w:szCs w:val="22"/>
              </w:rPr>
              <w:t xml:space="preserve">2,128,621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142" w:rsidRPr="00B77FCA" w:rsidRDefault="008C3142" w:rsidP="00B77FCA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7FCA">
              <w:rPr>
                <w:rFonts w:ascii="Times New Roman" w:hAnsi="Times New Roman"/>
                <w:sz w:val="22"/>
                <w:szCs w:val="22"/>
              </w:rPr>
              <w:t>358.93</w:t>
            </w:r>
          </w:p>
        </w:tc>
      </w:tr>
      <w:tr w:rsidR="008C3142" w:rsidRPr="00E255A1" w:rsidTr="004E60C4">
        <w:trPr>
          <w:cantSplit/>
          <w:trHeight w:val="624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142" w:rsidRPr="00E255A1" w:rsidRDefault="008C3142" w:rsidP="008C3142">
            <w:pPr>
              <w:pStyle w:val="a3"/>
              <w:spacing w:line="360" w:lineRule="exac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電子零組件製造業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142" w:rsidRPr="00B77FCA" w:rsidRDefault="008C3142" w:rsidP="00B77FCA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7FCA">
              <w:rPr>
                <w:rFonts w:ascii="Times New Roman" w:hAnsi="Times New Roman"/>
                <w:sz w:val="22"/>
                <w:szCs w:val="22"/>
              </w:rPr>
              <w:t xml:space="preserve">10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FCA" w:rsidRPr="00B77FCA" w:rsidRDefault="008C3142" w:rsidP="00B77FCA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7FCA">
              <w:rPr>
                <w:rFonts w:ascii="Times New Roman" w:hAnsi="Times New Roman"/>
                <w:sz w:val="22"/>
                <w:szCs w:val="22"/>
              </w:rPr>
              <w:t>328,658</w:t>
            </w:r>
          </w:p>
          <w:p w:rsidR="008C3142" w:rsidRPr="00B77FCA" w:rsidRDefault="00B77FCA" w:rsidP="00B77FCA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7FCA">
              <w:rPr>
                <w:rFonts w:ascii="Times New Roman" w:hAnsi="Times New Roman"/>
                <w:sz w:val="22"/>
                <w:szCs w:val="22"/>
              </w:rPr>
              <w:t>(4.32)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142" w:rsidRPr="00B77FCA" w:rsidRDefault="008C3142" w:rsidP="00B77FCA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7FCA">
              <w:rPr>
                <w:rFonts w:ascii="Times New Roman" w:hAnsi="Times New Roman"/>
                <w:sz w:val="22"/>
                <w:szCs w:val="22"/>
              </w:rPr>
              <w:t xml:space="preserve">89,714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142" w:rsidRPr="00B77FCA" w:rsidRDefault="008C3142" w:rsidP="00B77FCA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7FCA">
              <w:rPr>
                <w:rFonts w:ascii="Times New Roman" w:hAnsi="Times New Roman"/>
                <w:sz w:val="22"/>
                <w:szCs w:val="22"/>
              </w:rPr>
              <w:t xml:space="preserve">238,944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142" w:rsidRPr="00B77FCA" w:rsidRDefault="008C3142" w:rsidP="00B77FCA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7FCA">
              <w:rPr>
                <w:rFonts w:ascii="Times New Roman" w:hAnsi="Times New Roman"/>
                <w:sz w:val="22"/>
                <w:szCs w:val="22"/>
              </w:rPr>
              <w:t>266.34</w:t>
            </w:r>
          </w:p>
        </w:tc>
      </w:tr>
      <w:tr w:rsidR="008C3142" w:rsidRPr="00E255A1" w:rsidTr="004E60C4">
        <w:trPr>
          <w:cantSplit/>
          <w:trHeight w:val="802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142" w:rsidRPr="00E255A1" w:rsidRDefault="008C3142" w:rsidP="00910A9E">
            <w:pPr>
              <w:pStyle w:val="a3"/>
              <w:spacing w:line="360" w:lineRule="exac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電腦、電子產品及光學製品製造業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142" w:rsidRPr="00B77FCA" w:rsidRDefault="008C3142" w:rsidP="00B77FCA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7FCA">
              <w:rPr>
                <w:rFonts w:ascii="Times New Roman" w:hAnsi="Times New Roman"/>
                <w:sz w:val="22"/>
                <w:szCs w:val="22"/>
              </w:rPr>
              <w:t xml:space="preserve">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FCA" w:rsidRPr="00B77FCA" w:rsidRDefault="008C3142" w:rsidP="00B77FCA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7FCA">
              <w:rPr>
                <w:rFonts w:ascii="Times New Roman" w:hAnsi="Times New Roman"/>
                <w:sz w:val="22"/>
                <w:szCs w:val="22"/>
              </w:rPr>
              <w:t>268,329</w:t>
            </w:r>
          </w:p>
          <w:p w:rsidR="008C3142" w:rsidRPr="00B77FCA" w:rsidRDefault="00B77FCA" w:rsidP="00B77FCA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7FCA">
              <w:rPr>
                <w:rFonts w:ascii="Times New Roman" w:hAnsi="Times New Roman"/>
                <w:sz w:val="22"/>
                <w:szCs w:val="22"/>
              </w:rPr>
              <w:t>(3.53)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142" w:rsidRPr="00B77FCA" w:rsidRDefault="008C3142" w:rsidP="00B77FCA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7FCA">
              <w:rPr>
                <w:rFonts w:ascii="Times New Roman" w:hAnsi="Times New Roman"/>
                <w:sz w:val="22"/>
                <w:szCs w:val="22"/>
              </w:rPr>
              <w:t xml:space="preserve">202,088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142" w:rsidRPr="00B77FCA" w:rsidRDefault="008C3142" w:rsidP="00B77FCA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7FCA">
              <w:rPr>
                <w:rFonts w:ascii="Times New Roman" w:hAnsi="Times New Roman"/>
                <w:sz w:val="22"/>
                <w:szCs w:val="22"/>
              </w:rPr>
              <w:t xml:space="preserve">66,241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142" w:rsidRPr="00B77FCA" w:rsidRDefault="008C3142" w:rsidP="00B77FCA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7FCA">
              <w:rPr>
                <w:rFonts w:ascii="Times New Roman" w:hAnsi="Times New Roman"/>
                <w:sz w:val="22"/>
                <w:szCs w:val="22"/>
              </w:rPr>
              <w:t>32.78</w:t>
            </w:r>
          </w:p>
        </w:tc>
      </w:tr>
      <w:tr w:rsidR="008C3142" w:rsidRPr="00E255A1" w:rsidTr="004E60C4">
        <w:trPr>
          <w:cantSplit/>
          <w:trHeight w:val="844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142" w:rsidRPr="00E255A1" w:rsidRDefault="008C3142" w:rsidP="00910A9E">
            <w:pPr>
              <w:pStyle w:val="a3"/>
              <w:spacing w:line="360" w:lineRule="exact"/>
              <w:rPr>
                <w:rFonts w:ascii="Times New Roman" w:hAnsi="Times New Roman"/>
                <w:sz w:val="22"/>
                <w:szCs w:val="22"/>
              </w:rPr>
            </w:pPr>
            <w:r w:rsidRPr="008C3142">
              <w:rPr>
                <w:rFonts w:ascii="Times New Roman" w:hAnsi="Times New Roman" w:hint="eastAsia"/>
                <w:sz w:val="22"/>
                <w:szCs w:val="22"/>
              </w:rPr>
              <w:t>運輸及倉儲業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142" w:rsidRPr="00B77FCA" w:rsidRDefault="008C3142" w:rsidP="00B77FCA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7FCA">
              <w:rPr>
                <w:rFonts w:ascii="Times New Roman" w:hAnsi="Times New Roman"/>
                <w:sz w:val="22"/>
                <w:szCs w:val="22"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FCA" w:rsidRPr="00B77FCA" w:rsidRDefault="008C3142" w:rsidP="00B77FCA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7FCA">
              <w:rPr>
                <w:rFonts w:ascii="Times New Roman" w:hAnsi="Times New Roman"/>
                <w:sz w:val="22"/>
                <w:szCs w:val="22"/>
              </w:rPr>
              <w:t>82,645</w:t>
            </w:r>
          </w:p>
          <w:p w:rsidR="008C3142" w:rsidRPr="00B77FCA" w:rsidRDefault="00B77FCA" w:rsidP="00B77FCA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7FCA">
              <w:rPr>
                <w:rFonts w:ascii="Times New Roman" w:hAnsi="Times New Roman"/>
                <w:sz w:val="22"/>
                <w:szCs w:val="22"/>
              </w:rPr>
              <w:t>(1.09)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142" w:rsidRPr="00B77FCA" w:rsidRDefault="008C3142" w:rsidP="00B77FCA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7FCA">
              <w:rPr>
                <w:rFonts w:ascii="Times New Roman" w:hAnsi="Times New Roman"/>
                <w:sz w:val="22"/>
                <w:szCs w:val="22"/>
              </w:rPr>
              <w:t xml:space="preserve">42,559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142" w:rsidRPr="00B77FCA" w:rsidRDefault="008C3142" w:rsidP="00B77FCA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7FCA">
              <w:rPr>
                <w:rFonts w:ascii="Times New Roman" w:hAnsi="Times New Roman"/>
                <w:sz w:val="22"/>
                <w:szCs w:val="22"/>
              </w:rPr>
              <w:t xml:space="preserve">40,086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142" w:rsidRPr="00B77FCA" w:rsidRDefault="008C3142" w:rsidP="00B77FCA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7FCA">
              <w:rPr>
                <w:rFonts w:ascii="Times New Roman" w:hAnsi="Times New Roman"/>
                <w:sz w:val="22"/>
                <w:szCs w:val="22"/>
              </w:rPr>
              <w:t>94.19</w:t>
            </w:r>
          </w:p>
        </w:tc>
      </w:tr>
    </w:tbl>
    <w:p w:rsidR="00E15544" w:rsidRPr="00E255A1" w:rsidRDefault="004C5877">
      <w:pPr>
        <w:pageBreakBefore/>
        <w:tabs>
          <w:tab w:val="left" w:pos="600"/>
        </w:tabs>
        <w:spacing w:after="188" w:line="560" w:lineRule="exact"/>
        <w:ind w:firstLine="811"/>
        <w:jc w:val="both"/>
      </w:pPr>
      <w:r w:rsidRPr="00E255A1">
        <w:rPr>
          <w:rFonts w:eastAsia="標楷體"/>
          <w:sz w:val="36"/>
        </w:rPr>
        <w:lastRenderedPageBreak/>
        <w:t>表</w:t>
      </w:r>
      <w:r w:rsidRPr="00E255A1">
        <w:rPr>
          <w:rFonts w:eastAsia="標楷體"/>
          <w:sz w:val="36"/>
        </w:rPr>
        <w:t>4-1</w:t>
      </w:r>
      <w:r w:rsidRPr="00E255A1">
        <w:rPr>
          <w:rFonts w:eastAsia="標楷體"/>
          <w:sz w:val="36"/>
          <w:szCs w:val="36"/>
        </w:rPr>
        <w:t xml:space="preserve">　</w:t>
      </w:r>
      <w:r w:rsidR="004B24FA" w:rsidRPr="00E255A1">
        <w:rPr>
          <w:rFonts w:eastAsia="標楷體" w:hint="eastAsia"/>
          <w:sz w:val="36"/>
          <w:szCs w:val="36"/>
        </w:rPr>
        <w:t>110</w:t>
      </w:r>
      <w:r w:rsidRPr="00E255A1">
        <w:rPr>
          <w:rFonts w:eastAsia="標楷體"/>
          <w:sz w:val="36"/>
          <w:szCs w:val="36"/>
        </w:rPr>
        <w:t>年</w:t>
      </w:r>
      <w:r w:rsidR="00B77FCA">
        <w:rPr>
          <w:rFonts w:eastAsia="標楷體"/>
          <w:sz w:val="36"/>
          <w:szCs w:val="36"/>
        </w:rPr>
        <w:t>7</w:t>
      </w:r>
      <w:r w:rsidR="00B77FCA">
        <w:rPr>
          <w:rFonts w:eastAsia="標楷體" w:hint="eastAsia"/>
          <w:sz w:val="36"/>
          <w:szCs w:val="36"/>
        </w:rPr>
        <w:t>月</w:t>
      </w:r>
      <w:r w:rsidRPr="00E255A1">
        <w:rPr>
          <w:rFonts w:eastAsia="標楷體"/>
          <w:sz w:val="36"/>
          <w:szCs w:val="36"/>
        </w:rPr>
        <w:t>及最近</w:t>
      </w:r>
      <w:r w:rsidRPr="00E255A1">
        <w:rPr>
          <w:rFonts w:eastAsia="標楷體"/>
          <w:sz w:val="36"/>
          <w:szCs w:val="36"/>
        </w:rPr>
        <w:t>2</w:t>
      </w:r>
      <w:r w:rsidRPr="00E255A1">
        <w:rPr>
          <w:rFonts w:eastAsia="標楷體"/>
          <w:sz w:val="36"/>
          <w:szCs w:val="36"/>
        </w:rPr>
        <w:t>年對中國大陸投資概況</w:t>
      </w:r>
    </w:p>
    <w:tbl>
      <w:tblPr>
        <w:tblW w:w="972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96"/>
        <w:gridCol w:w="709"/>
        <w:gridCol w:w="567"/>
        <w:gridCol w:w="1134"/>
        <w:gridCol w:w="567"/>
        <w:gridCol w:w="667"/>
        <w:gridCol w:w="480"/>
        <w:gridCol w:w="1440"/>
        <w:gridCol w:w="480"/>
        <w:gridCol w:w="720"/>
        <w:gridCol w:w="465"/>
        <w:gridCol w:w="1215"/>
        <w:gridCol w:w="480"/>
      </w:tblGrid>
      <w:tr w:rsidR="00E15544" w:rsidRPr="00E255A1" w:rsidTr="00E15544">
        <w:trPr>
          <w:cantSplit/>
          <w:jc w:val="center"/>
        </w:trPr>
        <w:tc>
          <w:tcPr>
            <w:tcW w:w="3773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E15544">
            <w:pPr>
              <w:pStyle w:val="a3"/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067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80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單位：千美元</w:t>
            </w:r>
          </w:p>
        </w:tc>
      </w:tr>
      <w:tr w:rsidR="0071287B" w:rsidRPr="00E255A1" w:rsidTr="00E15544">
        <w:trPr>
          <w:cantSplit/>
          <w:jc w:val="center"/>
        </w:trPr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287B" w:rsidRPr="00E255A1" w:rsidRDefault="0071287B" w:rsidP="009A3D55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期間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87B" w:rsidRPr="00E255A1" w:rsidRDefault="004B24FA" w:rsidP="007A06F0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 w:hint="eastAsia"/>
                <w:sz w:val="24"/>
              </w:rPr>
              <w:t>108</w:t>
            </w:r>
            <w:r w:rsidR="0071287B" w:rsidRPr="00E255A1">
              <w:rPr>
                <w:rFonts w:ascii="Times New Roman" w:hAnsi="Times New Roman"/>
                <w:sz w:val="24"/>
              </w:rPr>
              <w:t>年</w:t>
            </w:r>
          </w:p>
        </w:tc>
        <w:tc>
          <w:tcPr>
            <w:tcW w:w="3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87B" w:rsidRPr="00E255A1" w:rsidRDefault="004B24FA" w:rsidP="007A06F0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10</w:t>
            </w:r>
            <w:r w:rsidRPr="00E255A1">
              <w:rPr>
                <w:rFonts w:ascii="Times New Roman" w:hAnsi="Times New Roman" w:hint="eastAsia"/>
                <w:sz w:val="24"/>
              </w:rPr>
              <w:t>9</w:t>
            </w:r>
            <w:r w:rsidR="0071287B" w:rsidRPr="00E255A1">
              <w:rPr>
                <w:rFonts w:ascii="Times New Roman" w:hAnsi="Times New Roman"/>
                <w:sz w:val="24"/>
              </w:rPr>
              <w:t>年</w:t>
            </w: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87B" w:rsidRPr="00E255A1" w:rsidRDefault="004B24FA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 w:hint="eastAsia"/>
                <w:sz w:val="24"/>
              </w:rPr>
              <w:t>110</w:t>
            </w:r>
            <w:r w:rsidR="0071287B" w:rsidRPr="00E255A1">
              <w:rPr>
                <w:rFonts w:ascii="Times New Roman" w:hAnsi="Times New Roman"/>
                <w:sz w:val="24"/>
              </w:rPr>
              <w:t>年</w:t>
            </w:r>
          </w:p>
        </w:tc>
      </w:tr>
      <w:tr w:rsidR="00E15544" w:rsidRPr="00E255A1" w:rsidTr="000315AE">
        <w:trPr>
          <w:cantSplit/>
          <w:trHeight w:val="1267"/>
          <w:jc w:val="center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E15544">
            <w:pPr>
              <w:pStyle w:val="a3"/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件</w:t>
            </w:r>
          </w:p>
          <w:p w:rsidR="00E15544" w:rsidRPr="00E255A1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成</w:t>
            </w: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長</w:t>
            </w: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金</w:t>
            </w:r>
          </w:p>
          <w:p w:rsidR="00E15544" w:rsidRPr="00E255A1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成</w:t>
            </w: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長</w:t>
            </w: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率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件</w:t>
            </w:r>
          </w:p>
          <w:p w:rsidR="00E15544" w:rsidRPr="00E255A1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數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成</w:t>
            </w: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長</w:t>
            </w: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金</w:t>
            </w:r>
          </w:p>
          <w:p w:rsidR="00E15544" w:rsidRPr="00E255A1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額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成</w:t>
            </w: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長</w:t>
            </w: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件</w:t>
            </w:r>
          </w:p>
          <w:p w:rsidR="00E15544" w:rsidRPr="00E255A1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數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成</w:t>
            </w: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長</w:t>
            </w: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率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金</w:t>
            </w:r>
          </w:p>
          <w:p w:rsidR="00E15544" w:rsidRPr="00E255A1" w:rsidRDefault="00E15544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額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成</w:t>
            </w: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長</w:t>
            </w:r>
          </w:p>
          <w:p w:rsidR="00E15544" w:rsidRPr="00E255A1" w:rsidRDefault="004C5877">
            <w:pPr>
              <w:pStyle w:val="a3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255A1">
              <w:rPr>
                <w:rFonts w:ascii="Times New Roman" w:hAnsi="Times New Roman"/>
                <w:sz w:val="24"/>
              </w:rPr>
              <w:t>率</w:t>
            </w:r>
          </w:p>
        </w:tc>
      </w:tr>
      <w:tr w:rsidR="004B24FA" w:rsidRPr="00E255A1" w:rsidTr="004B4E5B">
        <w:trPr>
          <w:cantSplit/>
          <w:trHeight w:hRule="exact" w:val="397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24FA" w:rsidRPr="00E255A1" w:rsidRDefault="004B24FA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1</w:t>
            </w:r>
            <w:r w:rsidRPr="00E255A1">
              <w:rPr>
                <w:rFonts w:ascii="Times New Roman" w:hAnsi="Times New Roman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24FA" w:rsidRPr="00E255A1" w:rsidRDefault="004B24FA" w:rsidP="000D58DD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24FA" w:rsidRPr="00E255A1" w:rsidRDefault="004B24FA" w:rsidP="000D58DD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24FA" w:rsidRPr="00E255A1" w:rsidRDefault="004B24FA" w:rsidP="000D58DD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382,624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24FA" w:rsidRPr="00E255A1" w:rsidRDefault="004B24FA" w:rsidP="000D58DD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24FA" w:rsidRPr="00E255A1" w:rsidRDefault="004B24FA" w:rsidP="000D58DD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42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24FA" w:rsidRPr="00E255A1" w:rsidRDefault="004B24FA" w:rsidP="000D58DD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24FA" w:rsidRPr="00E255A1" w:rsidRDefault="004B24FA" w:rsidP="000D58DD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537,722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24FA" w:rsidRPr="00E255A1" w:rsidRDefault="004B24FA" w:rsidP="000D58DD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41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24FA" w:rsidRPr="00E255A1" w:rsidRDefault="004B24FA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34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24FA" w:rsidRPr="00E255A1" w:rsidRDefault="004B24FA" w:rsidP="004B24FA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-19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24FA" w:rsidRPr="00E255A1" w:rsidRDefault="004B24FA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249,747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24FA" w:rsidRPr="00E255A1" w:rsidRDefault="004B24FA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-54</w:t>
            </w:r>
          </w:p>
        </w:tc>
      </w:tr>
      <w:tr w:rsidR="006927AA" w:rsidRPr="00E255A1" w:rsidTr="004B4E5B">
        <w:trPr>
          <w:cantSplit/>
          <w:trHeight w:hRule="exact" w:val="397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27AA" w:rsidRPr="00E255A1" w:rsidRDefault="006927AA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2</w:t>
            </w:r>
            <w:r w:rsidRPr="00E255A1">
              <w:rPr>
                <w:rFonts w:ascii="Times New Roman" w:hAnsi="Times New Roman" w:hint="eastAsia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27AA" w:rsidRPr="00E255A1" w:rsidRDefault="006927AA" w:rsidP="000D58DD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27AA" w:rsidRPr="00E255A1" w:rsidRDefault="006927AA" w:rsidP="000D58DD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27AA" w:rsidRPr="00E255A1" w:rsidRDefault="006927AA" w:rsidP="000D58DD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639,103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27AA" w:rsidRPr="00E255A1" w:rsidRDefault="006927AA" w:rsidP="000D58DD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127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27AA" w:rsidRPr="00E255A1" w:rsidRDefault="006927AA" w:rsidP="000D58DD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40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27AA" w:rsidRPr="00E255A1" w:rsidRDefault="006927AA" w:rsidP="000D58DD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27AA" w:rsidRPr="00E255A1" w:rsidRDefault="006927AA" w:rsidP="000D58DD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696,894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27AA" w:rsidRPr="00E255A1" w:rsidRDefault="006927AA" w:rsidP="000D58DD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27AA" w:rsidRPr="00E255A1" w:rsidRDefault="006927AA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29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27AA" w:rsidRPr="00E255A1" w:rsidRDefault="006927AA" w:rsidP="004B24FA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-28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27AA" w:rsidRPr="00E255A1" w:rsidRDefault="006927AA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173,814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27AA" w:rsidRPr="00E255A1" w:rsidRDefault="006927AA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-75</w:t>
            </w:r>
          </w:p>
        </w:tc>
      </w:tr>
      <w:tr w:rsidR="00E3591D" w:rsidRPr="00E255A1" w:rsidTr="004B4E5B">
        <w:trPr>
          <w:cantSplit/>
          <w:trHeight w:hRule="exact" w:val="397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91D" w:rsidRPr="00E255A1" w:rsidRDefault="00E3591D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3</w:t>
            </w:r>
            <w:r w:rsidRPr="00E255A1">
              <w:rPr>
                <w:rFonts w:ascii="Times New Roman" w:hAnsi="Times New Roman" w:hint="eastAsia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91D" w:rsidRPr="00E255A1" w:rsidRDefault="00E3591D" w:rsidP="00E3591D">
            <w:pPr>
              <w:pStyle w:val="a3"/>
              <w:spacing w:line="240" w:lineRule="atLeas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91D" w:rsidRPr="00E255A1" w:rsidRDefault="00E3591D" w:rsidP="00E3591D">
            <w:pPr>
              <w:pStyle w:val="a3"/>
              <w:spacing w:line="240" w:lineRule="atLeas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-20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91D" w:rsidRPr="00E255A1" w:rsidRDefault="00E3591D" w:rsidP="00E3591D">
            <w:pPr>
              <w:pStyle w:val="a3"/>
              <w:spacing w:line="240" w:lineRule="atLeas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204,548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91D" w:rsidRPr="00E255A1" w:rsidRDefault="00E3591D" w:rsidP="00E3591D">
            <w:pPr>
              <w:pStyle w:val="a3"/>
              <w:spacing w:line="240" w:lineRule="atLeas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-69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91D" w:rsidRPr="00E255A1" w:rsidRDefault="00E3591D" w:rsidP="00E3591D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49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91D" w:rsidRPr="00E255A1" w:rsidRDefault="00E3591D" w:rsidP="00E3591D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91D" w:rsidRPr="00E255A1" w:rsidRDefault="00E3591D" w:rsidP="00E3591D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774,821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91D" w:rsidRPr="00E255A1" w:rsidRDefault="00E3591D" w:rsidP="00E3591D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279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91D" w:rsidRPr="00E255A1" w:rsidRDefault="007649E4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46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91D" w:rsidRPr="00E255A1" w:rsidRDefault="007649E4" w:rsidP="004B24FA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91D" w:rsidRPr="00E255A1" w:rsidRDefault="007649E4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218,022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91D" w:rsidRPr="00E255A1" w:rsidRDefault="007649E4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-72</w:t>
            </w:r>
          </w:p>
          <w:p w:rsidR="004314AC" w:rsidRPr="00E255A1" w:rsidRDefault="004314AC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081B" w:rsidRPr="00E255A1" w:rsidTr="004B4E5B">
        <w:trPr>
          <w:cantSplit/>
          <w:trHeight w:hRule="exact" w:val="397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081B" w:rsidRPr="00E255A1" w:rsidRDefault="00D7081B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4</w:t>
            </w:r>
            <w:r w:rsidRPr="00E255A1">
              <w:rPr>
                <w:rFonts w:ascii="Times New Roman" w:hAnsi="Times New Roman" w:hint="eastAsia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081B" w:rsidRPr="00E255A1" w:rsidRDefault="00D7081B" w:rsidP="00DC6630">
            <w:pPr>
              <w:pStyle w:val="a3"/>
              <w:spacing w:line="240" w:lineRule="atLeas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081B" w:rsidRPr="00E255A1" w:rsidRDefault="00D7081B" w:rsidP="00DC6630">
            <w:pPr>
              <w:pStyle w:val="a3"/>
              <w:spacing w:line="240" w:lineRule="atLeas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081B" w:rsidRPr="00E255A1" w:rsidRDefault="00D7081B" w:rsidP="00DC6630">
            <w:pPr>
              <w:pStyle w:val="a3"/>
              <w:spacing w:line="240" w:lineRule="atLeas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231,613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081B" w:rsidRPr="00E255A1" w:rsidRDefault="00D7081B" w:rsidP="00DC6630">
            <w:pPr>
              <w:pStyle w:val="a3"/>
              <w:spacing w:line="240" w:lineRule="atLeas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-83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081B" w:rsidRPr="00E255A1" w:rsidRDefault="00D7081B" w:rsidP="00DC6630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44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081B" w:rsidRPr="00E255A1" w:rsidRDefault="00D7081B" w:rsidP="00DC6630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-33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081B" w:rsidRPr="00E255A1" w:rsidRDefault="00D7081B" w:rsidP="00DC6630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371,403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081B" w:rsidRPr="00E255A1" w:rsidRDefault="00D7081B" w:rsidP="00DC6630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081B" w:rsidRPr="00E255A1" w:rsidRDefault="003E5498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29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081B" w:rsidRPr="00E255A1" w:rsidRDefault="003E5498" w:rsidP="004B24FA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-34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081B" w:rsidRPr="00E255A1" w:rsidRDefault="003E5498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169,038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081B" w:rsidRPr="00E255A1" w:rsidRDefault="003E5498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-55</w:t>
            </w:r>
          </w:p>
        </w:tc>
      </w:tr>
      <w:tr w:rsidR="00690AAA" w:rsidRPr="00E255A1" w:rsidTr="004B4E5B">
        <w:trPr>
          <w:cantSplit/>
          <w:trHeight w:hRule="exact" w:val="397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0AAA" w:rsidRPr="00E255A1" w:rsidRDefault="00690AAA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5</w:t>
            </w:r>
            <w:r w:rsidRPr="00E255A1">
              <w:rPr>
                <w:rFonts w:ascii="Times New Roman" w:hAnsi="Times New Roman" w:hint="eastAsia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0AAA" w:rsidRPr="00E255A1" w:rsidRDefault="00690AAA" w:rsidP="00690AAA">
            <w:pPr>
              <w:pStyle w:val="a3"/>
              <w:spacing w:line="240" w:lineRule="atLeas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0AAA" w:rsidRPr="00E255A1" w:rsidRDefault="00690AAA" w:rsidP="00690AAA">
            <w:pPr>
              <w:pStyle w:val="a3"/>
              <w:spacing w:line="240" w:lineRule="atLeas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0AAA" w:rsidRPr="00E255A1" w:rsidRDefault="00690AAA" w:rsidP="00690AAA">
            <w:pPr>
              <w:pStyle w:val="a3"/>
              <w:spacing w:line="240" w:lineRule="atLeas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447,243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0AAA" w:rsidRPr="00E255A1" w:rsidRDefault="00690AAA" w:rsidP="00690AAA">
            <w:pPr>
              <w:pStyle w:val="a3"/>
              <w:spacing w:line="240" w:lineRule="atLeast"/>
              <w:jc w:val="right"/>
              <w:rPr>
                <w:rFonts w:ascii="Times New Roman"/>
                <w:sz w:val="22"/>
                <w:szCs w:val="22"/>
              </w:rPr>
            </w:pPr>
            <w:r w:rsidRPr="00E255A1">
              <w:rPr>
                <w:rFonts w:ascii="Times New Roman" w:hint="eastAsia"/>
                <w:sz w:val="22"/>
                <w:szCs w:val="22"/>
              </w:rPr>
              <w:t>-47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0AAA" w:rsidRPr="00E255A1" w:rsidRDefault="00690AAA" w:rsidP="00690AAA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39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0AAA" w:rsidRPr="00E255A1" w:rsidRDefault="00690AAA" w:rsidP="00690AAA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0AAA" w:rsidRPr="00E255A1" w:rsidRDefault="00690AAA" w:rsidP="00690AAA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292,108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0AAA" w:rsidRPr="00E255A1" w:rsidRDefault="00690AAA" w:rsidP="00690AAA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-35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0AAA" w:rsidRPr="00E255A1" w:rsidRDefault="00690AAA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39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0AAA" w:rsidRPr="00E255A1" w:rsidRDefault="00690AAA" w:rsidP="004B24FA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0AAA" w:rsidRPr="00E255A1" w:rsidRDefault="00690AAA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277,556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0AAA" w:rsidRPr="00E255A1" w:rsidRDefault="00690AAA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-5</w:t>
            </w:r>
          </w:p>
        </w:tc>
      </w:tr>
      <w:tr w:rsidR="00910A9E" w:rsidRPr="00902B9D" w:rsidTr="004B4E5B">
        <w:trPr>
          <w:cantSplit/>
          <w:trHeight w:hRule="exact" w:val="397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0A9E" w:rsidRPr="00902B9D" w:rsidRDefault="00910A9E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6</w:t>
            </w:r>
            <w:r w:rsidRPr="00902B9D">
              <w:rPr>
                <w:rFonts w:ascii="Times New Roman" w:hAnsi="Times New Roman" w:hint="eastAsia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0A9E" w:rsidRPr="00902B9D" w:rsidRDefault="00910A9E" w:rsidP="00B35B2A">
            <w:pPr>
              <w:pStyle w:val="a3"/>
              <w:spacing w:line="240" w:lineRule="atLeast"/>
              <w:jc w:val="right"/>
              <w:rPr>
                <w:rFonts w:ascii="Times New Roman"/>
                <w:sz w:val="22"/>
                <w:szCs w:val="22"/>
              </w:rPr>
            </w:pPr>
            <w:r w:rsidRPr="00902B9D">
              <w:rPr>
                <w:rFonts w:ascii="Times New Roman" w:hint="eastAsia"/>
                <w:sz w:val="22"/>
                <w:szCs w:val="22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0A9E" w:rsidRPr="00902B9D" w:rsidRDefault="00910A9E" w:rsidP="00B35B2A">
            <w:pPr>
              <w:pStyle w:val="a3"/>
              <w:spacing w:line="240" w:lineRule="atLeast"/>
              <w:jc w:val="right"/>
              <w:rPr>
                <w:rFonts w:ascii="Times New Roman"/>
                <w:sz w:val="22"/>
                <w:szCs w:val="22"/>
              </w:rPr>
            </w:pPr>
            <w:r w:rsidRPr="00902B9D">
              <w:rPr>
                <w:rFonts w:ascii="Times New Roman" w:hint="eastAsia"/>
                <w:sz w:val="22"/>
                <w:szCs w:val="22"/>
              </w:rPr>
              <w:t>-45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0A9E" w:rsidRPr="00902B9D" w:rsidRDefault="00910A9E" w:rsidP="00B35B2A">
            <w:pPr>
              <w:pStyle w:val="a3"/>
              <w:spacing w:line="240" w:lineRule="atLeast"/>
              <w:jc w:val="right"/>
              <w:rPr>
                <w:rFonts w:ascii="Times New Roman"/>
                <w:sz w:val="22"/>
                <w:szCs w:val="22"/>
              </w:rPr>
            </w:pPr>
            <w:r w:rsidRPr="00902B9D">
              <w:rPr>
                <w:rFonts w:ascii="Times New Roman" w:hint="eastAsia"/>
                <w:sz w:val="22"/>
                <w:szCs w:val="22"/>
              </w:rPr>
              <w:t>173,803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0A9E" w:rsidRPr="00902B9D" w:rsidRDefault="00910A9E" w:rsidP="00B35B2A">
            <w:pPr>
              <w:pStyle w:val="a3"/>
              <w:spacing w:line="240" w:lineRule="atLeast"/>
              <w:jc w:val="right"/>
              <w:rPr>
                <w:rFonts w:ascii="Times New Roman"/>
                <w:sz w:val="22"/>
                <w:szCs w:val="22"/>
              </w:rPr>
            </w:pPr>
            <w:r w:rsidRPr="00902B9D">
              <w:rPr>
                <w:rFonts w:ascii="Times New Roman" w:hint="eastAsia"/>
                <w:sz w:val="22"/>
                <w:szCs w:val="22"/>
              </w:rPr>
              <w:t>-76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0A9E" w:rsidRPr="00902B9D" w:rsidRDefault="00910A9E" w:rsidP="00B35B2A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31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0A9E" w:rsidRPr="00902B9D" w:rsidRDefault="00910A9E" w:rsidP="00B35B2A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-6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0A9E" w:rsidRPr="00902B9D" w:rsidRDefault="00910A9E" w:rsidP="00B35B2A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497,119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0A9E" w:rsidRPr="00902B9D" w:rsidRDefault="00910A9E" w:rsidP="00B35B2A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186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0A9E" w:rsidRPr="00902B9D" w:rsidRDefault="00922CB0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26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0A9E" w:rsidRPr="00902B9D" w:rsidRDefault="00C46DD2" w:rsidP="004B24FA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-16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0A9E" w:rsidRPr="00902B9D" w:rsidRDefault="00922CB0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419,921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0A9E" w:rsidRPr="00902B9D" w:rsidRDefault="00C46DD2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-15</w:t>
            </w:r>
          </w:p>
        </w:tc>
      </w:tr>
      <w:tr w:rsidR="00B77FCA" w:rsidRPr="00902B9D" w:rsidTr="004B4E5B">
        <w:trPr>
          <w:cantSplit/>
          <w:trHeight w:hRule="exact" w:val="397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FCA" w:rsidRPr="00902B9D" w:rsidRDefault="00B77FCA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7</w:t>
            </w:r>
            <w:r w:rsidRPr="00902B9D">
              <w:rPr>
                <w:rFonts w:ascii="Times New Roman" w:hAnsi="Times New Roman" w:hint="eastAsia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FCA" w:rsidRPr="00902B9D" w:rsidRDefault="00B77FCA" w:rsidP="008E2EF7">
            <w:pPr>
              <w:pStyle w:val="a3"/>
              <w:spacing w:line="240" w:lineRule="atLeast"/>
              <w:jc w:val="right"/>
              <w:rPr>
                <w:rFonts w:ascii="Times New Roman"/>
                <w:color w:val="0D0D0D"/>
                <w:sz w:val="22"/>
                <w:szCs w:val="22"/>
              </w:rPr>
            </w:pPr>
            <w:r w:rsidRPr="00902B9D">
              <w:rPr>
                <w:rFonts w:ascii="Times New Roman" w:hAnsi="Times New Roman"/>
                <w:color w:val="0D0D0D"/>
                <w:sz w:val="22"/>
                <w:szCs w:val="22"/>
              </w:rPr>
              <w:t>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FCA" w:rsidRPr="00902B9D" w:rsidRDefault="00B77FCA" w:rsidP="008E2EF7">
            <w:pPr>
              <w:pStyle w:val="a3"/>
              <w:spacing w:line="240" w:lineRule="atLeast"/>
              <w:jc w:val="right"/>
              <w:rPr>
                <w:rFonts w:ascii="Times New Roman"/>
                <w:color w:val="0D0D0D"/>
                <w:sz w:val="22"/>
                <w:szCs w:val="22"/>
              </w:rPr>
            </w:pPr>
            <w:r w:rsidRPr="00902B9D">
              <w:rPr>
                <w:rFonts w:ascii="Times New Roman" w:hAnsi="Times New Roman"/>
                <w:color w:val="0D0D0D"/>
                <w:sz w:val="22"/>
                <w:szCs w:val="22"/>
              </w:rPr>
              <w:t>-21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FCA" w:rsidRPr="00902B9D" w:rsidRDefault="00B77FCA" w:rsidP="008E2EF7">
            <w:pPr>
              <w:pStyle w:val="a3"/>
              <w:spacing w:line="240" w:lineRule="atLeast"/>
              <w:jc w:val="right"/>
              <w:rPr>
                <w:rFonts w:ascii="Times New Roman"/>
                <w:color w:val="0D0D0D"/>
                <w:sz w:val="22"/>
                <w:szCs w:val="22"/>
              </w:rPr>
            </w:pPr>
            <w:r w:rsidRPr="00902B9D">
              <w:rPr>
                <w:rFonts w:ascii="Times New Roman" w:hAnsi="Times New Roman"/>
                <w:color w:val="0D0D0D"/>
                <w:sz w:val="22"/>
                <w:szCs w:val="22"/>
              </w:rPr>
              <w:t>247,134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FCA" w:rsidRPr="00902B9D" w:rsidRDefault="00B77FCA" w:rsidP="008E2EF7">
            <w:pPr>
              <w:pStyle w:val="a3"/>
              <w:spacing w:line="240" w:lineRule="atLeast"/>
              <w:jc w:val="right"/>
              <w:rPr>
                <w:rFonts w:ascii="Times New Roman"/>
                <w:color w:val="0D0D0D"/>
                <w:sz w:val="22"/>
                <w:szCs w:val="22"/>
              </w:rPr>
            </w:pPr>
            <w:r w:rsidRPr="00902B9D">
              <w:rPr>
                <w:rFonts w:ascii="Times New Roman" w:hAnsi="Times New Roman"/>
                <w:color w:val="0D0D0D"/>
                <w:sz w:val="22"/>
                <w:szCs w:val="22"/>
              </w:rPr>
              <w:t>-75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FCA" w:rsidRPr="00902B9D" w:rsidRDefault="00B77FCA" w:rsidP="008E2EF7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color w:val="0D0D0D"/>
                <w:sz w:val="22"/>
                <w:szCs w:val="22"/>
              </w:rPr>
              <w:t>42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FCA" w:rsidRPr="00902B9D" w:rsidRDefault="00B77FCA" w:rsidP="008E2EF7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color w:val="0D0D0D"/>
                <w:sz w:val="22"/>
                <w:szCs w:val="22"/>
              </w:rPr>
              <w:t>-28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FCA" w:rsidRPr="00902B9D" w:rsidRDefault="00B77FCA" w:rsidP="008E2EF7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color w:val="0D0D0D"/>
                <w:sz w:val="22"/>
                <w:szCs w:val="22"/>
              </w:rPr>
              <w:t>369,783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FCA" w:rsidRPr="00902B9D" w:rsidRDefault="00B77FCA" w:rsidP="008E2EF7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color w:val="0D0D0D"/>
                <w:sz w:val="22"/>
                <w:szCs w:val="22"/>
              </w:rPr>
              <w:t>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FCA" w:rsidRPr="00902B9D" w:rsidRDefault="00C04696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37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FCA" w:rsidRPr="00902B9D" w:rsidRDefault="00902B9D" w:rsidP="004B24FA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-11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FCA" w:rsidRPr="00902B9D" w:rsidRDefault="00C04696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606,300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FCA" w:rsidRPr="00902B9D" w:rsidRDefault="00902B9D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63</w:t>
            </w:r>
          </w:p>
        </w:tc>
      </w:tr>
      <w:tr w:rsidR="00B77FCA" w:rsidRPr="00902B9D" w:rsidTr="004B4E5B">
        <w:trPr>
          <w:cantSplit/>
          <w:trHeight w:hRule="exact" w:val="397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FCA" w:rsidRPr="00902B9D" w:rsidRDefault="00B77FCA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1-7</w:t>
            </w:r>
            <w:r w:rsidRPr="00902B9D">
              <w:rPr>
                <w:rFonts w:ascii="Times New Roman" w:hAnsi="Times New Roman" w:hint="eastAsia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FCA" w:rsidRPr="00902B9D" w:rsidRDefault="00B77FCA" w:rsidP="008E2EF7">
            <w:pPr>
              <w:pStyle w:val="a3"/>
              <w:spacing w:line="240" w:lineRule="atLeast"/>
              <w:jc w:val="right"/>
              <w:rPr>
                <w:rFonts w:ascii="Times New Roman"/>
                <w:color w:val="0D0D0D"/>
                <w:sz w:val="22"/>
                <w:szCs w:val="22"/>
              </w:rPr>
            </w:pPr>
            <w:r w:rsidRPr="00902B9D">
              <w:rPr>
                <w:rFonts w:ascii="Times New Roman" w:hAnsi="Times New Roman"/>
                <w:color w:val="0D0D0D"/>
                <w:sz w:val="22"/>
                <w:szCs w:val="22"/>
              </w:rPr>
              <w:t>340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FCA" w:rsidRPr="00902B9D" w:rsidRDefault="00B77FCA" w:rsidP="008E2EF7">
            <w:pPr>
              <w:pStyle w:val="a3"/>
              <w:spacing w:line="240" w:lineRule="atLeast"/>
              <w:jc w:val="right"/>
              <w:rPr>
                <w:rFonts w:ascii="Times New Roman"/>
                <w:color w:val="0D0D0D"/>
                <w:sz w:val="22"/>
                <w:szCs w:val="22"/>
              </w:rPr>
            </w:pPr>
            <w:r w:rsidRPr="00902B9D">
              <w:rPr>
                <w:rFonts w:ascii="Times New Roman" w:hAnsi="Times New Roman"/>
                <w:color w:val="0D0D0D"/>
                <w:sz w:val="22"/>
                <w:szCs w:val="22"/>
              </w:rPr>
              <w:t>-13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FCA" w:rsidRPr="00902B9D" w:rsidRDefault="00B77FCA" w:rsidP="008E2EF7">
            <w:pPr>
              <w:pStyle w:val="a3"/>
              <w:spacing w:line="240" w:lineRule="atLeast"/>
              <w:jc w:val="right"/>
              <w:rPr>
                <w:rFonts w:ascii="Times New Roman"/>
                <w:color w:val="0D0D0D"/>
                <w:sz w:val="22"/>
                <w:szCs w:val="22"/>
              </w:rPr>
            </w:pPr>
            <w:r w:rsidRPr="00902B9D">
              <w:rPr>
                <w:rFonts w:ascii="Times New Roman" w:hAnsi="Times New Roman"/>
                <w:color w:val="0D0D0D"/>
                <w:sz w:val="22"/>
                <w:szCs w:val="22"/>
              </w:rPr>
              <w:t>2,326,068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FCA" w:rsidRPr="00902B9D" w:rsidRDefault="00B77FCA" w:rsidP="008E2EF7">
            <w:pPr>
              <w:pStyle w:val="a3"/>
              <w:spacing w:line="240" w:lineRule="atLeast"/>
              <w:jc w:val="right"/>
              <w:rPr>
                <w:rFonts w:ascii="Times New Roman"/>
                <w:color w:val="0D0D0D"/>
                <w:sz w:val="22"/>
                <w:szCs w:val="22"/>
              </w:rPr>
            </w:pPr>
            <w:r w:rsidRPr="00902B9D">
              <w:rPr>
                <w:rFonts w:ascii="Times New Roman" w:hAnsi="Times New Roman"/>
                <w:color w:val="0D0D0D"/>
                <w:sz w:val="22"/>
                <w:szCs w:val="22"/>
              </w:rPr>
              <w:t>-55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FCA" w:rsidRPr="00902B9D" w:rsidRDefault="00B77FCA" w:rsidP="008E2EF7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color w:val="0D0D0D"/>
                <w:sz w:val="22"/>
                <w:szCs w:val="22"/>
              </w:rPr>
              <w:t>287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FCA" w:rsidRPr="00902B9D" w:rsidRDefault="00B77FCA" w:rsidP="008E2EF7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color w:val="0D0D0D"/>
                <w:sz w:val="22"/>
                <w:szCs w:val="22"/>
              </w:rPr>
              <w:t>-16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FCA" w:rsidRPr="00902B9D" w:rsidRDefault="00B77FCA" w:rsidP="008E2EF7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color w:val="0D0D0D"/>
                <w:sz w:val="22"/>
                <w:szCs w:val="22"/>
              </w:rPr>
              <w:t>3,539,851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FCA" w:rsidRPr="00902B9D" w:rsidRDefault="00B77FCA" w:rsidP="008E2EF7">
            <w:pPr>
              <w:pStyle w:val="a3"/>
              <w:spacing w:line="240" w:lineRule="atLeast"/>
              <w:jc w:val="right"/>
              <w:rPr>
                <w:rFonts w:ascii="Times New Roman" w:hAnsi="Times New Roman"/>
                <w:color w:val="0D0D0D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color w:val="0D0D0D"/>
                <w:sz w:val="22"/>
                <w:szCs w:val="22"/>
              </w:rPr>
              <w:t>52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FCA" w:rsidRPr="00902B9D" w:rsidRDefault="00C04696" w:rsidP="003E5498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240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FCA" w:rsidRPr="00902B9D" w:rsidRDefault="00C04696" w:rsidP="004B24FA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-16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FCA" w:rsidRPr="00902B9D" w:rsidRDefault="00C04696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2,114,399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FCA" w:rsidRPr="00902B9D" w:rsidRDefault="00C04696" w:rsidP="00690AAA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-40</w:t>
            </w:r>
          </w:p>
        </w:tc>
      </w:tr>
      <w:tr w:rsidR="004B24FA" w:rsidRPr="00902B9D" w:rsidTr="004B4E5B">
        <w:trPr>
          <w:cantSplit/>
          <w:trHeight w:hRule="exact" w:val="397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24FA" w:rsidRPr="00902B9D" w:rsidRDefault="004B24FA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/>
                <w:sz w:val="22"/>
                <w:szCs w:val="22"/>
              </w:rPr>
              <w:t>1-12</w:t>
            </w:r>
            <w:r w:rsidRPr="00902B9D">
              <w:rPr>
                <w:rFonts w:ascii="Times New Roman" w:hAnsi="Times New Roman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24FA" w:rsidRPr="00902B9D" w:rsidRDefault="004B24FA" w:rsidP="000D58DD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24FA" w:rsidRPr="00902B9D" w:rsidRDefault="004B24FA" w:rsidP="000D58DD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-16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24FA" w:rsidRPr="00902B9D" w:rsidRDefault="004B24FA" w:rsidP="000D58DD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4,173,090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24FA" w:rsidRPr="00902B9D" w:rsidRDefault="004B24FA" w:rsidP="000D58DD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-51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24FA" w:rsidRPr="00902B9D" w:rsidRDefault="004B24FA" w:rsidP="007A06F0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475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24FA" w:rsidRPr="00902B9D" w:rsidRDefault="004B24FA" w:rsidP="007A06F0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-22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24FA" w:rsidRPr="00902B9D" w:rsidRDefault="004B24FA" w:rsidP="007A06F0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5,906,489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24FA" w:rsidRPr="00902B9D" w:rsidRDefault="004B24FA" w:rsidP="007A06F0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42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24FA" w:rsidRPr="00902B9D" w:rsidRDefault="004B24FA" w:rsidP="00384A2E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-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24FA" w:rsidRPr="00902B9D" w:rsidRDefault="004B24FA" w:rsidP="00384A2E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24FA" w:rsidRPr="00902B9D" w:rsidRDefault="004B24FA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24FA" w:rsidRPr="00902B9D" w:rsidRDefault="004B24FA" w:rsidP="00384A2E">
            <w:pPr>
              <w:pStyle w:val="a3"/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B9D">
              <w:rPr>
                <w:rFonts w:ascii="Times New Roman" w:hAnsi="Times New Roman" w:hint="eastAsia"/>
                <w:sz w:val="22"/>
                <w:szCs w:val="22"/>
              </w:rPr>
              <w:t>-</w:t>
            </w:r>
          </w:p>
        </w:tc>
      </w:tr>
      <w:tr w:rsidR="00E15544" w:rsidRPr="00E255A1" w:rsidTr="00E15544">
        <w:trPr>
          <w:cantSplit/>
          <w:trHeight w:val="70"/>
          <w:jc w:val="center"/>
        </w:trPr>
        <w:tc>
          <w:tcPr>
            <w:tcW w:w="9720" w:type="dxa"/>
            <w:gridSpan w:val="1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4C5877">
            <w:pPr>
              <w:pStyle w:val="a3"/>
              <w:spacing w:line="400" w:lineRule="exact"/>
              <w:rPr>
                <w:rFonts w:ascii="Times New Roman" w:hAnsi="Times New Roman"/>
                <w:sz w:val="24"/>
              </w:rPr>
            </w:pPr>
            <w:proofErr w:type="gramStart"/>
            <w:r w:rsidRPr="00E255A1">
              <w:rPr>
                <w:rFonts w:ascii="Times New Roman" w:hAnsi="Times New Roman"/>
                <w:sz w:val="24"/>
              </w:rPr>
              <w:t>註</w:t>
            </w:r>
            <w:proofErr w:type="gramEnd"/>
            <w:r w:rsidRPr="00E255A1">
              <w:rPr>
                <w:rFonts w:ascii="Times New Roman" w:hAnsi="Times New Roman"/>
                <w:sz w:val="24"/>
              </w:rPr>
              <w:t>：成長率係與上年度同期比較。</w:t>
            </w:r>
          </w:p>
        </w:tc>
      </w:tr>
    </w:tbl>
    <w:p w:rsidR="00E15544" w:rsidRPr="00E255A1" w:rsidRDefault="00E15544">
      <w:pPr>
        <w:spacing w:line="0" w:lineRule="atLeast"/>
        <w:jc w:val="right"/>
        <w:rPr>
          <w:rFonts w:eastAsia="標楷體"/>
          <w:sz w:val="36"/>
          <w:szCs w:val="36"/>
        </w:rPr>
      </w:pPr>
    </w:p>
    <w:p w:rsidR="00E15544" w:rsidRPr="00E255A1" w:rsidRDefault="00E15544">
      <w:pPr>
        <w:jc w:val="center"/>
        <w:rPr>
          <w:rFonts w:eastAsia="標楷體"/>
          <w:sz w:val="36"/>
          <w:szCs w:val="36"/>
        </w:rPr>
      </w:pPr>
    </w:p>
    <w:p w:rsidR="00E15544" w:rsidRPr="00E255A1" w:rsidRDefault="004C5877" w:rsidP="005E24EE">
      <w:pPr>
        <w:pageBreakBefore/>
        <w:widowControl/>
        <w:jc w:val="center"/>
      </w:pPr>
      <w:r w:rsidRPr="00E255A1">
        <w:rPr>
          <w:rFonts w:eastAsia="標楷體"/>
          <w:sz w:val="36"/>
          <w:szCs w:val="36"/>
        </w:rPr>
        <w:lastRenderedPageBreak/>
        <w:t>表</w:t>
      </w:r>
      <w:r w:rsidRPr="00E255A1">
        <w:rPr>
          <w:rFonts w:eastAsia="標楷體"/>
          <w:sz w:val="36"/>
          <w:szCs w:val="36"/>
        </w:rPr>
        <w:t>4-2</w:t>
      </w:r>
      <w:r w:rsidRPr="00E255A1">
        <w:rPr>
          <w:rFonts w:eastAsia="標楷體"/>
          <w:sz w:val="36"/>
          <w:szCs w:val="36"/>
        </w:rPr>
        <w:t xml:space="preserve">　</w:t>
      </w:r>
      <w:r w:rsidR="000315AE" w:rsidRPr="00E255A1">
        <w:rPr>
          <w:rFonts w:eastAsia="標楷體" w:hint="eastAsia"/>
          <w:sz w:val="36"/>
          <w:szCs w:val="36"/>
        </w:rPr>
        <w:t>110</w:t>
      </w:r>
      <w:r w:rsidR="00197702" w:rsidRPr="00E255A1">
        <w:rPr>
          <w:rFonts w:eastAsia="標楷體"/>
          <w:sz w:val="36"/>
          <w:szCs w:val="36"/>
        </w:rPr>
        <w:t>年</w:t>
      </w:r>
      <w:r w:rsidR="004F7F39" w:rsidRPr="00E255A1">
        <w:rPr>
          <w:rFonts w:eastAsia="標楷體" w:hint="eastAsia"/>
          <w:sz w:val="36"/>
          <w:szCs w:val="36"/>
        </w:rPr>
        <w:t>1</w:t>
      </w:r>
      <w:r w:rsidR="00C04696">
        <w:rPr>
          <w:rFonts w:eastAsia="標楷體" w:hint="eastAsia"/>
          <w:sz w:val="36"/>
          <w:szCs w:val="36"/>
        </w:rPr>
        <w:t>-7</w:t>
      </w:r>
      <w:r w:rsidR="002362D1" w:rsidRPr="00E255A1">
        <w:rPr>
          <w:rFonts w:eastAsia="標楷體"/>
          <w:sz w:val="36"/>
          <w:szCs w:val="36"/>
        </w:rPr>
        <w:t>月</w:t>
      </w:r>
      <w:r w:rsidRPr="00E255A1">
        <w:rPr>
          <w:rFonts w:eastAsia="標楷體"/>
          <w:sz w:val="36"/>
          <w:szCs w:val="36"/>
        </w:rPr>
        <w:t>對中國大陸投資前五大地區統計表</w:t>
      </w:r>
    </w:p>
    <w:p w:rsidR="00E15544" w:rsidRPr="00E255A1" w:rsidRDefault="004C5877">
      <w:pPr>
        <w:ind w:right="480" w:firstLine="6720"/>
      </w:pPr>
      <w:r w:rsidRPr="00E255A1">
        <w:rPr>
          <w:rFonts w:eastAsia="標楷體"/>
        </w:rPr>
        <w:t xml:space="preserve">　</w:t>
      </w:r>
      <w:r w:rsidRPr="00E255A1">
        <w:rPr>
          <w:rFonts w:eastAsia="標楷體"/>
          <w:sz w:val="22"/>
          <w:szCs w:val="22"/>
        </w:rPr>
        <w:t>單位：千美元；％</w:t>
      </w:r>
    </w:p>
    <w:tbl>
      <w:tblPr>
        <w:tblW w:w="780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378"/>
        <w:gridCol w:w="992"/>
        <w:gridCol w:w="1350"/>
        <w:gridCol w:w="1560"/>
        <w:gridCol w:w="1368"/>
        <w:gridCol w:w="1152"/>
      </w:tblGrid>
      <w:tr w:rsidR="00E15544" w:rsidRPr="00E255A1" w:rsidTr="004E60C4">
        <w:trPr>
          <w:cantSplit/>
          <w:jc w:val="center"/>
        </w:trPr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9A3D55" w:rsidP="009A3D55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地區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件數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金額</w:t>
            </w:r>
          </w:p>
          <w:p w:rsidR="00E15544" w:rsidRPr="00E255A1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（比重）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去年同期</w:t>
            </w:r>
          </w:p>
          <w:p w:rsidR="00E15544" w:rsidRPr="00E255A1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金額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與去年同期比較</w:t>
            </w:r>
          </w:p>
        </w:tc>
      </w:tr>
      <w:tr w:rsidR="00E15544" w:rsidRPr="00E255A1" w:rsidTr="004E60C4">
        <w:trPr>
          <w:cantSplit/>
          <w:jc w:val="center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E15544">
            <w:pPr>
              <w:pStyle w:val="a3"/>
              <w:spacing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E15544">
            <w:pPr>
              <w:pStyle w:val="a3"/>
              <w:spacing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E15544">
            <w:pPr>
              <w:pStyle w:val="a3"/>
              <w:spacing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E15544">
            <w:pPr>
              <w:pStyle w:val="a3"/>
              <w:spacing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金額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成長率</w:t>
            </w:r>
          </w:p>
        </w:tc>
      </w:tr>
      <w:tr w:rsidR="00C04696" w:rsidRPr="00E255A1" w:rsidTr="004E60C4">
        <w:trPr>
          <w:jc w:val="center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696" w:rsidRPr="00C04696" w:rsidRDefault="00C04696" w:rsidP="00C046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4696">
              <w:rPr>
                <w:rFonts w:ascii="標楷體" w:eastAsia="標楷體" w:hAnsi="標楷體" w:hint="eastAsia"/>
                <w:szCs w:val="24"/>
              </w:rPr>
              <w:t>江蘇省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696" w:rsidRPr="00C04696" w:rsidRDefault="00C04696" w:rsidP="00C04696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4696">
              <w:rPr>
                <w:rFonts w:ascii="Times New Roman" w:hAnsi="Times New Roman"/>
                <w:sz w:val="22"/>
                <w:szCs w:val="22"/>
              </w:rPr>
              <w:t xml:space="preserve">49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696" w:rsidRDefault="00C04696" w:rsidP="00C04696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4696">
              <w:rPr>
                <w:rFonts w:ascii="Times New Roman" w:hAnsi="Times New Roman"/>
                <w:sz w:val="22"/>
                <w:szCs w:val="22"/>
              </w:rPr>
              <w:t>730,206</w:t>
            </w:r>
          </w:p>
          <w:p w:rsidR="00C04696" w:rsidRPr="00C04696" w:rsidRDefault="00C04696" w:rsidP="00C04696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(34.53)</w:t>
            </w:r>
            <w:r w:rsidRPr="00C0469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696" w:rsidRPr="00C04696" w:rsidRDefault="00C04696" w:rsidP="00C04696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4696">
              <w:rPr>
                <w:rFonts w:ascii="Times New Roman" w:hAnsi="Times New Roman"/>
                <w:sz w:val="22"/>
                <w:szCs w:val="22"/>
              </w:rPr>
              <w:t xml:space="preserve">1,201,634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696" w:rsidRPr="00C04696" w:rsidRDefault="00C04696" w:rsidP="00C04696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4696">
              <w:rPr>
                <w:rFonts w:ascii="Times New Roman" w:hAnsi="Times New Roman"/>
                <w:sz w:val="22"/>
                <w:szCs w:val="22"/>
              </w:rPr>
              <w:t xml:space="preserve">-471,428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696" w:rsidRPr="00C04696" w:rsidRDefault="00C04696" w:rsidP="00C04696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4696">
              <w:rPr>
                <w:rFonts w:ascii="Times New Roman" w:hAnsi="Times New Roman"/>
                <w:sz w:val="22"/>
                <w:szCs w:val="22"/>
              </w:rPr>
              <w:t>-39.23</w:t>
            </w:r>
          </w:p>
        </w:tc>
      </w:tr>
      <w:tr w:rsidR="00C04696" w:rsidRPr="00E255A1" w:rsidTr="004E60C4">
        <w:trPr>
          <w:jc w:val="center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696" w:rsidRPr="00C04696" w:rsidRDefault="00C04696" w:rsidP="00C046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4696">
              <w:rPr>
                <w:rFonts w:ascii="標楷體" w:eastAsia="標楷體" w:hAnsi="標楷體" w:hint="eastAsia"/>
                <w:szCs w:val="24"/>
              </w:rPr>
              <w:t>廣東省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696" w:rsidRPr="00C04696" w:rsidRDefault="00C04696" w:rsidP="00C04696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4696">
              <w:rPr>
                <w:rFonts w:ascii="Times New Roman" w:hAnsi="Times New Roman"/>
                <w:sz w:val="22"/>
                <w:szCs w:val="22"/>
              </w:rPr>
              <w:t xml:space="preserve">46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696" w:rsidRDefault="00C04696" w:rsidP="00C04696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4696">
              <w:rPr>
                <w:rFonts w:ascii="Times New Roman" w:hAnsi="Times New Roman"/>
                <w:sz w:val="22"/>
                <w:szCs w:val="22"/>
              </w:rPr>
              <w:t>260,316</w:t>
            </w:r>
          </w:p>
          <w:p w:rsidR="00C04696" w:rsidRPr="00C04696" w:rsidRDefault="00C04696" w:rsidP="00C04696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(12.31)</w:t>
            </w:r>
            <w:r w:rsidRPr="00C0469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696" w:rsidRPr="00C04696" w:rsidRDefault="00C04696" w:rsidP="00C04696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4696">
              <w:rPr>
                <w:rFonts w:ascii="Times New Roman" w:hAnsi="Times New Roman"/>
                <w:sz w:val="22"/>
                <w:szCs w:val="22"/>
              </w:rPr>
              <w:t xml:space="preserve">213,340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696" w:rsidRPr="00C04696" w:rsidRDefault="00C04696" w:rsidP="00C04696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4696">
              <w:rPr>
                <w:rFonts w:ascii="Times New Roman" w:hAnsi="Times New Roman"/>
                <w:sz w:val="22"/>
                <w:szCs w:val="22"/>
              </w:rPr>
              <w:t xml:space="preserve">46,976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696" w:rsidRPr="00C04696" w:rsidRDefault="00C04696" w:rsidP="00C04696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4696">
              <w:rPr>
                <w:rFonts w:ascii="Times New Roman" w:hAnsi="Times New Roman"/>
                <w:sz w:val="22"/>
                <w:szCs w:val="22"/>
              </w:rPr>
              <w:t>22.02</w:t>
            </w:r>
          </w:p>
        </w:tc>
      </w:tr>
      <w:tr w:rsidR="00C04696" w:rsidRPr="00E255A1" w:rsidTr="004E60C4">
        <w:trPr>
          <w:jc w:val="center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696" w:rsidRPr="00C04696" w:rsidRDefault="00C04696" w:rsidP="00C046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4696">
              <w:rPr>
                <w:rFonts w:ascii="標楷體" w:eastAsia="標楷體" w:hAnsi="標楷體" w:hint="eastAsia"/>
                <w:szCs w:val="24"/>
              </w:rPr>
              <w:t>重慶市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696" w:rsidRPr="00C04696" w:rsidRDefault="00C04696" w:rsidP="00C04696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4696">
              <w:rPr>
                <w:rFonts w:ascii="Times New Roman" w:hAnsi="Times New Roman"/>
                <w:sz w:val="22"/>
                <w:szCs w:val="22"/>
              </w:rPr>
              <w:t xml:space="preserve">4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696" w:rsidRDefault="00C04696" w:rsidP="00C04696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4696">
              <w:rPr>
                <w:rFonts w:ascii="Times New Roman" w:hAnsi="Times New Roman"/>
                <w:sz w:val="22"/>
                <w:szCs w:val="22"/>
              </w:rPr>
              <w:t>224,395</w:t>
            </w:r>
          </w:p>
          <w:p w:rsidR="00C04696" w:rsidRPr="00C04696" w:rsidRDefault="00C04696" w:rsidP="00C04696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(10.61)</w:t>
            </w:r>
            <w:r w:rsidRPr="00C0469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696" w:rsidRPr="00C04696" w:rsidRDefault="00C04696" w:rsidP="00C04696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4696">
              <w:rPr>
                <w:rFonts w:ascii="Times New Roman" w:hAnsi="Times New Roman"/>
                <w:sz w:val="22"/>
                <w:szCs w:val="22"/>
              </w:rPr>
              <w:t xml:space="preserve">38,811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696" w:rsidRPr="00C04696" w:rsidRDefault="00C04696" w:rsidP="00C04696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4696">
              <w:rPr>
                <w:rFonts w:ascii="Times New Roman" w:hAnsi="Times New Roman"/>
                <w:sz w:val="22"/>
                <w:szCs w:val="22"/>
              </w:rPr>
              <w:t xml:space="preserve">185,584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696" w:rsidRPr="00C04696" w:rsidRDefault="00C04696" w:rsidP="00C04696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4696">
              <w:rPr>
                <w:rFonts w:ascii="Times New Roman" w:hAnsi="Times New Roman"/>
                <w:sz w:val="22"/>
                <w:szCs w:val="22"/>
              </w:rPr>
              <w:t>478.1</w:t>
            </w:r>
          </w:p>
        </w:tc>
      </w:tr>
      <w:tr w:rsidR="00C04696" w:rsidRPr="00E255A1" w:rsidTr="004E60C4">
        <w:trPr>
          <w:jc w:val="center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696" w:rsidRPr="00C04696" w:rsidRDefault="00C04696" w:rsidP="00C046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4696">
              <w:rPr>
                <w:rFonts w:ascii="標楷體" w:eastAsia="標楷體" w:hAnsi="標楷體" w:hint="eastAsia"/>
                <w:szCs w:val="24"/>
              </w:rPr>
              <w:t>浙江省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696" w:rsidRPr="00C04696" w:rsidRDefault="00C04696" w:rsidP="00C04696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4696">
              <w:rPr>
                <w:rFonts w:ascii="Times New Roman" w:hAnsi="Times New Roman"/>
                <w:sz w:val="22"/>
                <w:szCs w:val="22"/>
              </w:rPr>
              <w:t xml:space="preserve">12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696" w:rsidRDefault="00C04696" w:rsidP="00C04696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4696">
              <w:rPr>
                <w:rFonts w:ascii="Times New Roman" w:hAnsi="Times New Roman"/>
                <w:sz w:val="22"/>
                <w:szCs w:val="22"/>
              </w:rPr>
              <w:t>171,849</w:t>
            </w:r>
          </w:p>
          <w:p w:rsidR="00C04696" w:rsidRPr="00C04696" w:rsidRDefault="00C04696" w:rsidP="00C04696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(8.13)</w:t>
            </w:r>
            <w:r w:rsidRPr="00C0469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696" w:rsidRPr="00C04696" w:rsidRDefault="00C04696" w:rsidP="00C04696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4696">
              <w:rPr>
                <w:rFonts w:ascii="Times New Roman" w:hAnsi="Times New Roman"/>
                <w:sz w:val="22"/>
                <w:szCs w:val="22"/>
              </w:rPr>
              <w:t xml:space="preserve">262,140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696" w:rsidRPr="00C04696" w:rsidRDefault="00C04696" w:rsidP="00C04696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4696">
              <w:rPr>
                <w:rFonts w:ascii="Times New Roman" w:hAnsi="Times New Roman"/>
                <w:sz w:val="22"/>
                <w:szCs w:val="22"/>
              </w:rPr>
              <w:t xml:space="preserve">-90,291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696" w:rsidRPr="00C04696" w:rsidRDefault="00C04696" w:rsidP="00C04696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4696">
              <w:rPr>
                <w:rFonts w:ascii="Times New Roman" w:hAnsi="Times New Roman"/>
                <w:sz w:val="22"/>
                <w:szCs w:val="22"/>
              </w:rPr>
              <w:t>-34.44</w:t>
            </w:r>
          </w:p>
        </w:tc>
      </w:tr>
      <w:tr w:rsidR="00C04696" w:rsidRPr="00E255A1" w:rsidTr="004E60C4">
        <w:trPr>
          <w:jc w:val="center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696" w:rsidRPr="00C04696" w:rsidRDefault="00C04696" w:rsidP="00C046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4696">
              <w:rPr>
                <w:rFonts w:ascii="標楷體" w:eastAsia="標楷體" w:hAnsi="標楷體" w:hint="eastAsia"/>
                <w:szCs w:val="24"/>
              </w:rPr>
              <w:t>安徽省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696" w:rsidRPr="00C04696" w:rsidRDefault="00C04696" w:rsidP="00C04696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4696">
              <w:rPr>
                <w:rFonts w:ascii="Times New Roman" w:hAnsi="Times New Roman"/>
                <w:sz w:val="22"/>
                <w:szCs w:val="22"/>
              </w:rPr>
              <w:t xml:space="preserve">11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696" w:rsidRDefault="00C04696" w:rsidP="00C04696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4696">
              <w:rPr>
                <w:rFonts w:ascii="Times New Roman" w:hAnsi="Times New Roman"/>
                <w:sz w:val="22"/>
                <w:szCs w:val="22"/>
              </w:rPr>
              <w:t>169,701</w:t>
            </w:r>
          </w:p>
          <w:p w:rsidR="00C04696" w:rsidRPr="00C04696" w:rsidRDefault="00C04696" w:rsidP="00C04696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(8.03)</w:t>
            </w:r>
            <w:r w:rsidRPr="00C0469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696" w:rsidRPr="00C04696" w:rsidRDefault="00C04696" w:rsidP="00C04696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4696">
              <w:rPr>
                <w:rFonts w:ascii="Times New Roman" w:hAnsi="Times New Roman"/>
                <w:sz w:val="22"/>
                <w:szCs w:val="22"/>
              </w:rPr>
              <w:t xml:space="preserve">46,389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696" w:rsidRPr="00C04696" w:rsidRDefault="00C04696" w:rsidP="00C04696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4696">
              <w:rPr>
                <w:rFonts w:ascii="Times New Roman" w:hAnsi="Times New Roman"/>
                <w:sz w:val="22"/>
                <w:szCs w:val="22"/>
              </w:rPr>
              <w:t xml:space="preserve">123,313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696" w:rsidRPr="00C04696" w:rsidRDefault="00C04696" w:rsidP="00C04696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4696">
              <w:rPr>
                <w:rFonts w:ascii="Times New Roman" w:hAnsi="Times New Roman"/>
                <w:sz w:val="22"/>
                <w:szCs w:val="22"/>
              </w:rPr>
              <w:t>265.82</w:t>
            </w:r>
          </w:p>
        </w:tc>
      </w:tr>
      <w:tr w:rsidR="006B21D6" w:rsidRPr="00E255A1" w:rsidTr="00E15544">
        <w:trPr>
          <w:cantSplit/>
          <w:jc w:val="center"/>
        </w:trPr>
        <w:tc>
          <w:tcPr>
            <w:tcW w:w="7800" w:type="dxa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21D6" w:rsidRPr="00E255A1" w:rsidRDefault="006B21D6">
            <w:pPr>
              <w:rPr>
                <w:rFonts w:eastAsia="標楷體"/>
              </w:rPr>
            </w:pPr>
          </w:p>
        </w:tc>
      </w:tr>
    </w:tbl>
    <w:p w:rsidR="00E15544" w:rsidRPr="00E255A1" w:rsidRDefault="00E15544" w:rsidP="006B21D6">
      <w:pPr>
        <w:rPr>
          <w:rFonts w:eastAsia="標楷體"/>
          <w:sz w:val="36"/>
          <w:szCs w:val="36"/>
        </w:rPr>
      </w:pPr>
    </w:p>
    <w:p w:rsidR="00E15544" w:rsidRPr="00E255A1" w:rsidRDefault="00E15544">
      <w:pPr>
        <w:jc w:val="center"/>
        <w:rPr>
          <w:rFonts w:eastAsia="標楷體"/>
          <w:sz w:val="36"/>
          <w:szCs w:val="36"/>
        </w:rPr>
      </w:pPr>
    </w:p>
    <w:p w:rsidR="00E15544" w:rsidRPr="00E255A1" w:rsidRDefault="004C5877" w:rsidP="00197702">
      <w:pPr>
        <w:jc w:val="center"/>
        <w:rPr>
          <w:rFonts w:eastAsia="標楷體"/>
          <w:sz w:val="36"/>
          <w:szCs w:val="36"/>
        </w:rPr>
      </w:pPr>
      <w:r w:rsidRPr="00E255A1">
        <w:rPr>
          <w:rFonts w:eastAsia="標楷體"/>
          <w:sz w:val="36"/>
          <w:szCs w:val="36"/>
        </w:rPr>
        <w:t>表</w:t>
      </w:r>
      <w:r w:rsidRPr="00E255A1">
        <w:rPr>
          <w:rFonts w:eastAsia="標楷體"/>
          <w:sz w:val="36"/>
          <w:szCs w:val="36"/>
        </w:rPr>
        <w:t>4-3</w:t>
      </w:r>
      <w:r w:rsidRPr="00E255A1">
        <w:rPr>
          <w:rFonts w:eastAsia="標楷體"/>
          <w:sz w:val="36"/>
          <w:szCs w:val="36"/>
        </w:rPr>
        <w:t xml:space="preserve">　</w:t>
      </w:r>
      <w:r w:rsidR="000315AE" w:rsidRPr="00E255A1">
        <w:rPr>
          <w:rFonts w:eastAsia="標楷體" w:hint="eastAsia"/>
          <w:sz w:val="36"/>
          <w:szCs w:val="36"/>
        </w:rPr>
        <w:t>110</w:t>
      </w:r>
      <w:r w:rsidR="00197702" w:rsidRPr="00E255A1">
        <w:rPr>
          <w:rFonts w:eastAsia="標楷體"/>
          <w:sz w:val="36"/>
          <w:szCs w:val="36"/>
        </w:rPr>
        <w:t>年</w:t>
      </w:r>
      <w:r w:rsidR="000315AE" w:rsidRPr="00E255A1">
        <w:rPr>
          <w:rFonts w:eastAsia="標楷體" w:hint="eastAsia"/>
          <w:sz w:val="36"/>
          <w:szCs w:val="36"/>
        </w:rPr>
        <w:t>1</w:t>
      </w:r>
      <w:r w:rsidR="00C04696">
        <w:rPr>
          <w:rFonts w:eastAsia="標楷體" w:hint="eastAsia"/>
          <w:sz w:val="36"/>
          <w:szCs w:val="36"/>
        </w:rPr>
        <w:t>-7</w:t>
      </w:r>
      <w:r w:rsidR="002362D1" w:rsidRPr="00E255A1">
        <w:rPr>
          <w:rFonts w:eastAsia="標楷體"/>
          <w:sz w:val="36"/>
          <w:szCs w:val="36"/>
        </w:rPr>
        <w:t>月</w:t>
      </w:r>
      <w:r w:rsidRPr="00E255A1">
        <w:rPr>
          <w:rFonts w:eastAsia="標楷體"/>
          <w:sz w:val="36"/>
          <w:szCs w:val="36"/>
        </w:rPr>
        <w:t>對中國大陸投資前五大業別統計表</w:t>
      </w:r>
    </w:p>
    <w:p w:rsidR="00E15544" w:rsidRPr="00E255A1" w:rsidRDefault="004C5877">
      <w:pPr>
        <w:ind w:firstLine="6600"/>
        <w:rPr>
          <w:rFonts w:eastAsia="標楷體"/>
          <w:sz w:val="22"/>
          <w:szCs w:val="22"/>
        </w:rPr>
      </w:pPr>
      <w:r w:rsidRPr="00E255A1">
        <w:rPr>
          <w:rFonts w:eastAsia="標楷體"/>
          <w:sz w:val="22"/>
          <w:szCs w:val="22"/>
        </w:rPr>
        <w:t xml:space="preserve">　單位：千美元；％</w:t>
      </w:r>
    </w:p>
    <w:tbl>
      <w:tblPr>
        <w:tblW w:w="769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06"/>
        <w:gridCol w:w="813"/>
        <w:gridCol w:w="1299"/>
        <w:gridCol w:w="1560"/>
        <w:gridCol w:w="1248"/>
        <w:gridCol w:w="1272"/>
      </w:tblGrid>
      <w:tr w:rsidR="00E15544" w:rsidRPr="00E255A1" w:rsidTr="004E60C4">
        <w:trPr>
          <w:cantSplit/>
          <w:jc w:val="center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F60374" w:rsidP="00F60374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 w:hint="eastAsia"/>
                <w:sz w:val="22"/>
                <w:szCs w:val="22"/>
              </w:rPr>
              <w:t>行業</w:t>
            </w:r>
          </w:p>
        </w:tc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件數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金額</w:t>
            </w:r>
          </w:p>
          <w:p w:rsidR="00E15544" w:rsidRPr="00E255A1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（比重）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去年同期</w:t>
            </w:r>
          </w:p>
          <w:p w:rsidR="00E15544" w:rsidRPr="00E255A1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金額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與去年同期比較</w:t>
            </w:r>
          </w:p>
        </w:tc>
      </w:tr>
      <w:tr w:rsidR="00E15544" w:rsidRPr="00E255A1" w:rsidTr="004E60C4">
        <w:trPr>
          <w:cantSplit/>
          <w:trHeight w:val="635"/>
          <w:jc w:val="center"/>
        </w:trPr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544" w:rsidRPr="00E255A1" w:rsidRDefault="00E15544">
            <w:pPr>
              <w:pStyle w:val="a3"/>
              <w:spacing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E15544">
            <w:pPr>
              <w:pStyle w:val="a3"/>
              <w:spacing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E15544">
            <w:pPr>
              <w:pStyle w:val="a3"/>
              <w:spacing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E15544">
            <w:pPr>
              <w:pStyle w:val="a3"/>
              <w:spacing w:line="3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金額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544" w:rsidRPr="00E255A1" w:rsidRDefault="004C5877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5A1">
              <w:rPr>
                <w:rFonts w:ascii="Times New Roman" w:hAnsi="Times New Roman"/>
                <w:sz w:val="22"/>
                <w:szCs w:val="22"/>
              </w:rPr>
              <w:t>成長率</w:t>
            </w:r>
          </w:p>
        </w:tc>
      </w:tr>
      <w:tr w:rsidR="00C04696" w:rsidRPr="00E255A1" w:rsidTr="004E60C4">
        <w:trPr>
          <w:cantSplit/>
          <w:trHeight w:val="635"/>
          <w:jc w:val="center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696" w:rsidRPr="00E255A1" w:rsidRDefault="00C04696" w:rsidP="00C04696">
            <w:pPr>
              <w:rPr>
                <w:rFonts w:ascii="標楷體" w:eastAsia="標楷體" w:hAnsi="標楷體"/>
                <w:szCs w:val="24"/>
              </w:rPr>
            </w:pPr>
            <w:r w:rsidRPr="00E255A1">
              <w:rPr>
                <w:rFonts w:ascii="標楷體" w:eastAsia="標楷體" w:hAnsi="標楷體" w:hint="eastAsia"/>
                <w:szCs w:val="24"/>
              </w:rPr>
              <w:t>電腦、電子產品及光學製品製造業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696" w:rsidRPr="00C04696" w:rsidRDefault="00C04696" w:rsidP="00C04696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4696">
              <w:rPr>
                <w:rFonts w:ascii="Times New Roman" w:hAnsi="Times New Roman"/>
                <w:sz w:val="22"/>
                <w:szCs w:val="22"/>
              </w:rPr>
              <w:t xml:space="preserve">4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696" w:rsidRPr="00C04696" w:rsidRDefault="00C04696" w:rsidP="00C04696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4696">
              <w:rPr>
                <w:rFonts w:ascii="Times New Roman" w:hAnsi="Times New Roman"/>
                <w:sz w:val="22"/>
                <w:szCs w:val="22"/>
              </w:rPr>
              <w:t>448,542</w:t>
            </w:r>
          </w:p>
          <w:p w:rsidR="00C04696" w:rsidRPr="00C04696" w:rsidRDefault="00C04696" w:rsidP="00C04696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4696">
              <w:rPr>
                <w:rFonts w:ascii="Times New Roman" w:hAnsi="Times New Roman" w:hint="eastAsia"/>
                <w:sz w:val="22"/>
                <w:szCs w:val="22"/>
              </w:rPr>
              <w:t>(21.21)</w:t>
            </w:r>
            <w:r w:rsidRPr="00C0469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696" w:rsidRPr="00C04696" w:rsidRDefault="00C04696" w:rsidP="00C04696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4696">
              <w:rPr>
                <w:rFonts w:ascii="Times New Roman" w:hAnsi="Times New Roman"/>
                <w:sz w:val="22"/>
                <w:szCs w:val="22"/>
              </w:rPr>
              <w:t xml:space="preserve">301,295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696" w:rsidRPr="00C04696" w:rsidRDefault="00C04696" w:rsidP="00C04696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4696">
              <w:rPr>
                <w:rFonts w:ascii="Times New Roman" w:hAnsi="Times New Roman"/>
                <w:sz w:val="22"/>
                <w:szCs w:val="22"/>
              </w:rPr>
              <w:t xml:space="preserve">147,248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696" w:rsidRPr="00C04696" w:rsidRDefault="00C04696" w:rsidP="00C04696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4696">
              <w:rPr>
                <w:rFonts w:ascii="Times New Roman" w:hAnsi="Times New Roman"/>
                <w:sz w:val="22"/>
                <w:szCs w:val="22"/>
              </w:rPr>
              <w:t>48.87</w:t>
            </w:r>
          </w:p>
        </w:tc>
      </w:tr>
      <w:tr w:rsidR="00C04696" w:rsidRPr="00E255A1" w:rsidTr="004E60C4">
        <w:trPr>
          <w:cantSplit/>
          <w:trHeight w:val="635"/>
          <w:jc w:val="center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696" w:rsidRPr="00E255A1" w:rsidRDefault="00C04696">
            <w:pPr>
              <w:rPr>
                <w:rFonts w:ascii="標楷體" w:eastAsia="標楷體" w:hAnsi="標楷體"/>
                <w:szCs w:val="24"/>
              </w:rPr>
            </w:pPr>
            <w:r w:rsidRPr="00E255A1">
              <w:rPr>
                <w:rFonts w:ascii="標楷體" w:eastAsia="標楷體" w:hAnsi="標楷體" w:hint="eastAsia"/>
                <w:szCs w:val="24"/>
              </w:rPr>
              <w:t>電子零組件製造業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696" w:rsidRPr="00C04696" w:rsidRDefault="00C04696" w:rsidP="00C04696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4696">
              <w:rPr>
                <w:rFonts w:ascii="Times New Roman" w:hAnsi="Times New Roman"/>
                <w:sz w:val="22"/>
                <w:szCs w:val="22"/>
              </w:rPr>
              <w:t xml:space="preserve">28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696" w:rsidRPr="00C04696" w:rsidRDefault="00C04696" w:rsidP="00C04696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4696">
              <w:rPr>
                <w:rFonts w:ascii="Times New Roman" w:hAnsi="Times New Roman"/>
                <w:sz w:val="22"/>
                <w:szCs w:val="22"/>
              </w:rPr>
              <w:t>410,572</w:t>
            </w:r>
          </w:p>
          <w:p w:rsidR="00C04696" w:rsidRPr="00C04696" w:rsidRDefault="00C04696" w:rsidP="00C04696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4696">
              <w:rPr>
                <w:rFonts w:ascii="Times New Roman" w:hAnsi="Times New Roman" w:hint="eastAsia"/>
                <w:sz w:val="22"/>
                <w:szCs w:val="22"/>
              </w:rPr>
              <w:t>(19.42)</w:t>
            </w:r>
            <w:r w:rsidRPr="00C0469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696" w:rsidRPr="00C04696" w:rsidRDefault="00C04696" w:rsidP="00C04696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4696">
              <w:rPr>
                <w:rFonts w:ascii="Times New Roman" w:hAnsi="Times New Roman"/>
                <w:sz w:val="22"/>
                <w:szCs w:val="22"/>
              </w:rPr>
              <w:t xml:space="preserve">1,214,367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696" w:rsidRPr="00C04696" w:rsidRDefault="00C04696" w:rsidP="00C04696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4696">
              <w:rPr>
                <w:rFonts w:ascii="Times New Roman" w:hAnsi="Times New Roman"/>
                <w:sz w:val="22"/>
                <w:szCs w:val="22"/>
              </w:rPr>
              <w:t xml:space="preserve">-803,795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696" w:rsidRPr="00C04696" w:rsidRDefault="00C04696" w:rsidP="00C04696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4696">
              <w:rPr>
                <w:rFonts w:ascii="Times New Roman" w:hAnsi="Times New Roman"/>
                <w:sz w:val="22"/>
                <w:szCs w:val="22"/>
              </w:rPr>
              <w:t>-66.19</w:t>
            </w:r>
          </w:p>
        </w:tc>
      </w:tr>
      <w:tr w:rsidR="00C04696" w:rsidRPr="00E255A1" w:rsidTr="004E60C4">
        <w:trPr>
          <w:cantSplit/>
          <w:trHeight w:val="635"/>
          <w:jc w:val="center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696" w:rsidRPr="00E255A1" w:rsidRDefault="00C04696">
            <w:pPr>
              <w:rPr>
                <w:rFonts w:ascii="標楷體" w:eastAsia="標楷體" w:hAnsi="標楷體"/>
                <w:szCs w:val="24"/>
              </w:rPr>
            </w:pPr>
            <w:r w:rsidRPr="00E255A1">
              <w:rPr>
                <w:rFonts w:ascii="標楷體" w:eastAsia="標楷體" w:hAnsi="標楷體" w:hint="eastAsia"/>
                <w:szCs w:val="24"/>
              </w:rPr>
              <w:t>批發及零售業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696" w:rsidRPr="00C04696" w:rsidRDefault="00C04696" w:rsidP="00C04696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4696">
              <w:rPr>
                <w:rFonts w:ascii="Times New Roman" w:hAnsi="Times New Roman"/>
                <w:sz w:val="22"/>
                <w:szCs w:val="22"/>
              </w:rPr>
              <w:t xml:space="preserve">70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696" w:rsidRPr="00C04696" w:rsidRDefault="00C04696" w:rsidP="00C04696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4696">
              <w:rPr>
                <w:rFonts w:ascii="Times New Roman" w:hAnsi="Times New Roman"/>
                <w:sz w:val="22"/>
                <w:szCs w:val="22"/>
              </w:rPr>
              <w:t>328,450</w:t>
            </w:r>
          </w:p>
          <w:p w:rsidR="00C04696" w:rsidRPr="00C04696" w:rsidRDefault="00C04696" w:rsidP="00C04696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4696">
              <w:rPr>
                <w:rFonts w:ascii="Times New Roman" w:hAnsi="Times New Roman" w:hint="eastAsia"/>
                <w:sz w:val="22"/>
                <w:szCs w:val="22"/>
              </w:rPr>
              <w:t>(15.53)</w:t>
            </w:r>
            <w:r w:rsidRPr="00C0469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696" w:rsidRPr="00C04696" w:rsidRDefault="00C04696" w:rsidP="00C04696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4696">
              <w:rPr>
                <w:rFonts w:ascii="Times New Roman" w:hAnsi="Times New Roman"/>
                <w:sz w:val="22"/>
                <w:szCs w:val="22"/>
              </w:rPr>
              <w:t xml:space="preserve">907,071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696" w:rsidRPr="00C04696" w:rsidRDefault="00C04696" w:rsidP="00C04696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4696">
              <w:rPr>
                <w:rFonts w:ascii="Times New Roman" w:hAnsi="Times New Roman"/>
                <w:sz w:val="22"/>
                <w:szCs w:val="22"/>
              </w:rPr>
              <w:t xml:space="preserve">-578,621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696" w:rsidRPr="00C04696" w:rsidRDefault="00C04696" w:rsidP="00C04696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4696">
              <w:rPr>
                <w:rFonts w:ascii="Times New Roman" w:hAnsi="Times New Roman"/>
                <w:sz w:val="22"/>
                <w:szCs w:val="22"/>
              </w:rPr>
              <w:t>-63.79</w:t>
            </w:r>
          </w:p>
        </w:tc>
      </w:tr>
      <w:tr w:rsidR="00C04696" w:rsidRPr="00E255A1" w:rsidTr="004E60C4">
        <w:trPr>
          <w:cantSplit/>
          <w:trHeight w:val="635"/>
          <w:jc w:val="center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696" w:rsidRPr="00E255A1" w:rsidRDefault="00C04696">
            <w:pPr>
              <w:rPr>
                <w:rFonts w:ascii="標楷體" w:eastAsia="標楷體" w:hAnsi="標楷體"/>
                <w:szCs w:val="24"/>
              </w:rPr>
            </w:pPr>
            <w:r w:rsidRPr="00E255A1">
              <w:rPr>
                <w:rFonts w:ascii="標楷體" w:eastAsia="標楷體" w:hAnsi="標楷體" w:hint="eastAsia"/>
                <w:szCs w:val="24"/>
              </w:rPr>
              <w:t>機械設備製造業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696" w:rsidRPr="00C04696" w:rsidRDefault="00C04696" w:rsidP="00C04696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4696">
              <w:rPr>
                <w:rFonts w:ascii="Times New Roman" w:hAnsi="Times New Roman"/>
                <w:sz w:val="22"/>
                <w:szCs w:val="22"/>
              </w:rPr>
              <w:t xml:space="preserve">13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696" w:rsidRPr="00C04696" w:rsidRDefault="00C04696" w:rsidP="00C04696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4696">
              <w:rPr>
                <w:rFonts w:ascii="Times New Roman" w:hAnsi="Times New Roman"/>
                <w:sz w:val="22"/>
                <w:szCs w:val="22"/>
              </w:rPr>
              <w:t>96,212</w:t>
            </w:r>
          </w:p>
          <w:p w:rsidR="00C04696" w:rsidRPr="00C04696" w:rsidRDefault="00C04696" w:rsidP="00C04696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4696">
              <w:rPr>
                <w:rFonts w:ascii="Times New Roman" w:hAnsi="Times New Roman" w:hint="eastAsia"/>
                <w:sz w:val="22"/>
                <w:szCs w:val="22"/>
              </w:rPr>
              <w:t>(4.55)</w:t>
            </w:r>
            <w:r w:rsidRPr="00C0469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696" w:rsidRPr="00C04696" w:rsidRDefault="00C04696" w:rsidP="00C04696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4696">
              <w:rPr>
                <w:rFonts w:ascii="Times New Roman" w:hAnsi="Times New Roman"/>
                <w:sz w:val="22"/>
                <w:szCs w:val="22"/>
              </w:rPr>
              <w:t xml:space="preserve">51,676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696" w:rsidRPr="00C04696" w:rsidRDefault="00C04696" w:rsidP="00C04696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4696">
              <w:rPr>
                <w:rFonts w:ascii="Times New Roman" w:hAnsi="Times New Roman"/>
                <w:sz w:val="22"/>
                <w:szCs w:val="22"/>
              </w:rPr>
              <w:t xml:space="preserve">44,536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696" w:rsidRPr="00C04696" w:rsidRDefault="00C04696" w:rsidP="00C04696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4696">
              <w:rPr>
                <w:rFonts w:ascii="Times New Roman" w:hAnsi="Times New Roman"/>
                <w:sz w:val="22"/>
                <w:szCs w:val="22"/>
              </w:rPr>
              <w:t>86.18</w:t>
            </w:r>
          </w:p>
        </w:tc>
      </w:tr>
      <w:tr w:rsidR="00C04696" w:rsidRPr="00E255A1" w:rsidTr="004E60C4">
        <w:trPr>
          <w:cantSplit/>
          <w:trHeight w:val="635"/>
          <w:jc w:val="center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696" w:rsidRPr="00E255A1" w:rsidRDefault="00C04696">
            <w:pPr>
              <w:rPr>
                <w:rFonts w:ascii="標楷體" w:eastAsia="標楷體" w:hAnsi="標楷體"/>
                <w:szCs w:val="24"/>
              </w:rPr>
            </w:pPr>
            <w:r w:rsidRPr="00E255A1">
              <w:rPr>
                <w:rFonts w:ascii="標楷體" w:eastAsia="標楷體" w:hAnsi="標楷體" w:hint="eastAsia"/>
                <w:szCs w:val="24"/>
              </w:rPr>
              <w:t>電力設備製造業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696" w:rsidRPr="00C04696" w:rsidRDefault="00C04696" w:rsidP="00C04696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4696">
              <w:rPr>
                <w:rFonts w:ascii="Times New Roman" w:hAnsi="Times New Roman"/>
                <w:sz w:val="22"/>
                <w:szCs w:val="22"/>
              </w:rPr>
              <w:t xml:space="preserve">4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696" w:rsidRPr="00C04696" w:rsidRDefault="00C04696" w:rsidP="00C04696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4696">
              <w:rPr>
                <w:rFonts w:ascii="Times New Roman" w:hAnsi="Times New Roman"/>
                <w:sz w:val="22"/>
                <w:szCs w:val="22"/>
              </w:rPr>
              <w:t>85,755</w:t>
            </w:r>
          </w:p>
          <w:p w:rsidR="00C04696" w:rsidRPr="00C04696" w:rsidRDefault="00C04696" w:rsidP="00C04696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4696">
              <w:rPr>
                <w:rFonts w:ascii="Times New Roman" w:hAnsi="Times New Roman" w:hint="eastAsia"/>
                <w:sz w:val="22"/>
                <w:szCs w:val="22"/>
              </w:rPr>
              <w:t>(4.06)</w:t>
            </w:r>
            <w:r w:rsidRPr="00C0469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696" w:rsidRPr="00C04696" w:rsidRDefault="00C04696" w:rsidP="00C04696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4696">
              <w:rPr>
                <w:rFonts w:ascii="Times New Roman" w:hAnsi="Times New Roman"/>
                <w:sz w:val="22"/>
                <w:szCs w:val="22"/>
              </w:rPr>
              <w:t xml:space="preserve">82,771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696" w:rsidRPr="00C04696" w:rsidRDefault="00C04696" w:rsidP="00C04696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4696">
              <w:rPr>
                <w:rFonts w:ascii="Times New Roman" w:hAnsi="Times New Roman"/>
                <w:sz w:val="22"/>
                <w:szCs w:val="22"/>
              </w:rPr>
              <w:t xml:space="preserve">2,984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696" w:rsidRPr="00C04696" w:rsidRDefault="00C04696" w:rsidP="00C04696">
            <w:pPr>
              <w:pStyle w:val="a3"/>
              <w:spacing w:line="4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4696">
              <w:rPr>
                <w:rFonts w:ascii="Times New Roman" w:hAnsi="Times New Roman"/>
                <w:sz w:val="22"/>
                <w:szCs w:val="22"/>
              </w:rPr>
              <w:t>3.61</w:t>
            </w:r>
          </w:p>
        </w:tc>
      </w:tr>
    </w:tbl>
    <w:p w:rsidR="00E64D3C" w:rsidRPr="00E255A1" w:rsidRDefault="00E64D3C" w:rsidP="00BB6AE6">
      <w:pPr>
        <w:tabs>
          <w:tab w:val="left" w:pos="600"/>
        </w:tabs>
        <w:snapToGrid w:val="0"/>
        <w:spacing w:after="188"/>
        <w:ind w:firstLine="811"/>
        <w:contextualSpacing/>
        <w:jc w:val="both"/>
      </w:pPr>
    </w:p>
    <w:sectPr w:rsidR="00E64D3C" w:rsidRPr="00E255A1" w:rsidSect="00E15544">
      <w:footerReference w:type="default" r:id="rId9"/>
      <w:pgSz w:w="11907" w:h="16840"/>
      <w:pgMar w:top="1474" w:right="1021" w:bottom="1474" w:left="1021" w:header="851" w:footer="992" w:gutter="0"/>
      <w:cols w:space="720"/>
      <w:docGrid w:type="lines" w:linePitch="4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4E2" w:rsidRDefault="003664E2" w:rsidP="00E15544">
      <w:r>
        <w:separator/>
      </w:r>
    </w:p>
  </w:endnote>
  <w:endnote w:type="continuationSeparator" w:id="0">
    <w:p w:rsidR="003664E2" w:rsidRDefault="003664E2" w:rsidP="00E15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E51" w:rsidRDefault="00443D1B">
    <w:pPr>
      <w:pStyle w:val="a5"/>
      <w:jc w:val="right"/>
    </w:pPr>
    <w:r>
      <w:rPr>
        <w:lang w:val="zh-TW"/>
      </w:rPr>
      <w:fldChar w:fldCharType="begin"/>
    </w:r>
    <w:r w:rsidR="00244E51"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FF1F3C">
      <w:rPr>
        <w:noProof/>
        <w:lang w:val="zh-TW"/>
      </w:rPr>
      <w:t>7</w:t>
    </w:r>
    <w:r>
      <w:rPr>
        <w:lang w:val="zh-TW"/>
      </w:rPr>
      <w:fldChar w:fldCharType="end"/>
    </w:r>
  </w:p>
  <w:p w:rsidR="00244E51" w:rsidRDefault="00244E5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E51" w:rsidRDefault="00443D1B">
    <w:pPr>
      <w:pStyle w:val="a5"/>
      <w:jc w:val="right"/>
    </w:pPr>
    <w:r>
      <w:rPr>
        <w:lang w:val="zh-TW"/>
      </w:rPr>
      <w:fldChar w:fldCharType="begin"/>
    </w:r>
    <w:r w:rsidR="00244E51"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FF1F3C">
      <w:rPr>
        <w:noProof/>
        <w:lang w:val="zh-TW"/>
      </w:rPr>
      <w:t>14</w:t>
    </w:r>
    <w:r>
      <w:rPr>
        <w:lang w:val="zh-TW"/>
      </w:rPr>
      <w:fldChar w:fldCharType="end"/>
    </w:r>
  </w:p>
  <w:p w:rsidR="00244E51" w:rsidRDefault="00244E5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4E2" w:rsidRDefault="003664E2" w:rsidP="00E15544">
      <w:r w:rsidRPr="00E15544">
        <w:rPr>
          <w:color w:val="000000"/>
        </w:rPr>
        <w:separator/>
      </w:r>
    </w:p>
  </w:footnote>
  <w:footnote w:type="continuationSeparator" w:id="0">
    <w:p w:rsidR="003664E2" w:rsidRDefault="003664E2" w:rsidP="00E155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519"/>
    <w:multiLevelType w:val="hybridMultilevel"/>
    <w:tmpl w:val="2F2279A6"/>
    <w:lvl w:ilvl="0" w:tplc="3724BA00">
      <w:start w:val="1"/>
      <w:numFmt w:val="taiwaneseCountingThousand"/>
      <w:lvlText w:val="(%1)"/>
      <w:lvlJc w:val="left"/>
      <w:pPr>
        <w:ind w:left="189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5" w:hanging="480"/>
      </w:pPr>
    </w:lvl>
    <w:lvl w:ilvl="2" w:tplc="0409001B" w:tentative="1">
      <w:start w:val="1"/>
      <w:numFmt w:val="lowerRoman"/>
      <w:lvlText w:val="%3."/>
      <w:lvlJc w:val="right"/>
      <w:pPr>
        <w:ind w:left="2855" w:hanging="480"/>
      </w:pPr>
    </w:lvl>
    <w:lvl w:ilvl="3" w:tplc="0409000F" w:tentative="1">
      <w:start w:val="1"/>
      <w:numFmt w:val="decimal"/>
      <w:lvlText w:val="%4."/>
      <w:lvlJc w:val="left"/>
      <w:pPr>
        <w:ind w:left="3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5" w:hanging="480"/>
      </w:pPr>
    </w:lvl>
    <w:lvl w:ilvl="5" w:tplc="0409001B" w:tentative="1">
      <w:start w:val="1"/>
      <w:numFmt w:val="lowerRoman"/>
      <w:lvlText w:val="%6."/>
      <w:lvlJc w:val="right"/>
      <w:pPr>
        <w:ind w:left="4295" w:hanging="480"/>
      </w:pPr>
    </w:lvl>
    <w:lvl w:ilvl="6" w:tplc="0409000F" w:tentative="1">
      <w:start w:val="1"/>
      <w:numFmt w:val="decimal"/>
      <w:lvlText w:val="%7."/>
      <w:lvlJc w:val="left"/>
      <w:pPr>
        <w:ind w:left="4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5" w:hanging="480"/>
      </w:pPr>
    </w:lvl>
    <w:lvl w:ilvl="8" w:tplc="0409001B" w:tentative="1">
      <w:start w:val="1"/>
      <w:numFmt w:val="lowerRoman"/>
      <w:lvlText w:val="%9."/>
      <w:lvlJc w:val="right"/>
      <w:pPr>
        <w:ind w:left="5735" w:hanging="480"/>
      </w:pPr>
    </w:lvl>
  </w:abstractNum>
  <w:abstractNum w:abstractNumId="1">
    <w:nsid w:val="1816279C"/>
    <w:multiLevelType w:val="hybridMultilevel"/>
    <w:tmpl w:val="7B7A7EB2"/>
    <w:lvl w:ilvl="0" w:tplc="4F4203A6">
      <w:start w:val="1"/>
      <w:numFmt w:val="taiwaneseCountingThousand"/>
      <w:suff w:val="nothing"/>
      <w:lvlText w:val="（%1）"/>
      <w:lvlJc w:val="left"/>
      <w:pPr>
        <w:ind w:left="43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3710E33"/>
    <w:multiLevelType w:val="hybridMultilevel"/>
    <w:tmpl w:val="C018D3EE"/>
    <w:lvl w:ilvl="0" w:tplc="806E9B98">
      <w:start w:val="1"/>
      <w:numFmt w:val="taiwaneseCountingThousand"/>
      <w:lvlText w:val="(%1)"/>
      <w:lvlJc w:val="left"/>
      <w:pPr>
        <w:ind w:left="24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6142925"/>
    <w:multiLevelType w:val="hybridMultilevel"/>
    <w:tmpl w:val="82EE526E"/>
    <w:lvl w:ilvl="0" w:tplc="A5E85D8C">
      <w:start w:val="1"/>
      <w:numFmt w:val="taiwaneseCountingThousand"/>
      <w:lvlText w:val="（%1）"/>
      <w:lvlJc w:val="left"/>
      <w:pPr>
        <w:ind w:left="147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BCF4BD7"/>
    <w:multiLevelType w:val="hybridMultilevel"/>
    <w:tmpl w:val="8988C7FE"/>
    <w:lvl w:ilvl="0" w:tplc="83224F76">
      <w:start w:val="1"/>
      <w:numFmt w:val="taiwaneseCountingThousand"/>
      <w:suff w:val="nothing"/>
      <w:lvlText w:val="（%1）"/>
      <w:lvlJc w:val="left"/>
      <w:pPr>
        <w:ind w:left="54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E955343"/>
    <w:multiLevelType w:val="hybridMultilevel"/>
    <w:tmpl w:val="D444E042"/>
    <w:lvl w:ilvl="0" w:tplc="3E0CD99C">
      <w:start w:val="1"/>
      <w:numFmt w:val="taiwaneseCountingThousand"/>
      <w:suff w:val="nothing"/>
      <w:lvlText w:val="（%1）"/>
      <w:lvlJc w:val="left"/>
      <w:pPr>
        <w:ind w:left="61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6">
    <w:nsid w:val="6F8B6740"/>
    <w:multiLevelType w:val="hybridMultilevel"/>
    <w:tmpl w:val="91063042"/>
    <w:lvl w:ilvl="0" w:tplc="D9CE411A">
      <w:start w:val="1"/>
      <w:numFmt w:val="taiwaneseCountingThousand"/>
      <w:suff w:val="nothing"/>
      <w:lvlText w:val="（%1）"/>
      <w:lvlJc w:val="left"/>
      <w:pPr>
        <w:ind w:left="445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3370" w:hanging="480"/>
      </w:pPr>
    </w:lvl>
    <w:lvl w:ilvl="2" w:tplc="0409001B">
      <w:start w:val="1"/>
      <w:numFmt w:val="lowerRoman"/>
      <w:lvlText w:val="%3."/>
      <w:lvlJc w:val="right"/>
      <w:pPr>
        <w:ind w:left="3850" w:hanging="480"/>
      </w:pPr>
    </w:lvl>
    <w:lvl w:ilvl="3" w:tplc="0409000F">
      <w:start w:val="1"/>
      <w:numFmt w:val="decimal"/>
      <w:lvlText w:val="%4."/>
      <w:lvlJc w:val="left"/>
      <w:pPr>
        <w:ind w:left="4330" w:hanging="480"/>
      </w:pPr>
    </w:lvl>
    <w:lvl w:ilvl="4" w:tplc="04090019">
      <w:start w:val="1"/>
      <w:numFmt w:val="ideographTraditional"/>
      <w:lvlText w:val="%5、"/>
      <w:lvlJc w:val="left"/>
      <w:pPr>
        <w:ind w:left="4810" w:hanging="480"/>
      </w:pPr>
    </w:lvl>
    <w:lvl w:ilvl="5" w:tplc="0409001B" w:tentative="1">
      <w:start w:val="1"/>
      <w:numFmt w:val="lowerRoman"/>
      <w:lvlText w:val="%6."/>
      <w:lvlJc w:val="right"/>
      <w:pPr>
        <w:ind w:left="5290" w:hanging="480"/>
      </w:pPr>
    </w:lvl>
    <w:lvl w:ilvl="6" w:tplc="0409000F" w:tentative="1">
      <w:start w:val="1"/>
      <w:numFmt w:val="decimal"/>
      <w:lvlText w:val="%7."/>
      <w:lvlJc w:val="left"/>
      <w:pPr>
        <w:ind w:left="5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0" w:hanging="480"/>
      </w:pPr>
    </w:lvl>
    <w:lvl w:ilvl="8" w:tplc="0409001B" w:tentative="1">
      <w:start w:val="1"/>
      <w:numFmt w:val="lowerRoman"/>
      <w:lvlText w:val="%9."/>
      <w:lvlJc w:val="right"/>
      <w:pPr>
        <w:ind w:left="6730" w:hanging="480"/>
      </w:pPr>
    </w:lvl>
  </w:abstractNum>
  <w:abstractNum w:abstractNumId="7">
    <w:nsid w:val="73A56343"/>
    <w:multiLevelType w:val="hybridMultilevel"/>
    <w:tmpl w:val="97BA55C8"/>
    <w:lvl w:ilvl="0" w:tplc="FDAA141C">
      <w:start w:val="1"/>
      <w:numFmt w:val="taiwaneseCountingThousand"/>
      <w:suff w:val="nothing"/>
      <w:lvlText w:val="（%1）"/>
      <w:lvlJc w:val="left"/>
      <w:pPr>
        <w:ind w:left="34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6DE6A6B"/>
    <w:multiLevelType w:val="hybridMultilevel"/>
    <w:tmpl w:val="B2A4C88A"/>
    <w:lvl w:ilvl="0" w:tplc="5CBE790A">
      <w:start w:val="1"/>
      <w:numFmt w:val="taiwaneseCountingThousand"/>
      <w:lvlText w:val="(%1)"/>
      <w:lvlJc w:val="left"/>
      <w:pPr>
        <w:ind w:left="1895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C8845A5"/>
    <w:multiLevelType w:val="hybridMultilevel"/>
    <w:tmpl w:val="09F6605E"/>
    <w:lvl w:ilvl="0" w:tplc="575CBF2E">
      <w:start w:val="1"/>
      <w:numFmt w:val="taiwaneseCountingThousand"/>
      <w:suff w:val="nothing"/>
      <w:lvlText w:val="（%1）"/>
      <w:lvlJc w:val="left"/>
      <w:pPr>
        <w:ind w:left="43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activeWritingStyle w:appName="MSWord" w:lang="en-US" w:vendorID="64" w:dllVersion="4096" w:nlCheck="1" w:checkStyle="0"/>
  <w:proofState w:spelling="clean" w:grammar="clean"/>
  <w:defaultTabStop w:val="480"/>
  <w:autoHyphenation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15544"/>
    <w:rsid w:val="00000B7D"/>
    <w:rsid w:val="00000B97"/>
    <w:rsid w:val="0000105C"/>
    <w:rsid w:val="0000184E"/>
    <w:rsid w:val="00001BF1"/>
    <w:rsid w:val="00001EB5"/>
    <w:rsid w:val="0000295C"/>
    <w:rsid w:val="000030BD"/>
    <w:rsid w:val="00004295"/>
    <w:rsid w:val="00005466"/>
    <w:rsid w:val="000059B8"/>
    <w:rsid w:val="00005B4B"/>
    <w:rsid w:val="0000617A"/>
    <w:rsid w:val="00006246"/>
    <w:rsid w:val="00006814"/>
    <w:rsid w:val="000069C8"/>
    <w:rsid w:val="00006F4B"/>
    <w:rsid w:val="00007166"/>
    <w:rsid w:val="0000738B"/>
    <w:rsid w:val="00007806"/>
    <w:rsid w:val="000102C7"/>
    <w:rsid w:val="00010757"/>
    <w:rsid w:val="00010B96"/>
    <w:rsid w:val="00011319"/>
    <w:rsid w:val="000115D3"/>
    <w:rsid w:val="00011F44"/>
    <w:rsid w:val="000123AA"/>
    <w:rsid w:val="00012BB2"/>
    <w:rsid w:val="000143E6"/>
    <w:rsid w:val="000146C8"/>
    <w:rsid w:val="00014A34"/>
    <w:rsid w:val="00017E91"/>
    <w:rsid w:val="00020EB7"/>
    <w:rsid w:val="00021BEF"/>
    <w:rsid w:val="00021F6F"/>
    <w:rsid w:val="00022A3E"/>
    <w:rsid w:val="00023184"/>
    <w:rsid w:val="00023AF1"/>
    <w:rsid w:val="00025223"/>
    <w:rsid w:val="00025265"/>
    <w:rsid w:val="0002629A"/>
    <w:rsid w:val="00027074"/>
    <w:rsid w:val="00027B9C"/>
    <w:rsid w:val="00030923"/>
    <w:rsid w:val="000315AE"/>
    <w:rsid w:val="000315C0"/>
    <w:rsid w:val="00031A82"/>
    <w:rsid w:val="00032999"/>
    <w:rsid w:val="00032A8D"/>
    <w:rsid w:val="0003315B"/>
    <w:rsid w:val="00033B91"/>
    <w:rsid w:val="00033FA4"/>
    <w:rsid w:val="00034398"/>
    <w:rsid w:val="00034CB9"/>
    <w:rsid w:val="00034F59"/>
    <w:rsid w:val="00037ED4"/>
    <w:rsid w:val="00037F17"/>
    <w:rsid w:val="00040736"/>
    <w:rsid w:val="0004151D"/>
    <w:rsid w:val="00042960"/>
    <w:rsid w:val="000436C8"/>
    <w:rsid w:val="00043F8F"/>
    <w:rsid w:val="0004434D"/>
    <w:rsid w:val="000451CE"/>
    <w:rsid w:val="00045891"/>
    <w:rsid w:val="00045D38"/>
    <w:rsid w:val="00050082"/>
    <w:rsid w:val="00050087"/>
    <w:rsid w:val="0005010A"/>
    <w:rsid w:val="000509BF"/>
    <w:rsid w:val="000518EA"/>
    <w:rsid w:val="00051C3D"/>
    <w:rsid w:val="00052882"/>
    <w:rsid w:val="00052ABE"/>
    <w:rsid w:val="0005461A"/>
    <w:rsid w:val="00054CD2"/>
    <w:rsid w:val="00055B92"/>
    <w:rsid w:val="00057D52"/>
    <w:rsid w:val="00057DE2"/>
    <w:rsid w:val="000604FC"/>
    <w:rsid w:val="00060710"/>
    <w:rsid w:val="00060A85"/>
    <w:rsid w:val="0006193E"/>
    <w:rsid w:val="00062120"/>
    <w:rsid w:val="00062404"/>
    <w:rsid w:val="00062A0A"/>
    <w:rsid w:val="00062C09"/>
    <w:rsid w:val="000630BC"/>
    <w:rsid w:val="000634EE"/>
    <w:rsid w:val="00063715"/>
    <w:rsid w:val="000637EF"/>
    <w:rsid w:val="00064695"/>
    <w:rsid w:val="000652CB"/>
    <w:rsid w:val="00065529"/>
    <w:rsid w:val="000657D1"/>
    <w:rsid w:val="000662B7"/>
    <w:rsid w:val="000663DE"/>
    <w:rsid w:val="00066730"/>
    <w:rsid w:val="00066CC7"/>
    <w:rsid w:val="00067D3F"/>
    <w:rsid w:val="00072475"/>
    <w:rsid w:val="00072654"/>
    <w:rsid w:val="0007483A"/>
    <w:rsid w:val="00074B2F"/>
    <w:rsid w:val="00074F5E"/>
    <w:rsid w:val="000753A7"/>
    <w:rsid w:val="00075FFA"/>
    <w:rsid w:val="000765C0"/>
    <w:rsid w:val="00077CFD"/>
    <w:rsid w:val="00077D99"/>
    <w:rsid w:val="00082B06"/>
    <w:rsid w:val="00082FF9"/>
    <w:rsid w:val="00083301"/>
    <w:rsid w:val="00083D3C"/>
    <w:rsid w:val="00084B33"/>
    <w:rsid w:val="00084C9F"/>
    <w:rsid w:val="00084F95"/>
    <w:rsid w:val="000851CC"/>
    <w:rsid w:val="0008617C"/>
    <w:rsid w:val="00086574"/>
    <w:rsid w:val="00086C2E"/>
    <w:rsid w:val="00086D9A"/>
    <w:rsid w:val="000916C1"/>
    <w:rsid w:val="00093C31"/>
    <w:rsid w:val="00094109"/>
    <w:rsid w:val="0009441E"/>
    <w:rsid w:val="000949D4"/>
    <w:rsid w:val="000952B0"/>
    <w:rsid w:val="00095DA4"/>
    <w:rsid w:val="00096655"/>
    <w:rsid w:val="00096A8A"/>
    <w:rsid w:val="00096AA0"/>
    <w:rsid w:val="00096BB0"/>
    <w:rsid w:val="00096D35"/>
    <w:rsid w:val="0009716F"/>
    <w:rsid w:val="000A195B"/>
    <w:rsid w:val="000A2979"/>
    <w:rsid w:val="000A369E"/>
    <w:rsid w:val="000A410E"/>
    <w:rsid w:val="000A413C"/>
    <w:rsid w:val="000A46E8"/>
    <w:rsid w:val="000A480C"/>
    <w:rsid w:val="000A53F4"/>
    <w:rsid w:val="000A57A7"/>
    <w:rsid w:val="000A5B46"/>
    <w:rsid w:val="000A5BFE"/>
    <w:rsid w:val="000A5BFF"/>
    <w:rsid w:val="000A67B0"/>
    <w:rsid w:val="000A6D17"/>
    <w:rsid w:val="000A76AC"/>
    <w:rsid w:val="000B0E88"/>
    <w:rsid w:val="000B0F45"/>
    <w:rsid w:val="000B190D"/>
    <w:rsid w:val="000B1C8F"/>
    <w:rsid w:val="000B20F8"/>
    <w:rsid w:val="000B2357"/>
    <w:rsid w:val="000B2423"/>
    <w:rsid w:val="000B2630"/>
    <w:rsid w:val="000B5639"/>
    <w:rsid w:val="000B6958"/>
    <w:rsid w:val="000B6A4B"/>
    <w:rsid w:val="000B6C88"/>
    <w:rsid w:val="000B7C10"/>
    <w:rsid w:val="000B7F1B"/>
    <w:rsid w:val="000C132A"/>
    <w:rsid w:val="000C2355"/>
    <w:rsid w:val="000C35E3"/>
    <w:rsid w:val="000C3A7F"/>
    <w:rsid w:val="000C3D6E"/>
    <w:rsid w:val="000C404E"/>
    <w:rsid w:val="000C66FF"/>
    <w:rsid w:val="000C708A"/>
    <w:rsid w:val="000C75DD"/>
    <w:rsid w:val="000D0148"/>
    <w:rsid w:val="000D0A19"/>
    <w:rsid w:val="000D1214"/>
    <w:rsid w:val="000D1549"/>
    <w:rsid w:val="000D166E"/>
    <w:rsid w:val="000D2251"/>
    <w:rsid w:val="000D27C7"/>
    <w:rsid w:val="000D2892"/>
    <w:rsid w:val="000D3860"/>
    <w:rsid w:val="000D3B0D"/>
    <w:rsid w:val="000D3C40"/>
    <w:rsid w:val="000D47DC"/>
    <w:rsid w:val="000D4E3B"/>
    <w:rsid w:val="000D5865"/>
    <w:rsid w:val="000D58DD"/>
    <w:rsid w:val="000D5D89"/>
    <w:rsid w:val="000D5DB3"/>
    <w:rsid w:val="000D5FD6"/>
    <w:rsid w:val="000D6535"/>
    <w:rsid w:val="000D67C7"/>
    <w:rsid w:val="000D73CD"/>
    <w:rsid w:val="000D7D50"/>
    <w:rsid w:val="000E1422"/>
    <w:rsid w:val="000E2464"/>
    <w:rsid w:val="000E29B6"/>
    <w:rsid w:val="000E353D"/>
    <w:rsid w:val="000E54FD"/>
    <w:rsid w:val="000E66F7"/>
    <w:rsid w:val="000E6F2E"/>
    <w:rsid w:val="000E77EA"/>
    <w:rsid w:val="000E7932"/>
    <w:rsid w:val="000E7D63"/>
    <w:rsid w:val="000F2B74"/>
    <w:rsid w:val="000F33C7"/>
    <w:rsid w:val="000F3454"/>
    <w:rsid w:val="000F37D0"/>
    <w:rsid w:val="000F4102"/>
    <w:rsid w:val="000F4240"/>
    <w:rsid w:val="000F4B41"/>
    <w:rsid w:val="000F4FB6"/>
    <w:rsid w:val="000F57AF"/>
    <w:rsid w:val="000F65F9"/>
    <w:rsid w:val="000F7364"/>
    <w:rsid w:val="000F767C"/>
    <w:rsid w:val="00100355"/>
    <w:rsid w:val="001003C9"/>
    <w:rsid w:val="00102A51"/>
    <w:rsid w:val="00102FB8"/>
    <w:rsid w:val="001032FC"/>
    <w:rsid w:val="00103441"/>
    <w:rsid w:val="00103A32"/>
    <w:rsid w:val="00103C31"/>
    <w:rsid w:val="0010602D"/>
    <w:rsid w:val="001062C4"/>
    <w:rsid w:val="00106C4E"/>
    <w:rsid w:val="00106DA3"/>
    <w:rsid w:val="00110745"/>
    <w:rsid w:val="00110D08"/>
    <w:rsid w:val="001113D7"/>
    <w:rsid w:val="00111F95"/>
    <w:rsid w:val="001135CC"/>
    <w:rsid w:val="001137BC"/>
    <w:rsid w:val="00113AB8"/>
    <w:rsid w:val="0011409D"/>
    <w:rsid w:val="001140BA"/>
    <w:rsid w:val="001140BE"/>
    <w:rsid w:val="00114A98"/>
    <w:rsid w:val="00115152"/>
    <w:rsid w:val="001151AB"/>
    <w:rsid w:val="001152D6"/>
    <w:rsid w:val="001155EE"/>
    <w:rsid w:val="00115A3B"/>
    <w:rsid w:val="00115F17"/>
    <w:rsid w:val="0011642A"/>
    <w:rsid w:val="001179B5"/>
    <w:rsid w:val="00120100"/>
    <w:rsid w:val="00120865"/>
    <w:rsid w:val="00120FF6"/>
    <w:rsid w:val="0012168A"/>
    <w:rsid w:val="00121887"/>
    <w:rsid w:val="00122D7F"/>
    <w:rsid w:val="0012300F"/>
    <w:rsid w:val="00123A47"/>
    <w:rsid w:val="00123D26"/>
    <w:rsid w:val="00124907"/>
    <w:rsid w:val="0012510C"/>
    <w:rsid w:val="001251FD"/>
    <w:rsid w:val="0012545B"/>
    <w:rsid w:val="001257A4"/>
    <w:rsid w:val="00125C64"/>
    <w:rsid w:val="00126A39"/>
    <w:rsid w:val="00126D7E"/>
    <w:rsid w:val="00126F82"/>
    <w:rsid w:val="001273CB"/>
    <w:rsid w:val="00127898"/>
    <w:rsid w:val="00130616"/>
    <w:rsid w:val="0013139D"/>
    <w:rsid w:val="00132C8E"/>
    <w:rsid w:val="00132DA9"/>
    <w:rsid w:val="001339A5"/>
    <w:rsid w:val="001339EA"/>
    <w:rsid w:val="00133B5A"/>
    <w:rsid w:val="001345A9"/>
    <w:rsid w:val="00134CD5"/>
    <w:rsid w:val="00135766"/>
    <w:rsid w:val="00135E25"/>
    <w:rsid w:val="00135F44"/>
    <w:rsid w:val="0013600B"/>
    <w:rsid w:val="00136112"/>
    <w:rsid w:val="00136A6A"/>
    <w:rsid w:val="0013729A"/>
    <w:rsid w:val="00137786"/>
    <w:rsid w:val="00137E5B"/>
    <w:rsid w:val="001402C6"/>
    <w:rsid w:val="0014050C"/>
    <w:rsid w:val="0014071A"/>
    <w:rsid w:val="00140F8B"/>
    <w:rsid w:val="00140F8D"/>
    <w:rsid w:val="00141238"/>
    <w:rsid w:val="0014307D"/>
    <w:rsid w:val="001439EA"/>
    <w:rsid w:val="001451C9"/>
    <w:rsid w:val="00145570"/>
    <w:rsid w:val="00145FB7"/>
    <w:rsid w:val="00146802"/>
    <w:rsid w:val="001468C0"/>
    <w:rsid w:val="0014691B"/>
    <w:rsid w:val="00146A02"/>
    <w:rsid w:val="00146AF1"/>
    <w:rsid w:val="00146EFF"/>
    <w:rsid w:val="00146F6A"/>
    <w:rsid w:val="00147683"/>
    <w:rsid w:val="00147783"/>
    <w:rsid w:val="00147A79"/>
    <w:rsid w:val="00150507"/>
    <w:rsid w:val="001505DA"/>
    <w:rsid w:val="00150A5B"/>
    <w:rsid w:val="00150C70"/>
    <w:rsid w:val="00151941"/>
    <w:rsid w:val="00151E39"/>
    <w:rsid w:val="0015241A"/>
    <w:rsid w:val="00153B66"/>
    <w:rsid w:val="00153FB1"/>
    <w:rsid w:val="00154059"/>
    <w:rsid w:val="001545B2"/>
    <w:rsid w:val="00154774"/>
    <w:rsid w:val="00154EF3"/>
    <w:rsid w:val="00156066"/>
    <w:rsid w:val="001564AC"/>
    <w:rsid w:val="0015689B"/>
    <w:rsid w:val="00156F9A"/>
    <w:rsid w:val="001571F3"/>
    <w:rsid w:val="00157274"/>
    <w:rsid w:val="001579E8"/>
    <w:rsid w:val="0016047E"/>
    <w:rsid w:val="001607E3"/>
    <w:rsid w:val="001609EF"/>
    <w:rsid w:val="00161914"/>
    <w:rsid w:val="0016351C"/>
    <w:rsid w:val="001635B0"/>
    <w:rsid w:val="001636B1"/>
    <w:rsid w:val="001638AD"/>
    <w:rsid w:val="001643D8"/>
    <w:rsid w:val="00164F5A"/>
    <w:rsid w:val="001653D3"/>
    <w:rsid w:val="001662A3"/>
    <w:rsid w:val="00166671"/>
    <w:rsid w:val="001677A0"/>
    <w:rsid w:val="0017073F"/>
    <w:rsid w:val="00170E2E"/>
    <w:rsid w:val="00171162"/>
    <w:rsid w:val="0017161C"/>
    <w:rsid w:val="00171DAA"/>
    <w:rsid w:val="0017432E"/>
    <w:rsid w:val="00174DB4"/>
    <w:rsid w:val="00175AFE"/>
    <w:rsid w:val="001767A5"/>
    <w:rsid w:val="001770D8"/>
    <w:rsid w:val="00177D4B"/>
    <w:rsid w:val="00180500"/>
    <w:rsid w:val="00180BAB"/>
    <w:rsid w:val="00181615"/>
    <w:rsid w:val="00181E34"/>
    <w:rsid w:val="00181EC4"/>
    <w:rsid w:val="00181F8B"/>
    <w:rsid w:val="0018211C"/>
    <w:rsid w:val="001835B6"/>
    <w:rsid w:val="00183849"/>
    <w:rsid w:val="00183E3D"/>
    <w:rsid w:val="00184166"/>
    <w:rsid w:val="00184228"/>
    <w:rsid w:val="001845B5"/>
    <w:rsid w:val="001848AC"/>
    <w:rsid w:val="0018575A"/>
    <w:rsid w:val="00185A66"/>
    <w:rsid w:val="001862B9"/>
    <w:rsid w:val="0018642E"/>
    <w:rsid w:val="00187846"/>
    <w:rsid w:val="00190A70"/>
    <w:rsid w:val="00191157"/>
    <w:rsid w:val="00191CF4"/>
    <w:rsid w:val="00191FD8"/>
    <w:rsid w:val="001920EB"/>
    <w:rsid w:val="0019258F"/>
    <w:rsid w:val="00192DE1"/>
    <w:rsid w:val="00192F23"/>
    <w:rsid w:val="001945E5"/>
    <w:rsid w:val="00195776"/>
    <w:rsid w:val="00195C21"/>
    <w:rsid w:val="00197702"/>
    <w:rsid w:val="00197739"/>
    <w:rsid w:val="001A003C"/>
    <w:rsid w:val="001A085B"/>
    <w:rsid w:val="001A085C"/>
    <w:rsid w:val="001A0B83"/>
    <w:rsid w:val="001A17E5"/>
    <w:rsid w:val="001A202C"/>
    <w:rsid w:val="001A20F1"/>
    <w:rsid w:val="001A2EA2"/>
    <w:rsid w:val="001A4445"/>
    <w:rsid w:val="001A4A14"/>
    <w:rsid w:val="001A4B65"/>
    <w:rsid w:val="001A562D"/>
    <w:rsid w:val="001A6000"/>
    <w:rsid w:val="001A6B39"/>
    <w:rsid w:val="001B0AF3"/>
    <w:rsid w:val="001B0BEE"/>
    <w:rsid w:val="001B12F4"/>
    <w:rsid w:val="001B166A"/>
    <w:rsid w:val="001B2148"/>
    <w:rsid w:val="001B2234"/>
    <w:rsid w:val="001B31BE"/>
    <w:rsid w:val="001B3A74"/>
    <w:rsid w:val="001B3CAF"/>
    <w:rsid w:val="001B44FA"/>
    <w:rsid w:val="001B4614"/>
    <w:rsid w:val="001B4D4D"/>
    <w:rsid w:val="001B59DD"/>
    <w:rsid w:val="001B5FC5"/>
    <w:rsid w:val="001B636C"/>
    <w:rsid w:val="001B651D"/>
    <w:rsid w:val="001B696E"/>
    <w:rsid w:val="001C1154"/>
    <w:rsid w:val="001C11EA"/>
    <w:rsid w:val="001C162B"/>
    <w:rsid w:val="001C16F2"/>
    <w:rsid w:val="001C1A01"/>
    <w:rsid w:val="001C2B9A"/>
    <w:rsid w:val="001C39F8"/>
    <w:rsid w:val="001C3EEF"/>
    <w:rsid w:val="001C3FBE"/>
    <w:rsid w:val="001C4287"/>
    <w:rsid w:val="001C5CD3"/>
    <w:rsid w:val="001C6728"/>
    <w:rsid w:val="001C6F9F"/>
    <w:rsid w:val="001C71D8"/>
    <w:rsid w:val="001C7C09"/>
    <w:rsid w:val="001D0096"/>
    <w:rsid w:val="001D02DD"/>
    <w:rsid w:val="001D04AB"/>
    <w:rsid w:val="001D0629"/>
    <w:rsid w:val="001D096D"/>
    <w:rsid w:val="001D1F5D"/>
    <w:rsid w:val="001D2734"/>
    <w:rsid w:val="001D287C"/>
    <w:rsid w:val="001D2BB1"/>
    <w:rsid w:val="001D2CC9"/>
    <w:rsid w:val="001D30F1"/>
    <w:rsid w:val="001D329F"/>
    <w:rsid w:val="001D3BDD"/>
    <w:rsid w:val="001D4123"/>
    <w:rsid w:val="001D414B"/>
    <w:rsid w:val="001D4528"/>
    <w:rsid w:val="001D4E59"/>
    <w:rsid w:val="001D5C5C"/>
    <w:rsid w:val="001D636C"/>
    <w:rsid w:val="001E0894"/>
    <w:rsid w:val="001E0DE2"/>
    <w:rsid w:val="001E1A49"/>
    <w:rsid w:val="001E1CF6"/>
    <w:rsid w:val="001E2130"/>
    <w:rsid w:val="001E214D"/>
    <w:rsid w:val="001E264D"/>
    <w:rsid w:val="001E26D4"/>
    <w:rsid w:val="001E2A52"/>
    <w:rsid w:val="001E36B8"/>
    <w:rsid w:val="001E3BB8"/>
    <w:rsid w:val="001E43E5"/>
    <w:rsid w:val="001E43FD"/>
    <w:rsid w:val="001E5917"/>
    <w:rsid w:val="001E5B3C"/>
    <w:rsid w:val="001E65DA"/>
    <w:rsid w:val="001E6AF5"/>
    <w:rsid w:val="001E79F0"/>
    <w:rsid w:val="001F066F"/>
    <w:rsid w:val="001F0A75"/>
    <w:rsid w:val="001F0D43"/>
    <w:rsid w:val="001F0DB7"/>
    <w:rsid w:val="001F17A1"/>
    <w:rsid w:val="001F2AB6"/>
    <w:rsid w:val="001F2B56"/>
    <w:rsid w:val="001F3845"/>
    <w:rsid w:val="001F38FB"/>
    <w:rsid w:val="001F4B3B"/>
    <w:rsid w:val="001F5A04"/>
    <w:rsid w:val="001F5D82"/>
    <w:rsid w:val="001F6538"/>
    <w:rsid w:val="001F6CB8"/>
    <w:rsid w:val="001F74EE"/>
    <w:rsid w:val="002007D2"/>
    <w:rsid w:val="0020099A"/>
    <w:rsid w:val="0020144D"/>
    <w:rsid w:val="002021D6"/>
    <w:rsid w:val="00202763"/>
    <w:rsid w:val="00202B02"/>
    <w:rsid w:val="002031B0"/>
    <w:rsid w:val="0020332E"/>
    <w:rsid w:val="002034A2"/>
    <w:rsid w:val="00204FEE"/>
    <w:rsid w:val="002061E5"/>
    <w:rsid w:val="00207AD1"/>
    <w:rsid w:val="002101A2"/>
    <w:rsid w:val="0021051A"/>
    <w:rsid w:val="002107B1"/>
    <w:rsid w:val="00210812"/>
    <w:rsid w:val="00211769"/>
    <w:rsid w:val="00212ECA"/>
    <w:rsid w:val="00212FB6"/>
    <w:rsid w:val="00213984"/>
    <w:rsid w:val="00213A15"/>
    <w:rsid w:val="00213B12"/>
    <w:rsid w:val="00213DE3"/>
    <w:rsid w:val="00215445"/>
    <w:rsid w:val="002156F9"/>
    <w:rsid w:val="002170D0"/>
    <w:rsid w:val="002171E3"/>
    <w:rsid w:val="002209E1"/>
    <w:rsid w:val="002219C4"/>
    <w:rsid w:val="00221CA8"/>
    <w:rsid w:val="002224E7"/>
    <w:rsid w:val="002227D2"/>
    <w:rsid w:val="00222B3A"/>
    <w:rsid w:val="00223546"/>
    <w:rsid w:val="00223BE6"/>
    <w:rsid w:val="0022470D"/>
    <w:rsid w:val="002254E8"/>
    <w:rsid w:val="0022589C"/>
    <w:rsid w:val="00225EF2"/>
    <w:rsid w:val="00226490"/>
    <w:rsid w:val="00227286"/>
    <w:rsid w:val="0023073C"/>
    <w:rsid w:val="0023074F"/>
    <w:rsid w:val="00230BAC"/>
    <w:rsid w:val="00230E8D"/>
    <w:rsid w:val="00231045"/>
    <w:rsid w:val="002314F1"/>
    <w:rsid w:val="00231A61"/>
    <w:rsid w:val="00231ABE"/>
    <w:rsid w:val="002329B5"/>
    <w:rsid w:val="00232C99"/>
    <w:rsid w:val="00233209"/>
    <w:rsid w:val="00233F0E"/>
    <w:rsid w:val="0023479D"/>
    <w:rsid w:val="0023511D"/>
    <w:rsid w:val="00235C12"/>
    <w:rsid w:val="002362D1"/>
    <w:rsid w:val="002365FB"/>
    <w:rsid w:val="00236690"/>
    <w:rsid w:val="0023688C"/>
    <w:rsid w:val="002369CD"/>
    <w:rsid w:val="002373AB"/>
    <w:rsid w:val="00237771"/>
    <w:rsid w:val="00240588"/>
    <w:rsid w:val="002407E4"/>
    <w:rsid w:val="002421B2"/>
    <w:rsid w:val="00242DDB"/>
    <w:rsid w:val="002439B3"/>
    <w:rsid w:val="00243D27"/>
    <w:rsid w:val="00244AC9"/>
    <w:rsid w:val="00244E51"/>
    <w:rsid w:val="002453D8"/>
    <w:rsid w:val="002478F1"/>
    <w:rsid w:val="00247D7B"/>
    <w:rsid w:val="002508F6"/>
    <w:rsid w:val="00250AA9"/>
    <w:rsid w:val="00251CEB"/>
    <w:rsid w:val="002529D6"/>
    <w:rsid w:val="002546F5"/>
    <w:rsid w:val="00254C5F"/>
    <w:rsid w:val="002553FC"/>
    <w:rsid w:val="00255BC2"/>
    <w:rsid w:val="00255CA7"/>
    <w:rsid w:val="002579BC"/>
    <w:rsid w:val="00257ACF"/>
    <w:rsid w:val="00257C58"/>
    <w:rsid w:val="00260885"/>
    <w:rsid w:val="00261780"/>
    <w:rsid w:val="00261EE7"/>
    <w:rsid w:val="00262F24"/>
    <w:rsid w:val="0026352A"/>
    <w:rsid w:val="002637C9"/>
    <w:rsid w:val="00263893"/>
    <w:rsid w:val="00263F53"/>
    <w:rsid w:val="00264DF1"/>
    <w:rsid w:val="002659AF"/>
    <w:rsid w:val="002665CA"/>
    <w:rsid w:val="00266DE3"/>
    <w:rsid w:val="002673D2"/>
    <w:rsid w:val="00267820"/>
    <w:rsid w:val="0026784C"/>
    <w:rsid w:val="00270733"/>
    <w:rsid w:val="00270A04"/>
    <w:rsid w:val="00270A42"/>
    <w:rsid w:val="00270C93"/>
    <w:rsid w:val="00270D19"/>
    <w:rsid w:val="00270D27"/>
    <w:rsid w:val="00271741"/>
    <w:rsid w:val="00271B97"/>
    <w:rsid w:val="00271E7F"/>
    <w:rsid w:val="00272777"/>
    <w:rsid w:val="0027369C"/>
    <w:rsid w:val="002739F7"/>
    <w:rsid w:val="00274000"/>
    <w:rsid w:val="0027404E"/>
    <w:rsid w:val="00275839"/>
    <w:rsid w:val="00275C11"/>
    <w:rsid w:val="00275C3F"/>
    <w:rsid w:val="0027763E"/>
    <w:rsid w:val="002777C9"/>
    <w:rsid w:val="002779AE"/>
    <w:rsid w:val="002779BE"/>
    <w:rsid w:val="002779E8"/>
    <w:rsid w:val="002800B0"/>
    <w:rsid w:val="002804F9"/>
    <w:rsid w:val="002806F2"/>
    <w:rsid w:val="002808B9"/>
    <w:rsid w:val="00281400"/>
    <w:rsid w:val="00281708"/>
    <w:rsid w:val="00281B29"/>
    <w:rsid w:val="00281D11"/>
    <w:rsid w:val="00282D5E"/>
    <w:rsid w:val="00282DA3"/>
    <w:rsid w:val="00283570"/>
    <w:rsid w:val="00283AA6"/>
    <w:rsid w:val="002840C7"/>
    <w:rsid w:val="002844DC"/>
    <w:rsid w:val="00284F75"/>
    <w:rsid w:val="002854DF"/>
    <w:rsid w:val="002855C7"/>
    <w:rsid w:val="00285F14"/>
    <w:rsid w:val="00285FB3"/>
    <w:rsid w:val="00286D9F"/>
    <w:rsid w:val="00286E9C"/>
    <w:rsid w:val="00290832"/>
    <w:rsid w:val="0029117E"/>
    <w:rsid w:val="00292BA3"/>
    <w:rsid w:val="00293F93"/>
    <w:rsid w:val="00296032"/>
    <w:rsid w:val="00296362"/>
    <w:rsid w:val="00296864"/>
    <w:rsid w:val="00296E4D"/>
    <w:rsid w:val="002973A2"/>
    <w:rsid w:val="0029748E"/>
    <w:rsid w:val="002975AF"/>
    <w:rsid w:val="00297A11"/>
    <w:rsid w:val="00297EE9"/>
    <w:rsid w:val="002A0AAC"/>
    <w:rsid w:val="002A1614"/>
    <w:rsid w:val="002A186E"/>
    <w:rsid w:val="002A2BF8"/>
    <w:rsid w:val="002A3691"/>
    <w:rsid w:val="002A3D42"/>
    <w:rsid w:val="002A40FC"/>
    <w:rsid w:val="002A4AF2"/>
    <w:rsid w:val="002A5110"/>
    <w:rsid w:val="002A541B"/>
    <w:rsid w:val="002A5C16"/>
    <w:rsid w:val="002A7385"/>
    <w:rsid w:val="002B0156"/>
    <w:rsid w:val="002B0785"/>
    <w:rsid w:val="002B0EE5"/>
    <w:rsid w:val="002B100D"/>
    <w:rsid w:val="002B1230"/>
    <w:rsid w:val="002B16A1"/>
    <w:rsid w:val="002B210F"/>
    <w:rsid w:val="002B362D"/>
    <w:rsid w:val="002B3EE1"/>
    <w:rsid w:val="002B4211"/>
    <w:rsid w:val="002B4AC5"/>
    <w:rsid w:val="002B53A1"/>
    <w:rsid w:val="002B56F8"/>
    <w:rsid w:val="002B6DC5"/>
    <w:rsid w:val="002B6F80"/>
    <w:rsid w:val="002B72F9"/>
    <w:rsid w:val="002C03B3"/>
    <w:rsid w:val="002C2298"/>
    <w:rsid w:val="002C3334"/>
    <w:rsid w:val="002C36E0"/>
    <w:rsid w:val="002C3B79"/>
    <w:rsid w:val="002C412F"/>
    <w:rsid w:val="002C4963"/>
    <w:rsid w:val="002C50DA"/>
    <w:rsid w:val="002C5364"/>
    <w:rsid w:val="002C64BF"/>
    <w:rsid w:val="002C6E46"/>
    <w:rsid w:val="002C6E7F"/>
    <w:rsid w:val="002C72F9"/>
    <w:rsid w:val="002C7E1E"/>
    <w:rsid w:val="002D1113"/>
    <w:rsid w:val="002D26EC"/>
    <w:rsid w:val="002D320D"/>
    <w:rsid w:val="002D3602"/>
    <w:rsid w:val="002D3AE2"/>
    <w:rsid w:val="002D3D53"/>
    <w:rsid w:val="002D3D67"/>
    <w:rsid w:val="002D431F"/>
    <w:rsid w:val="002D4962"/>
    <w:rsid w:val="002D4C8C"/>
    <w:rsid w:val="002D4F78"/>
    <w:rsid w:val="002D5641"/>
    <w:rsid w:val="002D5C00"/>
    <w:rsid w:val="002D5C31"/>
    <w:rsid w:val="002D62F3"/>
    <w:rsid w:val="002D6DEB"/>
    <w:rsid w:val="002E0545"/>
    <w:rsid w:val="002E12E6"/>
    <w:rsid w:val="002E22FF"/>
    <w:rsid w:val="002E3360"/>
    <w:rsid w:val="002E3AC9"/>
    <w:rsid w:val="002E4105"/>
    <w:rsid w:val="002E46C2"/>
    <w:rsid w:val="002E4EA4"/>
    <w:rsid w:val="002E50E1"/>
    <w:rsid w:val="002E597F"/>
    <w:rsid w:val="002E5C97"/>
    <w:rsid w:val="002E6177"/>
    <w:rsid w:val="002E6290"/>
    <w:rsid w:val="002E6BB6"/>
    <w:rsid w:val="002F251A"/>
    <w:rsid w:val="002F26D8"/>
    <w:rsid w:val="002F2876"/>
    <w:rsid w:val="002F3368"/>
    <w:rsid w:val="002F3419"/>
    <w:rsid w:val="002F3743"/>
    <w:rsid w:val="002F39D0"/>
    <w:rsid w:val="002F5843"/>
    <w:rsid w:val="002F61C4"/>
    <w:rsid w:val="002F6E71"/>
    <w:rsid w:val="00300133"/>
    <w:rsid w:val="003009A4"/>
    <w:rsid w:val="00300C9D"/>
    <w:rsid w:val="003010D8"/>
    <w:rsid w:val="00301785"/>
    <w:rsid w:val="003019AF"/>
    <w:rsid w:val="00301BCD"/>
    <w:rsid w:val="0030262A"/>
    <w:rsid w:val="00302F28"/>
    <w:rsid w:val="003033B1"/>
    <w:rsid w:val="0030358E"/>
    <w:rsid w:val="0030379A"/>
    <w:rsid w:val="00303EF5"/>
    <w:rsid w:val="003059FE"/>
    <w:rsid w:val="00306F14"/>
    <w:rsid w:val="00307375"/>
    <w:rsid w:val="00307B8B"/>
    <w:rsid w:val="003109EF"/>
    <w:rsid w:val="00310ACB"/>
    <w:rsid w:val="0031140C"/>
    <w:rsid w:val="003117E4"/>
    <w:rsid w:val="0031264E"/>
    <w:rsid w:val="00313B2C"/>
    <w:rsid w:val="00313C52"/>
    <w:rsid w:val="00313E30"/>
    <w:rsid w:val="0031407E"/>
    <w:rsid w:val="003146CE"/>
    <w:rsid w:val="00314FED"/>
    <w:rsid w:val="00315BCC"/>
    <w:rsid w:val="00315C1E"/>
    <w:rsid w:val="00317261"/>
    <w:rsid w:val="00320CE1"/>
    <w:rsid w:val="0032107E"/>
    <w:rsid w:val="00321115"/>
    <w:rsid w:val="00321409"/>
    <w:rsid w:val="00321CCE"/>
    <w:rsid w:val="00321DE1"/>
    <w:rsid w:val="00323B03"/>
    <w:rsid w:val="0032449E"/>
    <w:rsid w:val="003246E7"/>
    <w:rsid w:val="003247D0"/>
    <w:rsid w:val="00324CF1"/>
    <w:rsid w:val="00325348"/>
    <w:rsid w:val="003259DC"/>
    <w:rsid w:val="00325B07"/>
    <w:rsid w:val="00325F51"/>
    <w:rsid w:val="00326910"/>
    <w:rsid w:val="00326DFC"/>
    <w:rsid w:val="00326EF3"/>
    <w:rsid w:val="00327437"/>
    <w:rsid w:val="00327999"/>
    <w:rsid w:val="00327DE8"/>
    <w:rsid w:val="0033093B"/>
    <w:rsid w:val="00331A9A"/>
    <w:rsid w:val="00331C4E"/>
    <w:rsid w:val="003322EF"/>
    <w:rsid w:val="0033256F"/>
    <w:rsid w:val="003330B1"/>
    <w:rsid w:val="003335F3"/>
    <w:rsid w:val="003339FC"/>
    <w:rsid w:val="00333A33"/>
    <w:rsid w:val="003352A7"/>
    <w:rsid w:val="00336B84"/>
    <w:rsid w:val="00336BAE"/>
    <w:rsid w:val="00337294"/>
    <w:rsid w:val="00337792"/>
    <w:rsid w:val="00337A7C"/>
    <w:rsid w:val="0034085B"/>
    <w:rsid w:val="003423E5"/>
    <w:rsid w:val="0034274C"/>
    <w:rsid w:val="00342FDE"/>
    <w:rsid w:val="00344179"/>
    <w:rsid w:val="003442C1"/>
    <w:rsid w:val="00345168"/>
    <w:rsid w:val="0034595D"/>
    <w:rsid w:val="003473AA"/>
    <w:rsid w:val="00347B23"/>
    <w:rsid w:val="00347E86"/>
    <w:rsid w:val="003500B5"/>
    <w:rsid w:val="00352882"/>
    <w:rsid w:val="0035292F"/>
    <w:rsid w:val="00352F29"/>
    <w:rsid w:val="00353050"/>
    <w:rsid w:val="00353E99"/>
    <w:rsid w:val="00354F21"/>
    <w:rsid w:val="00355059"/>
    <w:rsid w:val="00355505"/>
    <w:rsid w:val="00355E07"/>
    <w:rsid w:val="00356972"/>
    <w:rsid w:val="0035707A"/>
    <w:rsid w:val="0035769F"/>
    <w:rsid w:val="00357F9F"/>
    <w:rsid w:val="00360719"/>
    <w:rsid w:val="00360ABC"/>
    <w:rsid w:val="00362138"/>
    <w:rsid w:val="00363404"/>
    <w:rsid w:val="00363FFB"/>
    <w:rsid w:val="00364617"/>
    <w:rsid w:val="0036602C"/>
    <w:rsid w:val="0036641D"/>
    <w:rsid w:val="003664E2"/>
    <w:rsid w:val="00366731"/>
    <w:rsid w:val="00366F60"/>
    <w:rsid w:val="00367166"/>
    <w:rsid w:val="003674A5"/>
    <w:rsid w:val="00367930"/>
    <w:rsid w:val="00367CFF"/>
    <w:rsid w:val="003707C7"/>
    <w:rsid w:val="00370CB1"/>
    <w:rsid w:val="00371486"/>
    <w:rsid w:val="00372F6C"/>
    <w:rsid w:val="003736F4"/>
    <w:rsid w:val="00374A0D"/>
    <w:rsid w:val="00374DDB"/>
    <w:rsid w:val="003757F5"/>
    <w:rsid w:val="00375B7C"/>
    <w:rsid w:val="00376019"/>
    <w:rsid w:val="00377F4F"/>
    <w:rsid w:val="00381D75"/>
    <w:rsid w:val="00382F18"/>
    <w:rsid w:val="00383933"/>
    <w:rsid w:val="00383B9B"/>
    <w:rsid w:val="00384A2E"/>
    <w:rsid w:val="00384DF5"/>
    <w:rsid w:val="00384E06"/>
    <w:rsid w:val="00385068"/>
    <w:rsid w:val="003859E3"/>
    <w:rsid w:val="00386243"/>
    <w:rsid w:val="003869AD"/>
    <w:rsid w:val="00387955"/>
    <w:rsid w:val="003903AD"/>
    <w:rsid w:val="00391450"/>
    <w:rsid w:val="00391DC5"/>
    <w:rsid w:val="003921F1"/>
    <w:rsid w:val="00393ACE"/>
    <w:rsid w:val="00393FD1"/>
    <w:rsid w:val="0039516F"/>
    <w:rsid w:val="0039532B"/>
    <w:rsid w:val="003959B7"/>
    <w:rsid w:val="00396085"/>
    <w:rsid w:val="0039645A"/>
    <w:rsid w:val="0039653E"/>
    <w:rsid w:val="00396873"/>
    <w:rsid w:val="00396C13"/>
    <w:rsid w:val="00397366"/>
    <w:rsid w:val="0039771C"/>
    <w:rsid w:val="003A0102"/>
    <w:rsid w:val="003A088C"/>
    <w:rsid w:val="003A0C72"/>
    <w:rsid w:val="003A1BC2"/>
    <w:rsid w:val="003A4D7A"/>
    <w:rsid w:val="003A4EA1"/>
    <w:rsid w:val="003A558F"/>
    <w:rsid w:val="003A5C15"/>
    <w:rsid w:val="003A659A"/>
    <w:rsid w:val="003B1763"/>
    <w:rsid w:val="003B179C"/>
    <w:rsid w:val="003B1B4B"/>
    <w:rsid w:val="003B1E8A"/>
    <w:rsid w:val="003B22D9"/>
    <w:rsid w:val="003B27A1"/>
    <w:rsid w:val="003B2D8E"/>
    <w:rsid w:val="003B3B24"/>
    <w:rsid w:val="003B4EF3"/>
    <w:rsid w:val="003B5611"/>
    <w:rsid w:val="003B56F8"/>
    <w:rsid w:val="003B5EDB"/>
    <w:rsid w:val="003B6637"/>
    <w:rsid w:val="003B6738"/>
    <w:rsid w:val="003B6AE3"/>
    <w:rsid w:val="003B6E7E"/>
    <w:rsid w:val="003B73D8"/>
    <w:rsid w:val="003C1001"/>
    <w:rsid w:val="003C1203"/>
    <w:rsid w:val="003C16D7"/>
    <w:rsid w:val="003C22F6"/>
    <w:rsid w:val="003C2769"/>
    <w:rsid w:val="003C287B"/>
    <w:rsid w:val="003C3302"/>
    <w:rsid w:val="003C37FD"/>
    <w:rsid w:val="003C6251"/>
    <w:rsid w:val="003C64A6"/>
    <w:rsid w:val="003C6E83"/>
    <w:rsid w:val="003C7685"/>
    <w:rsid w:val="003C76AC"/>
    <w:rsid w:val="003C7AF0"/>
    <w:rsid w:val="003D006F"/>
    <w:rsid w:val="003D05F0"/>
    <w:rsid w:val="003D06D3"/>
    <w:rsid w:val="003D0801"/>
    <w:rsid w:val="003D0B47"/>
    <w:rsid w:val="003D20E5"/>
    <w:rsid w:val="003D2C6F"/>
    <w:rsid w:val="003D3189"/>
    <w:rsid w:val="003D3F4D"/>
    <w:rsid w:val="003D5EAD"/>
    <w:rsid w:val="003D635F"/>
    <w:rsid w:val="003D636B"/>
    <w:rsid w:val="003D6E55"/>
    <w:rsid w:val="003E0149"/>
    <w:rsid w:val="003E0507"/>
    <w:rsid w:val="003E05F7"/>
    <w:rsid w:val="003E0E64"/>
    <w:rsid w:val="003E2E57"/>
    <w:rsid w:val="003E32CB"/>
    <w:rsid w:val="003E3A42"/>
    <w:rsid w:val="003E3DE7"/>
    <w:rsid w:val="003E42E8"/>
    <w:rsid w:val="003E47FE"/>
    <w:rsid w:val="003E4C3C"/>
    <w:rsid w:val="003E4F5C"/>
    <w:rsid w:val="003E5498"/>
    <w:rsid w:val="003E5735"/>
    <w:rsid w:val="003E5B8E"/>
    <w:rsid w:val="003E658E"/>
    <w:rsid w:val="003E6975"/>
    <w:rsid w:val="003E6FEE"/>
    <w:rsid w:val="003E720C"/>
    <w:rsid w:val="003E790F"/>
    <w:rsid w:val="003E7C7D"/>
    <w:rsid w:val="003F05AA"/>
    <w:rsid w:val="003F09C4"/>
    <w:rsid w:val="003F0FA8"/>
    <w:rsid w:val="003F11DF"/>
    <w:rsid w:val="003F1364"/>
    <w:rsid w:val="003F1610"/>
    <w:rsid w:val="003F18C9"/>
    <w:rsid w:val="003F19AB"/>
    <w:rsid w:val="003F1F66"/>
    <w:rsid w:val="003F2AC5"/>
    <w:rsid w:val="003F3253"/>
    <w:rsid w:val="003F35AD"/>
    <w:rsid w:val="003F45FD"/>
    <w:rsid w:val="003F48FD"/>
    <w:rsid w:val="003F49C7"/>
    <w:rsid w:val="003F5B74"/>
    <w:rsid w:val="003F5CCE"/>
    <w:rsid w:val="003F6EE0"/>
    <w:rsid w:val="003F70D0"/>
    <w:rsid w:val="0040040E"/>
    <w:rsid w:val="00402B72"/>
    <w:rsid w:val="00402C1D"/>
    <w:rsid w:val="00402F20"/>
    <w:rsid w:val="00403955"/>
    <w:rsid w:val="00403FC7"/>
    <w:rsid w:val="0040467D"/>
    <w:rsid w:val="0040487D"/>
    <w:rsid w:val="00404A74"/>
    <w:rsid w:val="004056EB"/>
    <w:rsid w:val="00405855"/>
    <w:rsid w:val="004061F0"/>
    <w:rsid w:val="004065E8"/>
    <w:rsid w:val="004079CF"/>
    <w:rsid w:val="00407BC2"/>
    <w:rsid w:val="00410D8C"/>
    <w:rsid w:val="00411262"/>
    <w:rsid w:val="00411542"/>
    <w:rsid w:val="00411766"/>
    <w:rsid w:val="0041206B"/>
    <w:rsid w:val="004120D9"/>
    <w:rsid w:val="0041335E"/>
    <w:rsid w:val="00413545"/>
    <w:rsid w:val="00415800"/>
    <w:rsid w:val="004164DB"/>
    <w:rsid w:val="00417B47"/>
    <w:rsid w:val="00420A99"/>
    <w:rsid w:val="00420FEE"/>
    <w:rsid w:val="00422278"/>
    <w:rsid w:val="0042245E"/>
    <w:rsid w:val="00422587"/>
    <w:rsid w:val="00423FDD"/>
    <w:rsid w:val="0042458E"/>
    <w:rsid w:val="00424949"/>
    <w:rsid w:val="004249CD"/>
    <w:rsid w:val="0042596F"/>
    <w:rsid w:val="00426F7C"/>
    <w:rsid w:val="00427181"/>
    <w:rsid w:val="00430196"/>
    <w:rsid w:val="004314AC"/>
    <w:rsid w:val="0043194B"/>
    <w:rsid w:val="004324F4"/>
    <w:rsid w:val="00433074"/>
    <w:rsid w:val="00433CE2"/>
    <w:rsid w:val="00434B87"/>
    <w:rsid w:val="004357FF"/>
    <w:rsid w:val="004359AC"/>
    <w:rsid w:val="00435A94"/>
    <w:rsid w:val="00435D45"/>
    <w:rsid w:val="0043632B"/>
    <w:rsid w:val="00436FED"/>
    <w:rsid w:val="00437965"/>
    <w:rsid w:val="004400B6"/>
    <w:rsid w:val="00440233"/>
    <w:rsid w:val="004403C6"/>
    <w:rsid w:val="0044151D"/>
    <w:rsid w:val="00442B0E"/>
    <w:rsid w:val="00442D64"/>
    <w:rsid w:val="00443D1B"/>
    <w:rsid w:val="00443F7E"/>
    <w:rsid w:val="00444519"/>
    <w:rsid w:val="004465A3"/>
    <w:rsid w:val="00446868"/>
    <w:rsid w:val="00446D09"/>
    <w:rsid w:val="00447E8B"/>
    <w:rsid w:val="00450C74"/>
    <w:rsid w:val="00451305"/>
    <w:rsid w:val="00451AC3"/>
    <w:rsid w:val="004523E1"/>
    <w:rsid w:val="00452C65"/>
    <w:rsid w:val="00453862"/>
    <w:rsid w:val="00453AF3"/>
    <w:rsid w:val="00454FA0"/>
    <w:rsid w:val="00455D66"/>
    <w:rsid w:val="00456396"/>
    <w:rsid w:val="00456775"/>
    <w:rsid w:val="00456D2C"/>
    <w:rsid w:val="0045758B"/>
    <w:rsid w:val="00457A04"/>
    <w:rsid w:val="004602EC"/>
    <w:rsid w:val="00460AC6"/>
    <w:rsid w:val="00461456"/>
    <w:rsid w:val="00461E99"/>
    <w:rsid w:val="00462BF9"/>
    <w:rsid w:val="00463A83"/>
    <w:rsid w:val="00464D04"/>
    <w:rsid w:val="00464FBE"/>
    <w:rsid w:val="0046582B"/>
    <w:rsid w:val="00465E39"/>
    <w:rsid w:val="00466181"/>
    <w:rsid w:val="00467281"/>
    <w:rsid w:val="0046759A"/>
    <w:rsid w:val="00470413"/>
    <w:rsid w:val="004704DB"/>
    <w:rsid w:val="00470E14"/>
    <w:rsid w:val="00471446"/>
    <w:rsid w:val="00472253"/>
    <w:rsid w:val="00472978"/>
    <w:rsid w:val="00473A56"/>
    <w:rsid w:val="00473E32"/>
    <w:rsid w:val="004740EC"/>
    <w:rsid w:val="00474B40"/>
    <w:rsid w:val="004760A4"/>
    <w:rsid w:val="004767E5"/>
    <w:rsid w:val="004770CA"/>
    <w:rsid w:val="00480559"/>
    <w:rsid w:val="00480DD8"/>
    <w:rsid w:val="00481F10"/>
    <w:rsid w:val="0048233C"/>
    <w:rsid w:val="004834B6"/>
    <w:rsid w:val="00483C01"/>
    <w:rsid w:val="00483C93"/>
    <w:rsid w:val="00483D61"/>
    <w:rsid w:val="004857A3"/>
    <w:rsid w:val="004860C7"/>
    <w:rsid w:val="00486549"/>
    <w:rsid w:val="0048668B"/>
    <w:rsid w:val="00487426"/>
    <w:rsid w:val="004903A5"/>
    <w:rsid w:val="0049043D"/>
    <w:rsid w:val="00490A7F"/>
    <w:rsid w:val="00490C08"/>
    <w:rsid w:val="00490E59"/>
    <w:rsid w:val="0049114E"/>
    <w:rsid w:val="00491ED5"/>
    <w:rsid w:val="004921E7"/>
    <w:rsid w:val="004929A5"/>
    <w:rsid w:val="00492C8E"/>
    <w:rsid w:val="00492E91"/>
    <w:rsid w:val="00493484"/>
    <w:rsid w:val="004942BE"/>
    <w:rsid w:val="00494A8B"/>
    <w:rsid w:val="00494ADD"/>
    <w:rsid w:val="00496830"/>
    <w:rsid w:val="004971F5"/>
    <w:rsid w:val="004976A0"/>
    <w:rsid w:val="004976D0"/>
    <w:rsid w:val="004A00B1"/>
    <w:rsid w:val="004A01BB"/>
    <w:rsid w:val="004A0A15"/>
    <w:rsid w:val="004A17A4"/>
    <w:rsid w:val="004A1B27"/>
    <w:rsid w:val="004A1CF9"/>
    <w:rsid w:val="004A1F39"/>
    <w:rsid w:val="004A243D"/>
    <w:rsid w:val="004A3304"/>
    <w:rsid w:val="004A38B1"/>
    <w:rsid w:val="004A414D"/>
    <w:rsid w:val="004A4328"/>
    <w:rsid w:val="004A4626"/>
    <w:rsid w:val="004A4BB7"/>
    <w:rsid w:val="004A544C"/>
    <w:rsid w:val="004A617E"/>
    <w:rsid w:val="004A6DC0"/>
    <w:rsid w:val="004A7880"/>
    <w:rsid w:val="004B058B"/>
    <w:rsid w:val="004B070F"/>
    <w:rsid w:val="004B0D03"/>
    <w:rsid w:val="004B24FA"/>
    <w:rsid w:val="004B2C93"/>
    <w:rsid w:val="004B317A"/>
    <w:rsid w:val="004B3766"/>
    <w:rsid w:val="004B3A4A"/>
    <w:rsid w:val="004B3E45"/>
    <w:rsid w:val="004B4BC4"/>
    <w:rsid w:val="004B4E5B"/>
    <w:rsid w:val="004B51DF"/>
    <w:rsid w:val="004B53C0"/>
    <w:rsid w:val="004B5BBF"/>
    <w:rsid w:val="004B60A6"/>
    <w:rsid w:val="004B71CB"/>
    <w:rsid w:val="004B7826"/>
    <w:rsid w:val="004B7A12"/>
    <w:rsid w:val="004B7BF2"/>
    <w:rsid w:val="004B7C39"/>
    <w:rsid w:val="004C11CB"/>
    <w:rsid w:val="004C130E"/>
    <w:rsid w:val="004C177C"/>
    <w:rsid w:val="004C2426"/>
    <w:rsid w:val="004C2524"/>
    <w:rsid w:val="004C2C87"/>
    <w:rsid w:val="004C3435"/>
    <w:rsid w:val="004C3FF2"/>
    <w:rsid w:val="004C4F50"/>
    <w:rsid w:val="004C5546"/>
    <w:rsid w:val="004C5877"/>
    <w:rsid w:val="004C5EBD"/>
    <w:rsid w:val="004C5F69"/>
    <w:rsid w:val="004C72E6"/>
    <w:rsid w:val="004C7BB6"/>
    <w:rsid w:val="004C7BEC"/>
    <w:rsid w:val="004C7D82"/>
    <w:rsid w:val="004D014C"/>
    <w:rsid w:val="004D0691"/>
    <w:rsid w:val="004D1224"/>
    <w:rsid w:val="004D1E98"/>
    <w:rsid w:val="004D2588"/>
    <w:rsid w:val="004D2B85"/>
    <w:rsid w:val="004D3111"/>
    <w:rsid w:val="004D4489"/>
    <w:rsid w:val="004D4770"/>
    <w:rsid w:val="004D4C72"/>
    <w:rsid w:val="004D4CF5"/>
    <w:rsid w:val="004D6785"/>
    <w:rsid w:val="004D67BF"/>
    <w:rsid w:val="004D67E9"/>
    <w:rsid w:val="004D68DB"/>
    <w:rsid w:val="004D6AB7"/>
    <w:rsid w:val="004D7518"/>
    <w:rsid w:val="004D7603"/>
    <w:rsid w:val="004D7CBF"/>
    <w:rsid w:val="004E1938"/>
    <w:rsid w:val="004E266B"/>
    <w:rsid w:val="004E286A"/>
    <w:rsid w:val="004E34A7"/>
    <w:rsid w:val="004E35E8"/>
    <w:rsid w:val="004E3A05"/>
    <w:rsid w:val="004E4169"/>
    <w:rsid w:val="004E5F2C"/>
    <w:rsid w:val="004E60C4"/>
    <w:rsid w:val="004E60E3"/>
    <w:rsid w:val="004E6C78"/>
    <w:rsid w:val="004E71DC"/>
    <w:rsid w:val="004E7591"/>
    <w:rsid w:val="004E7CDC"/>
    <w:rsid w:val="004F01A1"/>
    <w:rsid w:val="004F083B"/>
    <w:rsid w:val="004F0C61"/>
    <w:rsid w:val="004F0F6F"/>
    <w:rsid w:val="004F1CDC"/>
    <w:rsid w:val="004F2BA4"/>
    <w:rsid w:val="004F4165"/>
    <w:rsid w:val="004F439E"/>
    <w:rsid w:val="004F67E5"/>
    <w:rsid w:val="004F7420"/>
    <w:rsid w:val="004F7AB2"/>
    <w:rsid w:val="004F7F39"/>
    <w:rsid w:val="00500F97"/>
    <w:rsid w:val="00501084"/>
    <w:rsid w:val="005023B4"/>
    <w:rsid w:val="005034BF"/>
    <w:rsid w:val="0050426D"/>
    <w:rsid w:val="005054A6"/>
    <w:rsid w:val="00507560"/>
    <w:rsid w:val="00511CB0"/>
    <w:rsid w:val="00512637"/>
    <w:rsid w:val="00512BB8"/>
    <w:rsid w:val="00512EA6"/>
    <w:rsid w:val="00513077"/>
    <w:rsid w:val="0051381C"/>
    <w:rsid w:val="00513C60"/>
    <w:rsid w:val="0051425C"/>
    <w:rsid w:val="005151F3"/>
    <w:rsid w:val="005161DB"/>
    <w:rsid w:val="00517189"/>
    <w:rsid w:val="005173B5"/>
    <w:rsid w:val="0052078C"/>
    <w:rsid w:val="00520A44"/>
    <w:rsid w:val="005215AF"/>
    <w:rsid w:val="00521A99"/>
    <w:rsid w:val="00521CB2"/>
    <w:rsid w:val="00522F55"/>
    <w:rsid w:val="00523BC6"/>
    <w:rsid w:val="00523C28"/>
    <w:rsid w:val="00523E12"/>
    <w:rsid w:val="00525960"/>
    <w:rsid w:val="00525B0F"/>
    <w:rsid w:val="00525BEE"/>
    <w:rsid w:val="00525FEF"/>
    <w:rsid w:val="0052769D"/>
    <w:rsid w:val="005278A9"/>
    <w:rsid w:val="0053030C"/>
    <w:rsid w:val="00530422"/>
    <w:rsid w:val="00530BAB"/>
    <w:rsid w:val="00531A03"/>
    <w:rsid w:val="00531C91"/>
    <w:rsid w:val="00531D69"/>
    <w:rsid w:val="0053225F"/>
    <w:rsid w:val="00532793"/>
    <w:rsid w:val="0053350C"/>
    <w:rsid w:val="00533707"/>
    <w:rsid w:val="00533A13"/>
    <w:rsid w:val="005351D1"/>
    <w:rsid w:val="0053569D"/>
    <w:rsid w:val="00535868"/>
    <w:rsid w:val="00535BCB"/>
    <w:rsid w:val="00535DBA"/>
    <w:rsid w:val="00536190"/>
    <w:rsid w:val="00537010"/>
    <w:rsid w:val="00537F0C"/>
    <w:rsid w:val="00541418"/>
    <w:rsid w:val="00541667"/>
    <w:rsid w:val="00541F23"/>
    <w:rsid w:val="00542060"/>
    <w:rsid w:val="005422DF"/>
    <w:rsid w:val="00542D92"/>
    <w:rsid w:val="005430E7"/>
    <w:rsid w:val="00543F1B"/>
    <w:rsid w:val="005444D2"/>
    <w:rsid w:val="00545115"/>
    <w:rsid w:val="00545736"/>
    <w:rsid w:val="00545E83"/>
    <w:rsid w:val="00546FCA"/>
    <w:rsid w:val="005471D1"/>
    <w:rsid w:val="00551202"/>
    <w:rsid w:val="00551B22"/>
    <w:rsid w:val="00552226"/>
    <w:rsid w:val="00552386"/>
    <w:rsid w:val="0055260D"/>
    <w:rsid w:val="0055298C"/>
    <w:rsid w:val="00553904"/>
    <w:rsid w:val="00553E9F"/>
    <w:rsid w:val="00554120"/>
    <w:rsid w:val="0055439D"/>
    <w:rsid w:val="00555387"/>
    <w:rsid w:val="005567D1"/>
    <w:rsid w:val="00556B5E"/>
    <w:rsid w:val="00562099"/>
    <w:rsid w:val="00563204"/>
    <w:rsid w:val="00565BE7"/>
    <w:rsid w:val="00565F82"/>
    <w:rsid w:val="005662BF"/>
    <w:rsid w:val="00566445"/>
    <w:rsid w:val="005679F6"/>
    <w:rsid w:val="00571FE5"/>
    <w:rsid w:val="00572983"/>
    <w:rsid w:val="00574896"/>
    <w:rsid w:val="005754F0"/>
    <w:rsid w:val="005763FF"/>
    <w:rsid w:val="005764C1"/>
    <w:rsid w:val="0057691E"/>
    <w:rsid w:val="00576A81"/>
    <w:rsid w:val="00576E70"/>
    <w:rsid w:val="00576EA2"/>
    <w:rsid w:val="0057702C"/>
    <w:rsid w:val="0057707E"/>
    <w:rsid w:val="00577997"/>
    <w:rsid w:val="005801A4"/>
    <w:rsid w:val="00580DB2"/>
    <w:rsid w:val="005816CC"/>
    <w:rsid w:val="005825D9"/>
    <w:rsid w:val="00582670"/>
    <w:rsid w:val="00583BD1"/>
    <w:rsid w:val="00583CD7"/>
    <w:rsid w:val="005844D7"/>
    <w:rsid w:val="00584677"/>
    <w:rsid w:val="00585334"/>
    <w:rsid w:val="00586804"/>
    <w:rsid w:val="00586C3D"/>
    <w:rsid w:val="00586E0A"/>
    <w:rsid w:val="00587192"/>
    <w:rsid w:val="0059032B"/>
    <w:rsid w:val="00590662"/>
    <w:rsid w:val="005908B9"/>
    <w:rsid w:val="00590B1B"/>
    <w:rsid w:val="00592264"/>
    <w:rsid w:val="005928A0"/>
    <w:rsid w:val="00592BA8"/>
    <w:rsid w:val="00592BCF"/>
    <w:rsid w:val="0059366D"/>
    <w:rsid w:val="00594848"/>
    <w:rsid w:val="00595730"/>
    <w:rsid w:val="00597E5A"/>
    <w:rsid w:val="005A0D99"/>
    <w:rsid w:val="005A0FF2"/>
    <w:rsid w:val="005A11EB"/>
    <w:rsid w:val="005A25A5"/>
    <w:rsid w:val="005A25B1"/>
    <w:rsid w:val="005A288D"/>
    <w:rsid w:val="005A37EE"/>
    <w:rsid w:val="005A52CF"/>
    <w:rsid w:val="005A572F"/>
    <w:rsid w:val="005A59A4"/>
    <w:rsid w:val="005A7F97"/>
    <w:rsid w:val="005B0430"/>
    <w:rsid w:val="005B04DE"/>
    <w:rsid w:val="005B0624"/>
    <w:rsid w:val="005B07ED"/>
    <w:rsid w:val="005B0CDC"/>
    <w:rsid w:val="005B152B"/>
    <w:rsid w:val="005B220F"/>
    <w:rsid w:val="005B22C6"/>
    <w:rsid w:val="005B24AB"/>
    <w:rsid w:val="005B265D"/>
    <w:rsid w:val="005B29F7"/>
    <w:rsid w:val="005B3BE5"/>
    <w:rsid w:val="005B3C86"/>
    <w:rsid w:val="005B3FEA"/>
    <w:rsid w:val="005B404B"/>
    <w:rsid w:val="005B4052"/>
    <w:rsid w:val="005B457F"/>
    <w:rsid w:val="005B4EB7"/>
    <w:rsid w:val="005B5BCD"/>
    <w:rsid w:val="005B6E9B"/>
    <w:rsid w:val="005B745E"/>
    <w:rsid w:val="005C099F"/>
    <w:rsid w:val="005C0FEE"/>
    <w:rsid w:val="005C1285"/>
    <w:rsid w:val="005C223F"/>
    <w:rsid w:val="005C2261"/>
    <w:rsid w:val="005C2C59"/>
    <w:rsid w:val="005C2D94"/>
    <w:rsid w:val="005C3970"/>
    <w:rsid w:val="005C403B"/>
    <w:rsid w:val="005C41CF"/>
    <w:rsid w:val="005C4A2E"/>
    <w:rsid w:val="005C5979"/>
    <w:rsid w:val="005C7072"/>
    <w:rsid w:val="005C76CF"/>
    <w:rsid w:val="005C78D0"/>
    <w:rsid w:val="005D0331"/>
    <w:rsid w:val="005D16D4"/>
    <w:rsid w:val="005D18E3"/>
    <w:rsid w:val="005D1A68"/>
    <w:rsid w:val="005D1D4A"/>
    <w:rsid w:val="005D330F"/>
    <w:rsid w:val="005D36BA"/>
    <w:rsid w:val="005D6600"/>
    <w:rsid w:val="005D6B6F"/>
    <w:rsid w:val="005D6D70"/>
    <w:rsid w:val="005D7475"/>
    <w:rsid w:val="005D783E"/>
    <w:rsid w:val="005E01AD"/>
    <w:rsid w:val="005E1AFD"/>
    <w:rsid w:val="005E1D92"/>
    <w:rsid w:val="005E24EE"/>
    <w:rsid w:val="005E29FF"/>
    <w:rsid w:val="005E2C96"/>
    <w:rsid w:val="005E32EC"/>
    <w:rsid w:val="005E40C4"/>
    <w:rsid w:val="005E45D1"/>
    <w:rsid w:val="005E45F0"/>
    <w:rsid w:val="005E46F7"/>
    <w:rsid w:val="005E50C2"/>
    <w:rsid w:val="005E602D"/>
    <w:rsid w:val="005E687F"/>
    <w:rsid w:val="005E7CF9"/>
    <w:rsid w:val="005F08ED"/>
    <w:rsid w:val="005F12D4"/>
    <w:rsid w:val="005F1F53"/>
    <w:rsid w:val="005F2013"/>
    <w:rsid w:val="005F21AA"/>
    <w:rsid w:val="005F2955"/>
    <w:rsid w:val="005F3219"/>
    <w:rsid w:val="005F3266"/>
    <w:rsid w:val="005F3F23"/>
    <w:rsid w:val="005F4C2C"/>
    <w:rsid w:val="005F5732"/>
    <w:rsid w:val="005F5E30"/>
    <w:rsid w:val="005F659E"/>
    <w:rsid w:val="005F697F"/>
    <w:rsid w:val="005F717B"/>
    <w:rsid w:val="005F74CD"/>
    <w:rsid w:val="00600C72"/>
    <w:rsid w:val="006014D8"/>
    <w:rsid w:val="006017F0"/>
    <w:rsid w:val="00602DB4"/>
    <w:rsid w:val="00603EA5"/>
    <w:rsid w:val="006069AB"/>
    <w:rsid w:val="006070B4"/>
    <w:rsid w:val="00607447"/>
    <w:rsid w:val="00607577"/>
    <w:rsid w:val="006100EA"/>
    <w:rsid w:val="00610532"/>
    <w:rsid w:val="006108BA"/>
    <w:rsid w:val="00611419"/>
    <w:rsid w:val="00611F5E"/>
    <w:rsid w:val="00612347"/>
    <w:rsid w:val="00612A25"/>
    <w:rsid w:val="006131D5"/>
    <w:rsid w:val="006135BE"/>
    <w:rsid w:val="00613CDC"/>
    <w:rsid w:val="0061438A"/>
    <w:rsid w:val="006143EB"/>
    <w:rsid w:val="00615A39"/>
    <w:rsid w:val="00616A91"/>
    <w:rsid w:val="00616B27"/>
    <w:rsid w:val="00617731"/>
    <w:rsid w:val="00617B87"/>
    <w:rsid w:val="00617C2C"/>
    <w:rsid w:val="006206DB"/>
    <w:rsid w:val="00621110"/>
    <w:rsid w:val="006216F7"/>
    <w:rsid w:val="0062217A"/>
    <w:rsid w:val="00622774"/>
    <w:rsid w:val="00623AE2"/>
    <w:rsid w:val="00623C0E"/>
    <w:rsid w:val="00623D24"/>
    <w:rsid w:val="0062495D"/>
    <w:rsid w:val="00624CE8"/>
    <w:rsid w:val="00625A05"/>
    <w:rsid w:val="00625AD4"/>
    <w:rsid w:val="00626C66"/>
    <w:rsid w:val="0062749D"/>
    <w:rsid w:val="0062793B"/>
    <w:rsid w:val="0063115B"/>
    <w:rsid w:val="00631BB3"/>
    <w:rsid w:val="00632166"/>
    <w:rsid w:val="00634377"/>
    <w:rsid w:val="00634A2E"/>
    <w:rsid w:val="0063589D"/>
    <w:rsid w:val="00635951"/>
    <w:rsid w:val="00635E8D"/>
    <w:rsid w:val="00636123"/>
    <w:rsid w:val="00636403"/>
    <w:rsid w:val="006369F3"/>
    <w:rsid w:val="0063767A"/>
    <w:rsid w:val="00637B50"/>
    <w:rsid w:val="00640D6E"/>
    <w:rsid w:val="006410FA"/>
    <w:rsid w:val="0064139A"/>
    <w:rsid w:val="00641484"/>
    <w:rsid w:val="006417FA"/>
    <w:rsid w:val="0064279E"/>
    <w:rsid w:val="00642E60"/>
    <w:rsid w:val="00644B5A"/>
    <w:rsid w:val="00644B63"/>
    <w:rsid w:val="00645B0E"/>
    <w:rsid w:val="00646A04"/>
    <w:rsid w:val="00646A27"/>
    <w:rsid w:val="00646A78"/>
    <w:rsid w:val="00646FDF"/>
    <w:rsid w:val="0064727E"/>
    <w:rsid w:val="00647858"/>
    <w:rsid w:val="006479B0"/>
    <w:rsid w:val="00647BE6"/>
    <w:rsid w:val="00650321"/>
    <w:rsid w:val="0065180C"/>
    <w:rsid w:val="00652BCA"/>
    <w:rsid w:val="00653F53"/>
    <w:rsid w:val="00655374"/>
    <w:rsid w:val="00656F55"/>
    <w:rsid w:val="0065712C"/>
    <w:rsid w:val="006601E8"/>
    <w:rsid w:val="00661418"/>
    <w:rsid w:val="0066163A"/>
    <w:rsid w:val="006616CC"/>
    <w:rsid w:val="00661EB7"/>
    <w:rsid w:val="0066389F"/>
    <w:rsid w:val="006639DD"/>
    <w:rsid w:val="00664278"/>
    <w:rsid w:val="00664EB4"/>
    <w:rsid w:val="006650EB"/>
    <w:rsid w:val="00665827"/>
    <w:rsid w:val="00666662"/>
    <w:rsid w:val="0066708B"/>
    <w:rsid w:val="006673E1"/>
    <w:rsid w:val="006677FC"/>
    <w:rsid w:val="00670297"/>
    <w:rsid w:val="0067086B"/>
    <w:rsid w:val="00671B9A"/>
    <w:rsid w:val="00671F96"/>
    <w:rsid w:val="006721B0"/>
    <w:rsid w:val="006723C9"/>
    <w:rsid w:val="00673565"/>
    <w:rsid w:val="00673DFD"/>
    <w:rsid w:val="006743FB"/>
    <w:rsid w:val="00674927"/>
    <w:rsid w:val="00674DFC"/>
    <w:rsid w:val="006761A3"/>
    <w:rsid w:val="0067636B"/>
    <w:rsid w:val="00676806"/>
    <w:rsid w:val="006776C5"/>
    <w:rsid w:val="0067795D"/>
    <w:rsid w:val="00677B66"/>
    <w:rsid w:val="00680C94"/>
    <w:rsid w:val="006815D7"/>
    <w:rsid w:val="006828CF"/>
    <w:rsid w:val="00682982"/>
    <w:rsid w:val="00682EEF"/>
    <w:rsid w:val="00683EB6"/>
    <w:rsid w:val="0068442D"/>
    <w:rsid w:val="00684533"/>
    <w:rsid w:val="00684746"/>
    <w:rsid w:val="00684B87"/>
    <w:rsid w:val="00684BB2"/>
    <w:rsid w:val="006859F5"/>
    <w:rsid w:val="0068605F"/>
    <w:rsid w:val="00686714"/>
    <w:rsid w:val="0068676A"/>
    <w:rsid w:val="0068720F"/>
    <w:rsid w:val="00687A0D"/>
    <w:rsid w:val="00687E00"/>
    <w:rsid w:val="00690AAA"/>
    <w:rsid w:val="00690D98"/>
    <w:rsid w:val="00691B07"/>
    <w:rsid w:val="006927AA"/>
    <w:rsid w:val="006927BC"/>
    <w:rsid w:val="0069329A"/>
    <w:rsid w:val="0069345E"/>
    <w:rsid w:val="00694411"/>
    <w:rsid w:val="006947EE"/>
    <w:rsid w:val="0069568D"/>
    <w:rsid w:val="00695AC3"/>
    <w:rsid w:val="00695B2B"/>
    <w:rsid w:val="00696BAF"/>
    <w:rsid w:val="00697B0F"/>
    <w:rsid w:val="00697F14"/>
    <w:rsid w:val="006A13AE"/>
    <w:rsid w:val="006A1D3D"/>
    <w:rsid w:val="006A289A"/>
    <w:rsid w:val="006A333E"/>
    <w:rsid w:val="006A3F24"/>
    <w:rsid w:val="006A4E28"/>
    <w:rsid w:val="006A5977"/>
    <w:rsid w:val="006A66E0"/>
    <w:rsid w:val="006B0810"/>
    <w:rsid w:val="006B0835"/>
    <w:rsid w:val="006B1270"/>
    <w:rsid w:val="006B21D6"/>
    <w:rsid w:val="006B24AC"/>
    <w:rsid w:val="006B2949"/>
    <w:rsid w:val="006B36C6"/>
    <w:rsid w:val="006B3A2D"/>
    <w:rsid w:val="006B3BAA"/>
    <w:rsid w:val="006B3F8A"/>
    <w:rsid w:val="006B4151"/>
    <w:rsid w:val="006B4B15"/>
    <w:rsid w:val="006B593E"/>
    <w:rsid w:val="006B5B34"/>
    <w:rsid w:val="006B5C23"/>
    <w:rsid w:val="006B5FB1"/>
    <w:rsid w:val="006B65CA"/>
    <w:rsid w:val="006B6BA1"/>
    <w:rsid w:val="006B6DF3"/>
    <w:rsid w:val="006B6E40"/>
    <w:rsid w:val="006B7321"/>
    <w:rsid w:val="006C3146"/>
    <w:rsid w:val="006C3301"/>
    <w:rsid w:val="006C391A"/>
    <w:rsid w:val="006C3B09"/>
    <w:rsid w:val="006C6411"/>
    <w:rsid w:val="006C6480"/>
    <w:rsid w:val="006C69B0"/>
    <w:rsid w:val="006C6F5A"/>
    <w:rsid w:val="006D028B"/>
    <w:rsid w:val="006D0D6F"/>
    <w:rsid w:val="006D0D7E"/>
    <w:rsid w:val="006D1163"/>
    <w:rsid w:val="006D1B86"/>
    <w:rsid w:val="006D1FE2"/>
    <w:rsid w:val="006D200F"/>
    <w:rsid w:val="006D2616"/>
    <w:rsid w:val="006D3992"/>
    <w:rsid w:val="006D3AD1"/>
    <w:rsid w:val="006D4DD2"/>
    <w:rsid w:val="006D5003"/>
    <w:rsid w:val="006D5324"/>
    <w:rsid w:val="006D5C9A"/>
    <w:rsid w:val="006E04A5"/>
    <w:rsid w:val="006E0CF6"/>
    <w:rsid w:val="006E1670"/>
    <w:rsid w:val="006E1E7D"/>
    <w:rsid w:val="006E20FA"/>
    <w:rsid w:val="006E2724"/>
    <w:rsid w:val="006E2FAE"/>
    <w:rsid w:val="006E309B"/>
    <w:rsid w:val="006E354D"/>
    <w:rsid w:val="006E3648"/>
    <w:rsid w:val="006E3CBD"/>
    <w:rsid w:val="006E4520"/>
    <w:rsid w:val="006E4A85"/>
    <w:rsid w:val="006E4B2B"/>
    <w:rsid w:val="006E4D15"/>
    <w:rsid w:val="006E4D61"/>
    <w:rsid w:val="006E58A9"/>
    <w:rsid w:val="006E68D3"/>
    <w:rsid w:val="006E6A9D"/>
    <w:rsid w:val="006E734F"/>
    <w:rsid w:val="006F240D"/>
    <w:rsid w:val="006F25D0"/>
    <w:rsid w:val="006F2B01"/>
    <w:rsid w:val="006F406E"/>
    <w:rsid w:val="006F4631"/>
    <w:rsid w:val="006F46F1"/>
    <w:rsid w:val="006F4A7E"/>
    <w:rsid w:val="006F5913"/>
    <w:rsid w:val="006F5B83"/>
    <w:rsid w:val="006F5EF0"/>
    <w:rsid w:val="006F69EB"/>
    <w:rsid w:val="006F6F4B"/>
    <w:rsid w:val="006F7475"/>
    <w:rsid w:val="007007CB"/>
    <w:rsid w:val="00700F63"/>
    <w:rsid w:val="007016DE"/>
    <w:rsid w:val="00702197"/>
    <w:rsid w:val="00702351"/>
    <w:rsid w:val="00702823"/>
    <w:rsid w:val="00702DA1"/>
    <w:rsid w:val="00702E0B"/>
    <w:rsid w:val="00702EA4"/>
    <w:rsid w:val="00703F40"/>
    <w:rsid w:val="007042DA"/>
    <w:rsid w:val="0070530B"/>
    <w:rsid w:val="00705B8A"/>
    <w:rsid w:val="00706232"/>
    <w:rsid w:val="00706AD5"/>
    <w:rsid w:val="00706C6D"/>
    <w:rsid w:val="00706DAB"/>
    <w:rsid w:val="00706F65"/>
    <w:rsid w:val="00707557"/>
    <w:rsid w:val="007078A6"/>
    <w:rsid w:val="00710012"/>
    <w:rsid w:val="007103E5"/>
    <w:rsid w:val="00710719"/>
    <w:rsid w:val="00710BE5"/>
    <w:rsid w:val="00710C1D"/>
    <w:rsid w:val="00711B85"/>
    <w:rsid w:val="00711CF2"/>
    <w:rsid w:val="00711E69"/>
    <w:rsid w:val="00712782"/>
    <w:rsid w:val="0071287B"/>
    <w:rsid w:val="00712E6D"/>
    <w:rsid w:val="0071310B"/>
    <w:rsid w:val="00713600"/>
    <w:rsid w:val="0071436C"/>
    <w:rsid w:val="00714571"/>
    <w:rsid w:val="00715A44"/>
    <w:rsid w:val="00715A88"/>
    <w:rsid w:val="00717063"/>
    <w:rsid w:val="0071795C"/>
    <w:rsid w:val="00720A13"/>
    <w:rsid w:val="00720B9E"/>
    <w:rsid w:val="0072111B"/>
    <w:rsid w:val="0072131F"/>
    <w:rsid w:val="0072242C"/>
    <w:rsid w:val="0072244F"/>
    <w:rsid w:val="007235E8"/>
    <w:rsid w:val="007236A6"/>
    <w:rsid w:val="007243AC"/>
    <w:rsid w:val="007269B3"/>
    <w:rsid w:val="00727531"/>
    <w:rsid w:val="0072789E"/>
    <w:rsid w:val="00730875"/>
    <w:rsid w:val="00730EF4"/>
    <w:rsid w:val="00731066"/>
    <w:rsid w:val="007313A1"/>
    <w:rsid w:val="00731737"/>
    <w:rsid w:val="00731FC1"/>
    <w:rsid w:val="00732826"/>
    <w:rsid w:val="007335C7"/>
    <w:rsid w:val="0073360B"/>
    <w:rsid w:val="007336E4"/>
    <w:rsid w:val="007348F1"/>
    <w:rsid w:val="007349E6"/>
    <w:rsid w:val="00735C51"/>
    <w:rsid w:val="00736009"/>
    <w:rsid w:val="00737E63"/>
    <w:rsid w:val="00740351"/>
    <w:rsid w:val="00741870"/>
    <w:rsid w:val="00741BAB"/>
    <w:rsid w:val="007435A6"/>
    <w:rsid w:val="00743F06"/>
    <w:rsid w:val="00744473"/>
    <w:rsid w:val="00744D65"/>
    <w:rsid w:val="00745234"/>
    <w:rsid w:val="0074537A"/>
    <w:rsid w:val="00745574"/>
    <w:rsid w:val="00746549"/>
    <w:rsid w:val="00746A2C"/>
    <w:rsid w:val="00746C79"/>
    <w:rsid w:val="00747D27"/>
    <w:rsid w:val="007501C4"/>
    <w:rsid w:val="00750256"/>
    <w:rsid w:val="007505D7"/>
    <w:rsid w:val="00750624"/>
    <w:rsid w:val="00750C08"/>
    <w:rsid w:val="00750C23"/>
    <w:rsid w:val="007515FB"/>
    <w:rsid w:val="0075228C"/>
    <w:rsid w:val="00753202"/>
    <w:rsid w:val="0075361A"/>
    <w:rsid w:val="0075414D"/>
    <w:rsid w:val="00754633"/>
    <w:rsid w:val="0075474E"/>
    <w:rsid w:val="00754BE3"/>
    <w:rsid w:val="00755F54"/>
    <w:rsid w:val="00757102"/>
    <w:rsid w:val="007571B4"/>
    <w:rsid w:val="007575F8"/>
    <w:rsid w:val="007631DD"/>
    <w:rsid w:val="007635C6"/>
    <w:rsid w:val="007649E4"/>
    <w:rsid w:val="007661C4"/>
    <w:rsid w:val="00766549"/>
    <w:rsid w:val="007666B3"/>
    <w:rsid w:val="00767B92"/>
    <w:rsid w:val="00770606"/>
    <w:rsid w:val="00771724"/>
    <w:rsid w:val="007721FF"/>
    <w:rsid w:val="00774152"/>
    <w:rsid w:val="00774745"/>
    <w:rsid w:val="00774ED2"/>
    <w:rsid w:val="0077578D"/>
    <w:rsid w:val="00776209"/>
    <w:rsid w:val="007765A3"/>
    <w:rsid w:val="00780B07"/>
    <w:rsid w:val="00780F10"/>
    <w:rsid w:val="00781796"/>
    <w:rsid w:val="00781AAA"/>
    <w:rsid w:val="00781AFB"/>
    <w:rsid w:val="007826F7"/>
    <w:rsid w:val="007831C5"/>
    <w:rsid w:val="00783CE8"/>
    <w:rsid w:val="00784B9A"/>
    <w:rsid w:val="00785BDF"/>
    <w:rsid w:val="00786437"/>
    <w:rsid w:val="00786637"/>
    <w:rsid w:val="0078764E"/>
    <w:rsid w:val="007903BF"/>
    <w:rsid w:val="00790DEF"/>
    <w:rsid w:val="007910D5"/>
    <w:rsid w:val="0079181F"/>
    <w:rsid w:val="00792324"/>
    <w:rsid w:val="00792B1B"/>
    <w:rsid w:val="00793540"/>
    <w:rsid w:val="00793BF8"/>
    <w:rsid w:val="007940E5"/>
    <w:rsid w:val="0079615D"/>
    <w:rsid w:val="007961A1"/>
    <w:rsid w:val="00796F0B"/>
    <w:rsid w:val="00797216"/>
    <w:rsid w:val="007A0268"/>
    <w:rsid w:val="007A0458"/>
    <w:rsid w:val="007A06F0"/>
    <w:rsid w:val="007A0C1A"/>
    <w:rsid w:val="007A138D"/>
    <w:rsid w:val="007A170A"/>
    <w:rsid w:val="007A2196"/>
    <w:rsid w:val="007A3950"/>
    <w:rsid w:val="007A3E6D"/>
    <w:rsid w:val="007A4091"/>
    <w:rsid w:val="007A4F55"/>
    <w:rsid w:val="007A5502"/>
    <w:rsid w:val="007A5708"/>
    <w:rsid w:val="007A5A58"/>
    <w:rsid w:val="007A656C"/>
    <w:rsid w:val="007A6C16"/>
    <w:rsid w:val="007A7B7F"/>
    <w:rsid w:val="007B05DD"/>
    <w:rsid w:val="007B10DC"/>
    <w:rsid w:val="007B114C"/>
    <w:rsid w:val="007B26F8"/>
    <w:rsid w:val="007B3242"/>
    <w:rsid w:val="007B345E"/>
    <w:rsid w:val="007B35BA"/>
    <w:rsid w:val="007B3C89"/>
    <w:rsid w:val="007B53ED"/>
    <w:rsid w:val="007B5577"/>
    <w:rsid w:val="007B5A91"/>
    <w:rsid w:val="007B6BFD"/>
    <w:rsid w:val="007B6C8B"/>
    <w:rsid w:val="007B7A05"/>
    <w:rsid w:val="007C002F"/>
    <w:rsid w:val="007C00F6"/>
    <w:rsid w:val="007C1621"/>
    <w:rsid w:val="007C1662"/>
    <w:rsid w:val="007C21EE"/>
    <w:rsid w:val="007C24FB"/>
    <w:rsid w:val="007C28E0"/>
    <w:rsid w:val="007C49DD"/>
    <w:rsid w:val="007C4D85"/>
    <w:rsid w:val="007C5175"/>
    <w:rsid w:val="007C51AC"/>
    <w:rsid w:val="007C5422"/>
    <w:rsid w:val="007C5438"/>
    <w:rsid w:val="007C61A0"/>
    <w:rsid w:val="007C7438"/>
    <w:rsid w:val="007C7B88"/>
    <w:rsid w:val="007D0348"/>
    <w:rsid w:val="007D06BD"/>
    <w:rsid w:val="007D06FF"/>
    <w:rsid w:val="007D1FEB"/>
    <w:rsid w:val="007D3011"/>
    <w:rsid w:val="007D444F"/>
    <w:rsid w:val="007D4F63"/>
    <w:rsid w:val="007D508E"/>
    <w:rsid w:val="007D7E25"/>
    <w:rsid w:val="007E02B9"/>
    <w:rsid w:val="007E0A7C"/>
    <w:rsid w:val="007E1CC7"/>
    <w:rsid w:val="007E2028"/>
    <w:rsid w:val="007E20E7"/>
    <w:rsid w:val="007E36E4"/>
    <w:rsid w:val="007E37A5"/>
    <w:rsid w:val="007E3817"/>
    <w:rsid w:val="007E42D9"/>
    <w:rsid w:val="007E5B5D"/>
    <w:rsid w:val="007E5DD8"/>
    <w:rsid w:val="007E7FDC"/>
    <w:rsid w:val="007F04EE"/>
    <w:rsid w:val="007F0E25"/>
    <w:rsid w:val="007F31DF"/>
    <w:rsid w:val="007F33CC"/>
    <w:rsid w:val="007F3D3D"/>
    <w:rsid w:val="007F4144"/>
    <w:rsid w:val="007F42DC"/>
    <w:rsid w:val="007F4924"/>
    <w:rsid w:val="007F6013"/>
    <w:rsid w:val="007F670E"/>
    <w:rsid w:val="007F6F4D"/>
    <w:rsid w:val="007F75DB"/>
    <w:rsid w:val="008008A4"/>
    <w:rsid w:val="0080287F"/>
    <w:rsid w:val="00804BDB"/>
    <w:rsid w:val="008053A7"/>
    <w:rsid w:val="00806595"/>
    <w:rsid w:val="00806746"/>
    <w:rsid w:val="00806931"/>
    <w:rsid w:val="008070D9"/>
    <w:rsid w:val="0080719A"/>
    <w:rsid w:val="0080756A"/>
    <w:rsid w:val="00807766"/>
    <w:rsid w:val="00807931"/>
    <w:rsid w:val="008079CF"/>
    <w:rsid w:val="00807C97"/>
    <w:rsid w:val="00807CF7"/>
    <w:rsid w:val="008107F4"/>
    <w:rsid w:val="00810FBC"/>
    <w:rsid w:val="008110B9"/>
    <w:rsid w:val="00812168"/>
    <w:rsid w:val="00812296"/>
    <w:rsid w:val="008129EF"/>
    <w:rsid w:val="00812C43"/>
    <w:rsid w:val="00812D7E"/>
    <w:rsid w:val="00814917"/>
    <w:rsid w:val="00814AE7"/>
    <w:rsid w:val="00814FFC"/>
    <w:rsid w:val="008166B5"/>
    <w:rsid w:val="00817075"/>
    <w:rsid w:val="00817159"/>
    <w:rsid w:val="00817268"/>
    <w:rsid w:val="0081726C"/>
    <w:rsid w:val="00817586"/>
    <w:rsid w:val="00820099"/>
    <w:rsid w:val="0082025D"/>
    <w:rsid w:val="008205B6"/>
    <w:rsid w:val="00820D98"/>
    <w:rsid w:val="00820E6B"/>
    <w:rsid w:val="0082124F"/>
    <w:rsid w:val="008220EA"/>
    <w:rsid w:val="00822BA0"/>
    <w:rsid w:val="00822BA9"/>
    <w:rsid w:val="00823882"/>
    <w:rsid w:val="008241F9"/>
    <w:rsid w:val="008243A7"/>
    <w:rsid w:val="008249DD"/>
    <w:rsid w:val="00824A8E"/>
    <w:rsid w:val="008253EA"/>
    <w:rsid w:val="00825D4C"/>
    <w:rsid w:val="00825F33"/>
    <w:rsid w:val="00826983"/>
    <w:rsid w:val="00827DA3"/>
    <w:rsid w:val="008304DD"/>
    <w:rsid w:val="008308B6"/>
    <w:rsid w:val="0083175B"/>
    <w:rsid w:val="00832AB0"/>
    <w:rsid w:val="00832B62"/>
    <w:rsid w:val="00833550"/>
    <w:rsid w:val="0083465E"/>
    <w:rsid w:val="00834A60"/>
    <w:rsid w:val="0083504F"/>
    <w:rsid w:val="008361B4"/>
    <w:rsid w:val="008366AD"/>
    <w:rsid w:val="008366B2"/>
    <w:rsid w:val="008369DF"/>
    <w:rsid w:val="00837226"/>
    <w:rsid w:val="00837491"/>
    <w:rsid w:val="00837532"/>
    <w:rsid w:val="0084055E"/>
    <w:rsid w:val="0084066F"/>
    <w:rsid w:val="00840DE7"/>
    <w:rsid w:val="00841349"/>
    <w:rsid w:val="0084186F"/>
    <w:rsid w:val="00841DA5"/>
    <w:rsid w:val="00841E83"/>
    <w:rsid w:val="00841FF3"/>
    <w:rsid w:val="0084210C"/>
    <w:rsid w:val="00842413"/>
    <w:rsid w:val="008426DC"/>
    <w:rsid w:val="00843CC4"/>
    <w:rsid w:val="00843E93"/>
    <w:rsid w:val="008457D2"/>
    <w:rsid w:val="00845A60"/>
    <w:rsid w:val="00846203"/>
    <w:rsid w:val="00847CA8"/>
    <w:rsid w:val="00850331"/>
    <w:rsid w:val="00851035"/>
    <w:rsid w:val="00852595"/>
    <w:rsid w:val="00852750"/>
    <w:rsid w:val="00852EA3"/>
    <w:rsid w:val="00853BCA"/>
    <w:rsid w:val="00853E2F"/>
    <w:rsid w:val="008546C3"/>
    <w:rsid w:val="00854B9A"/>
    <w:rsid w:val="00854CA1"/>
    <w:rsid w:val="00855443"/>
    <w:rsid w:val="00855667"/>
    <w:rsid w:val="00855708"/>
    <w:rsid w:val="008566A2"/>
    <w:rsid w:val="00856832"/>
    <w:rsid w:val="00856D82"/>
    <w:rsid w:val="008573E8"/>
    <w:rsid w:val="00857515"/>
    <w:rsid w:val="00860C5E"/>
    <w:rsid w:val="00861DE8"/>
    <w:rsid w:val="008630BB"/>
    <w:rsid w:val="00863408"/>
    <w:rsid w:val="008636BF"/>
    <w:rsid w:val="00863CCE"/>
    <w:rsid w:val="00864351"/>
    <w:rsid w:val="008646EE"/>
    <w:rsid w:val="00864911"/>
    <w:rsid w:val="00864D4B"/>
    <w:rsid w:val="00865071"/>
    <w:rsid w:val="0086568E"/>
    <w:rsid w:val="00865E16"/>
    <w:rsid w:val="0086643B"/>
    <w:rsid w:val="0086732F"/>
    <w:rsid w:val="008679C3"/>
    <w:rsid w:val="00870363"/>
    <w:rsid w:val="008704EA"/>
    <w:rsid w:val="0087080E"/>
    <w:rsid w:val="008712C2"/>
    <w:rsid w:val="0087159A"/>
    <w:rsid w:val="00872053"/>
    <w:rsid w:val="008721A5"/>
    <w:rsid w:val="00873307"/>
    <w:rsid w:val="00873C7B"/>
    <w:rsid w:val="00874427"/>
    <w:rsid w:val="0087487F"/>
    <w:rsid w:val="00875ADD"/>
    <w:rsid w:val="00876FA1"/>
    <w:rsid w:val="008775A1"/>
    <w:rsid w:val="00880D41"/>
    <w:rsid w:val="00881E63"/>
    <w:rsid w:val="0088203F"/>
    <w:rsid w:val="0088239E"/>
    <w:rsid w:val="0088275C"/>
    <w:rsid w:val="0088313A"/>
    <w:rsid w:val="00883A0D"/>
    <w:rsid w:val="00884781"/>
    <w:rsid w:val="0088486E"/>
    <w:rsid w:val="008848B7"/>
    <w:rsid w:val="00885534"/>
    <w:rsid w:val="008901F1"/>
    <w:rsid w:val="00890B92"/>
    <w:rsid w:val="00890F5A"/>
    <w:rsid w:val="00891D17"/>
    <w:rsid w:val="008921B0"/>
    <w:rsid w:val="00892927"/>
    <w:rsid w:val="00892C87"/>
    <w:rsid w:val="00892E9C"/>
    <w:rsid w:val="0089369A"/>
    <w:rsid w:val="0089390A"/>
    <w:rsid w:val="00893A80"/>
    <w:rsid w:val="00893E65"/>
    <w:rsid w:val="00894111"/>
    <w:rsid w:val="00895C51"/>
    <w:rsid w:val="00895CA8"/>
    <w:rsid w:val="00895F01"/>
    <w:rsid w:val="008967BF"/>
    <w:rsid w:val="00896A4C"/>
    <w:rsid w:val="008971F4"/>
    <w:rsid w:val="008979A2"/>
    <w:rsid w:val="008A0D8B"/>
    <w:rsid w:val="008A1602"/>
    <w:rsid w:val="008A182F"/>
    <w:rsid w:val="008A1FF1"/>
    <w:rsid w:val="008A22BC"/>
    <w:rsid w:val="008A2704"/>
    <w:rsid w:val="008A27F2"/>
    <w:rsid w:val="008A2910"/>
    <w:rsid w:val="008A2FA3"/>
    <w:rsid w:val="008A33CB"/>
    <w:rsid w:val="008A391F"/>
    <w:rsid w:val="008A39D5"/>
    <w:rsid w:val="008A3EB3"/>
    <w:rsid w:val="008A4603"/>
    <w:rsid w:val="008A5ABA"/>
    <w:rsid w:val="008A5BAF"/>
    <w:rsid w:val="008A5E1F"/>
    <w:rsid w:val="008A6B1E"/>
    <w:rsid w:val="008A6BC9"/>
    <w:rsid w:val="008A6F81"/>
    <w:rsid w:val="008A760F"/>
    <w:rsid w:val="008A76E9"/>
    <w:rsid w:val="008A79A6"/>
    <w:rsid w:val="008A7FFD"/>
    <w:rsid w:val="008B0BD9"/>
    <w:rsid w:val="008B0D55"/>
    <w:rsid w:val="008B1E4B"/>
    <w:rsid w:val="008B2C4A"/>
    <w:rsid w:val="008B2C91"/>
    <w:rsid w:val="008B2FD8"/>
    <w:rsid w:val="008B47F2"/>
    <w:rsid w:val="008B509D"/>
    <w:rsid w:val="008B6CD8"/>
    <w:rsid w:val="008B71A0"/>
    <w:rsid w:val="008C051A"/>
    <w:rsid w:val="008C081D"/>
    <w:rsid w:val="008C09CD"/>
    <w:rsid w:val="008C0CE7"/>
    <w:rsid w:val="008C2362"/>
    <w:rsid w:val="008C3142"/>
    <w:rsid w:val="008C3B47"/>
    <w:rsid w:val="008C4562"/>
    <w:rsid w:val="008C4E30"/>
    <w:rsid w:val="008C5582"/>
    <w:rsid w:val="008C58A7"/>
    <w:rsid w:val="008C6124"/>
    <w:rsid w:val="008C67C9"/>
    <w:rsid w:val="008C687C"/>
    <w:rsid w:val="008C7BE5"/>
    <w:rsid w:val="008D02AA"/>
    <w:rsid w:val="008D037E"/>
    <w:rsid w:val="008D0CCF"/>
    <w:rsid w:val="008D1684"/>
    <w:rsid w:val="008D1FAF"/>
    <w:rsid w:val="008D22D5"/>
    <w:rsid w:val="008D2485"/>
    <w:rsid w:val="008D2D94"/>
    <w:rsid w:val="008D2E96"/>
    <w:rsid w:val="008D3AB4"/>
    <w:rsid w:val="008D437A"/>
    <w:rsid w:val="008D6663"/>
    <w:rsid w:val="008D6B68"/>
    <w:rsid w:val="008D6D0D"/>
    <w:rsid w:val="008E0F21"/>
    <w:rsid w:val="008E1301"/>
    <w:rsid w:val="008E1EC7"/>
    <w:rsid w:val="008E24DC"/>
    <w:rsid w:val="008E2D92"/>
    <w:rsid w:val="008E2EF7"/>
    <w:rsid w:val="008E3672"/>
    <w:rsid w:val="008E4215"/>
    <w:rsid w:val="008E46DC"/>
    <w:rsid w:val="008E534D"/>
    <w:rsid w:val="008E5DC5"/>
    <w:rsid w:val="008E7951"/>
    <w:rsid w:val="008F11FB"/>
    <w:rsid w:val="008F1999"/>
    <w:rsid w:val="008F1A52"/>
    <w:rsid w:val="008F2CD1"/>
    <w:rsid w:val="008F2EFF"/>
    <w:rsid w:val="008F3B48"/>
    <w:rsid w:val="008F3D40"/>
    <w:rsid w:val="008F438A"/>
    <w:rsid w:val="008F55E3"/>
    <w:rsid w:val="008F5723"/>
    <w:rsid w:val="008F582D"/>
    <w:rsid w:val="008F5918"/>
    <w:rsid w:val="008F6892"/>
    <w:rsid w:val="008F70A7"/>
    <w:rsid w:val="008F7116"/>
    <w:rsid w:val="008F789A"/>
    <w:rsid w:val="008F78A9"/>
    <w:rsid w:val="008F7F55"/>
    <w:rsid w:val="00900F94"/>
    <w:rsid w:val="00901654"/>
    <w:rsid w:val="00902B9D"/>
    <w:rsid w:val="00902F5B"/>
    <w:rsid w:val="009048A6"/>
    <w:rsid w:val="0090559A"/>
    <w:rsid w:val="0090590B"/>
    <w:rsid w:val="00906216"/>
    <w:rsid w:val="009063FE"/>
    <w:rsid w:val="00907658"/>
    <w:rsid w:val="0090778A"/>
    <w:rsid w:val="009079DC"/>
    <w:rsid w:val="00910A9E"/>
    <w:rsid w:val="00910C4A"/>
    <w:rsid w:val="009110BD"/>
    <w:rsid w:val="00913097"/>
    <w:rsid w:val="00913225"/>
    <w:rsid w:val="0091393A"/>
    <w:rsid w:val="00913D46"/>
    <w:rsid w:val="009141A5"/>
    <w:rsid w:val="00914786"/>
    <w:rsid w:val="00914AED"/>
    <w:rsid w:val="00915362"/>
    <w:rsid w:val="0091686C"/>
    <w:rsid w:val="009168E2"/>
    <w:rsid w:val="009174C7"/>
    <w:rsid w:val="009201FF"/>
    <w:rsid w:val="00920669"/>
    <w:rsid w:val="00921750"/>
    <w:rsid w:val="009220E6"/>
    <w:rsid w:val="009223BB"/>
    <w:rsid w:val="009225A5"/>
    <w:rsid w:val="00922B74"/>
    <w:rsid w:val="00922CB0"/>
    <w:rsid w:val="00923340"/>
    <w:rsid w:val="009236B8"/>
    <w:rsid w:val="00923A05"/>
    <w:rsid w:val="00923C22"/>
    <w:rsid w:val="00923D87"/>
    <w:rsid w:val="0092444F"/>
    <w:rsid w:val="0092459F"/>
    <w:rsid w:val="00925894"/>
    <w:rsid w:val="00925E4D"/>
    <w:rsid w:val="009266C6"/>
    <w:rsid w:val="009268B7"/>
    <w:rsid w:val="009270CB"/>
    <w:rsid w:val="00930D90"/>
    <w:rsid w:val="00931A17"/>
    <w:rsid w:val="00931F9C"/>
    <w:rsid w:val="00932111"/>
    <w:rsid w:val="009346AF"/>
    <w:rsid w:val="0093590B"/>
    <w:rsid w:val="00935CE0"/>
    <w:rsid w:val="00935EE1"/>
    <w:rsid w:val="00936698"/>
    <w:rsid w:val="00937083"/>
    <w:rsid w:val="0093730C"/>
    <w:rsid w:val="00937491"/>
    <w:rsid w:val="009374B5"/>
    <w:rsid w:val="00937711"/>
    <w:rsid w:val="009378D4"/>
    <w:rsid w:val="0094041D"/>
    <w:rsid w:val="0094103E"/>
    <w:rsid w:val="00941A69"/>
    <w:rsid w:val="00941A83"/>
    <w:rsid w:val="00941EDB"/>
    <w:rsid w:val="00942879"/>
    <w:rsid w:val="00942C32"/>
    <w:rsid w:val="009432CB"/>
    <w:rsid w:val="0094379E"/>
    <w:rsid w:val="00943BD1"/>
    <w:rsid w:val="0094419A"/>
    <w:rsid w:val="009441D7"/>
    <w:rsid w:val="009443C8"/>
    <w:rsid w:val="00944A3B"/>
    <w:rsid w:val="00944A78"/>
    <w:rsid w:val="00944BB6"/>
    <w:rsid w:val="00945EDC"/>
    <w:rsid w:val="009462B6"/>
    <w:rsid w:val="00946BB9"/>
    <w:rsid w:val="00950192"/>
    <w:rsid w:val="0095047D"/>
    <w:rsid w:val="00950531"/>
    <w:rsid w:val="00951C03"/>
    <w:rsid w:val="009523D7"/>
    <w:rsid w:val="00953108"/>
    <w:rsid w:val="00953C22"/>
    <w:rsid w:val="00953C63"/>
    <w:rsid w:val="00953F66"/>
    <w:rsid w:val="0095401D"/>
    <w:rsid w:val="0095426E"/>
    <w:rsid w:val="00954523"/>
    <w:rsid w:val="00954D39"/>
    <w:rsid w:val="00954D4B"/>
    <w:rsid w:val="00955755"/>
    <w:rsid w:val="00955991"/>
    <w:rsid w:val="009559EB"/>
    <w:rsid w:val="00955B41"/>
    <w:rsid w:val="009562C9"/>
    <w:rsid w:val="009602A7"/>
    <w:rsid w:val="0096213C"/>
    <w:rsid w:val="00962792"/>
    <w:rsid w:val="0096315D"/>
    <w:rsid w:val="00963BBB"/>
    <w:rsid w:val="009640D0"/>
    <w:rsid w:val="00964761"/>
    <w:rsid w:val="0096573A"/>
    <w:rsid w:val="00965B6B"/>
    <w:rsid w:val="00966094"/>
    <w:rsid w:val="00966C6C"/>
    <w:rsid w:val="00966D68"/>
    <w:rsid w:val="00966F08"/>
    <w:rsid w:val="009671E3"/>
    <w:rsid w:val="0096781F"/>
    <w:rsid w:val="00970AA6"/>
    <w:rsid w:val="00970B3B"/>
    <w:rsid w:val="00971518"/>
    <w:rsid w:val="00971B28"/>
    <w:rsid w:val="00971BCC"/>
    <w:rsid w:val="009725E7"/>
    <w:rsid w:val="009728B6"/>
    <w:rsid w:val="00973256"/>
    <w:rsid w:val="009733D6"/>
    <w:rsid w:val="0097351F"/>
    <w:rsid w:val="00973602"/>
    <w:rsid w:val="00974166"/>
    <w:rsid w:val="009743A1"/>
    <w:rsid w:val="00974653"/>
    <w:rsid w:val="0097494D"/>
    <w:rsid w:val="00974AD3"/>
    <w:rsid w:val="00974C55"/>
    <w:rsid w:val="00974DDB"/>
    <w:rsid w:val="00975736"/>
    <w:rsid w:val="009765A3"/>
    <w:rsid w:val="0097678E"/>
    <w:rsid w:val="0097710A"/>
    <w:rsid w:val="009773A5"/>
    <w:rsid w:val="009775A7"/>
    <w:rsid w:val="00980385"/>
    <w:rsid w:val="00980DA5"/>
    <w:rsid w:val="00980EAA"/>
    <w:rsid w:val="00981496"/>
    <w:rsid w:val="00981674"/>
    <w:rsid w:val="009816D0"/>
    <w:rsid w:val="00981848"/>
    <w:rsid w:val="00981BE4"/>
    <w:rsid w:val="00981CBA"/>
    <w:rsid w:val="00981D10"/>
    <w:rsid w:val="00983277"/>
    <w:rsid w:val="009844BD"/>
    <w:rsid w:val="00984C56"/>
    <w:rsid w:val="00985147"/>
    <w:rsid w:val="0098519A"/>
    <w:rsid w:val="00985921"/>
    <w:rsid w:val="009863CA"/>
    <w:rsid w:val="00986B5E"/>
    <w:rsid w:val="009909E5"/>
    <w:rsid w:val="00991818"/>
    <w:rsid w:val="00991ACB"/>
    <w:rsid w:val="00991B86"/>
    <w:rsid w:val="0099250F"/>
    <w:rsid w:val="009926A6"/>
    <w:rsid w:val="00993005"/>
    <w:rsid w:val="00996285"/>
    <w:rsid w:val="00996559"/>
    <w:rsid w:val="00996901"/>
    <w:rsid w:val="009A151C"/>
    <w:rsid w:val="009A1A20"/>
    <w:rsid w:val="009A2563"/>
    <w:rsid w:val="009A2834"/>
    <w:rsid w:val="009A2B43"/>
    <w:rsid w:val="009A2C23"/>
    <w:rsid w:val="009A314E"/>
    <w:rsid w:val="009A353B"/>
    <w:rsid w:val="009A38E0"/>
    <w:rsid w:val="009A3D55"/>
    <w:rsid w:val="009A3E32"/>
    <w:rsid w:val="009A3FB5"/>
    <w:rsid w:val="009A4EC6"/>
    <w:rsid w:val="009A507B"/>
    <w:rsid w:val="009A511D"/>
    <w:rsid w:val="009A5E24"/>
    <w:rsid w:val="009B0C05"/>
    <w:rsid w:val="009B0C48"/>
    <w:rsid w:val="009B0C80"/>
    <w:rsid w:val="009B293A"/>
    <w:rsid w:val="009B3024"/>
    <w:rsid w:val="009B361D"/>
    <w:rsid w:val="009B393E"/>
    <w:rsid w:val="009B55FC"/>
    <w:rsid w:val="009B56D7"/>
    <w:rsid w:val="009B57F1"/>
    <w:rsid w:val="009B6608"/>
    <w:rsid w:val="009B6647"/>
    <w:rsid w:val="009B69D7"/>
    <w:rsid w:val="009B6F58"/>
    <w:rsid w:val="009B6FBE"/>
    <w:rsid w:val="009B732B"/>
    <w:rsid w:val="009B7350"/>
    <w:rsid w:val="009B7A24"/>
    <w:rsid w:val="009C06AF"/>
    <w:rsid w:val="009C0E24"/>
    <w:rsid w:val="009C1F16"/>
    <w:rsid w:val="009C31F1"/>
    <w:rsid w:val="009C3800"/>
    <w:rsid w:val="009C38D3"/>
    <w:rsid w:val="009C3AF5"/>
    <w:rsid w:val="009C3B1F"/>
    <w:rsid w:val="009C3EC4"/>
    <w:rsid w:val="009C42C5"/>
    <w:rsid w:val="009C4422"/>
    <w:rsid w:val="009C559B"/>
    <w:rsid w:val="009C56C6"/>
    <w:rsid w:val="009C58BE"/>
    <w:rsid w:val="009C6EC8"/>
    <w:rsid w:val="009C730D"/>
    <w:rsid w:val="009D0302"/>
    <w:rsid w:val="009D052D"/>
    <w:rsid w:val="009D0626"/>
    <w:rsid w:val="009D0C2F"/>
    <w:rsid w:val="009D1C8F"/>
    <w:rsid w:val="009D2065"/>
    <w:rsid w:val="009D208A"/>
    <w:rsid w:val="009D20A4"/>
    <w:rsid w:val="009D2A93"/>
    <w:rsid w:val="009D337D"/>
    <w:rsid w:val="009D39BC"/>
    <w:rsid w:val="009D44DF"/>
    <w:rsid w:val="009D4939"/>
    <w:rsid w:val="009D5546"/>
    <w:rsid w:val="009D6022"/>
    <w:rsid w:val="009D69F7"/>
    <w:rsid w:val="009D6AB0"/>
    <w:rsid w:val="009D6C11"/>
    <w:rsid w:val="009D705A"/>
    <w:rsid w:val="009D72D7"/>
    <w:rsid w:val="009D73EC"/>
    <w:rsid w:val="009D7D59"/>
    <w:rsid w:val="009E03CC"/>
    <w:rsid w:val="009E1581"/>
    <w:rsid w:val="009E173A"/>
    <w:rsid w:val="009E1DC0"/>
    <w:rsid w:val="009E200E"/>
    <w:rsid w:val="009E347E"/>
    <w:rsid w:val="009E3627"/>
    <w:rsid w:val="009E3E1F"/>
    <w:rsid w:val="009E40C4"/>
    <w:rsid w:val="009E417C"/>
    <w:rsid w:val="009E5678"/>
    <w:rsid w:val="009E609A"/>
    <w:rsid w:val="009E60E3"/>
    <w:rsid w:val="009E64E7"/>
    <w:rsid w:val="009E75B4"/>
    <w:rsid w:val="009E77DB"/>
    <w:rsid w:val="009E78F0"/>
    <w:rsid w:val="009E7A83"/>
    <w:rsid w:val="009E7BD3"/>
    <w:rsid w:val="009F18DD"/>
    <w:rsid w:val="009F2129"/>
    <w:rsid w:val="009F2226"/>
    <w:rsid w:val="009F2D2F"/>
    <w:rsid w:val="009F310B"/>
    <w:rsid w:val="009F38CC"/>
    <w:rsid w:val="009F42F0"/>
    <w:rsid w:val="009F46E7"/>
    <w:rsid w:val="009F5558"/>
    <w:rsid w:val="009F5966"/>
    <w:rsid w:val="009F5CED"/>
    <w:rsid w:val="009F601C"/>
    <w:rsid w:val="009F613D"/>
    <w:rsid w:val="009F6728"/>
    <w:rsid w:val="009F6B0D"/>
    <w:rsid w:val="00A00962"/>
    <w:rsid w:val="00A00EC9"/>
    <w:rsid w:val="00A01057"/>
    <w:rsid w:val="00A012ED"/>
    <w:rsid w:val="00A01590"/>
    <w:rsid w:val="00A01B4A"/>
    <w:rsid w:val="00A01C7D"/>
    <w:rsid w:val="00A01E0C"/>
    <w:rsid w:val="00A0243D"/>
    <w:rsid w:val="00A02466"/>
    <w:rsid w:val="00A029BA"/>
    <w:rsid w:val="00A03271"/>
    <w:rsid w:val="00A03812"/>
    <w:rsid w:val="00A040DE"/>
    <w:rsid w:val="00A043E6"/>
    <w:rsid w:val="00A04538"/>
    <w:rsid w:val="00A047CB"/>
    <w:rsid w:val="00A05EA8"/>
    <w:rsid w:val="00A06CBE"/>
    <w:rsid w:val="00A076D3"/>
    <w:rsid w:val="00A10084"/>
    <w:rsid w:val="00A100DA"/>
    <w:rsid w:val="00A1017D"/>
    <w:rsid w:val="00A1055D"/>
    <w:rsid w:val="00A1076E"/>
    <w:rsid w:val="00A10CC6"/>
    <w:rsid w:val="00A11D0B"/>
    <w:rsid w:val="00A12A28"/>
    <w:rsid w:val="00A13465"/>
    <w:rsid w:val="00A13609"/>
    <w:rsid w:val="00A14941"/>
    <w:rsid w:val="00A14D8A"/>
    <w:rsid w:val="00A162D2"/>
    <w:rsid w:val="00A16484"/>
    <w:rsid w:val="00A1687D"/>
    <w:rsid w:val="00A16D3E"/>
    <w:rsid w:val="00A17A26"/>
    <w:rsid w:val="00A17FFD"/>
    <w:rsid w:val="00A2025E"/>
    <w:rsid w:val="00A206C6"/>
    <w:rsid w:val="00A20F16"/>
    <w:rsid w:val="00A21098"/>
    <w:rsid w:val="00A21ED7"/>
    <w:rsid w:val="00A2255B"/>
    <w:rsid w:val="00A22CC5"/>
    <w:rsid w:val="00A23658"/>
    <w:rsid w:val="00A2373D"/>
    <w:rsid w:val="00A246E7"/>
    <w:rsid w:val="00A246F4"/>
    <w:rsid w:val="00A248A8"/>
    <w:rsid w:val="00A24A91"/>
    <w:rsid w:val="00A24AEE"/>
    <w:rsid w:val="00A25082"/>
    <w:rsid w:val="00A27A4A"/>
    <w:rsid w:val="00A27A4C"/>
    <w:rsid w:val="00A304C3"/>
    <w:rsid w:val="00A313E8"/>
    <w:rsid w:val="00A3141E"/>
    <w:rsid w:val="00A3185F"/>
    <w:rsid w:val="00A31A10"/>
    <w:rsid w:val="00A32507"/>
    <w:rsid w:val="00A32618"/>
    <w:rsid w:val="00A3379C"/>
    <w:rsid w:val="00A33D50"/>
    <w:rsid w:val="00A33D62"/>
    <w:rsid w:val="00A341D8"/>
    <w:rsid w:val="00A35AB2"/>
    <w:rsid w:val="00A35B64"/>
    <w:rsid w:val="00A36754"/>
    <w:rsid w:val="00A36A4B"/>
    <w:rsid w:val="00A37173"/>
    <w:rsid w:val="00A3774D"/>
    <w:rsid w:val="00A37C1F"/>
    <w:rsid w:val="00A40064"/>
    <w:rsid w:val="00A41108"/>
    <w:rsid w:val="00A4120E"/>
    <w:rsid w:val="00A41487"/>
    <w:rsid w:val="00A41BA5"/>
    <w:rsid w:val="00A42164"/>
    <w:rsid w:val="00A42B42"/>
    <w:rsid w:val="00A42C4F"/>
    <w:rsid w:val="00A43543"/>
    <w:rsid w:val="00A4459D"/>
    <w:rsid w:val="00A44FDD"/>
    <w:rsid w:val="00A4576A"/>
    <w:rsid w:val="00A457E5"/>
    <w:rsid w:val="00A45D74"/>
    <w:rsid w:val="00A46B8A"/>
    <w:rsid w:val="00A46F7D"/>
    <w:rsid w:val="00A46FA4"/>
    <w:rsid w:val="00A477E2"/>
    <w:rsid w:val="00A47A6C"/>
    <w:rsid w:val="00A504BB"/>
    <w:rsid w:val="00A51215"/>
    <w:rsid w:val="00A513E2"/>
    <w:rsid w:val="00A52FDB"/>
    <w:rsid w:val="00A53782"/>
    <w:rsid w:val="00A53D2F"/>
    <w:rsid w:val="00A540F9"/>
    <w:rsid w:val="00A5442C"/>
    <w:rsid w:val="00A54EE1"/>
    <w:rsid w:val="00A55155"/>
    <w:rsid w:val="00A55743"/>
    <w:rsid w:val="00A564B1"/>
    <w:rsid w:val="00A56700"/>
    <w:rsid w:val="00A5701C"/>
    <w:rsid w:val="00A600C4"/>
    <w:rsid w:val="00A602A1"/>
    <w:rsid w:val="00A610CB"/>
    <w:rsid w:val="00A61FAC"/>
    <w:rsid w:val="00A623A8"/>
    <w:rsid w:val="00A62448"/>
    <w:rsid w:val="00A62688"/>
    <w:rsid w:val="00A62A34"/>
    <w:rsid w:val="00A62C6A"/>
    <w:rsid w:val="00A6326A"/>
    <w:rsid w:val="00A6341B"/>
    <w:rsid w:val="00A648BA"/>
    <w:rsid w:val="00A6506B"/>
    <w:rsid w:val="00A650F9"/>
    <w:rsid w:val="00A65A56"/>
    <w:rsid w:val="00A65CA1"/>
    <w:rsid w:val="00A66872"/>
    <w:rsid w:val="00A66AF5"/>
    <w:rsid w:val="00A70006"/>
    <w:rsid w:val="00A715D0"/>
    <w:rsid w:val="00A71B3D"/>
    <w:rsid w:val="00A71BEB"/>
    <w:rsid w:val="00A72356"/>
    <w:rsid w:val="00A7244F"/>
    <w:rsid w:val="00A726B0"/>
    <w:rsid w:val="00A76C9C"/>
    <w:rsid w:val="00A77010"/>
    <w:rsid w:val="00A80E0C"/>
    <w:rsid w:val="00A81776"/>
    <w:rsid w:val="00A819B1"/>
    <w:rsid w:val="00A81B85"/>
    <w:rsid w:val="00A81D4B"/>
    <w:rsid w:val="00A82352"/>
    <w:rsid w:val="00A82358"/>
    <w:rsid w:val="00A82522"/>
    <w:rsid w:val="00A82635"/>
    <w:rsid w:val="00A82834"/>
    <w:rsid w:val="00A8324C"/>
    <w:rsid w:val="00A8324F"/>
    <w:rsid w:val="00A83630"/>
    <w:rsid w:val="00A855F7"/>
    <w:rsid w:val="00A858B2"/>
    <w:rsid w:val="00A860B9"/>
    <w:rsid w:val="00A86A8C"/>
    <w:rsid w:val="00A86B31"/>
    <w:rsid w:val="00A8722D"/>
    <w:rsid w:val="00A87400"/>
    <w:rsid w:val="00A878D3"/>
    <w:rsid w:val="00A9014B"/>
    <w:rsid w:val="00A91EF0"/>
    <w:rsid w:val="00A9251A"/>
    <w:rsid w:val="00A92EB3"/>
    <w:rsid w:val="00A931A6"/>
    <w:rsid w:val="00A93DE8"/>
    <w:rsid w:val="00A942C5"/>
    <w:rsid w:val="00A94C1D"/>
    <w:rsid w:val="00A95D2F"/>
    <w:rsid w:val="00A961E8"/>
    <w:rsid w:val="00A96445"/>
    <w:rsid w:val="00A97C33"/>
    <w:rsid w:val="00AA0C84"/>
    <w:rsid w:val="00AA2E5F"/>
    <w:rsid w:val="00AA3537"/>
    <w:rsid w:val="00AA4F27"/>
    <w:rsid w:val="00AA5078"/>
    <w:rsid w:val="00AA5C12"/>
    <w:rsid w:val="00AB00AE"/>
    <w:rsid w:val="00AB0531"/>
    <w:rsid w:val="00AB0653"/>
    <w:rsid w:val="00AB09D9"/>
    <w:rsid w:val="00AB0A6A"/>
    <w:rsid w:val="00AB2013"/>
    <w:rsid w:val="00AB33D0"/>
    <w:rsid w:val="00AB4890"/>
    <w:rsid w:val="00AB514F"/>
    <w:rsid w:val="00AB7091"/>
    <w:rsid w:val="00AB7854"/>
    <w:rsid w:val="00AB7D47"/>
    <w:rsid w:val="00AC000D"/>
    <w:rsid w:val="00AC0A92"/>
    <w:rsid w:val="00AC0E3C"/>
    <w:rsid w:val="00AC14B3"/>
    <w:rsid w:val="00AC211F"/>
    <w:rsid w:val="00AC2315"/>
    <w:rsid w:val="00AC32C0"/>
    <w:rsid w:val="00AC3D10"/>
    <w:rsid w:val="00AC3DC2"/>
    <w:rsid w:val="00AC5340"/>
    <w:rsid w:val="00AC552E"/>
    <w:rsid w:val="00AC6638"/>
    <w:rsid w:val="00AC69B1"/>
    <w:rsid w:val="00AC71DE"/>
    <w:rsid w:val="00AD08F1"/>
    <w:rsid w:val="00AD113D"/>
    <w:rsid w:val="00AD12BC"/>
    <w:rsid w:val="00AD15CB"/>
    <w:rsid w:val="00AD199C"/>
    <w:rsid w:val="00AD2CB4"/>
    <w:rsid w:val="00AD376C"/>
    <w:rsid w:val="00AD4ECF"/>
    <w:rsid w:val="00AD506E"/>
    <w:rsid w:val="00AD57A3"/>
    <w:rsid w:val="00AD7CF9"/>
    <w:rsid w:val="00AE0286"/>
    <w:rsid w:val="00AE1115"/>
    <w:rsid w:val="00AE1463"/>
    <w:rsid w:val="00AE14B8"/>
    <w:rsid w:val="00AE1AEA"/>
    <w:rsid w:val="00AE1C07"/>
    <w:rsid w:val="00AE21EB"/>
    <w:rsid w:val="00AE2268"/>
    <w:rsid w:val="00AE2517"/>
    <w:rsid w:val="00AE3CBC"/>
    <w:rsid w:val="00AE6257"/>
    <w:rsid w:val="00AE68BE"/>
    <w:rsid w:val="00AE6AA7"/>
    <w:rsid w:val="00AE6BDE"/>
    <w:rsid w:val="00AE75D6"/>
    <w:rsid w:val="00AE79DF"/>
    <w:rsid w:val="00AF084C"/>
    <w:rsid w:val="00AF227B"/>
    <w:rsid w:val="00AF3082"/>
    <w:rsid w:val="00AF3352"/>
    <w:rsid w:val="00AF3DCB"/>
    <w:rsid w:val="00AF4F00"/>
    <w:rsid w:val="00AF4F38"/>
    <w:rsid w:val="00AF5124"/>
    <w:rsid w:val="00AF528F"/>
    <w:rsid w:val="00AF53DA"/>
    <w:rsid w:val="00AF54CC"/>
    <w:rsid w:val="00AF58AD"/>
    <w:rsid w:val="00AF5D13"/>
    <w:rsid w:val="00AF61CE"/>
    <w:rsid w:val="00AF6D05"/>
    <w:rsid w:val="00B00379"/>
    <w:rsid w:val="00B0105A"/>
    <w:rsid w:val="00B01F81"/>
    <w:rsid w:val="00B02184"/>
    <w:rsid w:val="00B02F75"/>
    <w:rsid w:val="00B037C4"/>
    <w:rsid w:val="00B03C9B"/>
    <w:rsid w:val="00B03CE2"/>
    <w:rsid w:val="00B03D9B"/>
    <w:rsid w:val="00B04781"/>
    <w:rsid w:val="00B04A69"/>
    <w:rsid w:val="00B04C8E"/>
    <w:rsid w:val="00B04E67"/>
    <w:rsid w:val="00B056A8"/>
    <w:rsid w:val="00B057C5"/>
    <w:rsid w:val="00B05B27"/>
    <w:rsid w:val="00B06677"/>
    <w:rsid w:val="00B070FC"/>
    <w:rsid w:val="00B07122"/>
    <w:rsid w:val="00B07380"/>
    <w:rsid w:val="00B07455"/>
    <w:rsid w:val="00B07667"/>
    <w:rsid w:val="00B108FB"/>
    <w:rsid w:val="00B10C8A"/>
    <w:rsid w:val="00B1238C"/>
    <w:rsid w:val="00B12D21"/>
    <w:rsid w:val="00B1387E"/>
    <w:rsid w:val="00B14829"/>
    <w:rsid w:val="00B152F1"/>
    <w:rsid w:val="00B156B4"/>
    <w:rsid w:val="00B1614B"/>
    <w:rsid w:val="00B161A3"/>
    <w:rsid w:val="00B167F6"/>
    <w:rsid w:val="00B173A1"/>
    <w:rsid w:val="00B17440"/>
    <w:rsid w:val="00B1799C"/>
    <w:rsid w:val="00B2065B"/>
    <w:rsid w:val="00B20987"/>
    <w:rsid w:val="00B21AC1"/>
    <w:rsid w:val="00B21DD0"/>
    <w:rsid w:val="00B22B1E"/>
    <w:rsid w:val="00B23A93"/>
    <w:rsid w:val="00B23B99"/>
    <w:rsid w:val="00B23EB2"/>
    <w:rsid w:val="00B23F77"/>
    <w:rsid w:val="00B2427E"/>
    <w:rsid w:val="00B24BD1"/>
    <w:rsid w:val="00B24DA3"/>
    <w:rsid w:val="00B253E5"/>
    <w:rsid w:val="00B2585C"/>
    <w:rsid w:val="00B258CE"/>
    <w:rsid w:val="00B25AB6"/>
    <w:rsid w:val="00B25B12"/>
    <w:rsid w:val="00B25B89"/>
    <w:rsid w:val="00B26244"/>
    <w:rsid w:val="00B26ABD"/>
    <w:rsid w:val="00B26C35"/>
    <w:rsid w:val="00B27F2A"/>
    <w:rsid w:val="00B303D4"/>
    <w:rsid w:val="00B3129C"/>
    <w:rsid w:val="00B31318"/>
    <w:rsid w:val="00B31D9F"/>
    <w:rsid w:val="00B33A4F"/>
    <w:rsid w:val="00B347DB"/>
    <w:rsid w:val="00B34BA2"/>
    <w:rsid w:val="00B35A23"/>
    <w:rsid w:val="00B35B2A"/>
    <w:rsid w:val="00B361C5"/>
    <w:rsid w:val="00B361E5"/>
    <w:rsid w:val="00B37029"/>
    <w:rsid w:val="00B375B3"/>
    <w:rsid w:val="00B40828"/>
    <w:rsid w:val="00B40BDE"/>
    <w:rsid w:val="00B42E56"/>
    <w:rsid w:val="00B444F7"/>
    <w:rsid w:val="00B453C2"/>
    <w:rsid w:val="00B4646B"/>
    <w:rsid w:val="00B46D48"/>
    <w:rsid w:val="00B51609"/>
    <w:rsid w:val="00B51794"/>
    <w:rsid w:val="00B51A9B"/>
    <w:rsid w:val="00B520E3"/>
    <w:rsid w:val="00B522D2"/>
    <w:rsid w:val="00B52B88"/>
    <w:rsid w:val="00B5314E"/>
    <w:rsid w:val="00B53243"/>
    <w:rsid w:val="00B53821"/>
    <w:rsid w:val="00B5386F"/>
    <w:rsid w:val="00B56C7D"/>
    <w:rsid w:val="00B56DAF"/>
    <w:rsid w:val="00B60CCF"/>
    <w:rsid w:val="00B60D00"/>
    <w:rsid w:val="00B62880"/>
    <w:rsid w:val="00B62BCC"/>
    <w:rsid w:val="00B62FFE"/>
    <w:rsid w:val="00B6316D"/>
    <w:rsid w:val="00B63F4F"/>
    <w:rsid w:val="00B64909"/>
    <w:rsid w:val="00B654B8"/>
    <w:rsid w:val="00B65D75"/>
    <w:rsid w:val="00B661F3"/>
    <w:rsid w:val="00B669E1"/>
    <w:rsid w:val="00B66E9B"/>
    <w:rsid w:val="00B66F75"/>
    <w:rsid w:val="00B67814"/>
    <w:rsid w:val="00B67C9E"/>
    <w:rsid w:val="00B70216"/>
    <w:rsid w:val="00B702D4"/>
    <w:rsid w:val="00B70C63"/>
    <w:rsid w:val="00B711BE"/>
    <w:rsid w:val="00B71DD0"/>
    <w:rsid w:val="00B727BA"/>
    <w:rsid w:val="00B72F84"/>
    <w:rsid w:val="00B75160"/>
    <w:rsid w:val="00B7535D"/>
    <w:rsid w:val="00B77FCA"/>
    <w:rsid w:val="00B80176"/>
    <w:rsid w:val="00B8090D"/>
    <w:rsid w:val="00B81A6E"/>
    <w:rsid w:val="00B823F7"/>
    <w:rsid w:val="00B82F99"/>
    <w:rsid w:val="00B835DF"/>
    <w:rsid w:val="00B84F7D"/>
    <w:rsid w:val="00B85433"/>
    <w:rsid w:val="00B85BAE"/>
    <w:rsid w:val="00B85CFD"/>
    <w:rsid w:val="00B85DF2"/>
    <w:rsid w:val="00B85E5F"/>
    <w:rsid w:val="00B8617F"/>
    <w:rsid w:val="00B90CC5"/>
    <w:rsid w:val="00B912D1"/>
    <w:rsid w:val="00B91520"/>
    <w:rsid w:val="00B9181E"/>
    <w:rsid w:val="00B91BA9"/>
    <w:rsid w:val="00B92BBF"/>
    <w:rsid w:val="00B92BC7"/>
    <w:rsid w:val="00B92F40"/>
    <w:rsid w:val="00B931C6"/>
    <w:rsid w:val="00B93A19"/>
    <w:rsid w:val="00B93F67"/>
    <w:rsid w:val="00B94131"/>
    <w:rsid w:val="00B94182"/>
    <w:rsid w:val="00B953E5"/>
    <w:rsid w:val="00B96603"/>
    <w:rsid w:val="00B969D4"/>
    <w:rsid w:val="00B96B43"/>
    <w:rsid w:val="00B973A6"/>
    <w:rsid w:val="00B979DB"/>
    <w:rsid w:val="00BA0363"/>
    <w:rsid w:val="00BA08DF"/>
    <w:rsid w:val="00BA13E8"/>
    <w:rsid w:val="00BA1FEC"/>
    <w:rsid w:val="00BA34AB"/>
    <w:rsid w:val="00BA3F85"/>
    <w:rsid w:val="00BA4B45"/>
    <w:rsid w:val="00BA500B"/>
    <w:rsid w:val="00BA5662"/>
    <w:rsid w:val="00BA6906"/>
    <w:rsid w:val="00BA7403"/>
    <w:rsid w:val="00BA7954"/>
    <w:rsid w:val="00BA7984"/>
    <w:rsid w:val="00BB0158"/>
    <w:rsid w:val="00BB1002"/>
    <w:rsid w:val="00BB162D"/>
    <w:rsid w:val="00BB2663"/>
    <w:rsid w:val="00BB6AE6"/>
    <w:rsid w:val="00BB748E"/>
    <w:rsid w:val="00BB7668"/>
    <w:rsid w:val="00BC0026"/>
    <w:rsid w:val="00BC110E"/>
    <w:rsid w:val="00BC2357"/>
    <w:rsid w:val="00BC245E"/>
    <w:rsid w:val="00BC2890"/>
    <w:rsid w:val="00BC2D9D"/>
    <w:rsid w:val="00BC3147"/>
    <w:rsid w:val="00BC41EA"/>
    <w:rsid w:val="00BC47E7"/>
    <w:rsid w:val="00BC4EA7"/>
    <w:rsid w:val="00BC4FC9"/>
    <w:rsid w:val="00BC54A7"/>
    <w:rsid w:val="00BC5C43"/>
    <w:rsid w:val="00BC6F20"/>
    <w:rsid w:val="00BC7057"/>
    <w:rsid w:val="00BC735B"/>
    <w:rsid w:val="00BD01EF"/>
    <w:rsid w:val="00BD0C3D"/>
    <w:rsid w:val="00BD16E0"/>
    <w:rsid w:val="00BD17B7"/>
    <w:rsid w:val="00BD1ABE"/>
    <w:rsid w:val="00BD1CB8"/>
    <w:rsid w:val="00BD248B"/>
    <w:rsid w:val="00BD3964"/>
    <w:rsid w:val="00BD3F35"/>
    <w:rsid w:val="00BD4788"/>
    <w:rsid w:val="00BD47AD"/>
    <w:rsid w:val="00BD57E0"/>
    <w:rsid w:val="00BD5E31"/>
    <w:rsid w:val="00BD7221"/>
    <w:rsid w:val="00BD7264"/>
    <w:rsid w:val="00BD7977"/>
    <w:rsid w:val="00BE07B2"/>
    <w:rsid w:val="00BE0C77"/>
    <w:rsid w:val="00BE10CB"/>
    <w:rsid w:val="00BE48F2"/>
    <w:rsid w:val="00BE7561"/>
    <w:rsid w:val="00BE7AD4"/>
    <w:rsid w:val="00BF01B2"/>
    <w:rsid w:val="00BF0F3C"/>
    <w:rsid w:val="00BF1064"/>
    <w:rsid w:val="00BF168E"/>
    <w:rsid w:val="00BF1C00"/>
    <w:rsid w:val="00BF21C2"/>
    <w:rsid w:val="00BF222A"/>
    <w:rsid w:val="00BF26E7"/>
    <w:rsid w:val="00BF3486"/>
    <w:rsid w:val="00BF3B08"/>
    <w:rsid w:val="00BF4198"/>
    <w:rsid w:val="00BF4EBE"/>
    <w:rsid w:val="00BF583C"/>
    <w:rsid w:val="00BF5AF3"/>
    <w:rsid w:val="00BF63F4"/>
    <w:rsid w:val="00BF6B63"/>
    <w:rsid w:val="00BF6BF0"/>
    <w:rsid w:val="00BF750A"/>
    <w:rsid w:val="00BF7FC9"/>
    <w:rsid w:val="00C003C7"/>
    <w:rsid w:val="00C016C8"/>
    <w:rsid w:val="00C034C3"/>
    <w:rsid w:val="00C0422F"/>
    <w:rsid w:val="00C042F6"/>
    <w:rsid w:val="00C04322"/>
    <w:rsid w:val="00C0467B"/>
    <w:rsid w:val="00C04696"/>
    <w:rsid w:val="00C049C9"/>
    <w:rsid w:val="00C053B4"/>
    <w:rsid w:val="00C05478"/>
    <w:rsid w:val="00C060D2"/>
    <w:rsid w:val="00C061A2"/>
    <w:rsid w:val="00C0644E"/>
    <w:rsid w:val="00C0650C"/>
    <w:rsid w:val="00C06A15"/>
    <w:rsid w:val="00C07864"/>
    <w:rsid w:val="00C1009B"/>
    <w:rsid w:val="00C1056A"/>
    <w:rsid w:val="00C11260"/>
    <w:rsid w:val="00C11B03"/>
    <w:rsid w:val="00C11F35"/>
    <w:rsid w:val="00C13341"/>
    <w:rsid w:val="00C13704"/>
    <w:rsid w:val="00C1413B"/>
    <w:rsid w:val="00C1443C"/>
    <w:rsid w:val="00C156BB"/>
    <w:rsid w:val="00C16424"/>
    <w:rsid w:val="00C16BCF"/>
    <w:rsid w:val="00C16FAF"/>
    <w:rsid w:val="00C177DF"/>
    <w:rsid w:val="00C17928"/>
    <w:rsid w:val="00C20A82"/>
    <w:rsid w:val="00C20C5A"/>
    <w:rsid w:val="00C20EBE"/>
    <w:rsid w:val="00C22272"/>
    <w:rsid w:val="00C2245C"/>
    <w:rsid w:val="00C229C6"/>
    <w:rsid w:val="00C23122"/>
    <w:rsid w:val="00C23574"/>
    <w:rsid w:val="00C24B5C"/>
    <w:rsid w:val="00C2533D"/>
    <w:rsid w:val="00C256BC"/>
    <w:rsid w:val="00C259F1"/>
    <w:rsid w:val="00C26279"/>
    <w:rsid w:val="00C268AD"/>
    <w:rsid w:val="00C27749"/>
    <w:rsid w:val="00C305DB"/>
    <w:rsid w:val="00C3095D"/>
    <w:rsid w:val="00C314B4"/>
    <w:rsid w:val="00C31D2D"/>
    <w:rsid w:val="00C342C3"/>
    <w:rsid w:val="00C34CB0"/>
    <w:rsid w:val="00C358DC"/>
    <w:rsid w:val="00C35CD8"/>
    <w:rsid w:val="00C35D92"/>
    <w:rsid w:val="00C36D42"/>
    <w:rsid w:val="00C37123"/>
    <w:rsid w:val="00C37FB3"/>
    <w:rsid w:val="00C4083F"/>
    <w:rsid w:val="00C40B9D"/>
    <w:rsid w:val="00C411DE"/>
    <w:rsid w:val="00C4120A"/>
    <w:rsid w:val="00C421C9"/>
    <w:rsid w:val="00C4239D"/>
    <w:rsid w:val="00C42D75"/>
    <w:rsid w:val="00C439D6"/>
    <w:rsid w:val="00C43C40"/>
    <w:rsid w:val="00C450CC"/>
    <w:rsid w:val="00C45462"/>
    <w:rsid w:val="00C45F8B"/>
    <w:rsid w:val="00C46466"/>
    <w:rsid w:val="00C465A7"/>
    <w:rsid w:val="00C4676A"/>
    <w:rsid w:val="00C46DD2"/>
    <w:rsid w:val="00C47282"/>
    <w:rsid w:val="00C472D7"/>
    <w:rsid w:val="00C47397"/>
    <w:rsid w:val="00C474EB"/>
    <w:rsid w:val="00C503BC"/>
    <w:rsid w:val="00C50FAB"/>
    <w:rsid w:val="00C513AA"/>
    <w:rsid w:val="00C5186E"/>
    <w:rsid w:val="00C537D9"/>
    <w:rsid w:val="00C542F2"/>
    <w:rsid w:val="00C551CF"/>
    <w:rsid w:val="00C5522B"/>
    <w:rsid w:val="00C55812"/>
    <w:rsid w:val="00C601A2"/>
    <w:rsid w:val="00C60A72"/>
    <w:rsid w:val="00C61D4F"/>
    <w:rsid w:val="00C62125"/>
    <w:rsid w:val="00C62E36"/>
    <w:rsid w:val="00C63AF5"/>
    <w:rsid w:val="00C63B16"/>
    <w:rsid w:val="00C63DBE"/>
    <w:rsid w:val="00C64162"/>
    <w:rsid w:val="00C64904"/>
    <w:rsid w:val="00C64BFF"/>
    <w:rsid w:val="00C659CF"/>
    <w:rsid w:val="00C65F20"/>
    <w:rsid w:val="00C6685B"/>
    <w:rsid w:val="00C70007"/>
    <w:rsid w:val="00C70B67"/>
    <w:rsid w:val="00C71362"/>
    <w:rsid w:val="00C71627"/>
    <w:rsid w:val="00C71FD4"/>
    <w:rsid w:val="00C72705"/>
    <w:rsid w:val="00C7302F"/>
    <w:rsid w:val="00C73560"/>
    <w:rsid w:val="00C7368D"/>
    <w:rsid w:val="00C73ABA"/>
    <w:rsid w:val="00C73CFE"/>
    <w:rsid w:val="00C73FB2"/>
    <w:rsid w:val="00C74186"/>
    <w:rsid w:val="00C758AD"/>
    <w:rsid w:val="00C75CE8"/>
    <w:rsid w:val="00C7600B"/>
    <w:rsid w:val="00C7698D"/>
    <w:rsid w:val="00C76CBB"/>
    <w:rsid w:val="00C77792"/>
    <w:rsid w:val="00C800EF"/>
    <w:rsid w:val="00C802D4"/>
    <w:rsid w:val="00C80A75"/>
    <w:rsid w:val="00C80EE5"/>
    <w:rsid w:val="00C80F17"/>
    <w:rsid w:val="00C8133D"/>
    <w:rsid w:val="00C81C1D"/>
    <w:rsid w:val="00C81F6E"/>
    <w:rsid w:val="00C822DC"/>
    <w:rsid w:val="00C82679"/>
    <w:rsid w:val="00C826C9"/>
    <w:rsid w:val="00C834A5"/>
    <w:rsid w:val="00C839F5"/>
    <w:rsid w:val="00C84311"/>
    <w:rsid w:val="00C84420"/>
    <w:rsid w:val="00C87039"/>
    <w:rsid w:val="00C87F3E"/>
    <w:rsid w:val="00C90862"/>
    <w:rsid w:val="00C91A54"/>
    <w:rsid w:val="00C92BEC"/>
    <w:rsid w:val="00C93061"/>
    <w:rsid w:val="00C93382"/>
    <w:rsid w:val="00C93472"/>
    <w:rsid w:val="00C93CFE"/>
    <w:rsid w:val="00C941EB"/>
    <w:rsid w:val="00C94EA4"/>
    <w:rsid w:val="00C95ADB"/>
    <w:rsid w:val="00C95EF5"/>
    <w:rsid w:val="00C9624F"/>
    <w:rsid w:val="00C96678"/>
    <w:rsid w:val="00C96C04"/>
    <w:rsid w:val="00C96F98"/>
    <w:rsid w:val="00C9738C"/>
    <w:rsid w:val="00C974B8"/>
    <w:rsid w:val="00C97763"/>
    <w:rsid w:val="00C977DD"/>
    <w:rsid w:val="00CA04C8"/>
    <w:rsid w:val="00CA08FF"/>
    <w:rsid w:val="00CA0F02"/>
    <w:rsid w:val="00CA0FB7"/>
    <w:rsid w:val="00CA13E6"/>
    <w:rsid w:val="00CA2986"/>
    <w:rsid w:val="00CA2B57"/>
    <w:rsid w:val="00CA3586"/>
    <w:rsid w:val="00CA46C9"/>
    <w:rsid w:val="00CA4837"/>
    <w:rsid w:val="00CA516A"/>
    <w:rsid w:val="00CA5D0D"/>
    <w:rsid w:val="00CA60C1"/>
    <w:rsid w:val="00CA7C67"/>
    <w:rsid w:val="00CB0113"/>
    <w:rsid w:val="00CB0423"/>
    <w:rsid w:val="00CB0609"/>
    <w:rsid w:val="00CB3CA5"/>
    <w:rsid w:val="00CB416A"/>
    <w:rsid w:val="00CB4C4D"/>
    <w:rsid w:val="00CB5608"/>
    <w:rsid w:val="00CB66E0"/>
    <w:rsid w:val="00CB6C57"/>
    <w:rsid w:val="00CC01AB"/>
    <w:rsid w:val="00CC1219"/>
    <w:rsid w:val="00CC1FE5"/>
    <w:rsid w:val="00CC1FE7"/>
    <w:rsid w:val="00CC2245"/>
    <w:rsid w:val="00CC2E55"/>
    <w:rsid w:val="00CC3B3A"/>
    <w:rsid w:val="00CC4E03"/>
    <w:rsid w:val="00CC65FE"/>
    <w:rsid w:val="00CC68D1"/>
    <w:rsid w:val="00CC6AF7"/>
    <w:rsid w:val="00CC6D14"/>
    <w:rsid w:val="00CC772D"/>
    <w:rsid w:val="00CC773A"/>
    <w:rsid w:val="00CC7926"/>
    <w:rsid w:val="00CD05F6"/>
    <w:rsid w:val="00CD1666"/>
    <w:rsid w:val="00CD278A"/>
    <w:rsid w:val="00CD3E20"/>
    <w:rsid w:val="00CD3EF5"/>
    <w:rsid w:val="00CD4DE2"/>
    <w:rsid w:val="00CD5790"/>
    <w:rsid w:val="00CD5D34"/>
    <w:rsid w:val="00CD5D82"/>
    <w:rsid w:val="00CD7123"/>
    <w:rsid w:val="00CD7596"/>
    <w:rsid w:val="00CE02AE"/>
    <w:rsid w:val="00CE0B96"/>
    <w:rsid w:val="00CE0E10"/>
    <w:rsid w:val="00CE1376"/>
    <w:rsid w:val="00CE16FA"/>
    <w:rsid w:val="00CE257D"/>
    <w:rsid w:val="00CE40F9"/>
    <w:rsid w:val="00CE4715"/>
    <w:rsid w:val="00CE4942"/>
    <w:rsid w:val="00CE5BF4"/>
    <w:rsid w:val="00CE71A6"/>
    <w:rsid w:val="00CE7D77"/>
    <w:rsid w:val="00CF0B9B"/>
    <w:rsid w:val="00CF0EF7"/>
    <w:rsid w:val="00CF1341"/>
    <w:rsid w:val="00CF1687"/>
    <w:rsid w:val="00CF2580"/>
    <w:rsid w:val="00CF2673"/>
    <w:rsid w:val="00CF3503"/>
    <w:rsid w:val="00CF3B07"/>
    <w:rsid w:val="00CF41C3"/>
    <w:rsid w:val="00CF4B99"/>
    <w:rsid w:val="00CF4E29"/>
    <w:rsid w:val="00CF5B60"/>
    <w:rsid w:val="00CF6362"/>
    <w:rsid w:val="00CF63A1"/>
    <w:rsid w:val="00CF63BA"/>
    <w:rsid w:val="00CF6CAE"/>
    <w:rsid w:val="00CF6FD3"/>
    <w:rsid w:val="00CF7475"/>
    <w:rsid w:val="00CF74D4"/>
    <w:rsid w:val="00CF7A42"/>
    <w:rsid w:val="00CF7CF1"/>
    <w:rsid w:val="00D00325"/>
    <w:rsid w:val="00D0073A"/>
    <w:rsid w:val="00D00BB2"/>
    <w:rsid w:val="00D0200B"/>
    <w:rsid w:val="00D0212E"/>
    <w:rsid w:val="00D0245B"/>
    <w:rsid w:val="00D02CB6"/>
    <w:rsid w:val="00D0496B"/>
    <w:rsid w:val="00D049AF"/>
    <w:rsid w:val="00D04F51"/>
    <w:rsid w:val="00D051C0"/>
    <w:rsid w:val="00D052CA"/>
    <w:rsid w:val="00D06577"/>
    <w:rsid w:val="00D10627"/>
    <w:rsid w:val="00D10F0D"/>
    <w:rsid w:val="00D112BF"/>
    <w:rsid w:val="00D11514"/>
    <w:rsid w:val="00D12703"/>
    <w:rsid w:val="00D1337D"/>
    <w:rsid w:val="00D1387C"/>
    <w:rsid w:val="00D13B0C"/>
    <w:rsid w:val="00D13E9A"/>
    <w:rsid w:val="00D14472"/>
    <w:rsid w:val="00D14714"/>
    <w:rsid w:val="00D14C06"/>
    <w:rsid w:val="00D15707"/>
    <w:rsid w:val="00D1680F"/>
    <w:rsid w:val="00D17012"/>
    <w:rsid w:val="00D17582"/>
    <w:rsid w:val="00D179F1"/>
    <w:rsid w:val="00D2076D"/>
    <w:rsid w:val="00D20B9A"/>
    <w:rsid w:val="00D20C02"/>
    <w:rsid w:val="00D21196"/>
    <w:rsid w:val="00D211D7"/>
    <w:rsid w:val="00D21D35"/>
    <w:rsid w:val="00D22194"/>
    <w:rsid w:val="00D22546"/>
    <w:rsid w:val="00D22AD6"/>
    <w:rsid w:val="00D230FF"/>
    <w:rsid w:val="00D23A6E"/>
    <w:rsid w:val="00D23F34"/>
    <w:rsid w:val="00D246BB"/>
    <w:rsid w:val="00D25542"/>
    <w:rsid w:val="00D257A7"/>
    <w:rsid w:val="00D261EA"/>
    <w:rsid w:val="00D302FD"/>
    <w:rsid w:val="00D3036D"/>
    <w:rsid w:val="00D31B95"/>
    <w:rsid w:val="00D3287B"/>
    <w:rsid w:val="00D32D0E"/>
    <w:rsid w:val="00D3322A"/>
    <w:rsid w:val="00D334FD"/>
    <w:rsid w:val="00D340B2"/>
    <w:rsid w:val="00D34B43"/>
    <w:rsid w:val="00D34B5A"/>
    <w:rsid w:val="00D34D92"/>
    <w:rsid w:val="00D34F46"/>
    <w:rsid w:val="00D35162"/>
    <w:rsid w:val="00D351E4"/>
    <w:rsid w:val="00D35314"/>
    <w:rsid w:val="00D358F3"/>
    <w:rsid w:val="00D374F1"/>
    <w:rsid w:val="00D4003F"/>
    <w:rsid w:val="00D4026C"/>
    <w:rsid w:val="00D402CA"/>
    <w:rsid w:val="00D4069C"/>
    <w:rsid w:val="00D406EA"/>
    <w:rsid w:val="00D40AF0"/>
    <w:rsid w:val="00D4256E"/>
    <w:rsid w:val="00D42B58"/>
    <w:rsid w:val="00D42E47"/>
    <w:rsid w:val="00D42F01"/>
    <w:rsid w:val="00D4309F"/>
    <w:rsid w:val="00D44200"/>
    <w:rsid w:val="00D45606"/>
    <w:rsid w:val="00D4608A"/>
    <w:rsid w:val="00D46D7F"/>
    <w:rsid w:val="00D46DF7"/>
    <w:rsid w:val="00D46FA5"/>
    <w:rsid w:val="00D4742C"/>
    <w:rsid w:val="00D4778B"/>
    <w:rsid w:val="00D50455"/>
    <w:rsid w:val="00D5078B"/>
    <w:rsid w:val="00D511B7"/>
    <w:rsid w:val="00D51570"/>
    <w:rsid w:val="00D515C6"/>
    <w:rsid w:val="00D51666"/>
    <w:rsid w:val="00D517A3"/>
    <w:rsid w:val="00D53355"/>
    <w:rsid w:val="00D53412"/>
    <w:rsid w:val="00D53E0C"/>
    <w:rsid w:val="00D54119"/>
    <w:rsid w:val="00D547E8"/>
    <w:rsid w:val="00D549BD"/>
    <w:rsid w:val="00D54C3F"/>
    <w:rsid w:val="00D55BE0"/>
    <w:rsid w:val="00D55D95"/>
    <w:rsid w:val="00D57692"/>
    <w:rsid w:val="00D60299"/>
    <w:rsid w:val="00D605F6"/>
    <w:rsid w:val="00D609AC"/>
    <w:rsid w:val="00D61274"/>
    <w:rsid w:val="00D61474"/>
    <w:rsid w:val="00D61B7A"/>
    <w:rsid w:val="00D6221D"/>
    <w:rsid w:val="00D629E2"/>
    <w:rsid w:val="00D62C91"/>
    <w:rsid w:val="00D63406"/>
    <w:rsid w:val="00D6349F"/>
    <w:rsid w:val="00D6376F"/>
    <w:rsid w:val="00D64D53"/>
    <w:rsid w:val="00D65204"/>
    <w:rsid w:val="00D66C05"/>
    <w:rsid w:val="00D67603"/>
    <w:rsid w:val="00D7081B"/>
    <w:rsid w:val="00D70DED"/>
    <w:rsid w:val="00D711D8"/>
    <w:rsid w:val="00D7171A"/>
    <w:rsid w:val="00D7175D"/>
    <w:rsid w:val="00D71933"/>
    <w:rsid w:val="00D72296"/>
    <w:rsid w:val="00D7252E"/>
    <w:rsid w:val="00D72681"/>
    <w:rsid w:val="00D72F51"/>
    <w:rsid w:val="00D73FCE"/>
    <w:rsid w:val="00D7449B"/>
    <w:rsid w:val="00D74906"/>
    <w:rsid w:val="00D74DC1"/>
    <w:rsid w:val="00D750B0"/>
    <w:rsid w:val="00D750E2"/>
    <w:rsid w:val="00D75706"/>
    <w:rsid w:val="00D75DF9"/>
    <w:rsid w:val="00D75E15"/>
    <w:rsid w:val="00D76AAC"/>
    <w:rsid w:val="00D80673"/>
    <w:rsid w:val="00D80AA9"/>
    <w:rsid w:val="00D80E1F"/>
    <w:rsid w:val="00D81A40"/>
    <w:rsid w:val="00D8227C"/>
    <w:rsid w:val="00D8290D"/>
    <w:rsid w:val="00D82C14"/>
    <w:rsid w:val="00D836B6"/>
    <w:rsid w:val="00D84E32"/>
    <w:rsid w:val="00D85071"/>
    <w:rsid w:val="00D8554A"/>
    <w:rsid w:val="00D857B1"/>
    <w:rsid w:val="00D86934"/>
    <w:rsid w:val="00D86EB7"/>
    <w:rsid w:val="00D87B3F"/>
    <w:rsid w:val="00D914B2"/>
    <w:rsid w:val="00D91ECD"/>
    <w:rsid w:val="00D91F46"/>
    <w:rsid w:val="00D929B6"/>
    <w:rsid w:val="00D92D57"/>
    <w:rsid w:val="00D93CB2"/>
    <w:rsid w:val="00D94992"/>
    <w:rsid w:val="00D95600"/>
    <w:rsid w:val="00D9616B"/>
    <w:rsid w:val="00D967CE"/>
    <w:rsid w:val="00D96C61"/>
    <w:rsid w:val="00D96E35"/>
    <w:rsid w:val="00D97583"/>
    <w:rsid w:val="00D979EB"/>
    <w:rsid w:val="00DA02D0"/>
    <w:rsid w:val="00DA27A4"/>
    <w:rsid w:val="00DA2924"/>
    <w:rsid w:val="00DA2B2F"/>
    <w:rsid w:val="00DA2BF5"/>
    <w:rsid w:val="00DA3552"/>
    <w:rsid w:val="00DA3CAC"/>
    <w:rsid w:val="00DA42E7"/>
    <w:rsid w:val="00DA43C0"/>
    <w:rsid w:val="00DA43CC"/>
    <w:rsid w:val="00DA49B9"/>
    <w:rsid w:val="00DA4FA7"/>
    <w:rsid w:val="00DA68AC"/>
    <w:rsid w:val="00DA69C1"/>
    <w:rsid w:val="00DA7369"/>
    <w:rsid w:val="00DB0744"/>
    <w:rsid w:val="00DB08D4"/>
    <w:rsid w:val="00DB0B4E"/>
    <w:rsid w:val="00DB0BF8"/>
    <w:rsid w:val="00DB16FB"/>
    <w:rsid w:val="00DB17B6"/>
    <w:rsid w:val="00DB1CF5"/>
    <w:rsid w:val="00DB2E88"/>
    <w:rsid w:val="00DB4C0C"/>
    <w:rsid w:val="00DB54B9"/>
    <w:rsid w:val="00DB583A"/>
    <w:rsid w:val="00DB707E"/>
    <w:rsid w:val="00DC1CF1"/>
    <w:rsid w:val="00DC2183"/>
    <w:rsid w:val="00DC3879"/>
    <w:rsid w:val="00DC3D28"/>
    <w:rsid w:val="00DC42FA"/>
    <w:rsid w:val="00DC44A1"/>
    <w:rsid w:val="00DC44F5"/>
    <w:rsid w:val="00DC4AB1"/>
    <w:rsid w:val="00DC5220"/>
    <w:rsid w:val="00DC546E"/>
    <w:rsid w:val="00DC6630"/>
    <w:rsid w:val="00DC7A43"/>
    <w:rsid w:val="00DC7D6D"/>
    <w:rsid w:val="00DD0B20"/>
    <w:rsid w:val="00DD0CC4"/>
    <w:rsid w:val="00DD0F5F"/>
    <w:rsid w:val="00DD10D3"/>
    <w:rsid w:val="00DD15C7"/>
    <w:rsid w:val="00DD1DF0"/>
    <w:rsid w:val="00DD27BF"/>
    <w:rsid w:val="00DD306F"/>
    <w:rsid w:val="00DD322D"/>
    <w:rsid w:val="00DD33FE"/>
    <w:rsid w:val="00DD3487"/>
    <w:rsid w:val="00DD4A77"/>
    <w:rsid w:val="00DD5638"/>
    <w:rsid w:val="00DD596D"/>
    <w:rsid w:val="00DD5C98"/>
    <w:rsid w:val="00DD6906"/>
    <w:rsid w:val="00DD7661"/>
    <w:rsid w:val="00DD7BB7"/>
    <w:rsid w:val="00DD7F62"/>
    <w:rsid w:val="00DE035B"/>
    <w:rsid w:val="00DE153E"/>
    <w:rsid w:val="00DE1C95"/>
    <w:rsid w:val="00DE20B1"/>
    <w:rsid w:val="00DE325A"/>
    <w:rsid w:val="00DE3E14"/>
    <w:rsid w:val="00DE3E94"/>
    <w:rsid w:val="00DE4155"/>
    <w:rsid w:val="00DE490E"/>
    <w:rsid w:val="00DE4D71"/>
    <w:rsid w:val="00DE567F"/>
    <w:rsid w:val="00DE68AB"/>
    <w:rsid w:val="00DE68C0"/>
    <w:rsid w:val="00DE6954"/>
    <w:rsid w:val="00DE71A2"/>
    <w:rsid w:val="00DE723B"/>
    <w:rsid w:val="00DE74BD"/>
    <w:rsid w:val="00DE7F81"/>
    <w:rsid w:val="00DF0058"/>
    <w:rsid w:val="00DF0376"/>
    <w:rsid w:val="00DF0391"/>
    <w:rsid w:val="00DF096A"/>
    <w:rsid w:val="00DF10AA"/>
    <w:rsid w:val="00DF36ED"/>
    <w:rsid w:val="00DF5ADB"/>
    <w:rsid w:val="00DF5BF3"/>
    <w:rsid w:val="00DF6579"/>
    <w:rsid w:val="00DF6A03"/>
    <w:rsid w:val="00DF6FCC"/>
    <w:rsid w:val="00DF786E"/>
    <w:rsid w:val="00E0098F"/>
    <w:rsid w:val="00E0183B"/>
    <w:rsid w:val="00E03389"/>
    <w:rsid w:val="00E03A88"/>
    <w:rsid w:val="00E03C8E"/>
    <w:rsid w:val="00E042F1"/>
    <w:rsid w:val="00E04881"/>
    <w:rsid w:val="00E04F1D"/>
    <w:rsid w:val="00E0500D"/>
    <w:rsid w:val="00E05694"/>
    <w:rsid w:val="00E0653D"/>
    <w:rsid w:val="00E0679A"/>
    <w:rsid w:val="00E078B2"/>
    <w:rsid w:val="00E102DF"/>
    <w:rsid w:val="00E10C4B"/>
    <w:rsid w:val="00E113FF"/>
    <w:rsid w:val="00E11A04"/>
    <w:rsid w:val="00E11ADB"/>
    <w:rsid w:val="00E12706"/>
    <w:rsid w:val="00E12823"/>
    <w:rsid w:val="00E12C7D"/>
    <w:rsid w:val="00E12CE9"/>
    <w:rsid w:val="00E12DE2"/>
    <w:rsid w:val="00E12E0E"/>
    <w:rsid w:val="00E1327C"/>
    <w:rsid w:val="00E1528C"/>
    <w:rsid w:val="00E15544"/>
    <w:rsid w:val="00E1582A"/>
    <w:rsid w:val="00E1595A"/>
    <w:rsid w:val="00E17F72"/>
    <w:rsid w:val="00E205CE"/>
    <w:rsid w:val="00E20861"/>
    <w:rsid w:val="00E208B0"/>
    <w:rsid w:val="00E20F5A"/>
    <w:rsid w:val="00E211D2"/>
    <w:rsid w:val="00E21D60"/>
    <w:rsid w:val="00E21FFC"/>
    <w:rsid w:val="00E22567"/>
    <w:rsid w:val="00E22ED8"/>
    <w:rsid w:val="00E23E9C"/>
    <w:rsid w:val="00E24785"/>
    <w:rsid w:val="00E255A1"/>
    <w:rsid w:val="00E25747"/>
    <w:rsid w:val="00E25751"/>
    <w:rsid w:val="00E25FAE"/>
    <w:rsid w:val="00E26253"/>
    <w:rsid w:val="00E26EF9"/>
    <w:rsid w:val="00E2719E"/>
    <w:rsid w:val="00E27545"/>
    <w:rsid w:val="00E27E0F"/>
    <w:rsid w:val="00E3041E"/>
    <w:rsid w:val="00E307F6"/>
    <w:rsid w:val="00E314F5"/>
    <w:rsid w:val="00E32593"/>
    <w:rsid w:val="00E329AE"/>
    <w:rsid w:val="00E34039"/>
    <w:rsid w:val="00E342C1"/>
    <w:rsid w:val="00E34946"/>
    <w:rsid w:val="00E34C13"/>
    <w:rsid w:val="00E3591D"/>
    <w:rsid w:val="00E36211"/>
    <w:rsid w:val="00E370C3"/>
    <w:rsid w:val="00E373BE"/>
    <w:rsid w:val="00E37E20"/>
    <w:rsid w:val="00E419B5"/>
    <w:rsid w:val="00E42C05"/>
    <w:rsid w:val="00E42E07"/>
    <w:rsid w:val="00E4385C"/>
    <w:rsid w:val="00E43B35"/>
    <w:rsid w:val="00E43DD0"/>
    <w:rsid w:val="00E43FA5"/>
    <w:rsid w:val="00E4421D"/>
    <w:rsid w:val="00E4501C"/>
    <w:rsid w:val="00E45685"/>
    <w:rsid w:val="00E45CF0"/>
    <w:rsid w:val="00E470F9"/>
    <w:rsid w:val="00E52C51"/>
    <w:rsid w:val="00E52D09"/>
    <w:rsid w:val="00E53A5D"/>
    <w:rsid w:val="00E56137"/>
    <w:rsid w:val="00E56D18"/>
    <w:rsid w:val="00E56D6C"/>
    <w:rsid w:val="00E60268"/>
    <w:rsid w:val="00E60913"/>
    <w:rsid w:val="00E6180A"/>
    <w:rsid w:val="00E61D08"/>
    <w:rsid w:val="00E627FE"/>
    <w:rsid w:val="00E63442"/>
    <w:rsid w:val="00E63F8F"/>
    <w:rsid w:val="00E644E7"/>
    <w:rsid w:val="00E64D3C"/>
    <w:rsid w:val="00E64E22"/>
    <w:rsid w:val="00E661BD"/>
    <w:rsid w:val="00E6659A"/>
    <w:rsid w:val="00E66D3C"/>
    <w:rsid w:val="00E66EEA"/>
    <w:rsid w:val="00E67003"/>
    <w:rsid w:val="00E672F8"/>
    <w:rsid w:val="00E67AFB"/>
    <w:rsid w:val="00E67B09"/>
    <w:rsid w:val="00E67EE6"/>
    <w:rsid w:val="00E67FD3"/>
    <w:rsid w:val="00E702DE"/>
    <w:rsid w:val="00E70C24"/>
    <w:rsid w:val="00E7151F"/>
    <w:rsid w:val="00E71913"/>
    <w:rsid w:val="00E72AB7"/>
    <w:rsid w:val="00E72C26"/>
    <w:rsid w:val="00E73DE4"/>
    <w:rsid w:val="00E73F26"/>
    <w:rsid w:val="00E7432F"/>
    <w:rsid w:val="00E74D14"/>
    <w:rsid w:val="00E75177"/>
    <w:rsid w:val="00E75317"/>
    <w:rsid w:val="00E75762"/>
    <w:rsid w:val="00E75963"/>
    <w:rsid w:val="00E768DC"/>
    <w:rsid w:val="00E76BE0"/>
    <w:rsid w:val="00E76C0E"/>
    <w:rsid w:val="00E77073"/>
    <w:rsid w:val="00E77678"/>
    <w:rsid w:val="00E778C1"/>
    <w:rsid w:val="00E77A96"/>
    <w:rsid w:val="00E802AF"/>
    <w:rsid w:val="00E808FC"/>
    <w:rsid w:val="00E80B23"/>
    <w:rsid w:val="00E80F1D"/>
    <w:rsid w:val="00E8108E"/>
    <w:rsid w:val="00E81093"/>
    <w:rsid w:val="00E812D8"/>
    <w:rsid w:val="00E81336"/>
    <w:rsid w:val="00E81B17"/>
    <w:rsid w:val="00E8234E"/>
    <w:rsid w:val="00E824BD"/>
    <w:rsid w:val="00E82DCD"/>
    <w:rsid w:val="00E83B06"/>
    <w:rsid w:val="00E83FA2"/>
    <w:rsid w:val="00E84567"/>
    <w:rsid w:val="00E865B2"/>
    <w:rsid w:val="00E866E6"/>
    <w:rsid w:val="00E87A0B"/>
    <w:rsid w:val="00E87A59"/>
    <w:rsid w:val="00E913A1"/>
    <w:rsid w:val="00E925A3"/>
    <w:rsid w:val="00E926D5"/>
    <w:rsid w:val="00E9286B"/>
    <w:rsid w:val="00E93083"/>
    <w:rsid w:val="00E93437"/>
    <w:rsid w:val="00E938D9"/>
    <w:rsid w:val="00E942BC"/>
    <w:rsid w:val="00E9480F"/>
    <w:rsid w:val="00E94E47"/>
    <w:rsid w:val="00E95BE2"/>
    <w:rsid w:val="00E964A7"/>
    <w:rsid w:val="00E96D0A"/>
    <w:rsid w:val="00E97D8D"/>
    <w:rsid w:val="00EA0731"/>
    <w:rsid w:val="00EA0B4B"/>
    <w:rsid w:val="00EA12A0"/>
    <w:rsid w:val="00EA2508"/>
    <w:rsid w:val="00EA277A"/>
    <w:rsid w:val="00EA2921"/>
    <w:rsid w:val="00EA3664"/>
    <w:rsid w:val="00EA3E28"/>
    <w:rsid w:val="00EA4330"/>
    <w:rsid w:val="00EA4529"/>
    <w:rsid w:val="00EA4C58"/>
    <w:rsid w:val="00EA4DA1"/>
    <w:rsid w:val="00EA6BD8"/>
    <w:rsid w:val="00EA73C3"/>
    <w:rsid w:val="00EA7768"/>
    <w:rsid w:val="00EA7FD8"/>
    <w:rsid w:val="00EB09BB"/>
    <w:rsid w:val="00EB0AFF"/>
    <w:rsid w:val="00EB1F4B"/>
    <w:rsid w:val="00EB2338"/>
    <w:rsid w:val="00EB361A"/>
    <w:rsid w:val="00EB3FF4"/>
    <w:rsid w:val="00EB5E6B"/>
    <w:rsid w:val="00EB6394"/>
    <w:rsid w:val="00EB65CC"/>
    <w:rsid w:val="00EC00C9"/>
    <w:rsid w:val="00EC0F13"/>
    <w:rsid w:val="00EC1185"/>
    <w:rsid w:val="00EC1F15"/>
    <w:rsid w:val="00EC20A5"/>
    <w:rsid w:val="00EC26CA"/>
    <w:rsid w:val="00EC2A29"/>
    <w:rsid w:val="00EC2A77"/>
    <w:rsid w:val="00EC2D6F"/>
    <w:rsid w:val="00EC2F95"/>
    <w:rsid w:val="00EC514B"/>
    <w:rsid w:val="00EC55F3"/>
    <w:rsid w:val="00EC6278"/>
    <w:rsid w:val="00EC6492"/>
    <w:rsid w:val="00EC65B1"/>
    <w:rsid w:val="00EC6E55"/>
    <w:rsid w:val="00EC6FD6"/>
    <w:rsid w:val="00EC7573"/>
    <w:rsid w:val="00EC798B"/>
    <w:rsid w:val="00ED03B7"/>
    <w:rsid w:val="00ED184C"/>
    <w:rsid w:val="00ED19B0"/>
    <w:rsid w:val="00ED2055"/>
    <w:rsid w:val="00ED3BFA"/>
    <w:rsid w:val="00ED4DFA"/>
    <w:rsid w:val="00ED4FCB"/>
    <w:rsid w:val="00ED5182"/>
    <w:rsid w:val="00ED589A"/>
    <w:rsid w:val="00ED7139"/>
    <w:rsid w:val="00ED73DE"/>
    <w:rsid w:val="00ED7D3E"/>
    <w:rsid w:val="00EE05A9"/>
    <w:rsid w:val="00EE09C8"/>
    <w:rsid w:val="00EE14EC"/>
    <w:rsid w:val="00EE2DE0"/>
    <w:rsid w:val="00EE35F9"/>
    <w:rsid w:val="00EE36F8"/>
    <w:rsid w:val="00EE3AF2"/>
    <w:rsid w:val="00EE3E28"/>
    <w:rsid w:val="00EE3F61"/>
    <w:rsid w:val="00EE5D5A"/>
    <w:rsid w:val="00EE5D96"/>
    <w:rsid w:val="00EE6297"/>
    <w:rsid w:val="00EE6CA7"/>
    <w:rsid w:val="00EE7105"/>
    <w:rsid w:val="00EE7235"/>
    <w:rsid w:val="00EE738E"/>
    <w:rsid w:val="00EF03E5"/>
    <w:rsid w:val="00EF1124"/>
    <w:rsid w:val="00EF1A91"/>
    <w:rsid w:val="00EF1AD9"/>
    <w:rsid w:val="00EF1DBD"/>
    <w:rsid w:val="00EF31A5"/>
    <w:rsid w:val="00EF39C6"/>
    <w:rsid w:val="00EF39CC"/>
    <w:rsid w:val="00EF3A11"/>
    <w:rsid w:val="00EF4D27"/>
    <w:rsid w:val="00EF5D98"/>
    <w:rsid w:val="00EF5EFE"/>
    <w:rsid w:val="00EF60A3"/>
    <w:rsid w:val="00EF63C6"/>
    <w:rsid w:val="00EF6766"/>
    <w:rsid w:val="00EF6A77"/>
    <w:rsid w:val="00EF706F"/>
    <w:rsid w:val="00EF7136"/>
    <w:rsid w:val="00EF75CB"/>
    <w:rsid w:val="00EF7A3C"/>
    <w:rsid w:val="00EF7B48"/>
    <w:rsid w:val="00F0011F"/>
    <w:rsid w:val="00F00ACC"/>
    <w:rsid w:val="00F00D9F"/>
    <w:rsid w:val="00F01752"/>
    <w:rsid w:val="00F01B3A"/>
    <w:rsid w:val="00F01C69"/>
    <w:rsid w:val="00F02C72"/>
    <w:rsid w:val="00F03076"/>
    <w:rsid w:val="00F03175"/>
    <w:rsid w:val="00F034EC"/>
    <w:rsid w:val="00F03886"/>
    <w:rsid w:val="00F03ECF"/>
    <w:rsid w:val="00F04CEC"/>
    <w:rsid w:val="00F050F9"/>
    <w:rsid w:val="00F051CF"/>
    <w:rsid w:val="00F05F84"/>
    <w:rsid w:val="00F06B8F"/>
    <w:rsid w:val="00F0706D"/>
    <w:rsid w:val="00F07EB4"/>
    <w:rsid w:val="00F10674"/>
    <w:rsid w:val="00F11421"/>
    <w:rsid w:val="00F1188C"/>
    <w:rsid w:val="00F126C2"/>
    <w:rsid w:val="00F139AA"/>
    <w:rsid w:val="00F1427F"/>
    <w:rsid w:val="00F146FE"/>
    <w:rsid w:val="00F149CC"/>
    <w:rsid w:val="00F14B0A"/>
    <w:rsid w:val="00F14C13"/>
    <w:rsid w:val="00F15470"/>
    <w:rsid w:val="00F154CA"/>
    <w:rsid w:val="00F15934"/>
    <w:rsid w:val="00F15949"/>
    <w:rsid w:val="00F160EC"/>
    <w:rsid w:val="00F16721"/>
    <w:rsid w:val="00F16854"/>
    <w:rsid w:val="00F1720F"/>
    <w:rsid w:val="00F17494"/>
    <w:rsid w:val="00F17978"/>
    <w:rsid w:val="00F179A7"/>
    <w:rsid w:val="00F17A4F"/>
    <w:rsid w:val="00F17F57"/>
    <w:rsid w:val="00F20ADB"/>
    <w:rsid w:val="00F20F34"/>
    <w:rsid w:val="00F215CF"/>
    <w:rsid w:val="00F21FC4"/>
    <w:rsid w:val="00F22C75"/>
    <w:rsid w:val="00F23B19"/>
    <w:rsid w:val="00F23CCE"/>
    <w:rsid w:val="00F24127"/>
    <w:rsid w:val="00F245B2"/>
    <w:rsid w:val="00F24717"/>
    <w:rsid w:val="00F24860"/>
    <w:rsid w:val="00F24BB7"/>
    <w:rsid w:val="00F251FF"/>
    <w:rsid w:val="00F2611E"/>
    <w:rsid w:val="00F26ACB"/>
    <w:rsid w:val="00F27853"/>
    <w:rsid w:val="00F2785B"/>
    <w:rsid w:val="00F27C8A"/>
    <w:rsid w:val="00F307E0"/>
    <w:rsid w:val="00F30F4A"/>
    <w:rsid w:val="00F31102"/>
    <w:rsid w:val="00F31273"/>
    <w:rsid w:val="00F3414B"/>
    <w:rsid w:val="00F348EC"/>
    <w:rsid w:val="00F34C06"/>
    <w:rsid w:val="00F35197"/>
    <w:rsid w:val="00F35225"/>
    <w:rsid w:val="00F37C85"/>
    <w:rsid w:val="00F37DD0"/>
    <w:rsid w:val="00F402D8"/>
    <w:rsid w:val="00F40D25"/>
    <w:rsid w:val="00F41427"/>
    <w:rsid w:val="00F4308A"/>
    <w:rsid w:val="00F444CC"/>
    <w:rsid w:val="00F45A09"/>
    <w:rsid w:val="00F460E9"/>
    <w:rsid w:val="00F4637A"/>
    <w:rsid w:val="00F4769F"/>
    <w:rsid w:val="00F47C4A"/>
    <w:rsid w:val="00F50302"/>
    <w:rsid w:val="00F50C8F"/>
    <w:rsid w:val="00F514ED"/>
    <w:rsid w:val="00F51614"/>
    <w:rsid w:val="00F520EF"/>
    <w:rsid w:val="00F52121"/>
    <w:rsid w:val="00F538F7"/>
    <w:rsid w:val="00F54294"/>
    <w:rsid w:val="00F543EA"/>
    <w:rsid w:val="00F54AC1"/>
    <w:rsid w:val="00F55967"/>
    <w:rsid w:val="00F56579"/>
    <w:rsid w:val="00F56C82"/>
    <w:rsid w:val="00F57975"/>
    <w:rsid w:val="00F60374"/>
    <w:rsid w:val="00F609D0"/>
    <w:rsid w:val="00F609FA"/>
    <w:rsid w:val="00F60D27"/>
    <w:rsid w:val="00F6307D"/>
    <w:rsid w:val="00F63135"/>
    <w:rsid w:val="00F640AD"/>
    <w:rsid w:val="00F650AE"/>
    <w:rsid w:val="00F65995"/>
    <w:rsid w:val="00F66C4B"/>
    <w:rsid w:val="00F67015"/>
    <w:rsid w:val="00F67980"/>
    <w:rsid w:val="00F70FB4"/>
    <w:rsid w:val="00F73D51"/>
    <w:rsid w:val="00F751FD"/>
    <w:rsid w:val="00F75523"/>
    <w:rsid w:val="00F7552D"/>
    <w:rsid w:val="00F75DB6"/>
    <w:rsid w:val="00F7609C"/>
    <w:rsid w:val="00F77300"/>
    <w:rsid w:val="00F777D4"/>
    <w:rsid w:val="00F779CA"/>
    <w:rsid w:val="00F80BEE"/>
    <w:rsid w:val="00F80DD8"/>
    <w:rsid w:val="00F81B8F"/>
    <w:rsid w:val="00F82544"/>
    <w:rsid w:val="00F83106"/>
    <w:rsid w:val="00F866DD"/>
    <w:rsid w:val="00F87C73"/>
    <w:rsid w:val="00F9037F"/>
    <w:rsid w:val="00F9047E"/>
    <w:rsid w:val="00F912A8"/>
    <w:rsid w:val="00F914A6"/>
    <w:rsid w:val="00F92088"/>
    <w:rsid w:val="00F92652"/>
    <w:rsid w:val="00F92AA1"/>
    <w:rsid w:val="00F92AA8"/>
    <w:rsid w:val="00F92C28"/>
    <w:rsid w:val="00F934BA"/>
    <w:rsid w:val="00F93F66"/>
    <w:rsid w:val="00F9425E"/>
    <w:rsid w:val="00F965F6"/>
    <w:rsid w:val="00F96A76"/>
    <w:rsid w:val="00F97CB7"/>
    <w:rsid w:val="00FA0CC6"/>
    <w:rsid w:val="00FA1001"/>
    <w:rsid w:val="00FA123B"/>
    <w:rsid w:val="00FA2FF7"/>
    <w:rsid w:val="00FA3227"/>
    <w:rsid w:val="00FA34B4"/>
    <w:rsid w:val="00FA3A86"/>
    <w:rsid w:val="00FA3BC6"/>
    <w:rsid w:val="00FA4287"/>
    <w:rsid w:val="00FA4300"/>
    <w:rsid w:val="00FA4679"/>
    <w:rsid w:val="00FA50ED"/>
    <w:rsid w:val="00FA544B"/>
    <w:rsid w:val="00FA5BBD"/>
    <w:rsid w:val="00FA5D0A"/>
    <w:rsid w:val="00FA6358"/>
    <w:rsid w:val="00FA6717"/>
    <w:rsid w:val="00FA6905"/>
    <w:rsid w:val="00FA6BF9"/>
    <w:rsid w:val="00FA776D"/>
    <w:rsid w:val="00FB1DBC"/>
    <w:rsid w:val="00FB28A5"/>
    <w:rsid w:val="00FB2974"/>
    <w:rsid w:val="00FB305F"/>
    <w:rsid w:val="00FB43EB"/>
    <w:rsid w:val="00FB5A0D"/>
    <w:rsid w:val="00FB5A18"/>
    <w:rsid w:val="00FB5BCC"/>
    <w:rsid w:val="00FB6785"/>
    <w:rsid w:val="00FB67BC"/>
    <w:rsid w:val="00FB7A86"/>
    <w:rsid w:val="00FB7F29"/>
    <w:rsid w:val="00FC1C5D"/>
    <w:rsid w:val="00FC1CDC"/>
    <w:rsid w:val="00FC2CCD"/>
    <w:rsid w:val="00FC30E3"/>
    <w:rsid w:val="00FC3202"/>
    <w:rsid w:val="00FC4136"/>
    <w:rsid w:val="00FC491D"/>
    <w:rsid w:val="00FC4C61"/>
    <w:rsid w:val="00FC5EEC"/>
    <w:rsid w:val="00FC6252"/>
    <w:rsid w:val="00FC6449"/>
    <w:rsid w:val="00FC65B2"/>
    <w:rsid w:val="00FC69AF"/>
    <w:rsid w:val="00FC6E9C"/>
    <w:rsid w:val="00FC7201"/>
    <w:rsid w:val="00FC73F4"/>
    <w:rsid w:val="00FC78D6"/>
    <w:rsid w:val="00FC7952"/>
    <w:rsid w:val="00FD059F"/>
    <w:rsid w:val="00FD060E"/>
    <w:rsid w:val="00FD12B9"/>
    <w:rsid w:val="00FD1CD6"/>
    <w:rsid w:val="00FD2B4A"/>
    <w:rsid w:val="00FD3762"/>
    <w:rsid w:val="00FD38E6"/>
    <w:rsid w:val="00FD3AE9"/>
    <w:rsid w:val="00FD3F9C"/>
    <w:rsid w:val="00FD47A4"/>
    <w:rsid w:val="00FD496C"/>
    <w:rsid w:val="00FD534F"/>
    <w:rsid w:val="00FD5C74"/>
    <w:rsid w:val="00FD70B9"/>
    <w:rsid w:val="00FE0580"/>
    <w:rsid w:val="00FE266D"/>
    <w:rsid w:val="00FE2937"/>
    <w:rsid w:val="00FE3554"/>
    <w:rsid w:val="00FE4691"/>
    <w:rsid w:val="00FE5608"/>
    <w:rsid w:val="00FE5868"/>
    <w:rsid w:val="00FE5AEC"/>
    <w:rsid w:val="00FE6BFA"/>
    <w:rsid w:val="00FE6D6D"/>
    <w:rsid w:val="00FF08A6"/>
    <w:rsid w:val="00FF124F"/>
    <w:rsid w:val="00FF12D8"/>
    <w:rsid w:val="00FF14AE"/>
    <w:rsid w:val="00FF16D6"/>
    <w:rsid w:val="00FF1E4E"/>
    <w:rsid w:val="00FF1F3C"/>
    <w:rsid w:val="00FF265A"/>
    <w:rsid w:val="00FF27E3"/>
    <w:rsid w:val="00FF3225"/>
    <w:rsid w:val="00FF51A7"/>
    <w:rsid w:val="00FF5B2B"/>
    <w:rsid w:val="00FF60C8"/>
    <w:rsid w:val="00FF6D2E"/>
    <w:rsid w:val="00FF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5544"/>
    <w:pPr>
      <w:widowControl w:val="0"/>
      <w:suppressAutoHyphens/>
      <w:autoSpaceDN w:val="0"/>
      <w:textAlignment w:val="baseline"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5544"/>
    <w:rPr>
      <w:rFonts w:ascii="標楷體" w:eastAsia="標楷體" w:hAnsi="標楷體"/>
      <w:sz w:val="28"/>
    </w:rPr>
  </w:style>
  <w:style w:type="paragraph" w:styleId="a4">
    <w:name w:val="Body Text Indent"/>
    <w:basedOn w:val="a"/>
    <w:rsid w:val="00E15544"/>
    <w:pPr>
      <w:spacing w:line="500" w:lineRule="exact"/>
      <w:ind w:firstLine="810"/>
    </w:pPr>
    <w:rPr>
      <w:rFonts w:eastAsia="標楷體"/>
      <w:sz w:val="40"/>
    </w:rPr>
  </w:style>
  <w:style w:type="paragraph" w:styleId="a5">
    <w:name w:val="footer"/>
    <w:basedOn w:val="a"/>
    <w:rsid w:val="00E15544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E15544"/>
  </w:style>
  <w:style w:type="paragraph" w:styleId="2">
    <w:name w:val="Body Text Indent 2"/>
    <w:basedOn w:val="a"/>
    <w:rsid w:val="00E15544"/>
    <w:pPr>
      <w:spacing w:line="560" w:lineRule="exact"/>
      <w:ind w:firstLine="810"/>
      <w:jc w:val="both"/>
    </w:pPr>
    <w:rPr>
      <w:rFonts w:eastAsia="標楷體"/>
      <w:sz w:val="36"/>
    </w:rPr>
  </w:style>
  <w:style w:type="paragraph" w:styleId="a7">
    <w:name w:val="header"/>
    <w:basedOn w:val="a"/>
    <w:rsid w:val="00E15544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Hyperlink"/>
    <w:rsid w:val="00E15544"/>
    <w:rPr>
      <w:color w:val="0000FF"/>
      <w:u w:val="single"/>
    </w:rPr>
  </w:style>
  <w:style w:type="paragraph" w:styleId="3">
    <w:name w:val="Body Text 3"/>
    <w:basedOn w:val="a"/>
    <w:rsid w:val="00E15544"/>
    <w:pPr>
      <w:jc w:val="both"/>
    </w:pPr>
    <w:rPr>
      <w:rFonts w:ascii="標楷體" w:eastAsia="標楷體" w:hAnsi="標楷體"/>
      <w:sz w:val="32"/>
      <w:szCs w:val="24"/>
    </w:rPr>
  </w:style>
  <w:style w:type="paragraph" w:styleId="20">
    <w:name w:val="Body Text 2"/>
    <w:basedOn w:val="a"/>
    <w:rsid w:val="00E15544"/>
    <w:pPr>
      <w:jc w:val="center"/>
    </w:pPr>
    <w:rPr>
      <w:rFonts w:ascii="標楷體" w:eastAsia="標楷體" w:hAnsi="標楷體"/>
      <w:szCs w:val="18"/>
    </w:rPr>
  </w:style>
  <w:style w:type="paragraph" w:styleId="a9">
    <w:name w:val="footnote text"/>
    <w:basedOn w:val="a"/>
    <w:rsid w:val="00E15544"/>
    <w:pPr>
      <w:snapToGrid w:val="0"/>
    </w:pPr>
    <w:rPr>
      <w:sz w:val="20"/>
    </w:rPr>
  </w:style>
  <w:style w:type="character" w:styleId="aa">
    <w:name w:val="footnote reference"/>
    <w:rsid w:val="00E15544"/>
    <w:rPr>
      <w:position w:val="0"/>
      <w:vertAlign w:val="superscript"/>
    </w:rPr>
  </w:style>
  <w:style w:type="paragraph" w:styleId="ab">
    <w:name w:val="Balloon Text"/>
    <w:basedOn w:val="a"/>
    <w:rsid w:val="00E15544"/>
    <w:rPr>
      <w:rFonts w:ascii="Arial" w:hAnsi="Arial"/>
      <w:sz w:val="18"/>
      <w:szCs w:val="18"/>
    </w:rPr>
  </w:style>
  <w:style w:type="character" w:customStyle="1" w:styleId="ac">
    <w:name w:val="頁尾 字元"/>
    <w:rsid w:val="00E15544"/>
    <w:rPr>
      <w:kern w:val="3"/>
    </w:rPr>
  </w:style>
  <w:style w:type="character" w:customStyle="1" w:styleId="ad">
    <w:name w:val="本文 字元"/>
    <w:rsid w:val="00E15544"/>
    <w:rPr>
      <w:rFonts w:ascii="標楷體" w:eastAsia="標楷體" w:hAnsi="標楷體"/>
      <w:kern w:val="3"/>
      <w:sz w:val="28"/>
    </w:rPr>
  </w:style>
  <w:style w:type="paragraph" w:styleId="Web">
    <w:name w:val="Normal (Web)"/>
    <w:basedOn w:val="a"/>
    <w:rsid w:val="00E15544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e">
    <w:name w:val="List Paragraph"/>
    <w:basedOn w:val="a"/>
    <w:uiPriority w:val="34"/>
    <w:qFormat/>
    <w:rsid w:val="00E15544"/>
    <w:pPr>
      <w:ind w:left="480"/>
    </w:pPr>
    <w:rPr>
      <w:szCs w:val="24"/>
    </w:rPr>
  </w:style>
  <w:style w:type="paragraph" w:styleId="af">
    <w:name w:val="Date"/>
    <w:basedOn w:val="a"/>
    <w:next w:val="a"/>
    <w:rsid w:val="00E15544"/>
    <w:pPr>
      <w:jc w:val="right"/>
    </w:pPr>
  </w:style>
  <w:style w:type="character" w:customStyle="1" w:styleId="af0">
    <w:name w:val="日期 字元"/>
    <w:rsid w:val="00E15544"/>
    <w:rPr>
      <w:kern w:val="3"/>
      <w:sz w:val="24"/>
    </w:rPr>
  </w:style>
  <w:style w:type="character" w:styleId="af1">
    <w:name w:val="Emphasis"/>
    <w:uiPriority w:val="20"/>
    <w:qFormat/>
    <w:rsid w:val="00E15544"/>
    <w:rPr>
      <w:i/>
      <w:iCs/>
    </w:rPr>
  </w:style>
  <w:style w:type="paragraph" w:customStyle="1" w:styleId="Textbody">
    <w:name w:val="Text body"/>
    <w:basedOn w:val="a"/>
    <w:rsid w:val="00D75E15"/>
    <w:rPr>
      <w:rFonts w:ascii="標楷體" w:eastAsia="標楷體" w:hAnsi="標楷體"/>
      <w:sz w:val="28"/>
    </w:rPr>
  </w:style>
  <w:style w:type="character" w:styleId="af2">
    <w:name w:val="annotation reference"/>
    <w:uiPriority w:val="99"/>
    <w:semiHidden/>
    <w:unhideWhenUsed/>
    <w:rsid w:val="00C42D7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C42D75"/>
  </w:style>
  <w:style w:type="character" w:customStyle="1" w:styleId="af4">
    <w:name w:val="註解文字 字元"/>
    <w:link w:val="af3"/>
    <w:uiPriority w:val="99"/>
    <w:semiHidden/>
    <w:rsid w:val="00C42D75"/>
    <w:rPr>
      <w:kern w:val="3"/>
      <w:sz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42D75"/>
    <w:rPr>
      <w:b/>
      <w:bCs/>
    </w:rPr>
  </w:style>
  <w:style w:type="character" w:customStyle="1" w:styleId="af6">
    <w:name w:val="註解主旨 字元"/>
    <w:link w:val="af5"/>
    <w:uiPriority w:val="99"/>
    <w:semiHidden/>
    <w:rsid w:val="00C42D75"/>
    <w:rPr>
      <w:b/>
      <w:bCs/>
      <w:kern w:val="3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88DE6-DBD3-4797-9A49-EFB6B9579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1562</Words>
  <Characters>8907</Characters>
  <Application>Microsoft Office Word</Application>
  <DocSecurity>0</DocSecurity>
  <Lines>74</Lines>
  <Paragraphs>20</Paragraphs>
  <ScaleCrop>false</ScaleCrop>
  <Company/>
  <LinksUpToDate>false</LinksUpToDate>
  <CharactersWithSpaces>10449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摘 要 分 析</dc:title>
  <dc:creator>投審會</dc:creator>
  <cp:lastModifiedBy>黃巧伃</cp:lastModifiedBy>
  <cp:revision>5</cp:revision>
  <cp:lastPrinted>2021-08-17T07:03:00Z</cp:lastPrinted>
  <dcterms:created xsi:type="dcterms:W3CDTF">2021-08-17T09:28:00Z</dcterms:created>
  <dcterms:modified xsi:type="dcterms:W3CDTF">2021-08-20T02:59:00Z</dcterms:modified>
</cp:coreProperties>
</file>