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44" w:rsidRPr="000E64D4" w:rsidRDefault="004C5877">
      <w:pPr>
        <w:spacing w:line="560" w:lineRule="exact"/>
        <w:jc w:val="center"/>
        <w:rPr>
          <w:rFonts w:eastAsia="標楷體"/>
          <w:b/>
          <w:sz w:val="44"/>
        </w:rPr>
      </w:pPr>
      <w:r w:rsidRPr="000E64D4">
        <w:rPr>
          <w:rFonts w:eastAsia="標楷體"/>
          <w:b/>
          <w:sz w:val="44"/>
        </w:rPr>
        <w:t>新聞稿</w:t>
      </w:r>
    </w:p>
    <w:p w:rsidR="008F2EFF" w:rsidRPr="000E64D4" w:rsidRDefault="008F2EFF" w:rsidP="00D16534">
      <w:pPr>
        <w:spacing w:beforeLines="100" w:line="400" w:lineRule="exact"/>
        <w:rPr>
          <w:rFonts w:eastAsia="標楷體"/>
          <w:kern w:val="2"/>
        </w:rPr>
      </w:pPr>
      <w:r w:rsidRPr="000E64D4">
        <w:rPr>
          <w:rFonts w:eastAsia="標楷體" w:hint="eastAsia"/>
        </w:rPr>
        <w:t>備註：</w:t>
      </w:r>
      <w:r w:rsidRPr="000E64D4">
        <w:rPr>
          <w:rFonts w:eastAsia="標楷體"/>
        </w:rPr>
        <w:t>1.</w:t>
      </w:r>
      <w:r w:rsidRPr="000E64D4">
        <w:rPr>
          <w:rFonts w:eastAsia="標楷體" w:hint="eastAsia"/>
        </w:rPr>
        <w:t>本新聞稿透過網際網路</w:t>
      </w:r>
      <w:r w:rsidR="000A0B99" w:rsidRPr="000E64D4">
        <w:rPr>
          <w:rFonts w:eastAsia="標楷體" w:hint="eastAsia"/>
        </w:rPr>
        <w:t>(</w:t>
      </w:r>
      <w:r w:rsidRPr="000E64D4">
        <w:rPr>
          <w:rFonts w:eastAsia="標楷體"/>
        </w:rPr>
        <w:t>Internet</w:t>
      </w:r>
      <w:r w:rsidR="000754B5" w:rsidRPr="000E64D4">
        <w:rPr>
          <w:rFonts w:eastAsia="標楷體" w:hint="eastAsia"/>
        </w:rPr>
        <w:t>)</w:t>
      </w:r>
      <w:r w:rsidRPr="000E64D4">
        <w:rPr>
          <w:rFonts w:eastAsia="標楷體" w:hint="eastAsia"/>
        </w:rPr>
        <w:t>系統同步發送。</w:t>
      </w:r>
    </w:p>
    <w:p w:rsidR="008F2EFF" w:rsidRPr="000E64D4" w:rsidRDefault="008F2EFF" w:rsidP="008F2EFF">
      <w:pPr>
        <w:spacing w:line="400" w:lineRule="exact"/>
        <w:ind w:left="840" w:hangingChars="350" w:hanging="840"/>
        <w:rPr>
          <w:rFonts w:eastAsia="標楷體"/>
        </w:rPr>
      </w:pPr>
      <w:r w:rsidRPr="000E64D4">
        <w:rPr>
          <w:rFonts w:eastAsia="標楷體" w:hint="eastAsia"/>
        </w:rPr>
        <w:t>備註：</w:t>
      </w:r>
      <w:r w:rsidRPr="000E64D4">
        <w:rPr>
          <w:rFonts w:eastAsia="標楷體"/>
        </w:rPr>
        <w:t xml:space="preserve"> 2.</w:t>
      </w:r>
      <w:r w:rsidRPr="000E64D4">
        <w:rPr>
          <w:rFonts w:eastAsia="標楷體" w:hint="eastAsia"/>
        </w:rPr>
        <w:t>本部投審會發布之僑外投資、陸資投資、對外投資、對中國大陸投資統計，均為</w:t>
      </w:r>
      <w:r w:rsidRPr="000E64D4">
        <w:rPr>
          <w:rFonts w:eastAsia="標楷體" w:hint="eastAsia"/>
          <w:b/>
        </w:rPr>
        <w:t>「股本投資」</w:t>
      </w:r>
      <w:r w:rsidRPr="000E64D4">
        <w:rPr>
          <w:rFonts w:eastAsia="標楷體" w:hint="eastAsia"/>
        </w:rPr>
        <w:t>統計。</w:t>
      </w:r>
    </w:p>
    <w:p w:rsidR="00393FD1" w:rsidRPr="000E64D4" w:rsidRDefault="00393FD1" w:rsidP="008F2EFF">
      <w:pPr>
        <w:spacing w:line="400" w:lineRule="exact"/>
        <w:ind w:left="840" w:hangingChars="350" w:hanging="840"/>
        <w:rPr>
          <w:rFonts w:eastAsia="標楷體"/>
        </w:rPr>
      </w:pPr>
      <w:r w:rsidRPr="000E64D4">
        <w:rPr>
          <w:rFonts w:eastAsia="標楷體" w:hint="eastAsia"/>
        </w:rPr>
        <w:t>備註：</w:t>
      </w:r>
      <w:r w:rsidRPr="000E64D4">
        <w:rPr>
          <w:rFonts w:eastAsia="標楷體" w:hint="eastAsia"/>
        </w:rPr>
        <w:t>3.</w:t>
      </w:r>
      <w:r w:rsidRPr="000E64D4">
        <w:rPr>
          <w:rFonts w:eastAsia="標楷體" w:hint="eastAsia"/>
        </w:rPr>
        <w:t>本新聞稿美金兌新台幣匯率以</w:t>
      </w:r>
      <w:r w:rsidRPr="000E64D4">
        <w:rPr>
          <w:rFonts w:eastAsia="標楷體" w:hint="eastAsia"/>
        </w:rPr>
        <w:t>30</w:t>
      </w:r>
      <w:r w:rsidRPr="000E64D4">
        <w:rPr>
          <w:rFonts w:eastAsia="標楷體" w:hint="eastAsia"/>
        </w:rPr>
        <w:t>計算。</w:t>
      </w:r>
    </w:p>
    <w:p w:rsidR="00C63901" w:rsidRPr="000E64D4" w:rsidRDefault="00FA0CC6" w:rsidP="00D16534">
      <w:pPr>
        <w:spacing w:beforeLines="100"/>
        <w:ind w:firstLine="720"/>
        <w:jc w:val="both"/>
        <w:rPr>
          <w:rFonts w:eastAsia="標楷體"/>
          <w:sz w:val="36"/>
          <w:szCs w:val="36"/>
        </w:rPr>
      </w:pPr>
      <w:r w:rsidRPr="000E64D4">
        <w:rPr>
          <w:rFonts w:eastAsia="標楷體" w:hint="eastAsia"/>
          <w:sz w:val="36"/>
          <w:szCs w:val="36"/>
        </w:rPr>
        <w:t>根據本部投審會統計，</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915EFD" w:rsidRPr="000E64D4">
        <w:rPr>
          <w:rFonts w:eastAsia="標楷體" w:hint="eastAsia"/>
          <w:sz w:val="36"/>
          <w:szCs w:val="36"/>
        </w:rPr>
        <w:t>10</w:t>
      </w:r>
      <w:r w:rsidR="001423FF" w:rsidRPr="000E64D4">
        <w:rPr>
          <w:rFonts w:eastAsia="標楷體" w:hint="eastAsia"/>
          <w:sz w:val="36"/>
          <w:szCs w:val="36"/>
        </w:rPr>
        <w:t>月</w:t>
      </w:r>
      <w:r w:rsidRPr="000E64D4">
        <w:rPr>
          <w:rFonts w:eastAsia="標楷體" w:hint="eastAsia"/>
          <w:sz w:val="36"/>
          <w:szCs w:val="36"/>
        </w:rPr>
        <w:t>核准僑外投資件數為</w:t>
      </w:r>
      <w:r w:rsidR="00915EFD" w:rsidRPr="000E64D4">
        <w:rPr>
          <w:rFonts w:eastAsia="標楷體" w:hint="eastAsia"/>
          <w:sz w:val="36"/>
          <w:szCs w:val="36"/>
        </w:rPr>
        <w:t>2,030</w:t>
      </w:r>
      <w:r w:rsidRPr="000E64D4">
        <w:rPr>
          <w:rFonts w:eastAsia="標楷體" w:hint="eastAsia"/>
          <w:sz w:val="36"/>
          <w:szCs w:val="36"/>
        </w:rPr>
        <w:t>件，較上年同期減少</w:t>
      </w:r>
      <w:r w:rsidR="00915EFD" w:rsidRPr="000E64D4">
        <w:rPr>
          <w:rFonts w:eastAsia="標楷體" w:hint="eastAsia"/>
          <w:sz w:val="36"/>
          <w:szCs w:val="36"/>
        </w:rPr>
        <w:t>8.97</w:t>
      </w:r>
      <w:r w:rsidR="000754B5" w:rsidRPr="000E64D4">
        <w:rPr>
          <w:rFonts w:eastAsia="標楷體" w:hint="eastAsia"/>
          <w:sz w:val="36"/>
          <w:szCs w:val="36"/>
        </w:rPr>
        <w:t>%</w:t>
      </w:r>
      <w:r w:rsidR="00EC20A5" w:rsidRPr="000E64D4">
        <w:rPr>
          <w:rFonts w:eastAsia="標楷體" w:hint="eastAsia"/>
          <w:sz w:val="36"/>
          <w:szCs w:val="36"/>
        </w:rPr>
        <w:t>；在</w:t>
      </w:r>
      <w:r w:rsidR="007C24FB" w:rsidRPr="000E64D4">
        <w:rPr>
          <w:rFonts w:eastAsia="標楷體" w:hint="eastAsia"/>
          <w:sz w:val="36"/>
          <w:szCs w:val="36"/>
        </w:rPr>
        <w:t>核准</w:t>
      </w:r>
      <w:r w:rsidR="00EC20A5" w:rsidRPr="000E64D4">
        <w:rPr>
          <w:rFonts w:eastAsia="標楷體" w:hint="eastAsia"/>
          <w:sz w:val="36"/>
          <w:szCs w:val="36"/>
        </w:rPr>
        <w:t>金額部分，</w:t>
      </w:r>
      <w:r w:rsidR="00B04E67" w:rsidRPr="000E64D4">
        <w:rPr>
          <w:rFonts w:eastAsia="標楷體" w:hint="eastAsia"/>
          <w:sz w:val="36"/>
          <w:szCs w:val="36"/>
        </w:rPr>
        <w:t>投</w:t>
      </w:r>
      <w:r w:rsidR="000A0B99" w:rsidRPr="000E64D4">
        <w:rPr>
          <w:rFonts w:eastAsia="標楷體" w:hint="eastAsia"/>
          <w:sz w:val="36"/>
          <w:szCs w:val="36"/>
        </w:rPr>
        <w:t>(</w:t>
      </w:r>
      <w:r w:rsidR="00B04E67" w:rsidRPr="000E64D4">
        <w:rPr>
          <w:rFonts w:eastAsia="標楷體" w:hint="eastAsia"/>
          <w:sz w:val="36"/>
          <w:szCs w:val="36"/>
        </w:rPr>
        <w:t>增</w:t>
      </w:r>
      <w:r w:rsidR="00B04E67" w:rsidRPr="000E64D4">
        <w:rPr>
          <w:rFonts w:eastAsia="標楷體" w:hint="eastAsia"/>
          <w:sz w:val="36"/>
          <w:szCs w:val="36"/>
        </w:rPr>
        <w:t>)</w:t>
      </w:r>
      <w:r w:rsidR="00B04E67" w:rsidRPr="000E64D4">
        <w:rPr>
          <w:rFonts w:eastAsia="標楷體" w:hint="eastAsia"/>
          <w:sz w:val="36"/>
          <w:szCs w:val="36"/>
        </w:rPr>
        <w:t>金額計</w:t>
      </w:r>
      <w:r w:rsidR="00986369" w:rsidRPr="000E64D4">
        <w:rPr>
          <w:rFonts w:eastAsia="標楷體" w:hint="eastAsia"/>
          <w:sz w:val="36"/>
          <w:szCs w:val="36"/>
        </w:rPr>
        <w:t>美金</w:t>
      </w:r>
      <w:r w:rsidR="00B90406" w:rsidRPr="000E64D4">
        <w:rPr>
          <w:rFonts w:eastAsia="標楷體" w:hint="eastAsia"/>
          <w:sz w:val="36"/>
          <w:szCs w:val="36"/>
        </w:rPr>
        <w:t>115</w:t>
      </w:r>
      <w:r w:rsidR="00B04E67" w:rsidRPr="000E64D4">
        <w:rPr>
          <w:rFonts w:eastAsia="標楷體" w:hint="eastAsia"/>
          <w:sz w:val="36"/>
          <w:szCs w:val="36"/>
        </w:rPr>
        <w:t>億</w:t>
      </w:r>
      <w:r w:rsidR="00B90406" w:rsidRPr="000E64D4">
        <w:rPr>
          <w:rFonts w:eastAsia="標楷體" w:hint="eastAsia"/>
          <w:sz w:val="36"/>
          <w:szCs w:val="36"/>
        </w:rPr>
        <w:t>6,097</w:t>
      </w:r>
      <w:r w:rsidR="00B04E67" w:rsidRPr="000E64D4">
        <w:rPr>
          <w:rFonts w:eastAsia="標楷體" w:hint="eastAsia"/>
          <w:sz w:val="36"/>
          <w:szCs w:val="36"/>
        </w:rPr>
        <w:t>萬</w:t>
      </w:r>
      <w:r w:rsidR="00B90406" w:rsidRPr="000E64D4">
        <w:rPr>
          <w:rFonts w:eastAsia="標楷體" w:hint="eastAsia"/>
          <w:sz w:val="36"/>
          <w:szCs w:val="36"/>
        </w:rPr>
        <w:t>8</w:t>
      </w:r>
      <w:r w:rsidR="007647BB" w:rsidRPr="000E64D4">
        <w:rPr>
          <w:rFonts w:eastAsia="標楷體"/>
          <w:sz w:val="36"/>
          <w:szCs w:val="36"/>
        </w:rPr>
        <w:t>,</w:t>
      </w:r>
      <w:r w:rsidR="007647BB" w:rsidRPr="000E64D4">
        <w:rPr>
          <w:rFonts w:eastAsia="標楷體" w:hint="eastAsia"/>
          <w:sz w:val="36"/>
          <w:szCs w:val="36"/>
        </w:rPr>
        <w:t>000</w:t>
      </w:r>
      <w:r w:rsidR="00B04E67" w:rsidRPr="000E64D4">
        <w:rPr>
          <w:rFonts w:eastAsia="標楷體" w:hint="eastAsia"/>
          <w:sz w:val="36"/>
          <w:szCs w:val="36"/>
        </w:rPr>
        <w:t>元</w:t>
      </w:r>
      <w:r w:rsidR="000A0B99" w:rsidRPr="000E64D4">
        <w:rPr>
          <w:rFonts w:eastAsia="標楷體" w:hint="eastAsia"/>
          <w:sz w:val="36"/>
          <w:szCs w:val="36"/>
        </w:rPr>
        <w:t>(</w:t>
      </w:r>
      <w:r w:rsidR="00B04E67" w:rsidRPr="000E64D4">
        <w:rPr>
          <w:rFonts w:eastAsia="標楷體" w:hint="eastAsia"/>
          <w:sz w:val="36"/>
          <w:szCs w:val="36"/>
        </w:rPr>
        <w:t>折合新臺幣</w:t>
      </w:r>
      <w:r w:rsidR="00B90406" w:rsidRPr="000E64D4">
        <w:rPr>
          <w:rFonts w:eastAsia="標楷體" w:hint="eastAsia"/>
          <w:sz w:val="36"/>
          <w:szCs w:val="36"/>
        </w:rPr>
        <w:t>3,468</w:t>
      </w:r>
      <w:r w:rsidR="00B04E67" w:rsidRPr="000E64D4">
        <w:rPr>
          <w:rFonts w:eastAsia="標楷體" w:hint="eastAsia"/>
          <w:sz w:val="36"/>
          <w:szCs w:val="36"/>
        </w:rPr>
        <w:t>億</w:t>
      </w:r>
      <w:r w:rsidR="00B90406" w:rsidRPr="000E64D4">
        <w:rPr>
          <w:rFonts w:eastAsia="標楷體" w:hint="eastAsia"/>
          <w:sz w:val="36"/>
          <w:szCs w:val="36"/>
        </w:rPr>
        <w:t>2,934</w:t>
      </w:r>
      <w:r w:rsidR="00B04E67" w:rsidRPr="000E64D4">
        <w:rPr>
          <w:rFonts w:eastAsia="標楷體" w:hint="eastAsia"/>
          <w:sz w:val="36"/>
          <w:szCs w:val="36"/>
        </w:rPr>
        <w:t>萬元</w:t>
      </w:r>
      <w:r w:rsidR="00B04E67" w:rsidRPr="000E64D4">
        <w:rPr>
          <w:rFonts w:eastAsia="標楷體" w:hint="eastAsia"/>
          <w:sz w:val="36"/>
          <w:szCs w:val="36"/>
        </w:rPr>
        <w:t>)</w:t>
      </w:r>
      <w:r w:rsidR="00B04E67" w:rsidRPr="000E64D4">
        <w:rPr>
          <w:rFonts w:eastAsia="標楷體" w:hint="eastAsia"/>
          <w:sz w:val="36"/>
          <w:szCs w:val="36"/>
        </w:rPr>
        <w:t>，</w:t>
      </w:r>
      <w:r w:rsidR="006D43AB" w:rsidRPr="000E64D4">
        <w:rPr>
          <w:rFonts w:eastAsia="標楷體" w:hint="eastAsia"/>
          <w:sz w:val="36"/>
          <w:szCs w:val="36"/>
        </w:rPr>
        <w:t>較上年同期增加</w:t>
      </w:r>
      <w:r w:rsidR="00B90406" w:rsidRPr="000E64D4">
        <w:rPr>
          <w:rFonts w:eastAsia="標楷體" w:hint="eastAsia"/>
          <w:sz w:val="36"/>
          <w:szCs w:val="36"/>
        </w:rPr>
        <w:t>119.36</w:t>
      </w:r>
      <w:r w:rsidR="006A333E" w:rsidRPr="000E64D4">
        <w:rPr>
          <w:rFonts w:eastAsia="標楷體" w:hint="eastAsia"/>
          <w:sz w:val="36"/>
          <w:szCs w:val="36"/>
        </w:rPr>
        <w:t>%</w:t>
      </w:r>
      <w:r w:rsidR="00BB1BB9" w:rsidRPr="000E64D4">
        <w:rPr>
          <w:rFonts w:eastAsia="標楷體" w:hint="eastAsia"/>
          <w:sz w:val="36"/>
          <w:szCs w:val="36"/>
        </w:rPr>
        <w:t>，主要係</w:t>
      </w:r>
      <w:r w:rsidR="0008278D" w:rsidRPr="000E64D4">
        <w:rPr>
          <w:rFonts w:eastAsia="標楷體" w:hint="eastAsia"/>
          <w:sz w:val="36"/>
          <w:szCs w:val="36"/>
        </w:rPr>
        <w:t>因</w:t>
      </w:r>
      <w:r w:rsidR="00DD0553" w:rsidRPr="000E64D4">
        <w:rPr>
          <w:rFonts w:eastAsia="標楷體" w:hint="eastAsia"/>
          <w:sz w:val="36"/>
          <w:szCs w:val="36"/>
        </w:rPr>
        <w:t>政府推動綠能與離岸風電政策，致外資持續投</w:t>
      </w:r>
      <w:r w:rsidR="00DD0553" w:rsidRPr="000E64D4">
        <w:rPr>
          <w:rFonts w:eastAsia="標楷體" w:hint="eastAsia"/>
          <w:sz w:val="36"/>
          <w:szCs w:val="36"/>
        </w:rPr>
        <w:t>(</w:t>
      </w:r>
      <w:r w:rsidR="00DD0553" w:rsidRPr="000E64D4">
        <w:rPr>
          <w:rFonts w:eastAsia="標楷體" w:hint="eastAsia"/>
          <w:sz w:val="36"/>
          <w:szCs w:val="36"/>
        </w:rPr>
        <w:t>增</w:t>
      </w:r>
      <w:r w:rsidR="00DD0553" w:rsidRPr="000E64D4">
        <w:rPr>
          <w:rFonts w:eastAsia="標楷體" w:hint="eastAsia"/>
          <w:sz w:val="36"/>
          <w:szCs w:val="36"/>
        </w:rPr>
        <w:t>)</w:t>
      </w:r>
      <w:r w:rsidR="003E36DD" w:rsidRPr="000E64D4">
        <w:rPr>
          <w:rFonts w:eastAsia="標楷體" w:hint="eastAsia"/>
          <w:sz w:val="36"/>
          <w:szCs w:val="36"/>
        </w:rPr>
        <w:t>資所致，</w:t>
      </w:r>
      <w:r w:rsidR="00C63901" w:rsidRPr="000E64D4">
        <w:rPr>
          <w:rFonts w:eastAsia="標楷體" w:hint="eastAsia"/>
          <w:sz w:val="36"/>
          <w:szCs w:val="36"/>
        </w:rPr>
        <w:t>另</w:t>
      </w:r>
      <w:r w:rsidR="00915EFD" w:rsidRPr="000E64D4">
        <w:rPr>
          <w:rFonts w:eastAsia="標楷體" w:hint="eastAsia"/>
          <w:sz w:val="36"/>
          <w:szCs w:val="36"/>
        </w:rPr>
        <w:t>10</w:t>
      </w:r>
      <w:r w:rsidR="00C63901" w:rsidRPr="000E64D4">
        <w:rPr>
          <w:rFonts w:eastAsia="標楷體" w:hint="eastAsia"/>
          <w:sz w:val="36"/>
          <w:szCs w:val="36"/>
        </w:rPr>
        <w:t>月</w:t>
      </w:r>
      <w:r w:rsidR="003E36DD" w:rsidRPr="000E64D4">
        <w:rPr>
          <w:rFonts w:eastAsia="標楷體" w:hint="eastAsia"/>
          <w:sz w:val="36"/>
          <w:szCs w:val="36"/>
        </w:rPr>
        <w:t>核准</w:t>
      </w:r>
      <w:r w:rsidR="00C63901" w:rsidRPr="000E64D4">
        <w:rPr>
          <w:rFonts w:eastAsia="標楷體" w:hint="eastAsia"/>
          <w:sz w:val="36"/>
          <w:szCs w:val="36"/>
        </w:rPr>
        <w:t>有</w:t>
      </w:r>
      <w:r w:rsidR="00695A96" w:rsidRPr="000E64D4">
        <w:rPr>
          <w:rFonts w:eastAsia="標楷體" w:hint="eastAsia"/>
          <w:sz w:val="36"/>
          <w:szCs w:val="36"/>
        </w:rPr>
        <w:t>英商</w:t>
      </w:r>
      <w:r w:rsidR="00695A96" w:rsidRPr="000E64D4">
        <w:rPr>
          <w:rFonts w:eastAsia="標楷體" w:hint="eastAsia"/>
          <w:sz w:val="36"/>
          <w:szCs w:val="36"/>
        </w:rPr>
        <w:t>GRP III TAIWAN UK LTD</w:t>
      </w:r>
      <w:r w:rsidR="00695A96" w:rsidRPr="000E64D4">
        <w:rPr>
          <w:rFonts w:eastAsia="標楷體" w:hint="eastAsia"/>
          <w:sz w:val="36"/>
          <w:szCs w:val="36"/>
        </w:rPr>
        <w:t>以美金</w:t>
      </w:r>
      <w:r w:rsidR="00695A96" w:rsidRPr="000E64D4">
        <w:rPr>
          <w:rFonts w:eastAsia="標楷體" w:hint="eastAsia"/>
          <w:sz w:val="36"/>
          <w:szCs w:val="36"/>
        </w:rPr>
        <w:t>6,260</w:t>
      </w:r>
      <w:r w:rsidR="00695A96" w:rsidRPr="000E64D4">
        <w:rPr>
          <w:rFonts w:eastAsia="標楷體" w:hint="eastAsia"/>
          <w:sz w:val="36"/>
          <w:szCs w:val="36"/>
        </w:rPr>
        <w:t>萬元受讓取得永鑫能源股份有限公司股份</w:t>
      </w:r>
      <w:r w:rsidR="00695A96" w:rsidRPr="000E64D4">
        <w:rPr>
          <w:rFonts w:eastAsia="標楷體" w:hint="eastAsia"/>
          <w:sz w:val="36"/>
          <w:szCs w:val="36"/>
        </w:rPr>
        <w:t>270</w:t>
      </w:r>
      <w:r w:rsidR="00695A96" w:rsidRPr="000E64D4">
        <w:rPr>
          <w:rFonts w:eastAsia="標楷體" w:hint="eastAsia"/>
          <w:sz w:val="36"/>
          <w:szCs w:val="36"/>
        </w:rPr>
        <w:t>萬股</w:t>
      </w:r>
      <w:r w:rsidR="00055164" w:rsidRPr="000E64D4">
        <w:rPr>
          <w:rFonts w:eastAsia="標楷體" w:hint="eastAsia"/>
          <w:sz w:val="36"/>
          <w:szCs w:val="36"/>
        </w:rPr>
        <w:t>等大型投資案</w:t>
      </w:r>
      <w:r w:rsidR="00C63901" w:rsidRPr="000E64D4">
        <w:rPr>
          <w:rFonts w:eastAsia="標楷體"/>
          <w:sz w:val="36"/>
          <w:szCs w:val="36"/>
        </w:rPr>
        <w:t>。</w:t>
      </w:r>
    </w:p>
    <w:p w:rsidR="003B0D5F" w:rsidRPr="000E64D4" w:rsidRDefault="00642349" w:rsidP="008E03B0">
      <w:pPr>
        <w:ind w:firstLine="720"/>
        <w:jc w:val="both"/>
        <w:rPr>
          <w:rFonts w:eastAsia="標楷體"/>
          <w:strike/>
          <w:sz w:val="36"/>
          <w:szCs w:val="36"/>
        </w:rPr>
      </w:pPr>
      <w:r w:rsidRPr="000E64D4">
        <w:rPr>
          <w:rFonts w:eastAsia="標楷體" w:hint="eastAsia"/>
          <w:sz w:val="36"/>
          <w:szCs w:val="36"/>
        </w:rPr>
        <w:t>111</w:t>
      </w:r>
      <w:r w:rsidRPr="000E64D4">
        <w:rPr>
          <w:rFonts w:eastAsia="標楷體" w:hint="eastAsia"/>
          <w:sz w:val="36"/>
          <w:szCs w:val="36"/>
        </w:rPr>
        <w:t>年</w:t>
      </w:r>
      <w:r w:rsidR="001423FF" w:rsidRPr="000E64D4">
        <w:rPr>
          <w:rFonts w:eastAsia="標楷體" w:hint="eastAsia"/>
          <w:sz w:val="36"/>
          <w:szCs w:val="36"/>
        </w:rPr>
        <w:t>1-</w:t>
      </w:r>
      <w:r w:rsidR="00915EFD" w:rsidRPr="000E64D4">
        <w:rPr>
          <w:rFonts w:eastAsia="標楷體" w:hint="eastAsia"/>
          <w:sz w:val="36"/>
          <w:szCs w:val="36"/>
        </w:rPr>
        <w:t>10</w:t>
      </w:r>
      <w:r w:rsidR="001423FF" w:rsidRPr="000E64D4">
        <w:rPr>
          <w:rFonts w:eastAsia="標楷體" w:hint="eastAsia"/>
          <w:sz w:val="36"/>
          <w:szCs w:val="36"/>
        </w:rPr>
        <w:t>月</w:t>
      </w:r>
      <w:r w:rsidR="004C5877" w:rsidRPr="000E64D4">
        <w:rPr>
          <w:rFonts w:eastAsia="標楷體"/>
          <w:sz w:val="36"/>
          <w:szCs w:val="36"/>
        </w:rPr>
        <w:t>核准新設公司件數為</w:t>
      </w:r>
      <w:r w:rsidR="005C63BC" w:rsidRPr="000E64D4">
        <w:rPr>
          <w:rFonts w:eastAsia="標楷體" w:hint="eastAsia"/>
          <w:sz w:val="36"/>
          <w:szCs w:val="36"/>
        </w:rPr>
        <w:t>1,155</w:t>
      </w:r>
      <w:r w:rsidR="001E1F09" w:rsidRPr="000E64D4">
        <w:rPr>
          <w:rFonts w:eastAsia="標楷體"/>
          <w:sz w:val="36"/>
          <w:szCs w:val="36"/>
        </w:rPr>
        <w:t>件，新設公司投資金額</w:t>
      </w:r>
      <w:r w:rsidR="001E1F09" w:rsidRPr="000E64D4">
        <w:rPr>
          <w:rFonts w:eastAsia="標楷體" w:hint="eastAsia"/>
          <w:sz w:val="36"/>
          <w:szCs w:val="36"/>
        </w:rPr>
        <w:t>美金</w:t>
      </w:r>
      <w:r w:rsidR="005C63BC" w:rsidRPr="000E64D4">
        <w:rPr>
          <w:rFonts w:eastAsia="標楷體" w:hint="eastAsia"/>
          <w:sz w:val="36"/>
          <w:szCs w:val="36"/>
        </w:rPr>
        <w:t>5</w:t>
      </w:r>
      <w:r w:rsidR="00832C6A" w:rsidRPr="000E64D4">
        <w:rPr>
          <w:rFonts w:eastAsia="標楷體" w:hint="eastAsia"/>
          <w:sz w:val="36"/>
          <w:szCs w:val="36"/>
        </w:rPr>
        <w:t>億</w:t>
      </w:r>
      <w:r w:rsidR="005C63BC" w:rsidRPr="000E64D4">
        <w:rPr>
          <w:rFonts w:eastAsia="標楷體" w:hint="eastAsia"/>
          <w:sz w:val="36"/>
          <w:szCs w:val="36"/>
        </w:rPr>
        <w:t>640</w:t>
      </w:r>
      <w:r w:rsidR="001E1F09" w:rsidRPr="000E64D4">
        <w:rPr>
          <w:rFonts w:eastAsia="標楷體"/>
          <w:sz w:val="36"/>
          <w:szCs w:val="36"/>
        </w:rPr>
        <w:t>萬</w:t>
      </w:r>
      <w:r w:rsidR="005C63BC" w:rsidRPr="000E64D4">
        <w:rPr>
          <w:rFonts w:eastAsia="標楷體" w:hint="eastAsia"/>
          <w:sz w:val="36"/>
          <w:szCs w:val="36"/>
        </w:rPr>
        <w:t>2,243</w:t>
      </w:r>
      <w:r w:rsidR="001E1F09" w:rsidRPr="000E64D4">
        <w:rPr>
          <w:rFonts w:eastAsia="標楷體"/>
          <w:sz w:val="36"/>
          <w:szCs w:val="36"/>
        </w:rPr>
        <w:t>元</w:t>
      </w:r>
      <w:r w:rsidR="001E1F09" w:rsidRPr="000E64D4">
        <w:rPr>
          <w:rFonts w:eastAsia="標楷體" w:hint="eastAsia"/>
          <w:sz w:val="36"/>
          <w:szCs w:val="36"/>
        </w:rPr>
        <w:t>(</w:t>
      </w:r>
      <w:r w:rsidR="001E1F09" w:rsidRPr="000E64D4">
        <w:rPr>
          <w:rFonts w:eastAsia="標楷體" w:hint="eastAsia"/>
          <w:sz w:val="36"/>
          <w:szCs w:val="36"/>
        </w:rPr>
        <w:t>折合新臺幣約</w:t>
      </w:r>
      <w:r w:rsidR="005C63BC" w:rsidRPr="000E64D4">
        <w:rPr>
          <w:rFonts w:eastAsia="標楷體" w:hint="eastAsia"/>
          <w:sz w:val="36"/>
          <w:szCs w:val="36"/>
        </w:rPr>
        <w:t>151</w:t>
      </w:r>
      <w:r w:rsidR="001E1F09" w:rsidRPr="000E64D4">
        <w:rPr>
          <w:rFonts w:eastAsia="標楷體" w:hint="eastAsia"/>
          <w:sz w:val="36"/>
          <w:szCs w:val="36"/>
        </w:rPr>
        <w:t>億</w:t>
      </w:r>
      <w:r w:rsidR="005C63BC" w:rsidRPr="000E64D4">
        <w:rPr>
          <w:rFonts w:eastAsia="標楷體" w:hint="eastAsia"/>
          <w:sz w:val="36"/>
          <w:szCs w:val="36"/>
        </w:rPr>
        <w:t>9,206</w:t>
      </w:r>
      <w:r w:rsidR="001E1F09" w:rsidRPr="000E64D4">
        <w:rPr>
          <w:rFonts w:eastAsia="標楷體" w:hint="eastAsia"/>
          <w:sz w:val="36"/>
          <w:szCs w:val="36"/>
        </w:rPr>
        <w:t>萬</w:t>
      </w:r>
      <w:r w:rsidR="005C63BC" w:rsidRPr="000E64D4">
        <w:rPr>
          <w:rFonts w:eastAsia="標楷體" w:hint="eastAsia"/>
          <w:sz w:val="36"/>
          <w:szCs w:val="36"/>
        </w:rPr>
        <w:t>7,281</w:t>
      </w:r>
      <w:r w:rsidR="001E1F09" w:rsidRPr="000E64D4">
        <w:rPr>
          <w:rFonts w:eastAsia="標楷體" w:hint="eastAsia"/>
          <w:sz w:val="36"/>
          <w:szCs w:val="36"/>
        </w:rPr>
        <w:t>元</w:t>
      </w:r>
      <w:r w:rsidR="001E1F09" w:rsidRPr="000E64D4">
        <w:rPr>
          <w:rFonts w:eastAsia="標楷體" w:hint="eastAsia"/>
          <w:sz w:val="36"/>
          <w:szCs w:val="36"/>
        </w:rPr>
        <w:t>)</w:t>
      </w:r>
      <w:r w:rsidR="004C5877" w:rsidRPr="000E64D4">
        <w:rPr>
          <w:rFonts w:eastAsia="標楷體"/>
          <w:sz w:val="36"/>
          <w:szCs w:val="36"/>
        </w:rPr>
        <w:t>；另</w:t>
      </w:r>
      <w:r w:rsidRPr="000E64D4">
        <w:rPr>
          <w:rFonts w:eastAsia="標楷體" w:hint="eastAsia"/>
          <w:sz w:val="36"/>
          <w:szCs w:val="36"/>
        </w:rPr>
        <w:t>111</w:t>
      </w:r>
      <w:r w:rsidRPr="000E64D4">
        <w:rPr>
          <w:rFonts w:eastAsia="標楷體" w:hint="eastAsia"/>
          <w:sz w:val="36"/>
          <w:szCs w:val="36"/>
        </w:rPr>
        <w:t>年</w:t>
      </w:r>
      <w:r w:rsidR="001423FF" w:rsidRPr="000E64D4">
        <w:rPr>
          <w:rFonts w:eastAsia="標楷體" w:hint="eastAsia"/>
          <w:sz w:val="36"/>
          <w:szCs w:val="36"/>
        </w:rPr>
        <w:t>1-</w:t>
      </w:r>
      <w:r w:rsidR="009C5121" w:rsidRPr="000E64D4">
        <w:rPr>
          <w:rFonts w:eastAsia="標楷體" w:hint="eastAsia"/>
          <w:sz w:val="36"/>
          <w:szCs w:val="36"/>
        </w:rPr>
        <w:t>10</w:t>
      </w:r>
      <w:r w:rsidR="001423FF" w:rsidRPr="000E64D4">
        <w:rPr>
          <w:rFonts w:eastAsia="標楷體" w:hint="eastAsia"/>
          <w:sz w:val="36"/>
          <w:szCs w:val="36"/>
        </w:rPr>
        <w:t>月</w:t>
      </w:r>
      <w:r w:rsidR="004C5877" w:rsidRPr="000E64D4">
        <w:rPr>
          <w:rFonts w:eastAsia="標楷體"/>
          <w:sz w:val="36"/>
          <w:szCs w:val="36"/>
        </w:rPr>
        <w:t>核准新南向國家來臺投資件數為</w:t>
      </w:r>
      <w:r w:rsidR="009C5121" w:rsidRPr="000E64D4">
        <w:rPr>
          <w:rFonts w:eastAsia="標楷體" w:hint="eastAsia"/>
          <w:sz w:val="36"/>
          <w:szCs w:val="36"/>
        </w:rPr>
        <w:t>382</w:t>
      </w:r>
      <w:r w:rsidR="004C5877" w:rsidRPr="000E64D4">
        <w:rPr>
          <w:rFonts w:eastAsia="標楷體"/>
          <w:sz w:val="36"/>
          <w:szCs w:val="36"/>
        </w:rPr>
        <w:t>件，較上年同期</w:t>
      </w:r>
      <w:r w:rsidR="005129EC" w:rsidRPr="000E64D4">
        <w:rPr>
          <w:rFonts w:eastAsia="標楷體" w:hint="eastAsia"/>
          <w:sz w:val="36"/>
          <w:szCs w:val="36"/>
        </w:rPr>
        <w:t>減少</w:t>
      </w:r>
      <w:r w:rsidR="009C5121" w:rsidRPr="000E64D4">
        <w:rPr>
          <w:rFonts w:eastAsia="標楷體" w:hint="eastAsia"/>
          <w:sz w:val="36"/>
          <w:szCs w:val="36"/>
        </w:rPr>
        <w:t>13.38</w:t>
      </w:r>
      <w:r w:rsidR="000754B5" w:rsidRPr="000E64D4">
        <w:rPr>
          <w:rFonts w:eastAsia="標楷體"/>
          <w:sz w:val="36"/>
          <w:szCs w:val="36"/>
        </w:rPr>
        <w:t>%</w:t>
      </w:r>
      <w:r w:rsidR="004C5877" w:rsidRPr="000E64D4">
        <w:rPr>
          <w:rFonts w:eastAsia="標楷體"/>
          <w:sz w:val="36"/>
          <w:szCs w:val="36"/>
        </w:rPr>
        <w:t>，投</w:t>
      </w:r>
      <w:r w:rsidR="000A0B99" w:rsidRPr="000E64D4">
        <w:rPr>
          <w:rFonts w:eastAsia="標楷體"/>
          <w:sz w:val="36"/>
          <w:szCs w:val="36"/>
        </w:rPr>
        <w:t>(</w:t>
      </w:r>
      <w:r w:rsidR="004C5877" w:rsidRPr="000E64D4">
        <w:rPr>
          <w:rFonts w:eastAsia="標楷體"/>
          <w:sz w:val="36"/>
          <w:szCs w:val="36"/>
        </w:rPr>
        <w:t>增</w:t>
      </w:r>
      <w:r w:rsidR="004C5877" w:rsidRPr="000E64D4">
        <w:rPr>
          <w:rFonts w:eastAsia="標楷體"/>
          <w:sz w:val="36"/>
          <w:szCs w:val="36"/>
        </w:rPr>
        <w:t>)</w:t>
      </w:r>
      <w:r w:rsidR="004C5877" w:rsidRPr="000E64D4">
        <w:rPr>
          <w:rFonts w:eastAsia="標楷體"/>
          <w:sz w:val="36"/>
          <w:szCs w:val="36"/>
        </w:rPr>
        <w:t>資金額計美金</w:t>
      </w:r>
      <w:r w:rsidR="00CD6151" w:rsidRPr="000E64D4">
        <w:rPr>
          <w:rFonts w:eastAsia="標楷體" w:hint="eastAsia"/>
          <w:sz w:val="36"/>
          <w:szCs w:val="36"/>
        </w:rPr>
        <w:t>1</w:t>
      </w:r>
      <w:r w:rsidR="003718BF" w:rsidRPr="000E64D4">
        <w:rPr>
          <w:rFonts w:eastAsia="標楷體" w:hint="eastAsia"/>
          <w:sz w:val="36"/>
          <w:szCs w:val="36"/>
        </w:rPr>
        <w:t>9</w:t>
      </w:r>
      <w:r w:rsidR="00F30759" w:rsidRPr="000E64D4">
        <w:rPr>
          <w:rFonts w:eastAsia="標楷體" w:hint="eastAsia"/>
          <w:sz w:val="36"/>
          <w:szCs w:val="36"/>
        </w:rPr>
        <w:t>億</w:t>
      </w:r>
      <w:r w:rsidR="009C5121" w:rsidRPr="000E64D4">
        <w:rPr>
          <w:rFonts w:eastAsia="標楷體" w:hint="eastAsia"/>
          <w:sz w:val="36"/>
          <w:szCs w:val="36"/>
        </w:rPr>
        <w:t>3,10</w:t>
      </w:r>
      <w:r w:rsidR="000043D8" w:rsidRPr="000E64D4">
        <w:rPr>
          <w:rFonts w:eastAsia="標楷體" w:hint="eastAsia"/>
          <w:sz w:val="36"/>
          <w:szCs w:val="36"/>
        </w:rPr>
        <w:t>7</w:t>
      </w:r>
      <w:r w:rsidR="004C5877" w:rsidRPr="000E64D4">
        <w:rPr>
          <w:rFonts w:eastAsia="標楷體"/>
          <w:sz w:val="36"/>
          <w:szCs w:val="36"/>
        </w:rPr>
        <w:t>萬元</w:t>
      </w:r>
      <w:r w:rsidR="000A0B99" w:rsidRPr="000E64D4">
        <w:rPr>
          <w:rFonts w:eastAsia="標楷體" w:hint="eastAsia"/>
          <w:sz w:val="36"/>
          <w:szCs w:val="36"/>
        </w:rPr>
        <w:t>(</w:t>
      </w:r>
      <w:r w:rsidR="00EF7A3C" w:rsidRPr="000E64D4">
        <w:rPr>
          <w:rFonts w:eastAsia="標楷體" w:hint="eastAsia"/>
          <w:sz w:val="36"/>
          <w:szCs w:val="36"/>
        </w:rPr>
        <w:t>折合新臺幣</w:t>
      </w:r>
      <w:r w:rsidR="00CD6151" w:rsidRPr="000E64D4">
        <w:rPr>
          <w:rFonts w:eastAsia="標楷體" w:hint="eastAsia"/>
          <w:sz w:val="36"/>
          <w:szCs w:val="36"/>
        </w:rPr>
        <w:t>5</w:t>
      </w:r>
      <w:r w:rsidR="009C5121" w:rsidRPr="000E64D4">
        <w:rPr>
          <w:rFonts w:eastAsia="標楷體" w:hint="eastAsia"/>
          <w:sz w:val="36"/>
          <w:szCs w:val="36"/>
        </w:rPr>
        <w:t>79</w:t>
      </w:r>
      <w:r w:rsidR="00EF7A3C" w:rsidRPr="000E64D4">
        <w:rPr>
          <w:rFonts w:eastAsia="標楷體" w:hint="eastAsia"/>
          <w:sz w:val="36"/>
          <w:szCs w:val="36"/>
        </w:rPr>
        <w:t>億</w:t>
      </w:r>
      <w:r w:rsidR="000043D8" w:rsidRPr="000E64D4">
        <w:rPr>
          <w:rFonts w:eastAsia="標楷體" w:hint="eastAsia"/>
          <w:sz w:val="36"/>
          <w:szCs w:val="36"/>
        </w:rPr>
        <w:t>3,210</w:t>
      </w:r>
      <w:r w:rsidR="00EF7A3C" w:rsidRPr="000E64D4">
        <w:rPr>
          <w:rFonts w:eastAsia="標楷體" w:hint="eastAsia"/>
          <w:sz w:val="36"/>
          <w:szCs w:val="36"/>
        </w:rPr>
        <w:t>萬元</w:t>
      </w:r>
      <w:r w:rsidR="00EF7A3C" w:rsidRPr="000E64D4">
        <w:rPr>
          <w:rFonts w:eastAsia="標楷體" w:hint="eastAsia"/>
          <w:sz w:val="36"/>
          <w:szCs w:val="36"/>
        </w:rPr>
        <w:t>)</w:t>
      </w:r>
      <w:r w:rsidR="004C5877" w:rsidRPr="000E64D4">
        <w:rPr>
          <w:rFonts w:eastAsia="標楷體"/>
          <w:sz w:val="36"/>
          <w:szCs w:val="36"/>
        </w:rPr>
        <w:t>，較上年同期</w:t>
      </w:r>
      <w:r w:rsidR="000C3A7F" w:rsidRPr="000E64D4">
        <w:rPr>
          <w:rFonts w:eastAsia="標楷體" w:hint="eastAsia"/>
          <w:sz w:val="36"/>
          <w:szCs w:val="36"/>
        </w:rPr>
        <w:t>增加</w:t>
      </w:r>
      <w:r w:rsidR="009C5121" w:rsidRPr="000E64D4">
        <w:rPr>
          <w:rFonts w:eastAsia="標楷體" w:hint="eastAsia"/>
          <w:sz w:val="36"/>
          <w:szCs w:val="36"/>
        </w:rPr>
        <w:t>120.40</w:t>
      </w:r>
      <w:r w:rsidR="000754B5" w:rsidRPr="000E64D4">
        <w:rPr>
          <w:rFonts w:eastAsia="標楷體"/>
          <w:sz w:val="36"/>
          <w:szCs w:val="36"/>
        </w:rPr>
        <w:t>%</w:t>
      </w:r>
      <w:r w:rsidR="00005B4B" w:rsidRPr="000E64D4">
        <w:rPr>
          <w:rFonts w:eastAsia="標楷體" w:hint="eastAsia"/>
          <w:sz w:val="36"/>
          <w:szCs w:val="36"/>
        </w:rPr>
        <w:t>，</w:t>
      </w:r>
      <w:r w:rsidR="003B0D5F" w:rsidRPr="000E64D4">
        <w:rPr>
          <w:rFonts w:eastAsia="標楷體" w:hint="eastAsia"/>
          <w:sz w:val="36"/>
          <w:szCs w:val="36"/>
        </w:rPr>
        <w:t>其中投資來源地主要為</w:t>
      </w:r>
      <w:r w:rsidR="00133F2E" w:rsidRPr="000E64D4">
        <w:rPr>
          <w:rFonts w:eastAsia="標楷體" w:hint="eastAsia"/>
          <w:sz w:val="36"/>
          <w:szCs w:val="36"/>
        </w:rPr>
        <w:t>澳大利亞、</w:t>
      </w:r>
      <w:r w:rsidR="003718BF" w:rsidRPr="000E64D4">
        <w:rPr>
          <w:rFonts w:eastAsia="標楷體" w:hint="eastAsia"/>
          <w:sz w:val="36"/>
          <w:szCs w:val="36"/>
        </w:rPr>
        <w:t>新加坡</w:t>
      </w:r>
      <w:r w:rsidR="00CD6151" w:rsidRPr="000E64D4">
        <w:rPr>
          <w:rFonts w:eastAsia="標楷體" w:hint="eastAsia"/>
          <w:sz w:val="36"/>
          <w:szCs w:val="36"/>
        </w:rPr>
        <w:t>及</w:t>
      </w:r>
      <w:r w:rsidR="003718BF" w:rsidRPr="000E64D4">
        <w:rPr>
          <w:rFonts w:eastAsia="標楷體" w:hint="eastAsia"/>
          <w:sz w:val="36"/>
          <w:szCs w:val="36"/>
        </w:rPr>
        <w:t>泰國</w:t>
      </w:r>
      <w:r w:rsidR="003B0D5F" w:rsidRPr="000E64D4">
        <w:rPr>
          <w:rFonts w:eastAsia="標楷體" w:hint="eastAsia"/>
          <w:sz w:val="36"/>
          <w:szCs w:val="36"/>
        </w:rPr>
        <w:t>。</w:t>
      </w:r>
    </w:p>
    <w:p w:rsidR="00E15544" w:rsidRPr="000E64D4" w:rsidRDefault="004C5877" w:rsidP="007B63F4">
      <w:pPr>
        <w:ind w:firstLine="811"/>
        <w:jc w:val="both"/>
        <w:rPr>
          <w:rFonts w:eastAsia="標楷體"/>
          <w:sz w:val="36"/>
          <w:szCs w:val="36"/>
        </w:rPr>
      </w:pPr>
      <w:r w:rsidRPr="000E64D4">
        <w:rPr>
          <w:rFonts w:eastAsia="標楷體"/>
          <w:sz w:val="36"/>
          <w:szCs w:val="36"/>
        </w:rPr>
        <w:t>陸資來臺投資方面，</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915EFD"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核准陸資來臺投資件數為</w:t>
      </w:r>
      <w:r w:rsidR="00915EFD" w:rsidRPr="000E64D4">
        <w:rPr>
          <w:rFonts w:eastAsia="標楷體" w:hint="eastAsia"/>
          <w:sz w:val="36"/>
          <w:szCs w:val="36"/>
        </w:rPr>
        <w:t>39</w:t>
      </w:r>
      <w:r w:rsidRPr="000E64D4">
        <w:rPr>
          <w:rFonts w:eastAsia="標楷體"/>
          <w:sz w:val="36"/>
          <w:szCs w:val="36"/>
        </w:rPr>
        <w:t>件，較上年同期</w:t>
      </w:r>
      <w:r w:rsidR="00E86FCD" w:rsidRPr="000E64D4">
        <w:rPr>
          <w:rFonts w:eastAsia="標楷體" w:hint="eastAsia"/>
          <w:sz w:val="36"/>
          <w:szCs w:val="36"/>
        </w:rPr>
        <w:t>增加</w:t>
      </w:r>
      <w:r w:rsidR="00915EFD" w:rsidRPr="000E64D4">
        <w:rPr>
          <w:rFonts w:eastAsia="標楷體" w:hint="eastAsia"/>
          <w:sz w:val="36"/>
          <w:szCs w:val="36"/>
        </w:rPr>
        <w:t>21.88</w:t>
      </w:r>
      <w:r w:rsidR="000754B5" w:rsidRPr="000E64D4">
        <w:rPr>
          <w:rFonts w:eastAsia="標楷體"/>
          <w:sz w:val="36"/>
          <w:szCs w:val="36"/>
        </w:rPr>
        <w:t>%</w:t>
      </w:r>
      <w:r w:rsidRPr="000E64D4">
        <w:rPr>
          <w:rFonts w:eastAsia="標楷體"/>
          <w:sz w:val="36"/>
          <w:szCs w:val="36"/>
        </w:rPr>
        <w:t>；投</w:t>
      </w:r>
      <w:r w:rsidR="000A0B99" w:rsidRPr="000E64D4">
        <w:rPr>
          <w:rFonts w:eastAsia="標楷體"/>
          <w:sz w:val="36"/>
          <w:szCs w:val="36"/>
        </w:rPr>
        <w:t>(</w:t>
      </w:r>
      <w:r w:rsidRPr="000E64D4">
        <w:rPr>
          <w:rFonts w:eastAsia="標楷體"/>
          <w:sz w:val="36"/>
          <w:szCs w:val="36"/>
        </w:rPr>
        <w:t>增</w:t>
      </w:r>
      <w:r w:rsidRPr="000E64D4">
        <w:rPr>
          <w:rFonts w:eastAsia="標楷體"/>
          <w:sz w:val="36"/>
          <w:szCs w:val="36"/>
        </w:rPr>
        <w:t>)</w:t>
      </w:r>
      <w:r w:rsidRPr="000E64D4">
        <w:rPr>
          <w:rFonts w:eastAsia="標楷體"/>
          <w:sz w:val="36"/>
          <w:szCs w:val="36"/>
        </w:rPr>
        <w:t>資金額計美金</w:t>
      </w:r>
      <w:r w:rsidR="00DC450E" w:rsidRPr="000E64D4">
        <w:rPr>
          <w:rFonts w:eastAsia="標楷體" w:hint="eastAsia"/>
          <w:sz w:val="36"/>
          <w:szCs w:val="36"/>
        </w:rPr>
        <w:t>2,128</w:t>
      </w:r>
      <w:r w:rsidRPr="000E64D4">
        <w:rPr>
          <w:rFonts w:eastAsia="標楷體"/>
          <w:sz w:val="36"/>
          <w:szCs w:val="36"/>
        </w:rPr>
        <w:t>萬</w:t>
      </w:r>
      <w:r w:rsidR="00DC450E" w:rsidRPr="000E64D4">
        <w:rPr>
          <w:rFonts w:eastAsia="標楷體" w:hint="eastAsia"/>
          <w:sz w:val="36"/>
          <w:szCs w:val="36"/>
        </w:rPr>
        <w:t>3</w:t>
      </w:r>
      <w:r w:rsidR="00F32172" w:rsidRPr="000E64D4">
        <w:rPr>
          <w:rFonts w:eastAsia="標楷體" w:hint="eastAsia"/>
          <w:sz w:val="36"/>
          <w:szCs w:val="36"/>
        </w:rPr>
        <w:t>,000</w:t>
      </w:r>
      <w:r w:rsidRPr="000E64D4">
        <w:rPr>
          <w:rFonts w:eastAsia="標楷體"/>
          <w:sz w:val="36"/>
          <w:szCs w:val="36"/>
        </w:rPr>
        <w:t>元</w:t>
      </w:r>
      <w:r w:rsidR="000A0B99" w:rsidRPr="000E64D4">
        <w:rPr>
          <w:rFonts w:eastAsia="標楷體" w:hint="eastAsia"/>
          <w:sz w:val="36"/>
          <w:szCs w:val="36"/>
        </w:rPr>
        <w:t>(</w:t>
      </w:r>
      <w:r w:rsidR="009B69D7" w:rsidRPr="000E64D4">
        <w:rPr>
          <w:rFonts w:eastAsia="標楷體" w:hint="eastAsia"/>
          <w:sz w:val="36"/>
          <w:szCs w:val="36"/>
        </w:rPr>
        <w:t>折合新臺幣</w:t>
      </w:r>
      <w:r w:rsidR="00DC450E" w:rsidRPr="000E64D4">
        <w:rPr>
          <w:rFonts w:eastAsia="標楷體" w:hint="eastAsia"/>
          <w:sz w:val="36"/>
          <w:szCs w:val="36"/>
        </w:rPr>
        <w:t>6</w:t>
      </w:r>
      <w:r w:rsidR="005C099F" w:rsidRPr="000E64D4">
        <w:rPr>
          <w:rFonts w:eastAsia="標楷體" w:hint="eastAsia"/>
          <w:sz w:val="36"/>
          <w:szCs w:val="36"/>
        </w:rPr>
        <w:t>億</w:t>
      </w:r>
      <w:r w:rsidR="00DC450E" w:rsidRPr="000E64D4">
        <w:rPr>
          <w:rFonts w:eastAsia="標楷體" w:hint="eastAsia"/>
          <w:sz w:val="36"/>
          <w:szCs w:val="36"/>
        </w:rPr>
        <w:t>3,849</w:t>
      </w:r>
      <w:r w:rsidR="00355505" w:rsidRPr="000E64D4">
        <w:rPr>
          <w:rFonts w:eastAsia="標楷體" w:hint="eastAsia"/>
          <w:sz w:val="36"/>
          <w:szCs w:val="36"/>
        </w:rPr>
        <w:t>萬</w:t>
      </w:r>
      <w:r w:rsidR="009743A1" w:rsidRPr="000E64D4">
        <w:rPr>
          <w:rFonts w:eastAsia="標楷體" w:hint="eastAsia"/>
          <w:sz w:val="36"/>
          <w:szCs w:val="36"/>
        </w:rPr>
        <w:t>元</w:t>
      </w:r>
      <w:r w:rsidR="009743A1" w:rsidRPr="000E64D4">
        <w:rPr>
          <w:rFonts w:eastAsia="標楷體" w:hint="eastAsia"/>
          <w:sz w:val="36"/>
          <w:szCs w:val="36"/>
        </w:rPr>
        <w:t>)</w:t>
      </w:r>
      <w:r w:rsidRPr="000E64D4">
        <w:rPr>
          <w:rFonts w:eastAsia="標楷體"/>
          <w:sz w:val="36"/>
          <w:szCs w:val="36"/>
        </w:rPr>
        <w:t>，較上年同期</w:t>
      </w:r>
      <w:r w:rsidR="00481B81" w:rsidRPr="000E64D4">
        <w:rPr>
          <w:rFonts w:eastAsia="標楷體" w:hint="eastAsia"/>
          <w:sz w:val="36"/>
          <w:szCs w:val="36"/>
        </w:rPr>
        <w:t>減少</w:t>
      </w:r>
      <w:r w:rsidR="00DC450E" w:rsidRPr="000E64D4">
        <w:rPr>
          <w:rFonts w:eastAsia="標楷體" w:hint="eastAsia"/>
          <w:sz w:val="36"/>
          <w:szCs w:val="36"/>
        </w:rPr>
        <w:t>48.47</w:t>
      </w:r>
      <w:r w:rsidR="000754B5" w:rsidRPr="000E64D4">
        <w:rPr>
          <w:rFonts w:eastAsia="標楷體"/>
          <w:sz w:val="36"/>
          <w:szCs w:val="36"/>
        </w:rPr>
        <w:t>%</w:t>
      </w:r>
      <w:r w:rsidR="00432C0D" w:rsidRPr="000E64D4">
        <w:rPr>
          <w:rFonts w:eastAsia="標楷體" w:hint="eastAsia"/>
          <w:sz w:val="36"/>
          <w:szCs w:val="36"/>
        </w:rPr>
        <w:t>。</w:t>
      </w:r>
      <w:r w:rsidR="009B393E" w:rsidRPr="000E64D4">
        <w:rPr>
          <w:rFonts w:eastAsia="標楷體"/>
          <w:sz w:val="36"/>
          <w:szCs w:val="36"/>
        </w:rPr>
        <w:t>自</w:t>
      </w:r>
      <w:r w:rsidR="009B393E" w:rsidRPr="000E64D4">
        <w:rPr>
          <w:rFonts w:eastAsia="標楷體"/>
          <w:sz w:val="36"/>
          <w:szCs w:val="36"/>
        </w:rPr>
        <w:t>98</w:t>
      </w:r>
      <w:r w:rsidR="009B393E" w:rsidRPr="000E64D4">
        <w:rPr>
          <w:rFonts w:eastAsia="標楷體"/>
          <w:sz w:val="36"/>
          <w:szCs w:val="36"/>
        </w:rPr>
        <w:t>年</w:t>
      </w:r>
      <w:r w:rsidR="009B393E" w:rsidRPr="000E64D4">
        <w:rPr>
          <w:rFonts w:eastAsia="標楷體"/>
          <w:sz w:val="36"/>
          <w:szCs w:val="36"/>
        </w:rPr>
        <w:t>6</w:t>
      </w:r>
      <w:r w:rsidR="009B393E" w:rsidRPr="000E64D4">
        <w:rPr>
          <w:rFonts w:eastAsia="標楷體"/>
          <w:sz w:val="36"/>
          <w:szCs w:val="36"/>
        </w:rPr>
        <w:t>月</w:t>
      </w:r>
      <w:r w:rsidR="009B393E" w:rsidRPr="000E64D4">
        <w:rPr>
          <w:rFonts w:eastAsia="標楷體"/>
          <w:sz w:val="36"/>
          <w:szCs w:val="36"/>
        </w:rPr>
        <w:t>30</w:t>
      </w:r>
      <w:r w:rsidR="009B393E" w:rsidRPr="000E64D4">
        <w:rPr>
          <w:rFonts w:eastAsia="標楷體"/>
          <w:sz w:val="36"/>
          <w:szCs w:val="36"/>
        </w:rPr>
        <w:t>日開放陸資來臺投資以來，累計核准陸資來臺投</w:t>
      </w:r>
      <w:r w:rsidR="009B393E" w:rsidRPr="000E64D4">
        <w:rPr>
          <w:rFonts w:eastAsia="標楷體"/>
          <w:sz w:val="36"/>
          <w:szCs w:val="36"/>
        </w:rPr>
        <w:lastRenderedPageBreak/>
        <w:t>資件數為</w:t>
      </w:r>
      <w:r w:rsidR="00DC450E" w:rsidRPr="000E64D4">
        <w:rPr>
          <w:rFonts w:eastAsia="標楷體" w:hint="eastAsia"/>
          <w:sz w:val="36"/>
          <w:szCs w:val="36"/>
        </w:rPr>
        <w:t>1,549</w:t>
      </w:r>
      <w:r w:rsidR="006554A6" w:rsidRPr="000E64D4">
        <w:rPr>
          <w:rFonts w:eastAsia="標楷體" w:hint="eastAsia"/>
          <w:sz w:val="36"/>
          <w:szCs w:val="36"/>
        </w:rPr>
        <w:t>件</w:t>
      </w:r>
      <w:r w:rsidR="009B393E" w:rsidRPr="000E64D4">
        <w:rPr>
          <w:rFonts w:eastAsia="標楷體"/>
          <w:sz w:val="36"/>
          <w:szCs w:val="36"/>
        </w:rPr>
        <w:t>，核准投</w:t>
      </w:r>
      <w:r w:rsidR="000A0B99" w:rsidRPr="000E64D4">
        <w:rPr>
          <w:rFonts w:eastAsia="標楷體"/>
          <w:sz w:val="36"/>
          <w:szCs w:val="36"/>
        </w:rPr>
        <w:t>(</w:t>
      </w:r>
      <w:r w:rsidR="009B393E" w:rsidRPr="000E64D4">
        <w:rPr>
          <w:rFonts w:eastAsia="標楷體"/>
          <w:sz w:val="36"/>
          <w:szCs w:val="36"/>
        </w:rPr>
        <w:t>增</w:t>
      </w:r>
      <w:r w:rsidR="009B393E" w:rsidRPr="000E64D4">
        <w:rPr>
          <w:rFonts w:eastAsia="標楷體"/>
          <w:sz w:val="36"/>
          <w:szCs w:val="36"/>
        </w:rPr>
        <w:t>)</w:t>
      </w:r>
      <w:r w:rsidR="009B393E" w:rsidRPr="000E64D4">
        <w:rPr>
          <w:rFonts w:eastAsia="標楷體"/>
          <w:sz w:val="36"/>
          <w:szCs w:val="36"/>
        </w:rPr>
        <w:t>資金額計美金</w:t>
      </w:r>
      <w:r w:rsidR="00F32172" w:rsidRPr="000E64D4">
        <w:rPr>
          <w:rFonts w:eastAsia="標楷體" w:hint="eastAsia"/>
          <w:sz w:val="36"/>
          <w:szCs w:val="36"/>
        </w:rPr>
        <w:t>2</w:t>
      </w:r>
      <w:r w:rsidR="00740360" w:rsidRPr="000E64D4">
        <w:rPr>
          <w:rFonts w:eastAsia="標楷體" w:hint="eastAsia"/>
          <w:sz w:val="36"/>
          <w:szCs w:val="36"/>
        </w:rPr>
        <w:t>5</w:t>
      </w:r>
      <w:r w:rsidR="009B393E" w:rsidRPr="000E64D4">
        <w:rPr>
          <w:rFonts w:eastAsia="標楷體"/>
          <w:sz w:val="36"/>
          <w:szCs w:val="36"/>
        </w:rPr>
        <w:t>億</w:t>
      </w:r>
      <w:r w:rsidR="00DC450E" w:rsidRPr="000E64D4">
        <w:rPr>
          <w:rFonts w:eastAsia="標楷體" w:hint="eastAsia"/>
          <w:sz w:val="36"/>
          <w:szCs w:val="36"/>
        </w:rPr>
        <w:t>4,880</w:t>
      </w:r>
      <w:r w:rsidR="009B393E" w:rsidRPr="000E64D4">
        <w:rPr>
          <w:rFonts w:eastAsia="標楷體"/>
          <w:sz w:val="36"/>
          <w:szCs w:val="36"/>
        </w:rPr>
        <w:t>萬</w:t>
      </w:r>
      <w:r w:rsidR="00DC450E" w:rsidRPr="000E64D4">
        <w:rPr>
          <w:rFonts w:eastAsia="標楷體" w:hint="eastAsia"/>
          <w:sz w:val="36"/>
          <w:szCs w:val="36"/>
        </w:rPr>
        <w:t>9</w:t>
      </w:r>
      <w:r w:rsidR="00776E22" w:rsidRPr="000E64D4">
        <w:rPr>
          <w:rFonts w:eastAsia="標楷體"/>
          <w:sz w:val="36"/>
          <w:szCs w:val="36"/>
        </w:rPr>
        <w:t>,</w:t>
      </w:r>
      <w:r w:rsidR="00776E22" w:rsidRPr="000E64D4">
        <w:rPr>
          <w:rFonts w:eastAsia="標楷體" w:hint="eastAsia"/>
          <w:sz w:val="36"/>
          <w:szCs w:val="36"/>
        </w:rPr>
        <w:t>000</w:t>
      </w:r>
      <w:r w:rsidR="009B393E" w:rsidRPr="000E64D4">
        <w:rPr>
          <w:rFonts w:eastAsia="標楷體"/>
          <w:sz w:val="36"/>
          <w:szCs w:val="36"/>
        </w:rPr>
        <w:t>元</w:t>
      </w:r>
      <w:r w:rsidR="000A0B99" w:rsidRPr="000E64D4">
        <w:rPr>
          <w:rFonts w:eastAsia="標楷體" w:hint="eastAsia"/>
          <w:sz w:val="36"/>
          <w:szCs w:val="36"/>
        </w:rPr>
        <w:t>(</w:t>
      </w:r>
      <w:r w:rsidR="009B393E" w:rsidRPr="000E64D4">
        <w:rPr>
          <w:rFonts w:eastAsia="標楷體" w:hint="eastAsia"/>
          <w:sz w:val="36"/>
          <w:szCs w:val="36"/>
        </w:rPr>
        <w:t>折合新臺幣</w:t>
      </w:r>
      <w:r w:rsidR="00992575" w:rsidRPr="000E64D4">
        <w:rPr>
          <w:rFonts w:eastAsia="標楷體" w:hint="eastAsia"/>
          <w:sz w:val="36"/>
          <w:szCs w:val="36"/>
        </w:rPr>
        <w:t>7</w:t>
      </w:r>
      <w:r w:rsidR="00EE5179" w:rsidRPr="000E64D4">
        <w:rPr>
          <w:rFonts w:eastAsia="標楷體" w:hint="eastAsia"/>
          <w:sz w:val="36"/>
          <w:szCs w:val="36"/>
        </w:rPr>
        <w:t>6</w:t>
      </w:r>
      <w:r w:rsidR="002B5AD4" w:rsidRPr="000E64D4">
        <w:rPr>
          <w:rFonts w:eastAsia="標楷體"/>
          <w:sz w:val="36"/>
          <w:szCs w:val="36"/>
        </w:rPr>
        <w:t>4</w:t>
      </w:r>
      <w:r w:rsidR="00DC450E" w:rsidRPr="000E64D4">
        <w:rPr>
          <w:rFonts w:eastAsia="標楷體" w:hint="eastAsia"/>
          <w:sz w:val="36"/>
          <w:szCs w:val="36"/>
        </w:rPr>
        <w:t>億</w:t>
      </w:r>
      <w:r w:rsidR="00DC450E" w:rsidRPr="000E64D4">
        <w:rPr>
          <w:rFonts w:eastAsia="標楷體" w:hint="eastAsia"/>
          <w:sz w:val="36"/>
          <w:szCs w:val="36"/>
        </w:rPr>
        <w:t>6,427</w:t>
      </w:r>
      <w:r w:rsidR="009B393E" w:rsidRPr="000E64D4">
        <w:rPr>
          <w:rFonts w:eastAsia="標楷體" w:hint="eastAsia"/>
          <w:sz w:val="36"/>
          <w:szCs w:val="36"/>
        </w:rPr>
        <w:t>萬元</w:t>
      </w:r>
      <w:r w:rsidR="009B393E" w:rsidRPr="000E64D4">
        <w:rPr>
          <w:rFonts w:eastAsia="標楷體" w:hint="eastAsia"/>
          <w:sz w:val="36"/>
          <w:szCs w:val="36"/>
        </w:rPr>
        <w:t>)</w:t>
      </w:r>
      <w:r w:rsidR="009B393E" w:rsidRPr="000E64D4">
        <w:rPr>
          <w:rFonts w:eastAsia="標楷體"/>
          <w:sz w:val="36"/>
          <w:szCs w:val="36"/>
        </w:rPr>
        <w:t>。</w:t>
      </w:r>
    </w:p>
    <w:p w:rsidR="00140A90" w:rsidRPr="000E64D4" w:rsidRDefault="004C5877" w:rsidP="006C7AF2">
      <w:pPr>
        <w:ind w:firstLine="720"/>
        <w:jc w:val="both"/>
        <w:rPr>
          <w:rFonts w:eastAsia="標楷體"/>
          <w:sz w:val="36"/>
          <w:szCs w:val="36"/>
        </w:rPr>
      </w:pPr>
      <w:r w:rsidRPr="000E64D4">
        <w:rPr>
          <w:rFonts w:eastAsia="標楷體"/>
          <w:sz w:val="36"/>
          <w:szCs w:val="36"/>
        </w:rPr>
        <w:t>對外投資方面，</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BB70C5"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核准</w:t>
      </w:r>
      <w:r w:rsidR="000A0B99" w:rsidRPr="000E64D4">
        <w:rPr>
          <w:rFonts w:eastAsia="標楷體"/>
          <w:sz w:val="36"/>
          <w:szCs w:val="36"/>
        </w:rPr>
        <w:t>(</w:t>
      </w:r>
      <w:r w:rsidRPr="000E64D4">
        <w:rPr>
          <w:rFonts w:eastAsia="標楷體"/>
          <w:sz w:val="36"/>
          <w:szCs w:val="36"/>
        </w:rPr>
        <w:t>備</w:t>
      </w:r>
      <w:r w:rsidRPr="000E64D4">
        <w:rPr>
          <w:rFonts w:eastAsia="標楷體"/>
          <w:sz w:val="36"/>
          <w:szCs w:val="36"/>
        </w:rPr>
        <w:t>)</w:t>
      </w:r>
      <w:r w:rsidRPr="000E64D4">
        <w:rPr>
          <w:rFonts w:eastAsia="標楷體"/>
          <w:sz w:val="36"/>
          <w:szCs w:val="36"/>
        </w:rPr>
        <w:t>對外投資件數為</w:t>
      </w:r>
      <w:r w:rsidR="00BB70C5" w:rsidRPr="000E64D4">
        <w:rPr>
          <w:rFonts w:eastAsia="標楷體" w:hint="eastAsia"/>
          <w:sz w:val="36"/>
          <w:szCs w:val="36"/>
        </w:rPr>
        <w:t>448</w:t>
      </w:r>
      <w:r w:rsidRPr="000E64D4">
        <w:rPr>
          <w:rFonts w:eastAsia="標楷體"/>
          <w:sz w:val="36"/>
          <w:szCs w:val="36"/>
        </w:rPr>
        <w:t>件，較上年同期</w:t>
      </w:r>
      <w:r w:rsidR="00326FEA" w:rsidRPr="000E64D4">
        <w:rPr>
          <w:rFonts w:eastAsia="標楷體" w:hint="eastAsia"/>
          <w:sz w:val="36"/>
          <w:szCs w:val="36"/>
        </w:rPr>
        <w:t>增加</w:t>
      </w:r>
      <w:r w:rsidR="00BB70C5" w:rsidRPr="000E64D4">
        <w:rPr>
          <w:rFonts w:eastAsia="標楷體" w:hint="eastAsia"/>
          <w:sz w:val="36"/>
          <w:szCs w:val="36"/>
        </w:rPr>
        <w:t>32.94</w:t>
      </w:r>
      <w:r w:rsidR="006F27ED" w:rsidRPr="000E64D4">
        <w:rPr>
          <w:rFonts w:eastAsia="標楷體" w:hint="eastAsia"/>
          <w:sz w:val="36"/>
          <w:szCs w:val="36"/>
        </w:rPr>
        <w:t>%</w:t>
      </w:r>
      <w:r w:rsidRPr="000E64D4">
        <w:rPr>
          <w:rFonts w:eastAsia="標楷體"/>
          <w:sz w:val="36"/>
          <w:szCs w:val="36"/>
        </w:rPr>
        <w:t>；投</w:t>
      </w:r>
      <w:r w:rsidR="000A0B99" w:rsidRPr="000E64D4">
        <w:rPr>
          <w:rFonts w:eastAsia="標楷體"/>
          <w:sz w:val="36"/>
          <w:szCs w:val="36"/>
        </w:rPr>
        <w:t>(</w:t>
      </w:r>
      <w:r w:rsidRPr="000E64D4">
        <w:rPr>
          <w:rFonts w:eastAsia="標楷體"/>
          <w:sz w:val="36"/>
          <w:szCs w:val="36"/>
        </w:rPr>
        <w:t>增</w:t>
      </w:r>
      <w:r w:rsidRPr="000E64D4">
        <w:rPr>
          <w:rFonts w:eastAsia="標楷體"/>
          <w:sz w:val="36"/>
          <w:szCs w:val="36"/>
        </w:rPr>
        <w:t>)</w:t>
      </w:r>
      <w:r w:rsidRPr="000E64D4">
        <w:rPr>
          <w:rFonts w:eastAsia="標楷體"/>
          <w:sz w:val="36"/>
          <w:szCs w:val="36"/>
        </w:rPr>
        <w:t>資金額計美金</w:t>
      </w:r>
      <w:r w:rsidR="00BB70C5" w:rsidRPr="000E64D4">
        <w:rPr>
          <w:rFonts w:eastAsia="標楷體" w:hint="eastAsia"/>
          <w:sz w:val="36"/>
          <w:szCs w:val="36"/>
        </w:rPr>
        <w:t>83</w:t>
      </w:r>
      <w:r w:rsidRPr="000E64D4">
        <w:rPr>
          <w:rFonts w:eastAsia="標楷體"/>
          <w:sz w:val="36"/>
          <w:szCs w:val="36"/>
        </w:rPr>
        <w:t>億</w:t>
      </w:r>
      <w:r w:rsidR="00BB70C5" w:rsidRPr="000E64D4">
        <w:rPr>
          <w:rFonts w:eastAsia="標楷體" w:hint="eastAsia"/>
          <w:sz w:val="36"/>
          <w:szCs w:val="36"/>
        </w:rPr>
        <w:t>3,092</w:t>
      </w:r>
      <w:r w:rsidRPr="000E64D4">
        <w:rPr>
          <w:rFonts w:eastAsia="標楷體"/>
          <w:sz w:val="36"/>
          <w:szCs w:val="36"/>
        </w:rPr>
        <w:t>萬</w:t>
      </w:r>
      <w:r w:rsidR="00BB70C5" w:rsidRPr="000E64D4">
        <w:rPr>
          <w:rFonts w:eastAsia="標楷體" w:hint="eastAsia"/>
          <w:sz w:val="36"/>
          <w:szCs w:val="36"/>
        </w:rPr>
        <w:t>4</w:t>
      </w:r>
      <w:r w:rsidR="00F32172" w:rsidRPr="000E64D4">
        <w:rPr>
          <w:rFonts w:eastAsia="標楷體" w:hint="eastAsia"/>
          <w:sz w:val="36"/>
          <w:szCs w:val="36"/>
        </w:rPr>
        <w:t>,000</w:t>
      </w:r>
      <w:r w:rsidRPr="000E64D4">
        <w:rPr>
          <w:rFonts w:eastAsia="標楷體"/>
          <w:sz w:val="36"/>
          <w:szCs w:val="36"/>
        </w:rPr>
        <w:t>元</w:t>
      </w:r>
      <w:r w:rsidR="000A0B99" w:rsidRPr="000E64D4">
        <w:rPr>
          <w:rFonts w:eastAsia="標楷體" w:hint="eastAsia"/>
          <w:sz w:val="36"/>
          <w:szCs w:val="36"/>
        </w:rPr>
        <w:t>(</w:t>
      </w:r>
      <w:r w:rsidR="009B69D7" w:rsidRPr="000E64D4">
        <w:rPr>
          <w:rFonts w:eastAsia="標楷體" w:hint="eastAsia"/>
          <w:sz w:val="36"/>
          <w:szCs w:val="36"/>
        </w:rPr>
        <w:t>折合新臺幣</w:t>
      </w:r>
      <w:r w:rsidR="00BB70C5" w:rsidRPr="000E64D4">
        <w:rPr>
          <w:rFonts w:eastAsia="標楷體" w:hint="eastAsia"/>
          <w:sz w:val="36"/>
          <w:szCs w:val="36"/>
        </w:rPr>
        <w:t>2,499</w:t>
      </w:r>
      <w:r w:rsidR="00A602A1" w:rsidRPr="000E64D4">
        <w:rPr>
          <w:rFonts w:eastAsia="標楷體" w:hint="eastAsia"/>
          <w:sz w:val="36"/>
          <w:szCs w:val="36"/>
        </w:rPr>
        <w:t>億</w:t>
      </w:r>
      <w:r w:rsidR="00BB70C5" w:rsidRPr="000E64D4">
        <w:rPr>
          <w:rFonts w:eastAsia="標楷體" w:hint="eastAsia"/>
          <w:sz w:val="36"/>
          <w:szCs w:val="36"/>
        </w:rPr>
        <w:t>2,772</w:t>
      </w:r>
      <w:r w:rsidR="00BB70C5" w:rsidRPr="000E64D4">
        <w:rPr>
          <w:rFonts w:eastAsia="標楷體" w:hint="eastAsia"/>
          <w:sz w:val="36"/>
          <w:szCs w:val="36"/>
        </w:rPr>
        <w:t>萬</w:t>
      </w:r>
      <w:r w:rsidR="00A602A1" w:rsidRPr="000E64D4">
        <w:rPr>
          <w:rFonts w:eastAsia="標楷體" w:hint="eastAsia"/>
          <w:sz w:val="36"/>
          <w:szCs w:val="36"/>
        </w:rPr>
        <w:t>元</w:t>
      </w:r>
      <w:r w:rsidR="00A602A1" w:rsidRPr="000E64D4">
        <w:rPr>
          <w:rFonts w:eastAsia="標楷體" w:hint="eastAsia"/>
          <w:sz w:val="36"/>
          <w:szCs w:val="36"/>
        </w:rPr>
        <w:t>)</w:t>
      </w:r>
      <w:r w:rsidRPr="000E64D4">
        <w:rPr>
          <w:rFonts w:eastAsia="標楷體"/>
          <w:sz w:val="36"/>
          <w:szCs w:val="36"/>
        </w:rPr>
        <w:t>，較上年同期</w:t>
      </w:r>
      <w:r w:rsidR="003C53AF" w:rsidRPr="000E64D4">
        <w:rPr>
          <w:rFonts w:eastAsia="標楷體" w:hint="eastAsia"/>
          <w:sz w:val="36"/>
          <w:szCs w:val="36"/>
        </w:rPr>
        <w:t>減少</w:t>
      </w:r>
      <w:r w:rsidR="00BB70C5" w:rsidRPr="000E64D4">
        <w:rPr>
          <w:rFonts w:eastAsia="標楷體"/>
          <w:sz w:val="36"/>
          <w:szCs w:val="36"/>
        </w:rPr>
        <w:t>11.58</w:t>
      </w:r>
      <w:r w:rsidR="000754B5" w:rsidRPr="000E64D4">
        <w:rPr>
          <w:rFonts w:eastAsia="標楷體"/>
          <w:sz w:val="36"/>
          <w:szCs w:val="36"/>
        </w:rPr>
        <w:t>%</w:t>
      </w:r>
      <w:r w:rsidR="00EA3F3C" w:rsidRPr="000E64D4">
        <w:rPr>
          <w:rFonts w:eastAsia="標楷體" w:hint="eastAsia"/>
          <w:sz w:val="36"/>
          <w:szCs w:val="36"/>
        </w:rPr>
        <w:t>。</w:t>
      </w:r>
      <w:r w:rsidRPr="000E64D4">
        <w:rPr>
          <w:rFonts w:eastAsia="標楷體"/>
          <w:sz w:val="36"/>
          <w:szCs w:val="36"/>
        </w:rPr>
        <w:t>另</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F94CF5"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核准</w:t>
      </w:r>
      <w:r w:rsidR="000A0B99" w:rsidRPr="000E64D4">
        <w:rPr>
          <w:rFonts w:eastAsia="標楷體"/>
          <w:sz w:val="36"/>
          <w:szCs w:val="36"/>
        </w:rPr>
        <w:t>(</w:t>
      </w:r>
      <w:r w:rsidRPr="000E64D4">
        <w:rPr>
          <w:rFonts w:eastAsia="標楷體"/>
          <w:sz w:val="36"/>
          <w:szCs w:val="36"/>
        </w:rPr>
        <w:t>備</w:t>
      </w:r>
      <w:r w:rsidR="000754B5" w:rsidRPr="000E64D4">
        <w:rPr>
          <w:rFonts w:eastAsia="標楷體"/>
          <w:sz w:val="36"/>
          <w:szCs w:val="36"/>
        </w:rPr>
        <w:t>)</w:t>
      </w:r>
      <w:r w:rsidRPr="000E64D4">
        <w:rPr>
          <w:rFonts w:eastAsia="標楷體"/>
          <w:sz w:val="36"/>
          <w:szCs w:val="36"/>
        </w:rPr>
        <w:t>對新南向國家投資件數為</w:t>
      </w:r>
      <w:r w:rsidR="00F94CF5" w:rsidRPr="000E64D4">
        <w:rPr>
          <w:rFonts w:eastAsia="標楷體" w:hint="eastAsia"/>
          <w:sz w:val="36"/>
          <w:szCs w:val="36"/>
        </w:rPr>
        <w:t>127</w:t>
      </w:r>
      <w:r w:rsidR="00330A63" w:rsidRPr="000E64D4">
        <w:rPr>
          <w:rFonts w:eastAsia="標楷體"/>
          <w:sz w:val="36"/>
          <w:szCs w:val="36"/>
        </w:rPr>
        <w:t>件，較上年同</w:t>
      </w:r>
      <w:r w:rsidR="00330A63" w:rsidRPr="000E64D4">
        <w:rPr>
          <w:rFonts w:eastAsia="標楷體" w:hint="eastAsia"/>
          <w:sz w:val="36"/>
          <w:szCs w:val="36"/>
        </w:rPr>
        <w:t>期</w:t>
      </w:r>
      <w:r w:rsidR="00F94CF5" w:rsidRPr="000E64D4">
        <w:rPr>
          <w:rFonts w:eastAsia="標楷體" w:hint="eastAsia"/>
          <w:sz w:val="36"/>
          <w:szCs w:val="36"/>
        </w:rPr>
        <w:t>增加</w:t>
      </w:r>
      <w:r w:rsidR="00F94CF5" w:rsidRPr="000E64D4">
        <w:rPr>
          <w:rFonts w:eastAsia="標楷體" w:hint="eastAsia"/>
          <w:sz w:val="36"/>
          <w:szCs w:val="36"/>
        </w:rPr>
        <w:t>20.95</w:t>
      </w:r>
      <w:r w:rsidR="000754B5" w:rsidRPr="000E64D4">
        <w:rPr>
          <w:rFonts w:eastAsia="標楷體"/>
          <w:sz w:val="36"/>
          <w:szCs w:val="36"/>
        </w:rPr>
        <w:t>%</w:t>
      </w:r>
      <w:r w:rsidRPr="000E64D4">
        <w:rPr>
          <w:rFonts w:eastAsia="標楷體"/>
          <w:sz w:val="36"/>
          <w:szCs w:val="36"/>
        </w:rPr>
        <w:t>，投</w:t>
      </w:r>
      <w:r w:rsidR="000A0B99" w:rsidRPr="000E64D4">
        <w:rPr>
          <w:rFonts w:eastAsia="標楷體"/>
          <w:sz w:val="36"/>
          <w:szCs w:val="36"/>
        </w:rPr>
        <w:t>(</w:t>
      </w:r>
      <w:r w:rsidRPr="000E64D4">
        <w:rPr>
          <w:rFonts w:eastAsia="標楷體"/>
          <w:sz w:val="36"/>
          <w:szCs w:val="36"/>
        </w:rPr>
        <w:t>增</w:t>
      </w:r>
      <w:r w:rsidRPr="000E64D4">
        <w:rPr>
          <w:rFonts w:eastAsia="標楷體"/>
          <w:sz w:val="36"/>
          <w:szCs w:val="36"/>
        </w:rPr>
        <w:t>)</w:t>
      </w:r>
      <w:r w:rsidRPr="000E64D4">
        <w:rPr>
          <w:rFonts w:eastAsia="標楷體"/>
          <w:sz w:val="36"/>
          <w:szCs w:val="36"/>
        </w:rPr>
        <w:t>資金額計美金</w:t>
      </w:r>
      <w:r w:rsidR="00F94CF5" w:rsidRPr="000E64D4">
        <w:rPr>
          <w:rFonts w:eastAsia="標楷體" w:hint="eastAsia"/>
          <w:sz w:val="36"/>
          <w:szCs w:val="36"/>
        </w:rPr>
        <w:t>46</w:t>
      </w:r>
      <w:r w:rsidR="000C6190" w:rsidRPr="000E64D4">
        <w:rPr>
          <w:rFonts w:eastAsia="標楷體" w:hint="eastAsia"/>
          <w:sz w:val="36"/>
          <w:szCs w:val="36"/>
        </w:rPr>
        <w:t>億</w:t>
      </w:r>
      <w:r w:rsidR="00F94CF5" w:rsidRPr="000E64D4">
        <w:rPr>
          <w:rFonts w:eastAsia="標楷體" w:hint="eastAsia"/>
          <w:sz w:val="36"/>
          <w:szCs w:val="36"/>
        </w:rPr>
        <w:t>7,362</w:t>
      </w:r>
      <w:r w:rsidRPr="000E64D4">
        <w:rPr>
          <w:rFonts w:eastAsia="標楷體"/>
          <w:sz w:val="36"/>
          <w:szCs w:val="36"/>
        </w:rPr>
        <w:t>萬</w:t>
      </w:r>
      <w:r w:rsidR="00F94CF5" w:rsidRPr="000E64D4">
        <w:rPr>
          <w:rFonts w:eastAsia="標楷體" w:hint="eastAsia"/>
          <w:sz w:val="36"/>
          <w:szCs w:val="36"/>
        </w:rPr>
        <w:t>2,000</w:t>
      </w:r>
      <w:r w:rsidRPr="000E64D4">
        <w:rPr>
          <w:rFonts w:eastAsia="標楷體"/>
          <w:sz w:val="36"/>
          <w:szCs w:val="36"/>
        </w:rPr>
        <w:t>元</w:t>
      </w:r>
      <w:r w:rsidR="000A0B99" w:rsidRPr="000E64D4">
        <w:rPr>
          <w:rFonts w:eastAsia="標楷體" w:hint="eastAsia"/>
          <w:sz w:val="36"/>
          <w:szCs w:val="36"/>
        </w:rPr>
        <w:t>(</w:t>
      </w:r>
      <w:r w:rsidR="00092407" w:rsidRPr="000E64D4">
        <w:rPr>
          <w:rFonts w:eastAsia="標楷體" w:hint="eastAsia"/>
          <w:sz w:val="36"/>
          <w:szCs w:val="36"/>
        </w:rPr>
        <w:t>折合新臺幣</w:t>
      </w:r>
      <w:r w:rsidR="00F94CF5" w:rsidRPr="000E64D4">
        <w:rPr>
          <w:rFonts w:eastAsia="標楷體" w:hint="eastAsia"/>
          <w:sz w:val="36"/>
          <w:szCs w:val="36"/>
        </w:rPr>
        <w:t>1,402</w:t>
      </w:r>
      <w:r w:rsidR="00092407" w:rsidRPr="000E64D4">
        <w:rPr>
          <w:rFonts w:eastAsia="標楷體" w:hint="eastAsia"/>
          <w:sz w:val="36"/>
          <w:szCs w:val="36"/>
        </w:rPr>
        <w:t>億</w:t>
      </w:r>
      <w:r w:rsidR="00F94CF5" w:rsidRPr="000E64D4">
        <w:rPr>
          <w:rFonts w:eastAsia="標楷體" w:hint="eastAsia"/>
          <w:sz w:val="36"/>
          <w:szCs w:val="36"/>
        </w:rPr>
        <w:t>866</w:t>
      </w:r>
      <w:r w:rsidR="00092407" w:rsidRPr="000E64D4">
        <w:rPr>
          <w:rFonts w:eastAsia="標楷體" w:hint="eastAsia"/>
          <w:sz w:val="36"/>
          <w:szCs w:val="36"/>
        </w:rPr>
        <w:t>萬元</w:t>
      </w:r>
      <w:r w:rsidR="00A602A1" w:rsidRPr="000E64D4">
        <w:rPr>
          <w:rFonts w:eastAsia="標楷體" w:hint="eastAsia"/>
          <w:sz w:val="36"/>
          <w:szCs w:val="36"/>
        </w:rPr>
        <w:t>)</w:t>
      </w:r>
      <w:r w:rsidRPr="000E64D4">
        <w:rPr>
          <w:rFonts w:eastAsia="標楷體"/>
          <w:sz w:val="36"/>
          <w:szCs w:val="36"/>
        </w:rPr>
        <w:t>，較上年同期</w:t>
      </w:r>
      <w:r w:rsidR="00330A63" w:rsidRPr="000E64D4">
        <w:rPr>
          <w:rFonts w:eastAsia="標楷體" w:hint="eastAsia"/>
          <w:sz w:val="36"/>
          <w:szCs w:val="36"/>
        </w:rPr>
        <w:t>減少</w:t>
      </w:r>
      <w:r w:rsidR="00F94CF5" w:rsidRPr="000E64D4">
        <w:rPr>
          <w:rFonts w:eastAsia="標楷體" w:hint="eastAsia"/>
          <w:sz w:val="36"/>
          <w:szCs w:val="36"/>
        </w:rPr>
        <w:t>15.01</w:t>
      </w:r>
      <w:r w:rsidR="000754B5" w:rsidRPr="000E64D4">
        <w:rPr>
          <w:rFonts w:eastAsia="標楷體"/>
          <w:sz w:val="36"/>
          <w:szCs w:val="36"/>
        </w:rPr>
        <w:t>%</w:t>
      </w:r>
      <w:r w:rsidRPr="000E64D4">
        <w:rPr>
          <w:rFonts w:eastAsia="標楷體"/>
          <w:sz w:val="36"/>
          <w:szCs w:val="36"/>
        </w:rPr>
        <w:t>；其中</w:t>
      </w:r>
      <w:r w:rsidR="00145570" w:rsidRPr="000E64D4">
        <w:rPr>
          <w:rFonts w:eastAsia="標楷體" w:hint="eastAsia"/>
          <w:sz w:val="36"/>
          <w:szCs w:val="36"/>
        </w:rPr>
        <w:t>投資</w:t>
      </w:r>
      <w:r w:rsidR="00F72008" w:rsidRPr="000E64D4">
        <w:rPr>
          <w:rFonts w:eastAsia="標楷體" w:hint="eastAsia"/>
          <w:sz w:val="36"/>
          <w:szCs w:val="36"/>
        </w:rPr>
        <w:t>金額較大者為</w:t>
      </w:r>
      <w:r w:rsidR="00F27950" w:rsidRPr="000E64D4">
        <w:rPr>
          <w:rFonts w:eastAsia="標楷體" w:hint="eastAsia"/>
          <w:sz w:val="36"/>
          <w:szCs w:val="36"/>
        </w:rPr>
        <w:t>新加坡、</w:t>
      </w:r>
      <w:r w:rsidR="00F94CF5" w:rsidRPr="000E64D4">
        <w:rPr>
          <w:rFonts w:eastAsia="標楷體" w:hint="eastAsia"/>
          <w:sz w:val="36"/>
          <w:szCs w:val="36"/>
        </w:rPr>
        <w:t>越南及</w:t>
      </w:r>
      <w:r w:rsidR="00F27950" w:rsidRPr="000E64D4">
        <w:rPr>
          <w:rFonts w:eastAsia="標楷體" w:hint="eastAsia"/>
          <w:sz w:val="36"/>
          <w:szCs w:val="36"/>
        </w:rPr>
        <w:t>澳大利亞</w:t>
      </w:r>
      <w:r w:rsidR="00140A90" w:rsidRPr="000E64D4">
        <w:rPr>
          <w:rFonts w:eastAsia="標楷體" w:hint="eastAsia"/>
          <w:sz w:val="36"/>
          <w:szCs w:val="36"/>
        </w:rPr>
        <w:t>。</w:t>
      </w:r>
    </w:p>
    <w:p w:rsidR="005644BF" w:rsidRPr="000E64D4" w:rsidRDefault="004C5877" w:rsidP="004C6CC0">
      <w:pPr>
        <w:ind w:firstLine="720"/>
        <w:jc w:val="both"/>
        <w:rPr>
          <w:rFonts w:eastAsia="標楷體"/>
          <w:sz w:val="36"/>
          <w:szCs w:val="36"/>
        </w:rPr>
      </w:pPr>
      <w:r w:rsidRPr="000E64D4">
        <w:rPr>
          <w:rFonts w:eastAsia="標楷體"/>
          <w:sz w:val="36"/>
          <w:szCs w:val="36"/>
        </w:rPr>
        <w:t>對中國大陸投資方面，</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BB70C5"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核准對中國大陸投資件數為</w:t>
      </w:r>
      <w:r w:rsidR="00BB70C5" w:rsidRPr="000E64D4">
        <w:rPr>
          <w:rFonts w:eastAsia="標楷體" w:hint="eastAsia"/>
          <w:sz w:val="36"/>
          <w:szCs w:val="36"/>
        </w:rPr>
        <w:t>296</w:t>
      </w:r>
      <w:r w:rsidR="000B2FFF" w:rsidRPr="000E64D4">
        <w:rPr>
          <w:rFonts w:eastAsia="標楷體" w:hint="eastAsia"/>
          <w:sz w:val="36"/>
          <w:szCs w:val="36"/>
        </w:rPr>
        <w:t>件</w:t>
      </w:r>
      <w:r w:rsidRPr="000E64D4">
        <w:rPr>
          <w:rFonts w:eastAsia="標楷體"/>
          <w:sz w:val="36"/>
          <w:szCs w:val="36"/>
        </w:rPr>
        <w:t>，件數較上年同期</w:t>
      </w:r>
      <w:r w:rsidR="00941BF5" w:rsidRPr="000E64D4">
        <w:rPr>
          <w:rFonts w:eastAsia="標楷體" w:hint="eastAsia"/>
          <w:sz w:val="36"/>
          <w:szCs w:val="36"/>
        </w:rPr>
        <w:t>減少</w:t>
      </w:r>
      <w:r w:rsidR="00BB70C5" w:rsidRPr="000E64D4">
        <w:rPr>
          <w:rFonts w:eastAsia="標楷體" w:hint="eastAsia"/>
          <w:sz w:val="36"/>
          <w:szCs w:val="36"/>
        </w:rPr>
        <w:t>15.19</w:t>
      </w:r>
      <w:r w:rsidR="000754B5" w:rsidRPr="000E64D4">
        <w:rPr>
          <w:rFonts w:eastAsia="標楷體"/>
          <w:sz w:val="36"/>
          <w:szCs w:val="36"/>
        </w:rPr>
        <w:t>%</w:t>
      </w:r>
      <w:r w:rsidRPr="000E64D4">
        <w:rPr>
          <w:rFonts w:eastAsia="標楷體"/>
          <w:sz w:val="36"/>
          <w:szCs w:val="36"/>
        </w:rPr>
        <w:t>；核准投</w:t>
      </w:r>
      <w:r w:rsidR="000A0B99" w:rsidRPr="000E64D4">
        <w:rPr>
          <w:rFonts w:eastAsia="標楷體"/>
          <w:sz w:val="36"/>
          <w:szCs w:val="36"/>
        </w:rPr>
        <w:t>(</w:t>
      </w:r>
      <w:r w:rsidRPr="000E64D4">
        <w:rPr>
          <w:rFonts w:eastAsia="標楷體"/>
          <w:sz w:val="36"/>
          <w:szCs w:val="36"/>
        </w:rPr>
        <w:t>增</w:t>
      </w:r>
      <w:r w:rsidRPr="000E64D4">
        <w:rPr>
          <w:rFonts w:eastAsia="標楷體"/>
          <w:sz w:val="36"/>
          <w:szCs w:val="36"/>
        </w:rPr>
        <w:t>)</w:t>
      </w:r>
      <w:r w:rsidRPr="000E64D4">
        <w:rPr>
          <w:rFonts w:eastAsia="標楷體"/>
          <w:sz w:val="36"/>
          <w:szCs w:val="36"/>
        </w:rPr>
        <w:t>資金額計美金</w:t>
      </w:r>
      <w:r w:rsidR="00BB70C5" w:rsidRPr="000E64D4">
        <w:rPr>
          <w:rFonts w:eastAsia="標楷體"/>
          <w:sz w:val="36"/>
          <w:szCs w:val="36"/>
        </w:rPr>
        <w:t>41</w:t>
      </w:r>
      <w:r w:rsidRPr="000E64D4">
        <w:rPr>
          <w:rFonts w:eastAsia="標楷體"/>
          <w:sz w:val="36"/>
          <w:szCs w:val="36"/>
        </w:rPr>
        <w:t>億</w:t>
      </w:r>
      <w:r w:rsidR="00BB70C5" w:rsidRPr="000E64D4">
        <w:rPr>
          <w:rFonts w:eastAsia="標楷體" w:hint="eastAsia"/>
          <w:sz w:val="36"/>
          <w:szCs w:val="36"/>
        </w:rPr>
        <w:t>6,353</w:t>
      </w:r>
      <w:r w:rsidRPr="000E64D4">
        <w:rPr>
          <w:rFonts w:eastAsia="標楷體"/>
          <w:sz w:val="36"/>
          <w:szCs w:val="36"/>
        </w:rPr>
        <w:t>萬</w:t>
      </w:r>
      <w:r w:rsidR="00AA6805" w:rsidRPr="000E64D4">
        <w:rPr>
          <w:rFonts w:eastAsia="標楷體" w:hint="eastAsia"/>
          <w:sz w:val="36"/>
          <w:szCs w:val="36"/>
        </w:rPr>
        <w:t>2,000</w:t>
      </w:r>
      <w:r w:rsidRPr="000E64D4">
        <w:rPr>
          <w:rFonts w:eastAsia="標楷體"/>
          <w:sz w:val="36"/>
          <w:szCs w:val="36"/>
        </w:rPr>
        <w:t>元</w:t>
      </w:r>
      <w:r w:rsidR="000A0B99" w:rsidRPr="000E64D4">
        <w:rPr>
          <w:rFonts w:eastAsia="標楷體" w:hint="eastAsia"/>
          <w:sz w:val="36"/>
          <w:szCs w:val="36"/>
        </w:rPr>
        <w:t>(</w:t>
      </w:r>
      <w:r w:rsidR="009B69D7" w:rsidRPr="000E64D4">
        <w:rPr>
          <w:rFonts w:eastAsia="標楷體" w:hint="eastAsia"/>
          <w:sz w:val="36"/>
          <w:szCs w:val="36"/>
        </w:rPr>
        <w:t>折合新臺</w:t>
      </w:r>
      <w:r w:rsidR="0098381B" w:rsidRPr="000E64D4">
        <w:rPr>
          <w:rFonts w:eastAsia="標楷體" w:hint="eastAsia"/>
          <w:sz w:val="36"/>
          <w:szCs w:val="36"/>
        </w:rPr>
        <w:t>幣</w:t>
      </w:r>
      <w:r w:rsidR="00BB70C5" w:rsidRPr="000E64D4">
        <w:rPr>
          <w:rFonts w:eastAsia="標楷體" w:hint="eastAsia"/>
          <w:sz w:val="36"/>
          <w:szCs w:val="36"/>
        </w:rPr>
        <w:t>1,249</w:t>
      </w:r>
      <w:r w:rsidR="00A602A1" w:rsidRPr="000E64D4">
        <w:rPr>
          <w:rFonts w:eastAsia="標楷體" w:hint="eastAsia"/>
          <w:sz w:val="36"/>
          <w:szCs w:val="36"/>
        </w:rPr>
        <w:t>億</w:t>
      </w:r>
      <w:r w:rsidR="00BB70C5" w:rsidRPr="000E64D4">
        <w:rPr>
          <w:rFonts w:eastAsia="標楷體" w:hint="eastAsia"/>
          <w:sz w:val="36"/>
          <w:szCs w:val="36"/>
        </w:rPr>
        <w:t>596</w:t>
      </w:r>
      <w:r w:rsidR="00A602A1" w:rsidRPr="000E64D4">
        <w:rPr>
          <w:rFonts w:eastAsia="標楷體" w:hint="eastAsia"/>
          <w:sz w:val="36"/>
          <w:szCs w:val="36"/>
        </w:rPr>
        <w:t>萬元</w:t>
      </w:r>
      <w:r w:rsidR="00A602A1" w:rsidRPr="000E64D4">
        <w:rPr>
          <w:rFonts w:eastAsia="標楷體" w:hint="eastAsia"/>
          <w:sz w:val="36"/>
          <w:szCs w:val="36"/>
        </w:rPr>
        <w:t>)</w:t>
      </w:r>
      <w:r w:rsidR="00BB70C5" w:rsidRPr="000E64D4">
        <w:rPr>
          <w:rFonts w:eastAsia="標楷體"/>
          <w:sz w:val="36"/>
          <w:szCs w:val="36"/>
        </w:rPr>
        <w:t>，較上年同期減少</w:t>
      </w:r>
      <w:r w:rsidR="00BB70C5" w:rsidRPr="000E64D4">
        <w:rPr>
          <w:rFonts w:eastAsia="標楷體"/>
          <w:sz w:val="36"/>
          <w:szCs w:val="36"/>
        </w:rPr>
        <w:t>3.20</w:t>
      </w:r>
      <w:r w:rsidR="000754B5" w:rsidRPr="000E64D4">
        <w:rPr>
          <w:rFonts w:eastAsia="標楷體"/>
          <w:sz w:val="36"/>
          <w:szCs w:val="36"/>
        </w:rPr>
        <w:t>%</w:t>
      </w:r>
      <w:r w:rsidR="005644BF" w:rsidRPr="000E64D4">
        <w:rPr>
          <w:rFonts w:eastAsia="標楷體"/>
          <w:sz w:val="36"/>
          <w:szCs w:val="36"/>
        </w:rPr>
        <w:t>。</w:t>
      </w:r>
    </w:p>
    <w:p w:rsidR="00E15544" w:rsidRPr="000E64D4" w:rsidRDefault="004C5877">
      <w:pPr>
        <w:ind w:firstLine="811"/>
        <w:jc w:val="both"/>
        <w:rPr>
          <w:rFonts w:eastAsia="標楷體"/>
          <w:sz w:val="36"/>
          <w:szCs w:val="36"/>
        </w:rPr>
      </w:pPr>
      <w:r w:rsidRPr="000E64D4">
        <w:rPr>
          <w:rFonts w:eastAsia="標楷體"/>
          <w:sz w:val="36"/>
          <w:szCs w:val="36"/>
        </w:rPr>
        <w:t>茲將</w:t>
      </w:r>
      <w:r w:rsidR="00642349" w:rsidRPr="000E64D4">
        <w:rPr>
          <w:rFonts w:eastAsia="標楷體" w:hint="eastAsia"/>
          <w:sz w:val="36"/>
          <w:szCs w:val="36"/>
        </w:rPr>
        <w:t>111</w:t>
      </w:r>
      <w:r w:rsidR="00642349" w:rsidRPr="000E64D4">
        <w:rPr>
          <w:rFonts w:eastAsia="標楷體" w:hint="eastAsia"/>
          <w:sz w:val="36"/>
          <w:szCs w:val="36"/>
        </w:rPr>
        <w:t>年</w:t>
      </w:r>
      <w:r w:rsidR="00BB70C5" w:rsidRPr="000E64D4">
        <w:rPr>
          <w:rFonts w:eastAsia="標楷體"/>
          <w:sz w:val="36"/>
          <w:szCs w:val="36"/>
        </w:rPr>
        <w:t>10</w:t>
      </w:r>
      <w:r w:rsidR="00642349" w:rsidRPr="000E64D4">
        <w:rPr>
          <w:rFonts w:eastAsia="標楷體" w:hint="eastAsia"/>
          <w:sz w:val="36"/>
          <w:szCs w:val="36"/>
        </w:rPr>
        <w:t>月</w:t>
      </w:r>
      <w:r w:rsidR="00A608A6" w:rsidRPr="000E64D4">
        <w:rPr>
          <w:rFonts w:eastAsia="標楷體" w:hint="eastAsia"/>
          <w:sz w:val="36"/>
          <w:szCs w:val="36"/>
        </w:rPr>
        <w:t>份</w:t>
      </w:r>
      <w:r w:rsidRPr="000E64D4">
        <w:rPr>
          <w:rFonts w:eastAsia="標楷體"/>
          <w:sz w:val="36"/>
          <w:szCs w:val="36"/>
        </w:rPr>
        <w:t>經本部投審會核准之僑外投資、陸資來臺投資、對外投資及對中國大陸投資案件統計情形，分別摘要說明如下：</w:t>
      </w:r>
    </w:p>
    <w:p w:rsidR="00E15544" w:rsidRPr="000E64D4" w:rsidRDefault="00356998">
      <w:pPr>
        <w:pStyle w:val="2"/>
        <w:spacing w:before="188" w:line="240" w:lineRule="auto"/>
        <w:ind w:firstLine="0"/>
        <w:rPr>
          <w:szCs w:val="36"/>
        </w:rPr>
      </w:pPr>
      <w:r w:rsidRPr="000E64D4">
        <w:rPr>
          <w:rFonts w:hint="eastAsia"/>
          <w:szCs w:val="36"/>
        </w:rPr>
        <w:t>一、</w:t>
      </w:r>
      <w:r w:rsidR="004C5877" w:rsidRPr="000E64D4">
        <w:rPr>
          <w:szCs w:val="36"/>
        </w:rPr>
        <w:t>僑外</w:t>
      </w:r>
      <w:r w:rsidR="004C5877" w:rsidRPr="000E64D4">
        <w:t>投資</w:t>
      </w:r>
      <w:r w:rsidR="004C5877" w:rsidRPr="000E64D4">
        <w:rPr>
          <w:szCs w:val="36"/>
        </w:rPr>
        <w:t>部分：</w:t>
      </w:r>
    </w:p>
    <w:p w:rsidR="00E15544" w:rsidRPr="000E64D4" w:rsidRDefault="00642349">
      <w:pPr>
        <w:pStyle w:val="2"/>
        <w:spacing w:before="188" w:line="240" w:lineRule="auto"/>
        <w:ind w:firstLine="811"/>
      </w:pPr>
      <w:r w:rsidRPr="000E64D4">
        <w:rPr>
          <w:rFonts w:hint="eastAsia"/>
          <w:szCs w:val="36"/>
        </w:rPr>
        <w:t>111</w:t>
      </w:r>
      <w:r w:rsidRPr="000E64D4">
        <w:rPr>
          <w:rFonts w:hint="eastAsia"/>
          <w:szCs w:val="36"/>
        </w:rPr>
        <w:t>年</w:t>
      </w:r>
      <w:r w:rsidR="00BB70C5" w:rsidRPr="000E64D4">
        <w:rPr>
          <w:szCs w:val="36"/>
        </w:rPr>
        <w:t>10</w:t>
      </w:r>
      <w:r w:rsidRPr="000E64D4">
        <w:rPr>
          <w:rFonts w:hint="eastAsia"/>
          <w:szCs w:val="36"/>
        </w:rPr>
        <w:t>月</w:t>
      </w:r>
      <w:r w:rsidR="00A608A6" w:rsidRPr="000E64D4">
        <w:rPr>
          <w:rFonts w:hint="eastAsia"/>
          <w:szCs w:val="36"/>
        </w:rPr>
        <w:t>份</w:t>
      </w:r>
      <w:r w:rsidR="004C5877" w:rsidRPr="000E64D4">
        <w:t>單月我僑外投資核准件數為</w:t>
      </w:r>
      <w:r w:rsidR="00BB70C5" w:rsidRPr="000E64D4">
        <w:t>194</w:t>
      </w:r>
      <w:r w:rsidR="004C5877" w:rsidRPr="000E64D4">
        <w:t>件，投資金額計</w:t>
      </w:r>
      <w:r w:rsidR="002F6E71" w:rsidRPr="000E64D4">
        <w:rPr>
          <w:rFonts w:hint="eastAsia"/>
          <w:szCs w:val="36"/>
        </w:rPr>
        <w:t>美金</w:t>
      </w:r>
      <w:r w:rsidR="00B22159" w:rsidRPr="000E64D4">
        <w:rPr>
          <w:rFonts w:hint="eastAsia"/>
        </w:rPr>
        <w:t>4</w:t>
      </w:r>
      <w:r w:rsidR="002F435C" w:rsidRPr="000E64D4">
        <w:rPr>
          <w:rFonts w:hint="eastAsia"/>
        </w:rPr>
        <w:t>億</w:t>
      </w:r>
      <w:r w:rsidR="00B22159" w:rsidRPr="000E64D4">
        <w:rPr>
          <w:rFonts w:hint="eastAsia"/>
        </w:rPr>
        <w:t>2,000</w:t>
      </w:r>
      <w:r w:rsidR="002F435C" w:rsidRPr="000E64D4">
        <w:rPr>
          <w:rFonts w:hint="eastAsia"/>
        </w:rPr>
        <w:t>萬</w:t>
      </w:r>
      <w:r w:rsidR="00B22159" w:rsidRPr="000E64D4">
        <w:rPr>
          <w:rFonts w:hint="eastAsia"/>
        </w:rPr>
        <w:t>7</w:t>
      </w:r>
      <w:r w:rsidR="00DF2F95" w:rsidRPr="000E64D4">
        <w:t>,</w:t>
      </w:r>
      <w:r w:rsidR="00DF2F95" w:rsidRPr="000E64D4">
        <w:rPr>
          <w:rFonts w:hint="eastAsia"/>
        </w:rPr>
        <w:t>000</w:t>
      </w:r>
      <w:r w:rsidR="002F435C" w:rsidRPr="000E64D4">
        <w:rPr>
          <w:rFonts w:hint="eastAsia"/>
        </w:rPr>
        <w:t>元</w:t>
      </w:r>
      <w:r w:rsidR="002F435C" w:rsidRPr="000E64D4">
        <w:rPr>
          <w:rFonts w:hint="eastAsia"/>
        </w:rPr>
        <w:t>(</w:t>
      </w:r>
      <w:r w:rsidR="002F435C" w:rsidRPr="000E64D4">
        <w:rPr>
          <w:rFonts w:hint="eastAsia"/>
        </w:rPr>
        <w:t>折合新臺幣</w:t>
      </w:r>
      <w:r w:rsidR="00B22159" w:rsidRPr="000E64D4">
        <w:rPr>
          <w:rFonts w:hint="eastAsia"/>
        </w:rPr>
        <w:t>126</w:t>
      </w:r>
      <w:r w:rsidR="002F435C" w:rsidRPr="000E64D4">
        <w:rPr>
          <w:rFonts w:hint="eastAsia"/>
        </w:rPr>
        <w:t>億</w:t>
      </w:r>
      <w:r w:rsidR="00B22159" w:rsidRPr="000E64D4">
        <w:rPr>
          <w:rFonts w:hint="eastAsia"/>
        </w:rPr>
        <w:t>21</w:t>
      </w:r>
      <w:r w:rsidR="002F435C" w:rsidRPr="000E64D4">
        <w:rPr>
          <w:rFonts w:hint="eastAsia"/>
        </w:rPr>
        <w:t>萬元</w:t>
      </w:r>
      <w:r w:rsidR="002F435C" w:rsidRPr="000E64D4">
        <w:rPr>
          <w:rFonts w:hint="eastAsia"/>
        </w:rPr>
        <w:t>)</w:t>
      </w:r>
      <w:r w:rsidR="004C5877" w:rsidRPr="000E64D4">
        <w:t>。有關</w:t>
      </w:r>
      <w:r w:rsidRPr="000E64D4">
        <w:rPr>
          <w:rFonts w:hint="eastAsia"/>
          <w:szCs w:val="36"/>
        </w:rPr>
        <w:t>111</w:t>
      </w:r>
      <w:r w:rsidRPr="000E64D4">
        <w:rPr>
          <w:rFonts w:hint="eastAsia"/>
          <w:szCs w:val="36"/>
        </w:rPr>
        <w:t>年</w:t>
      </w:r>
      <w:r w:rsidR="00BB70C5" w:rsidRPr="000E64D4">
        <w:rPr>
          <w:rFonts w:hint="eastAsia"/>
          <w:szCs w:val="36"/>
        </w:rPr>
        <w:t>10</w:t>
      </w:r>
      <w:r w:rsidRPr="000E64D4">
        <w:rPr>
          <w:rFonts w:hint="eastAsia"/>
          <w:szCs w:val="36"/>
        </w:rPr>
        <w:t>月</w:t>
      </w:r>
      <w:r w:rsidR="004C5877" w:rsidRPr="000E64D4">
        <w:t>及最近</w:t>
      </w:r>
      <w:r w:rsidR="004C5877" w:rsidRPr="000E64D4">
        <w:t>2</w:t>
      </w:r>
      <w:r w:rsidR="004C5877" w:rsidRPr="000E64D4">
        <w:t>年僑外投資概況，詳如表</w:t>
      </w:r>
      <w:r w:rsidR="004C5877" w:rsidRPr="000E64D4">
        <w:t>1-1</w:t>
      </w:r>
      <w:r w:rsidR="004C5877" w:rsidRPr="000E64D4">
        <w:t>。</w:t>
      </w:r>
    </w:p>
    <w:p w:rsidR="00B303D4" w:rsidRPr="000E64D4" w:rsidRDefault="00642349" w:rsidP="005B4495">
      <w:pPr>
        <w:pStyle w:val="2"/>
        <w:spacing w:before="188" w:line="240" w:lineRule="auto"/>
        <w:ind w:firstLine="811"/>
      </w:pPr>
      <w:r w:rsidRPr="000E64D4">
        <w:rPr>
          <w:rFonts w:hint="eastAsia"/>
          <w:szCs w:val="36"/>
        </w:rPr>
        <w:t>111</w:t>
      </w:r>
      <w:r w:rsidRPr="000E64D4">
        <w:rPr>
          <w:rFonts w:hint="eastAsia"/>
          <w:szCs w:val="36"/>
        </w:rPr>
        <w:t>年</w:t>
      </w:r>
      <w:r w:rsidR="001423FF" w:rsidRPr="000E64D4">
        <w:rPr>
          <w:rFonts w:hint="eastAsia"/>
          <w:szCs w:val="36"/>
        </w:rPr>
        <w:t>1-</w:t>
      </w:r>
      <w:r w:rsidR="00574DF7" w:rsidRPr="000E64D4">
        <w:rPr>
          <w:rFonts w:hint="eastAsia"/>
          <w:szCs w:val="36"/>
        </w:rPr>
        <w:t>10</w:t>
      </w:r>
      <w:r w:rsidR="001423FF" w:rsidRPr="000E64D4">
        <w:rPr>
          <w:rFonts w:hint="eastAsia"/>
          <w:szCs w:val="36"/>
        </w:rPr>
        <w:t>月</w:t>
      </w:r>
      <w:r w:rsidR="004C5877" w:rsidRPr="000E64D4">
        <w:t>核准僑外投資案件，若就地區觀之，以</w:t>
      </w:r>
      <w:r w:rsidR="00EF4004" w:rsidRPr="000E64D4">
        <w:rPr>
          <w:rFonts w:hint="eastAsia"/>
          <w:szCs w:val="36"/>
        </w:rPr>
        <w:t>丹麥</w:t>
      </w:r>
      <w:r w:rsidR="00FA66D4" w:rsidRPr="000E64D4">
        <w:lastRenderedPageBreak/>
        <w:t>美金</w:t>
      </w:r>
      <w:r w:rsidR="00EF4004" w:rsidRPr="000E64D4">
        <w:rPr>
          <w:rFonts w:hint="eastAsia"/>
        </w:rPr>
        <w:t>32</w:t>
      </w:r>
      <w:r w:rsidR="00FA66D4" w:rsidRPr="000E64D4">
        <w:rPr>
          <w:rFonts w:hint="eastAsia"/>
        </w:rPr>
        <w:t>億</w:t>
      </w:r>
      <w:r w:rsidR="00EF4004" w:rsidRPr="000E64D4">
        <w:rPr>
          <w:rFonts w:hint="eastAsia"/>
        </w:rPr>
        <w:t>1</w:t>
      </w:r>
      <w:r w:rsidR="00EF4004" w:rsidRPr="000E64D4">
        <w:t>,</w:t>
      </w:r>
      <w:r w:rsidR="00E243B9" w:rsidRPr="000E64D4">
        <w:rPr>
          <w:rFonts w:hint="eastAsia"/>
        </w:rPr>
        <w:t>18</w:t>
      </w:r>
      <w:r w:rsidR="0034027F" w:rsidRPr="000E64D4">
        <w:rPr>
          <w:rFonts w:hint="eastAsia"/>
        </w:rPr>
        <w:t>5</w:t>
      </w:r>
      <w:r w:rsidR="00FA66D4" w:rsidRPr="000E64D4">
        <w:rPr>
          <w:rFonts w:hint="eastAsia"/>
        </w:rPr>
        <w:t>萬</w:t>
      </w:r>
      <w:r w:rsidR="0034027F" w:rsidRPr="000E64D4">
        <w:rPr>
          <w:rFonts w:hint="eastAsia"/>
        </w:rPr>
        <w:t>1</w:t>
      </w:r>
      <w:r w:rsidR="00EF4004" w:rsidRPr="000E64D4">
        <w:t>,</w:t>
      </w:r>
      <w:r w:rsidR="00EF4004" w:rsidRPr="000E64D4">
        <w:rPr>
          <w:rFonts w:hint="eastAsia"/>
        </w:rPr>
        <w:t>000</w:t>
      </w:r>
      <w:r w:rsidR="00FA66D4" w:rsidRPr="000E64D4">
        <w:t>元</w:t>
      </w:r>
      <w:r w:rsidR="00FA66D4" w:rsidRPr="000E64D4">
        <w:t>(</w:t>
      </w:r>
      <w:r w:rsidR="00FA66D4" w:rsidRPr="000E64D4">
        <w:rPr>
          <w:rFonts w:hint="eastAsia"/>
          <w:szCs w:val="36"/>
        </w:rPr>
        <w:t>折合新臺幣</w:t>
      </w:r>
      <w:r w:rsidR="00BB7EF0" w:rsidRPr="000E64D4">
        <w:rPr>
          <w:szCs w:val="36"/>
        </w:rPr>
        <w:t>963</w:t>
      </w:r>
      <w:r w:rsidR="00FA66D4" w:rsidRPr="000E64D4">
        <w:rPr>
          <w:rFonts w:hint="eastAsia"/>
          <w:szCs w:val="36"/>
        </w:rPr>
        <w:t>億</w:t>
      </w:r>
      <w:r w:rsidR="0034027F" w:rsidRPr="000E64D4">
        <w:rPr>
          <w:rFonts w:hint="eastAsia"/>
          <w:szCs w:val="36"/>
        </w:rPr>
        <w:t>5,553</w:t>
      </w:r>
      <w:r w:rsidR="00FA66D4" w:rsidRPr="000E64D4">
        <w:rPr>
          <w:rFonts w:hint="eastAsia"/>
          <w:szCs w:val="36"/>
        </w:rPr>
        <w:t>萬元；</w:t>
      </w:r>
      <w:r w:rsidR="0034027F" w:rsidRPr="000E64D4">
        <w:rPr>
          <w:rFonts w:hint="eastAsia"/>
          <w:szCs w:val="36"/>
        </w:rPr>
        <w:t>27.</w:t>
      </w:r>
      <w:r w:rsidR="00B22159" w:rsidRPr="000E64D4">
        <w:rPr>
          <w:rFonts w:hint="eastAsia"/>
          <w:szCs w:val="36"/>
        </w:rPr>
        <w:t>78</w:t>
      </w:r>
      <w:r w:rsidR="00FA66D4" w:rsidRPr="000E64D4">
        <w:t>%</w:t>
      </w:r>
      <w:r w:rsidR="00FA66D4" w:rsidRPr="000E64D4">
        <w:rPr>
          <w:rFonts w:hint="eastAsia"/>
        </w:rPr>
        <w:t>)</w:t>
      </w:r>
      <w:r w:rsidR="00663EE5" w:rsidRPr="000E64D4">
        <w:rPr>
          <w:rFonts w:hint="eastAsia"/>
        </w:rPr>
        <w:t>、</w:t>
      </w:r>
      <w:r w:rsidR="00C01B11" w:rsidRPr="000E64D4">
        <w:t>加勒比海英國屬地美金</w:t>
      </w:r>
      <w:r w:rsidR="0034027F" w:rsidRPr="000E64D4">
        <w:rPr>
          <w:rFonts w:hint="eastAsia"/>
        </w:rPr>
        <w:t>19</w:t>
      </w:r>
      <w:r w:rsidR="00C01B11" w:rsidRPr="000E64D4">
        <w:t>億</w:t>
      </w:r>
      <w:r w:rsidR="00B22159" w:rsidRPr="000E64D4">
        <w:rPr>
          <w:rFonts w:hint="eastAsia"/>
        </w:rPr>
        <w:t>7,464</w:t>
      </w:r>
      <w:r w:rsidR="00C01B11" w:rsidRPr="000E64D4">
        <w:t>萬</w:t>
      </w:r>
      <w:r w:rsidR="0034027F" w:rsidRPr="000E64D4">
        <w:rPr>
          <w:rFonts w:hint="eastAsia"/>
        </w:rPr>
        <w:t>8</w:t>
      </w:r>
      <w:r w:rsidR="00C01B11" w:rsidRPr="000E64D4">
        <w:t>,000</w:t>
      </w:r>
      <w:r w:rsidR="00C01B11" w:rsidRPr="000E64D4">
        <w:t>元</w:t>
      </w:r>
      <w:r w:rsidR="00C01B11" w:rsidRPr="000E64D4">
        <w:t>(</w:t>
      </w:r>
      <w:r w:rsidR="00C01B11" w:rsidRPr="000E64D4">
        <w:rPr>
          <w:rFonts w:hint="eastAsia"/>
          <w:szCs w:val="36"/>
        </w:rPr>
        <w:t>折合新臺幣</w:t>
      </w:r>
      <w:r w:rsidR="00B22159" w:rsidRPr="000E64D4">
        <w:rPr>
          <w:rFonts w:hint="eastAsia"/>
          <w:szCs w:val="36"/>
        </w:rPr>
        <w:t>592</w:t>
      </w:r>
      <w:r w:rsidR="00C01B11" w:rsidRPr="000E64D4">
        <w:rPr>
          <w:rFonts w:hint="eastAsia"/>
          <w:szCs w:val="36"/>
        </w:rPr>
        <w:t>億</w:t>
      </w:r>
      <w:r w:rsidR="00B22159" w:rsidRPr="000E64D4">
        <w:rPr>
          <w:rFonts w:hint="eastAsia"/>
          <w:szCs w:val="36"/>
        </w:rPr>
        <w:t>3,944</w:t>
      </w:r>
      <w:r w:rsidR="00C01B11" w:rsidRPr="000E64D4">
        <w:rPr>
          <w:rFonts w:hint="eastAsia"/>
          <w:szCs w:val="36"/>
        </w:rPr>
        <w:t>萬元；</w:t>
      </w:r>
      <w:r w:rsidR="00B22159" w:rsidRPr="000E64D4">
        <w:rPr>
          <w:rFonts w:hint="eastAsia"/>
          <w:szCs w:val="36"/>
        </w:rPr>
        <w:t>17.08</w:t>
      </w:r>
      <w:r w:rsidR="00C01B11" w:rsidRPr="000E64D4">
        <w:rPr>
          <w:rFonts w:hint="eastAsia"/>
        </w:rPr>
        <w:t>%</w:t>
      </w:r>
      <w:r w:rsidR="00C01B11" w:rsidRPr="000E64D4">
        <w:rPr>
          <w:rFonts w:hint="eastAsia"/>
        </w:rPr>
        <w:t>，</w:t>
      </w:r>
      <w:r w:rsidR="00C01B11" w:rsidRPr="000E64D4">
        <w:t>主要為英屬</w:t>
      </w:r>
      <w:r w:rsidR="00C01B11" w:rsidRPr="000E64D4">
        <w:rPr>
          <w:rFonts w:hint="eastAsia"/>
        </w:rPr>
        <w:t>開曼</w:t>
      </w:r>
      <w:r w:rsidR="00C01B11" w:rsidRPr="000E64D4">
        <w:t>群島</w:t>
      </w:r>
      <w:r w:rsidR="00C01B11" w:rsidRPr="000E64D4">
        <w:rPr>
          <w:rFonts w:hint="eastAsia"/>
        </w:rPr>
        <w:t>、</w:t>
      </w:r>
      <w:r w:rsidR="00C01B11" w:rsidRPr="000E64D4">
        <w:t>英屬</w:t>
      </w:r>
      <w:r w:rsidR="00C01B11" w:rsidRPr="000E64D4">
        <w:rPr>
          <w:rFonts w:hint="eastAsia"/>
        </w:rPr>
        <w:t>維京</w:t>
      </w:r>
      <w:r w:rsidR="00C01B11" w:rsidRPr="000E64D4">
        <w:t>群島</w:t>
      </w:r>
      <w:r w:rsidR="00C01B11" w:rsidRPr="000E64D4">
        <w:t>)</w:t>
      </w:r>
      <w:r w:rsidR="00733981" w:rsidRPr="000E64D4">
        <w:rPr>
          <w:rFonts w:hint="eastAsia"/>
        </w:rPr>
        <w:t>、</w:t>
      </w:r>
      <w:r w:rsidR="00C01B11" w:rsidRPr="000E64D4">
        <w:rPr>
          <w:rFonts w:hint="eastAsia"/>
        </w:rPr>
        <w:t>日本美金</w:t>
      </w:r>
      <w:r w:rsidR="0034027F" w:rsidRPr="000E64D4">
        <w:rPr>
          <w:rFonts w:hint="eastAsia"/>
        </w:rPr>
        <w:t>15</w:t>
      </w:r>
      <w:r w:rsidR="00C01B11" w:rsidRPr="000E64D4">
        <w:rPr>
          <w:rFonts w:hint="eastAsia"/>
        </w:rPr>
        <w:t>億</w:t>
      </w:r>
      <w:r w:rsidR="0034027F" w:rsidRPr="000E64D4">
        <w:rPr>
          <w:rFonts w:hint="eastAsia"/>
        </w:rPr>
        <w:t>1,241</w:t>
      </w:r>
      <w:r w:rsidR="00C01B11" w:rsidRPr="000E64D4">
        <w:rPr>
          <w:rFonts w:hint="eastAsia"/>
        </w:rPr>
        <w:t>萬</w:t>
      </w:r>
      <w:r w:rsidR="0034027F" w:rsidRPr="000E64D4">
        <w:rPr>
          <w:rFonts w:hint="eastAsia"/>
        </w:rPr>
        <w:t>5</w:t>
      </w:r>
      <w:r w:rsidR="002D62A8" w:rsidRPr="000E64D4">
        <w:rPr>
          <w:rFonts w:hint="eastAsia"/>
        </w:rPr>
        <w:t>,000</w:t>
      </w:r>
      <w:r w:rsidR="00C01B11" w:rsidRPr="000E64D4">
        <w:rPr>
          <w:rFonts w:hint="eastAsia"/>
        </w:rPr>
        <w:t>元</w:t>
      </w:r>
      <w:r w:rsidR="00C01B11" w:rsidRPr="000E64D4">
        <w:t>(</w:t>
      </w:r>
      <w:r w:rsidR="00C01B11" w:rsidRPr="000E64D4">
        <w:rPr>
          <w:rFonts w:hint="eastAsia"/>
          <w:szCs w:val="36"/>
        </w:rPr>
        <w:t>折合新臺幣</w:t>
      </w:r>
      <w:r w:rsidR="0034027F" w:rsidRPr="000E64D4">
        <w:rPr>
          <w:rFonts w:hint="eastAsia"/>
          <w:szCs w:val="36"/>
        </w:rPr>
        <w:t>453</w:t>
      </w:r>
      <w:r w:rsidR="00C01B11" w:rsidRPr="000E64D4">
        <w:rPr>
          <w:rFonts w:hint="eastAsia"/>
          <w:szCs w:val="36"/>
        </w:rPr>
        <w:t>億</w:t>
      </w:r>
      <w:r w:rsidR="0034027F" w:rsidRPr="000E64D4">
        <w:rPr>
          <w:rFonts w:hint="eastAsia"/>
          <w:szCs w:val="36"/>
        </w:rPr>
        <w:t>7,245</w:t>
      </w:r>
      <w:r w:rsidR="00C01B11" w:rsidRPr="000E64D4">
        <w:rPr>
          <w:rFonts w:hint="eastAsia"/>
          <w:szCs w:val="36"/>
        </w:rPr>
        <w:t>萬元；</w:t>
      </w:r>
      <w:r w:rsidR="0034027F" w:rsidRPr="000E64D4">
        <w:rPr>
          <w:rFonts w:hint="eastAsia"/>
          <w:szCs w:val="36"/>
        </w:rPr>
        <w:t>13.</w:t>
      </w:r>
      <w:r w:rsidR="005B4495" w:rsidRPr="000E64D4">
        <w:rPr>
          <w:rFonts w:hint="eastAsia"/>
          <w:szCs w:val="36"/>
        </w:rPr>
        <w:t>08</w:t>
      </w:r>
      <w:r w:rsidR="00C01B11" w:rsidRPr="000E64D4">
        <w:t>%)</w:t>
      </w:r>
      <w:r w:rsidR="00EF4004" w:rsidRPr="000E64D4">
        <w:rPr>
          <w:rFonts w:hint="eastAsia"/>
        </w:rPr>
        <w:t>、</w:t>
      </w:r>
      <w:r w:rsidR="00C01B11" w:rsidRPr="000E64D4">
        <w:rPr>
          <w:rFonts w:hint="eastAsia"/>
        </w:rPr>
        <w:t>澳大利亞美金</w:t>
      </w:r>
      <w:r w:rsidR="00C01B11" w:rsidRPr="000E64D4">
        <w:t>11</w:t>
      </w:r>
      <w:r w:rsidR="00C01B11" w:rsidRPr="000E64D4">
        <w:rPr>
          <w:rFonts w:hint="eastAsia"/>
        </w:rPr>
        <w:t>億</w:t>
      </w:r>
      <w:r w:rsidR="00FD3EF0" w:rsidRPr="000E64D4">
        <w:t>4,35</w:t>
      </w:r>
      <w:r w:rsidR="0034027F" w:rsidRPr="000E64D4">
        <w:rPr>
          <w:rFonts w:hint="eastAsia"/>
        </w:rPr>
        <w:t>2</w:t>
      </w:r>
      <w:r w:rsidR="00C01B11" w:rsidRPr="000E64D4">
        <w:t>萬</w:t>
      </w:r>
      <w:r w:rsidR="0034027F" w:rsidRPr="000E64D4">
        <w:rPr>
          <w:rFonts w:hint="eastAsia"/>
        </w:rPr>
        <w:t>1</w:t>
      </w:r>
      <w:r w:rsidR="00C01B11" w:rsidRPr="000E64D4">
        <w:rPr>
          <w:rFonts w:hint="eastAsia"/>
        </w:rPr>
        <w:t>,000</w:t>
      </w:r>
      <w:r w:rsidR="00C01B11" w:rsidRPr="000E64D4">
        <w:t>元</w:t>
      </w:r>
      <w:r w:rsidR="00C01B11" w:rsidRPr="000E64D4">
        <w:t>(</w:t>
      </w:r>
      <w:r w:rsidR="00C01B11" w:rsidRPr="000E64D4">
        <w:rPr>
          <w:rFonts w:hint="eastAsia"/>
          <w:szCs w:val="36"/>
        </w:rPr>
        <w:t>折合新臺幣</w:t>
      </w:r>
      <w:r w:rsidR="00FD3EF0" w:rsidRPr="000E64D4">
        <w:rPr>
          <w:szCs w:val="36"/>
        </w:rPr>
        <w:t>343</w:t>
      </w:r>
      <w:r w:rsidR="00C01B11" w:rsidRPr="000E64D4">
        <w:rPr>
          <w:rFonts w:hint="eastAsia"/>
          <w:szCs w:val="36"/>
        </w:rPr>
        <w:t>億</w:t>
      </w:r>
      <w:r w:rsidR="0034027F" w:rsidRPr="000E64D4">
        <w:rPr>
          <w:rFonts w:hint="eastAsia"/>
          <w:szCs w:val="36"/>
        </w:rPr>
        <w:t>563</w:t>
      </w:r>
      <w:r w:rsidR="00C01B11" w:rsidRPr="000E64D4">
        <w:rPr>
          <w:rFonts w:hint="eastAsia"/>
          <w:szCs w:val="36"/>
        </w:rPr>
        <w:t>萬元；</w:t>
      </w:r>
      <w:r w:rsidR="0034027F" w:rsidRPr="000E64D4">
        <w:rPr>
          <w:rFonts w:hint="eastAsia"/>
          <w:szCs w:val="36"/>
        </w:rPr>
        <w:t>9.</w:t>
      </w:r>
      <w:r w:rsidR="005B4495" w:rsidRPr="000E64D4">
        <w:rPr>
          <w:rFonts w:hint="eastAsia"/>
          <w:szCs w:val="36"/>
        </w:rPr>
        <w:t>89</w:t>
      </w:r>
      <w:r w:rsidR="00C01B11" w:rsidRPr="000E64D4">
        <w:t>%)</w:t>
      </w:r>
      <w:r w:rsidR="00733981" w:rsidRPr="000E64D4">
        <w:rPr>
          <w:rFonts w:hint="eastAsia"/>
        </w:rPr>
        <w:t>及</w:t>
      </w:r>
      <w:r w:rsidR="00EF4004" w:rsidRPr="000E64D4">
        <w:rPr>
          <w:rFonts w:hint="eastAsia"/>
        </w:rPr>
        <w:t>荷蘭</w:t>
      </w:r>
      <w:r w:rsidR="00427181" w:rsidRPr="000E64D4">
        <w:t>美金</w:t>
      </w:r>
      <w:r w:rsidR="00FD3EF0" w:rsidRPr="000E64D4">
        <w:t>8</w:t>
      </w:r>
      <w:r w:rsidR="00D6758C" w:rsidRPr="000E64D4">
        <w:rPr>
          <w:rFonts w:hint="eastAsia"/>
        </w:rPr>
        <w:t>億</w:t>
      </w:r>
      <w:r w:rsidR="0034027F" w:rsidRPr="000E64D4">
        <w:rPr>
          <w:rFonts w:hint="eastAsia"/>
        </w:rPr>
        <w:t>6,136</w:t>
      </w:r>
      <w:r w:rsidR="00427181" w:rsidRPr="000E64D4">
        <w:rPr>
          <w:rFonts w:hint="eastAsia"/>
        </w:rPr>
        <w:t>萬</w:t>
      </w:r>
      <w:r w:rsidR="0034027F" w:rsidRPr="000E64D4">
        <w:rPr>
          <w:rFonts w:hint="eastAsia"/>
        </w:rPr>
        <w:t>2</w:t>
      </w:r>
      <w:r w:rsidR="00D6758C" w:rsidRPr="000E64D4">
        <w:rPr>
          <w:rFonts w:hint="eastAsia"/>
        </w:rPr>
        <w:t>,000</w:t>
      </w:r>
      <w:r w:rsidR="00427181" w:rsidRPr="000E64D4">
        <w:t>元</w:t>
      </w:r>
      <w:r w:rsidR="000A0B99" w:rsidRPr="000E64D4">
        <w:t>(</w:t>
      </w:r>
      <w:r w:rsidR="00427181" w:rsidRPr="000E64D4">
        <w:rPr>
          <w:rFonts w:hint="eastAsia"/>
          <w:szCs w:val="36"/>
        </w:rPr>
        <w:t>折合新臺幣</w:t>
      </w:r>
      <w:r w:rsidR="00FD3EF0" w:rsidRPr="000E64D4">
        <w:rPr>
          <w:szCs w:val="36"/>
        </w:rPr>
        <w:t>258</w:t>
      </w:r>
      <w:r w:rsidR="00427181" w:rsidRPr="000E64D4">
        <w:rPr>
          <w:rFonts w:hint="eastAsia"/>
          <w:szCs w:val="36"/>
        </w:rPr>
        <w:t>億</w:t>
      </w:r>
      <w:r w:rsidR="00FD3EF0" w:rsidRPr="000E64D4">
        <w:rPr>
          <w:szCs w:val="36"/>
        </w:rPr>
        <w:t>4,0</w:t>
      </w:r>
      <w:r w:rsidR="0034027F" w:rsidRPr="000E64D4">
        <w:rPr>
          <w:rFonts w:hint="eastAsia"/>
          <w:szCs w:val="36"/>
        </w:rPr>
        <w:t>86</w:t>
      </w:r>
      <w:r w:rsidR="00427181" w:rsidRPr="000E64D4">
        <w:rPr>
          <w:rFonts w:hint="eastAsia"/>
          <w:szCs w:val="36"/>
        </w:rPr>
        <w:t>萬元；</w:t>
      </w:r>
      <w:r w:rsidR="0034027F" w:rsidRPr="000E64D4">
        <w:rPr>
          <w:rFonts w:hint="eastAsia"/>
          <w:szCs w:val="36"/>
        </w:rPr>
        <w:t>7.</w:t>
      </w:r>
      <w:r w:rsidR="005B4495" w:rsidRPr="000E64D4">
        <w:rPr>
          <w:rFonts w:hint="eastAsia"/>
          <w:szCs w:val="36"/>
        </w:rPr>
        <w:t>45</w:t>
      </w:r>
      <w:r w:rsidR="000754B5" w:rsidRPr="000E64D4">
        <w:t>%)</w:t>
      </w:r>
      <w:r w:rsidR="004C5877" w:rsidRPr="000E64D4">
        <w:t>分居前</w:t>
      </w:r>
      <w:r w:rsidR="004C5877" w:rsidRPr="000E64D4">
        <w:t>5</w:t>
      </w:r>
      <w:r w:rsidR="004C5877" w:rsidRPr="000E64D4">
        <w:t>名，合計約占本期僑外投資總額的</w:t>
      </w:r>
      <w:r w:rsidR="0034027F" w:rsidRPr="000E64D4">
        <w:rPr>
          <w:rFonts w:hint="eastAsia"/>
        </w:rPr>
        <w:t>75.</w:t>
      </w:r>
      <w:r w:rsidR="005B4495" w:rsidRPr="000E64D4">
        <w:rPr>
          <w:rFonts w:hint="eastAsia"/>
        </w:rPr>
        <w:t>28</w:t>
      </w:r>
      <w:r w:rsidR="000754B5" w:rsidRPr="000E64D4">
        <w:t>%</w:t>
      </w:r>
      <w:r w:rsidR="000A0B99" w:rsidRPr="000E64D4">
        <w:t>(</w:t>
      </w:r>
      <w:r w:rsidR="004C5877" w:rsidRPr="000E64D4">
        <w:t>請參閱表</w:t>
      </w:r>
      <w:r w:rsidR="004C5877" w:rsidRPr="000E64D4">
        <w:t>1-2)</w:t>
      </w:r>
      <w:r w:rsidR="004C5877" w:rsidRPr="000E64D4">
        <w:t>。若就業別觀之，僑外投資以</w:t>
      </w:r>
      <w:r w:rsidR="00C07B52" w:rsidRPr="000E64D4">
        <w:rPr>
          <w:rFonts w:hint="eastAsia"/>
        </w:rPr>
        <w:t>金融及保險業</w:t>
      </w:r>
      <w:r w:rsidR="009D0626" w:rsidRPr="000E64D4">
        <w:t>美金</w:t>
      </w:r>
      <w:r w:rsidR="0034027F" w:rsidRPr="000E64D4">
        <w:rPr>
          <w:rFonts w:hint="eastAsia"/>
        </w:rPr>
        <w:t>49</w:t>
      </w:r>
      <w:r w:rsidR="00951C03" w:rsidRPr="000E64D4">
        <w:t>億</w:t>
      </w:r>
      <w:r w:rsidR="005B4495" w:rsidRPr="000E64D4">
        <w:rPr>
          <w:rFonts w:hint="eastAsia"/>
        </w:rPr>
        <w:t>4,775</w:t>
      </w:r>
      <w:r w:rsidR="00951C03" w:rsidRPr="000E64D4">
        <w:t>萬</w:t>
      </w:r>
      <w:r w:rsidR="005B4495" w:rsidRPr="000E64D4">
        <w:rPr>
          <w:rFonts w:hint="eastAsia"/>
        </w:rPr>
        <w:t>5</w:t>
      </w:r>
      <w:r w:rsidR="004465A3" w:rsidRPr="000E64D4">
        <w:rPr>
          <w:rFonts w:hint="eastAsia"/>
        </w:rPr>
        <w:t>,000</w:t>
      </w:r>
      <w:r w:rsidR="00951C03" w:rsidRPr="000E64D4">
        <w:t>元</w:t>
      </w:r>
      <w:r w:rsidR="000A0B99" w:rsidRPr="000E64D4">
        <w:t>(</w:t>
      </w:r>
      <w:r w:rsidR="00A602A1" w:rsidRPr="000E64D4">
        <w:rPr>
          <w:rFonts w:hint="eastAsia"/>
          <w:szCs w:val="36"/>
        </w:rPr>
        <w:t>折合新臺幣</w:t>
      </w:r>
      <w:r w:rsidR="0034027F" w:rsidRPr="000E64D4">
        <w:rPr>
          <w:rFonts w:hint="eastAsia"/>
          <w:szCs w:val="36"/>
        </w:rPr>
        <w:t>1,48</w:t>
      </w:r>
      <w:r w:rsidR="005B4495" w:rsidRPr="000E64D4">
        <w:rPr>
          <w:rFonts w:hint="eastAsia"/>
          <w:szCs w:val="36"/>
        </w:rPr>
        <w:t>4</w:t>
      </w:r>
      <w:r w:rsidR="00A602A1" w:rsidRPr="000E64D4">
        <w:rPr>
          <w:rFonts w:hint="eastAsia"/>
          <w:szCs w:val="36"/>
        </w:rPr>
        <w:t>億</w:t>
      </w:r>
      <w:r w:rsidR="005B4495" w:rsidRPr="000E64D4">
        <w:rPr>
          <w:rFonts w:hint="eastAsia"/>
          <w:szCs w:val="36"/>
        </w:rPr>
        <w:t>3,265</w:t>
      </w:r>
      <w:r w:rsidR="002C336F" w:rsidRPr="000E64D4">
        <w:rPr>
          <w:rFonts w:hint="eastAsia"/>
          <w:szCs w:val="36"/>
        </w:rPr>
        <w:t>萬</w:t>
      </w:r>
      <w:r w:rsidR="00A602A1" w:rsidRPr="000E64D4">
        <w:rPr>
          <w:rFonts w:hint="eastAsia"/>
          <w:szCs w:val="36"/>
        </w:rPr>
        <w:t>元；</w:t>
      </w:r>
      <w:r w:rsidR="005B4495" w:rsidRPr="000E64D4">
        <w:rPr>
          <w:rFonts w:hint="eastAsia"/>
          <w:szCs w:val="36"/>
        </w:rPr>
        <w:t>42.8</w:t>
      </w:r>
      <w:r w:rsidR="000754B5" w:rsidRPr="000E64D4">
        <w:t>%)</w:t>
      </w:r>
      <w:r w:rsidR="00FC491D" w:rsidRPr="000E64D4">
        <w:rPr>
          <w:rFonts w:hint="eastAsia"/>
        </w:rPr>
        <w:t>、</w:t>
      </w:r>
      <w:r w:rsidR="00F01849" w:rsidRPr="000E64D4">
        <w:rPr>
          <w:rFonts w:hint="eastAsia"/>
        </w:rPr>
        <w:t>批發及零售業</w:t>
      </w:r>
      <w:r w:rsidR="00FC491D" w:rsidRPr="000E64D4">
        <w:t>美金</w:t>
      </w:r>
      <w:r w:rsidR="00A474A3" w:rsidRPr="000E64D4">
        <w:t>1</w:t>
      </w:r>
      <w:r w:rsidR="004C6E24" w:rsidRPr="000E64D4">
        <w:t>6</w:t>
      </w:r>
      <w:r w:rsidR="00FC491D" w:rsidRPr="000E64D4">
        <w:rPr>
          <w:rFonts w:hint="eastAsia"/>
        </w:rPr>
        <w:t>億</w:t>
      </w:r>
      <w:r w:rsidR="0034027F" w:rsidRPr="000E64D4">
        <w:rPr>
          <w:rFonts w:hint="eastAsia"/>
        </w:rPr>
        <w:t>6,926</w:t>
      </w:r>
      <w:r w:rsidR="00FC491D" w:rsidRPr="000E64D4">
        <w:t>萬</w:t>
      </w:r>
      <w:r w:rsidR="004C6E24" w:rsidRPr="000E64D4">
        <w:rPr>
          <w:rFonts w:hint="eastAsia"/>
        </w:rPr>
        <w:t>9</w:t>
      </w:r>
      <w:r w:rsidR="003E79E7" w:rsidRPr="000E64D4">
        <w:rPr>
          <w:rFonts w:hint="eastAsia"/>
        </w:rPr>
        <w:t>,</w:t>
      </w:r>
      <w:r w:rsidR="00F76C5E" w:rsidRPr="000E64D4">
        <w:rPr>
          <w:rFonts w:hint="eastAsia"/>
        </w:rPr>
        <w:t>000</w:t>
      </w:r>
      <w:r w:rsidR="00FC491D" w:rsidRPr="000E64D4">
        <w:t>元</w:t>
      </w:r>
      <w:r w:rsidR="000A0B99" w:rsidRPr="000E64D4">
        <w:t>(</w:t>
      </w:r>
      <w:r w:rsidR="00FC491D" w:rsidRPr="000E64D4">
        <w:rPr>
          <w:rFonts w:hint="eastAsia"/>
          <w:szCs w:val="36"/>
        </w:rPr>
        <w:t>折合新臺幣</w:t>
      </w:r>
      <w:r w:rsidR="0034027F" w:rsidRPr="000E64D4">
        <w:rPr>
          <w:rFonts w:hint="eastAsia"/>
          <w:szCs w:val="36"/>
        </w:rPr>
        <w:t>500</w:t>
      </w:r>
      <w:r w:rsidR="00FC491D" w:rsidRPr="000E64D4">
        <w:rPr>
          <w:rFonts w:hint="eastAsia"/>
          <w:szCs w:val="36"/>
        </w:rPr>
        <w:t>億</w:t>
      </w:r>
      <w:r w:rsidR="0034027F" w:rsidRPr="000E64D4">
        <w:rPr>
          <w:rFonts w:hint="eastAsia"/>
          <w:szCs w:val="36"/>
        </w:rPr>
        <w:t>7,807</w:t>
      </w:r>
      <w:r w:rsidR="00FC491D" w:rsidRPr="000E64D4">
        <w:rPr>
          <w:rFonts w:hint="eastAsia"/>
          <w:szCs w:val="36"/>
        </w:rPr>
        <w:t>萬元；</w:t>
      </w:r>
      <w:r w:rsidR="0034027F" w:rsidRPr="000E64D4">
        <w:rPr>
          <w:rFonts w:hint="eastAsia"/>
          <w:szCs w:val="36"/>
        </w:rPr>
        <w:t>14.</w:t>
      </w:r>
      <w:r w:rsidR="005B4495" w:rsidRPr="000E64D4">
        <w:rPr>
          <w:rFonts w:hint="eastAsia"/>
          <w:szCs w:val="36"/>
        </w:rPr>
        <w:t>4</w:t>
      </w:r>
      <w:r w:rsidR="0034027F" w:rsidRPr="000E64D4">
        <w:rPr>
          <w:rFonts w:hint="eastAsia"/>
          <w:szCs w:val="36"/>
        </w:rPr>
        <w:t>4</w:t>
      </w:r>
      <w:r w:rsidR="000754B5" w:rsidRPr="000E64D4">
        <w:rPr>
          <w:rFonts w:hint="eastAsia"/>
        </w:rPr>
        <w:t>%)</w:t>
      </w:r>
      <w:r w:rsidR="007A4F55" w:rsidRPr="000E64D4">
        <w:rPr>
          <w:rFonts w:hint="eastAsia"/>
        </w:rPr>
        <w:t>、</w:t>
      </w:r>
      <w:r w:rsidR="00F01849" w:rsidRPr="000E64D4">
        <w:rPr>
          <w:rFonts w:hint="eastAsia"/>
        </w:rPr>
        <w:t>電力及燃氣供應業</w:t>
      </w:r>
      <w:r w:rsidR="002777C9" w:rsidRPr="000E64D4">
        <w:rPr>
          <w:rFonts w:hint="eastAsia"/>
        </w:rPr>
        <w:t>美金</w:t>
      </w:r>
      <w:r w:rsidR="007F12DA" w:rsidRPr="000E64D4">
        <w:t>1</w:t>
      </w:r>
      <w:r w:rsidR="00195287" w:rsidRPr="000E64D4">
        <w:t>4</w:t>
      </w:r>
      <w:r w:rsidR="00AF4A55" w:rsidRPr="000E64D4">
        <w:rPr>
          <w:rFonts w:hint="eastAsia"/>
        </w:rPr>
        <w:t>億</w:t>
      </w:r>
      <w:r w:rsidR="0034027F" w:rsidRPr="000E64D4">
        <w:rPr>
          <w:rFonts w:hint="eastAsia"/>
        </w:rPr>
        <w:t>5,556</w:t>
      </w:r>
      <w:r w:rsidR="00B01BD5" w:rsidRPr="000E64D4">
        <w:rPr>
          <w:rFonts w:hint="eastAsia"/>
        </w:rPr>
        <w:t>萬</w:t>
      </w:r>
      <w:r w:rsidR="0034027F" w:rsidRPr="000E64D4">
        <w:rPr>
          <w:rFonts w:hint="eastAsia"/>
        </w:rPr>
        <w:t>5</w:t>
      </w:r>
      <w:r w:rsidR="00BD1DED" w:rsidRPr="000E64D4">
        <w:rPr>
          <w:rFonts w:hint="eastAsia"/>
        </w:rPr>
        <w:t>,000</w:t>
      </w:r>
      <w:r w:rsidR="002777C9" w:rsidRPr="000E64D4">
        <w:rPr>
          <w:rFonts w:hint="eastAsia"/>
        </w:rPr>
        <w:t>元</w:t>
      </w:r>
      <w:r w:rsidR="000A0B99" w:rsidRPr="000E64D4">
        <w:rPr>
          <w:rFonts w:hint="eastAsia"/>
        </w:rPr>
        <w:t>(</w:t>
      </w:r>
      <w:r w:rsidR="002777C9" w:rsidRPr="000E64D4">
        <w:rPr>
          <w:rFonts w:hint="eastAsia"/>
          <w:szCs w:val="36"/>
        </w:rPr>
        <w:t>折合新臺幣</w:t>
      </w:r>
      <w:r w:rsidR="0034027F" w:rsidRPr="000E64D4">
        <w:rPr>
          <w:rFonts w:hint="eastAsia"/>
          <w:szCs w:val="36"/>
        </w:rPr>
        <w:t>436</w:t>
      </w:r>
      <w:r w:rsidR="002777C9" w:rsidRPr="000E64D4">
        <w:rPr>
          <w:rFonts w:hint="eastAsia"/>
          <w:szCs w:val="36"/>
        </w:rPr>
        <w:t>億</w:t>
      </w:r>
      <w:r w:rsidR="0034027F" w:rsidRPr="000E64D4">
        <w:rPr>
          <w:rFonts w:hint="eastAsia"/>
          <w:szCs w:val="36"/>
        </w:rPr>
        <w:t>6,695</w:t>
      </w:r>
      <w:r w:rsidR="002777C9" w:rsidRPr="000E64D4">
        <w:rPr>
          <w:rFonts w:hint="eastAsia"/>
          <w:szCs w:val="36"/>
        </w:rPr>
        <w:t>萬元；</w:t>
      </w:r>
      <w:r w:rsidR="0034027F" w:rsidRPr="000E64D4">
        <w:rPr>
          <w:rFonts w:hint="eastAsia"/>
          <w:szCs w:val="36"/>
        </w:rPr>
        <w:t>12.</w:t>
      </w:r>
      <w:r w:rsidR="005B4495" w:rsidRPr="000E64D4">
        <w:rPr>
          <w:rFonts w:hint="eastAsia"/>
          <w:szCs w:val="36"/>
        </w:rPr>
        <w:t>59</w:t>
      </w:r>
      <w:r w:rsidR="000754B5" w:rsidRPr="000E64D4">
        <w:t>%)</w:t>
      </w:r>
      <w:r w:rsidR="006369F3" w:rsidRPr="000E64D4">
        <w:rPr>
          <w:rFonts w:hint="eastAsia"/>
        </w:rPr>
        <w:t>、</w:t>
      </w:r>
      <w:r w:rsidR="00855215" w:rsidRPr="000E64D4">
        <w:rPr>
          <w:rFonts w:hint="eastAsia"/>
        </w:rPr>
        <w:t>機械設備製造業</w:t>
      </w:r>
      <w:r w:rsidR="007A4F55" w:rsidRPr="000E64D4">
        <w:t>美金</w:t>
      </w:r>
      <w:r w:rsidR="00181FEC" w:rsidRPr="000E64D4">
        <w:t>7</w:t>
      </w:r>
      <w:r w:rsidR="00790014" w:rsidRPr="000E64D4">
        <w:rPr>
          <w:rFonts w:hint="eastAsia"/>
        </w:rPr>
        <w:t>億</w:t>
      </w:r>
      <w:r w:rsidR="0034027F" w:rsidRPr="000E64D4">
        <w:rPr>
          <w:rFonts w:hint="eastAsia"/>
        </w:rPr>
        <w:t>8,062</w:t>
      </w:r>
      <w:r w:rsidR="007A4F55" w:rsidRPr="000E64D4">
        <w:t>萬</w:t>
      </w:r>
      <w:r w:rsidR="0034027F" w:rsidRPr="000E64D4">
        <w:rPr>
          <w:rFonts w:hint="eastAsia"/>
        </w:rPr>
        <w:t>4</w:t>
      </w:r>
      <w:r w:rsidR="00790014" w:rsidRPr="000E64D4">
        <w:rPr>
          <w:rFonts w:hint="eastAsia"/>
        </w:rPr>
        <w:t>,000</w:t>
      </w:r>
      <w:r w:rsidR="007A4F55" w:rsidRPr="000E64D4">
        <w:t>元</w:t>
      </w:r>
      <w:r w:rsidR="000A0B99" w:rsidRPr="000E64D4">
        <w:t>(</w:t>
      </w:r>
      <w:r w:rsidR="007A4F55" w:rsidRPr="000E64D4">
        <w:rPr>
          <w:rFonts w:hint="eastAsia"/>
          <w:szCs w:val="36"/>
        </w:rPr>
        <w:t>折合新臺幣</w:t>
      </w:r>
      <w:r w:rsidR="0034027F" w:rsidRPr="000E64D4">
        <w:rPr>
          <w:rFonts w:hint="eastAsia"/>
          <w:szCs w:val="36"/>
        </w:rPr>
        <w:t>234</w:t>
      </w:r>
      <w:r w:rsidR="007A4F55" w:rsidRPr="000E64D4">
        <w:rPr>
          <w:rFonts w:hint="eastAsia"/>
          <w:szCs w:val="36"/>
        </w:rPr>
        <w:t>億</w:t>
      </w:r>
      <w:r w:rsidR="0034027F" w:rsidRPr="000E64D4">
        <w:rPr>
          <w:rFonts w:hint="eastAsia"/>
          <w:szCs w:val="36"/>
        </w:rPr>
        <w:t>1,872</w:t>
      </w:r>
      <w:r w:rsidR="007A4F55" w:rsidRPr="000E64D4">
        <w:rPr>
          <w:rFonts w:hint="eastAsia"/>
          <w:szCs w:val="36"/>
        </w:rPr>
        <w:t>萬元；</w:t>
      </w:r>
      <w:r w:rsidR="0034027F" w:rsidRPr="000E64D4">
        <w:rPr>
          <w:rFonts w:hint="eastAsia"/>
          <w:szCs w:val="36"/>
        </w:rPr>
        <w:t>6.</w:t>
      </w:r>
      <w:r w:rsidR="005B4495" w:rsidRPr="000E64D4">
        <w:rPr>
          <w:rFonts w:hint="eastAsia"/>
          <w:szCs w:val="36"/>
        </w:rPr>
        <w:t>75</w:t>
      </w:r>
      <w:r w:rsidR="000754B5" w:rsidRPr="000E64D4">
        <w:t>%)</w:t>
      </w:r>
      <w:r w:rsidR="00C061A2" w:rsidRPr="000E64D4">
        <w:rPr>
          <w:rFonts w:hint="eastAsia"/>
        </w:rPr>
        <w:t>及</w:t>
      </w:r>
      <w:r w:rsidR="005B4495" w:rsidRPr="000E64D4">
        <w:rPr>
          <w:rFonts w:hint="eastAsia"/>
        </w:rPr>
        <w:t>專業、科學及技術服務業</w:t>
      </w:r>
      <w:r w:rsidR="004C5877" w:rsidRPr="000E64D4">
        <w:t>美金</w:t>
      </w:r>
      <w:r w:rsidR="00680119" w:rsidRPr="000E64D4">
        <w:t>4</w:t>
      </w:r>
      <w:r w:rsidR="00B86E52" w:rsidRPr="000E64D4">
        <w:rPr>
          <w:rFonts w:hint="eastAsia"/>
        </w:rPr>
        <w:t>億</w:t>
      </w:r>
      <w:r w:rsidR="005B4495" w:rsidRPr="000E64D4">
        <w:rPr>
          <w:rFonts w:hint="eastAsia"/>
        </w:rPr>
        <w:t>3,711</w:t>
      </w:r>
      <w:r w:rsidR="004C5877" w:rsidRPr="000E64D4">
        <w:t>萬元</w:t>
      </w:r>
      <w:r w:rsidR="000A0B99" w:rsidRPr="000E64D4">
        <w:t>(</w:t>
      </w:r>
      <w:r w:rsidR="003259DC" w:rsidRPr="000E64D4">
        <w:rPr>
          <w:rFonts w:hint="eastAsia"/>
          <w:szCs w:val="36"/>
        </w:rPr>
        <w:t>折合新臺幣</w:t>
      </w:r>
      <w:r w:rsidR="005B4495" w:rsidRPr="000E64D4">
        <w:rPr>
          <w:rFonts w:hint="eastAsia"/>
          <w:szCs w:val="36"/>
        </w:rPr>
        <w:t>131</w:t>
      </w:r>
      <w:r w:rsidR="003259DC" w:rsidRPr="000E64D4">
        <w:rPr>
          <w:rFonts w:hint="eastAsia"/>
          <w:szCs w:val="36"/>
        </w:rPr>
        <w:t>億</w:t>
      </w:r>
      <w:r w:rsidR="005B4495" w:rsidRPr="000E64D4">
        <w:rPr>
          <w:rFonts w:hint="eastAsia"/>
          <w:szCs w:val="36"/>
        </w:rPr>
        <w:t>1,330</w:t>
      </w:r>
      <w:r w:rsidR="003259DC" w:rsidRPr="000E64D4">
        <w:rPr>
          <w:rFonts w:hint="eastAsia"/>
          <w:szCs w:val="36"/>
        </w:rPr>
        <w:t>萬元；</w:t>
      </w:r>
      <w:r w:rsidR="005B4495" w:rsidRPr="000E64D4">
        <w:rPr>
          <w:rFonts w:hint="eastAsia"/>
          <w:szCs w:val="36"/>
        </w:rPr>
        <w:t>3.78</w:t>
      </w:r>
      <w:r w:rsidR="000754B5" w:rsidRPr="000E64D4">
        <w:t>%)</w:t>
      </w:r>
      <w:r w:rsidR="004C5877" w:rsidRPr="000E64D4">
        <w:t>分居前</w:t>
      </w:r>
      <w:r w:rsidR="004C5877" w:rsidRPr="000E64D4">
        <w:t>5</w:t>
      </w:r>
      <w:r w:rsidR="004C5877" w:rsidRPr="000E64D4">
        <w:t>名，合計約占本期僑外投資總額的</w:t>
      </w:r>
      <w:r w:rsidR="0034027F" w:rsidRPr="000E64D4">
        <w:rPr>
          <w:rFonts w:hint="eastAsia"/>
        </w:rPr>
        <w:t>80.</w:t>
      </w:r>
      <w:r w:rsidR="005B4495" w:rsidRPr="000E64D4">
        <w:rPr>
          <w:rFonts w:hint="eastAsia"/>
        </w:rPr>
        <w:t>36</w:t>
      </w:r>
      <w:r w:rsidR="000754B5" w:rsidRPr="000E64D4">
        <w:t>%</w:t>
      </w:r>
      <w:r w:rsidR="000A0B99" w:rsidRPr="000E64D4">
        <w:t>(</w:t>
      </w:r>
      <w:r w:rsidR="004C5877" w:rsidRPr="000E64D4">
        <w:t>請參閱表</w:t>
      </w:r>
      <w:r w:rsidR="004C5877" w:rsidRPr="000E64D4">
        <w:t>1-3)</w:t>
      </w:r>
      <w:r w:rsidR="004C5877" w:rsidRPr="000E64D4">
        <w:t>。</w:t>
      </w:r>
    </w:p>
    <w:p w:rsidR="00E15544" w:rsidRPr="000E64D4" w:rsidRDefault="004C5877">
      <w:pPr>
        <w:pStyle w:val="2"/>
        <w:spacing w:before="188" w:line="240" w:lineRule="auto"/>
        <w:ind w:firstLine="0"/>
      </w:pPr>
      <w:r w:rsidRPr="000E64D4">
        <w:t>二、陸資來臺投資部</w:t>
      </w:r>
      <w:r w:rsidRPr="000E64D4">
        <w:rPr>
          <w:szCs w:val="36"/>
        </w:rPr>
        <w:t>分：</w:t>
      </w:r>
    </w:p>
    <w:p w:rsidR="00D374F1" w:rsidRPr="000E64D4" w:rsidRDefault="00642349" w:rsidP="00183D64">
      <w:pPr>
        <w:pStyle w:val="2"/>
        <w:spacing w:before="188" w:line="240" w:lineRule="auto"/>
        <w:ind w:firstLine="811"/>
        <w:rPr>
          <w:szCs w:val="36"/>
        </w:rPr>
      </w:pPr>
      <w:r w:rsidRPr="000E64D4">
        <w:rPr>
          <w:rFonts w:hint="eastAsia"/>
          <w:szCs w:val="36"/>
        </w:rPr>
        <w:t>111</w:t>
      </w:r>
      <w:r w:rsidRPr="000E64D4">
        <w:rPr>
          <w:rFonts w:hint="eastAsia"/>
          <w:szCs w:val="36"/>
        </w:rPr>
        <w:t>年</w:t>
      </w:r>
      <w:r w:rsidR="00847584" w:rsidRPr="000E64D4">
        <w:rPr>
          <w:rFonts w:hint="eastAsia"/>
          <w:szCs w:val="36"/>
        </w:rPr>
        <w:t>10</w:t>
      </w:r>
      <w:r w:rsidRPr="000E64D4">
        <w:rPr>
          <w:rFonts w:hint="eastAsia"/>
          <w:szCs w:val="36"/>
        </w:rPr>
        <w:t>月</w:t>
      </w:r>
      <w:r w:rsidR="00AF29DD" w:rsidRPr="000E64D4">
        <w:rPr>
          <w:rFonts w:hint="eastAsia"/>
          <w:szCs w:val="36"/>
        </w:rPr>
        <w:t>份</w:t>
      </w:r>
      <w:r w:rsidR="00AF29DD" w:rsidRPr="000E64D4">
        <w:t>單月</w:t>
      </w:r>
      <w:r w:rsidR="00AF29DD" w:rsidRPr="000E64D4">
        <w:rPr>
          <w:szCs w:val="36"/>
        </w:rPr>
        <w:t>核准陸資投資件數</w:t>
      </w:r>
      <w:r w:rsidR="00AF29DD" w:rsidRPr="000E64D4">
        <w:t>為</w:t>
      </w:r>
      <w:r w:rsidR="00847584" w:rsidRPr="000E64D4">
        <w:rPr>
          <w:rFonts w:hint="eastAsia"/>
        </w:rPr>
        <w:t>3</w:t>
      </w:r>
      <w:r w:rsidR="00AF29DD" w:rsidRPr="000E64D4">
        <w:t>件，投資金額</w:t>
      </w:r>
      <w:r w:rsidR="00DC2F3D" w:rsidRPr="000E64D4">
        <w:rPr>
          <w:rFonts w:hint="eastAsia"/>
        </w:rPr>
        <w:t>計</w:t>
      </w:r>
      <w:r w:rsidR="00E67709" w:rsidRPr="000E64D4">
        <w:rPr>
          <w:rFonts w:hint="eastAsia"/>
        </w:rPr>
        <w:t>美金</w:t>
      </w:r>
      <w:r w:rsidR="003C0C91" w:rsidRPr="000E64D4">
        <w:rPr>
          <w:rFonts w:hint="eastAsia"/>
          <w:szCs w:val="36"/>
        </w:rPr>
        <w:t>203</w:t>
      </w:r>
      <w:r w:rsidR="00FE6BA4" w:rsidRPr="000E64D4">
        <w:rPr>
          <w:szCs w:val="36"/>
        </w:rPr>
        <w:t>萬</w:t>
      </w:r>
      <w:r w:rsidR="003C0C91" w:rsidRPr="000E64D4">
        <w:rPr>
          <w:rFonts w:hint="eastAsia"/>
          <w:szCs w:val="36"/>
        </w:rPr>
        <w:t>5</w:t>
      </w:r>
      <w:r w:rsidR="00FE6BA4" w:rsidRPr="000E64D4">
        <w:rPr>
          <w:rFonts w:hint="eastAsia"/>
          <w:szCs w:val="36"/>
        </w:rPr>
        <w:t>,000</w:t>
      </w:r>
      <w:r w:rsidR="00FE6BA4" w:rsidRPr="000E64D4">
        <w:rPr>
          <w:szCs w:val="36"/>
        </w:rPr>
        <w:t>元</w:t>
      </w:r>
      <w:r w:rsidR="00FE6BA4" w:rsidRPr="000E64D4">
        <w:rPr>
          <w:rFonts w:hint="eastAsia"/>
          <w:szCs w:val="36"/>
        </w:rPr>
        <w:t>(</w:t>
      </w:r>
      <w:r w:rsidR="00FE6BA4" w:rsidRPr="000E64D4">
        <w:rPr>
          <w:rFonts w:hint="eastAsia"/>
          <w:szCs w:val="36"/>
        </w:rPr>
        <w:t>折合新臺幣</w:t>
      </w:r>
      <w:r w:rsidR="003C0C91" w:rsidRPr="000E64D4">
        <w:rPr>
          <w:rFonts w:hint="eastAsia"/>
          <w:szCs w:val="36"/>
        </w:rPr>
        <w:t>6,105</w:t>
      </w:r>
      <w:r w:rsidR="00FE6BA4" w:rsidRPr="000E64D4">
        <w:rPr>
          <w:rFonts w:hint="eastAsia"/>
          <w:szCs w:val="36"/>
        </w:rPr>
        <w:t>萬元</w:t>
      </w:r>
      <w:r w:rsidR="00FE6BA4" w:rsidRPr="000E64D4">
        <w:rPr>
          <w:rFonts w:hint="eastAsia"/>
          <w:szCs w:val="36"/>
        </w:rPr>
        <w:t>)</w:t>
      </w:r>
      <w:r w:rsidR="00AF29DD" w:rsidRPr="000E64D4">
        <w:t>。</w:t>
      </w:r>
      <w:r w:rsidR="00052ABE" w:rsidRPr="000E64D4">
        <w:rPr>
          <w:rFonts w:hint="eastAsia"/>
        </w:rPr>
        <w:t>自</w:t>
      </w:r>
      <w:r w:rsidR="00052ABE" w:rsidRPr="000E64D4">
        <w:rPr>
          <w:rFonts w:hint="eastAsia"/>
        </w:rPr>
        <w:t>98</w:t>
      </w:r>
      <w:r w:rsidR="00052ABE" w:rsidRPr="000E64D4">
        <w:rPr>
          <w:rFonts w:hint="eastAsia"/>
        </w:rPr>
        <w:t>年</w:t>
      </w:r>
      <w:r w:rsidR="00052ABE" w:rsidRPr="000E64D4">
        <w:rPr>
          <w:rFonts w:hint="eastAsia"/>
        </w:rPr>
        <w:t>7</w:t>
      </w:r>
      <w:r w:rsidR="00052ABE" w:rsidRPr="000E64D4">
        <w:rPr>
          <w:rFonts w:hint="eastAsia"/>
        </w:rPr>
        <w:t>月至</w:t>
      </w:r>
      <w:r w:rsidRPr="000E64D4">
        <w:rPr>
          <w:rFonts w:hint="eastAsia"/>
          <w:szCs w:val="36"/>
        </w:rPr>
        <w:t>111</w:t>
      </w:r>
      <w:r w:rsidRPr="000E64D4">
        <w:rPr>
          <w:rFonts w:hint="eastAsia"/>
          <w:szCs w:val="36"/>
        </w:rPr>
        <w:t>年</w:t>
      </w:r>
      <w:r w:rsidR="003C0C91" w:rsidRPr="000E64D4">
        <w:rPr>
          <w:rFonts w:hint="eastAsia"/>
          <w:szCs w:val="36"/>
        </w:rPr>
        <w:t>10</w:t>
      </w:r>
      <w:r w:rsidRPr="000E64D4">
        <w:rPr>
          <w:rFonts w:hint="eastAsia"/>
          <w:szCs w:val="36"/>
        </w:rPr>
        <w:t>月</w:t>
      </w:r>
      <w:r w:rsidR="00052ABE" w:rsidRPr="000E64D4">
        <w:rPr>
          <w:rFonts w:hint="eastAsia"/>
        </w:rPr>
        <w:t>累計</w:t>
      </w:r>
      <w:r w:rsidR="00052ABE" w:rsidRPr="000E64D4">
        <w:t>核准陸資投資件數為</w:t>
      </w:r>
      <w:r w:rsidR="00052ABE" w:rsidRPr="000E64D4">
        <w:rPr>
          <w:rFonts w:hint="eastAsia"/>
        </w:rPr>
        <w:t>1,</w:t>
      </w:r>
      <w:r w:rsidR="00E56982" w:rsidRPr="000E64D4">
        <w:rPr>
          <w:rFonts w:hint="eastAsia"/>
        </w:rPr>
        <w:t>5</w:t>
      </w:r>
      <w:r w:rsidR="006C13C0" w:rsidRPr="000E64D4">
        <w:rPr>
          <w:rFonts w:hint="eastAsia"/>
        </w:rPr>
        <w:t>4</w:t>
      </w:r>
      <w:r w:rsidR="003C0C91" w:rsidRPr="000E64D4">
        <w:rPr>
          <w:rFonts w:hint="eastAsia"/>
        </w:rPr>
        <w:t>9</w:t>
      </w:r>
      <w:r w:rsidR="00052ABE" w:rsidRPr="000E64D4">
        <w:t>件，投資金額計美金</w:t>
      </w:r>
      <w:r w:rsidR="00183D64" w:rsidRPr="000E64D4">
        <w:rPr>
          <w:rFonts w:hint="eastAsia"/>
          <w:szCs w:val="36"/>
        </w:rPr>
        <w:t>25</w:t>
      </w:r>
      <w:r w:rsidR="00183D64" w:rsidRPr="000E64D4">
        <w:rPr>
          <w:szCs w:val="36"/>
        </w:rPr>
        <w:t>億</w:t>
      </w:r>
      <w:r w:rsidR="003C0C91" w:rsidRPr="000E64D4">
        <w:rPr>
          <w:rFonts w:hint="eastAsia"/>
          <w:szCs w:val="36"/>
        </w:rPr>
        <w:t>4,880</w:t>
      </w:r>
      <w:r w:rsidR="00183D64" w:rsidRPr="000E64D4">
        <w:rPr>
          <w:szCs w:val="36"/>
        </w:rPr>
        <w:t>萬</w:t>
      </w:r>
      <w:r w:rsidR="003C0C91" w:rsidRPr="000E64D4">
        <w:rPr>
          <w:rFonts w:hint="eastAsia"/>
          <w:szCs w:val="36"/>
        </w:rPr>
        <w:t>9</w:t>
      </w:r>
      <w:r w:rsidR="006C13C0" w:rsidRPr="000E64D4">
        <w:rPr>
          <w:rFonts w:hint="eastAsia"/>
          <w:szCs w:val="36"/>
        </w:rPr>
        <w:t>,000</w:t>
      </w:r>
      <w:r w:rsidR="00183D64" w:rsidRPr="000E64D4">
        <w:rPr>
          <w:szCs w:val="36"/>
        </w:rPr>
        <w:t>元</w:t>
      </w:r>
      <w:r w:rsidR="00183D64" w:rsidRPr="000E64D4">
        <w:rPr>
          <w:rFonts w:hint="eastAsia"/>
          <w:szCs w:val="36"/>
        </w:rPr>
        <w:t>(</w:t>
      </w:r>
      <w:r w:rsidR="00183D64" w:rsidRPr="000E64D4">
        <w:rPr>
          <w:rFonts w:hint="eastAsia"/>
          <w:szCs w:val="36"/>
        </w:rPr>
        <w:t>折合新臺幣</w:t>
      </w:r>
      <w:r w:rsidR="00183D64" w:rsidRPr="000E64D4">
        <w:rPr>
          <w:rFonts w:hint="eastAsia"/>
          <w:szCs w:val="36"/>
        </w:rPr>
        <w:t>76</w:t>
      </w:r>
      <w:r w:rsidR="00EE0E9F" w:rsidRPr="000E64D4">
        <w:rPr>
          <w:szCs w:val="36"/>
        </w:rPr>
        <w:t>4</w:t>
      </w:r>
      <w:r w:rsidR="00183D64" w:rsidRPr="000E64D4">
        <w:rPr>
          <w:rFonts w:hint="eastAsia"/>
          <w:szCs w:val="36"/>
        </w:rPr>
        <w:t>億</w:t>
      </w:r>
      <w:r w:rsidR="003C0C91" w:rsidRPr="000E64D4">
        <w:rPr>
          <w:rFonts w:hint="eastAsia"/>
          <w:szCs w:val="36"/>
        </w:rPr>
        <w:t>6,427</w:t>
      </w:r>
      <w:r w:rsidR="00183D64" w:rsidRPr="000E64D4">
        <w:rPr>
          <w:rFonts w:hint="eastAsia"/>
          <w:szCs w:val="36"/>
        </w:rPr>
        <w:t>萬元</w:t>
      </w:r>
      <w:r w:rsidR="00183D64" w:rsidRPr="000E64D4">
        <w:rPr>
          <w:rFonts w:hint="eastAsia"/>
          <w:szCs w:val="36"/>
        </w:rPr>
        <w:t>)</w:t>
      </w:r>
      <w:r w:rsidR="00C034C3" w:rsidRPr="000E64D4">
        <w:rPr>
          <w:rFonts w:hint="eastAsia"/>
        </w:rPr>
        <w:t>；</w:t>
      </w:r>
      <w:r w:rsidR="004C5877" w:rsidRPr="000E64D4">
        <w:t>就業別觀之，</w:t>
      </w:r>
      <w:r w:rsidR="004C5877" w:rsidRPr="000E64D4">
        <w:lastRenderedPageBreak/>
        <w:t>前</w:t>
      </w:r>
      <w:r w:rsidR="004C5877" w:rsidRPr="000E64D4">
        <w:t>3</w:t>
      </w:r>
      <w:r w:rsidR="004C5877" w:rsidRPr="000E64D4">
        <w:t>名分別為批發及零售業美金</w:t>
      </w:r>
      <w:r w:rsidR="00642E60" w:rsidRPr="000E64D4">
        <w:rPr>
          <w:rFonts w:hint="eastAsia"/>
        </w:rPr>
        <w:t>7</w:t>
      </w:r>
      <w:r w:rsidR="004C5877" w:rsidRPr="000E64D4">
        <w:t>億</w:t>
      </w:r>
      <w:r w:rsidR="007D2EF4" w:rsidRPr="000E64D4">
        <w:rPr>
          <w:rFonts w:hint="eastAsia"/>
        </w:rPr>
        <w:t>2,346</w:t>
      </w:r>
      <w:r w:rsidR="004126E8" w:rsidRPr="000E64D4">
        <w:rPr>
          <w:rFonts w:hint="eastAsia"/>
        </w:rPr>
        <w:t>萬</w:t>
      </w:r>
      <w:r w:rsidR="007D2EF4" w:rsidRPr="000E64D4">
        <w:rPr>
          <w:rFonts w:hint="eastAsia"/>
        </w:rPr>
        <w:t>4</w:t>
      </w:r>
      <w:r w:rsidR="00395263" w:rsidRPr="000E64D4">
        <w:t>,</w:t>
      </w:r>
      <w:r w:rsidR="004126E8" w:rsidRPr="000E64D4">
        <w:rPr>
          <w:rFonts w:hint="eastAsia"/>
        </w:rPr>
        <w:t>000</w:t>
      </w:r>
      <w:r w:rsidR="004C5877" w:rsidRPr="000E64D4">
        <w:t>元</w:t>
      </w:r>
      <w:r w:rsidR="000A0B99" w:rsidRPr="000E64D4">
        <w:t>(</w:t>
      </w:r>
      <w:r w:rsidR="000D7D50" w:rsidRPr="000E64D4">
        <w:rPr>
          <w:rFonts w:hint="eastAsia"/>
          <w:szCs w:val="36"/>
        </w:rPr>
        <w:t>折合新臺幣</w:t>
      </w:r>
      <w:r w:rsidR="007D2EF4" w:rsidRPr="000E64D4">
        <w:rPr>
          <w:rFonts w:hint="eastAsia"/>
          <w:szCs w:val="36"/>
        </w:rPr>
        <w:t>217</w:t>
      </w:r>
      <w:r w:rsidR="000D7D50" w:rsidRPr="000E64D4">
        <w:rPr>
          <w:rFonts w:hint="eastAsia"/>
          <w:szCs w:val="36"/>
        </w:rPr>
        <w:t>億</w:t>
      </w:r>
      <w:r w:rsidR="007D2EF4" w:rsidRPr="000E64D4">
        <w:rPr>
          <w:rFonts w:hint="eastAsia"/>
          <w:szCs w:val="36"/>
        </w:rPr>
        <w:t>392</w:t>
      </w:r>
      <w:r w:rsidR="000D7D50" w:rsidRPr="000E64D4">
        <w:rPr>
          <w:rFonts w:hint="eastAsia"/>
          <w:szCs w:val="36"/>
        </w:rPr>
        <w:t>萬元；</w:t>
      </w:r>
      <w:r w:rsidR="00E92400" w:rsidRPr="000E64D4">
        <w:rPr>
          <w:rFonts w:hint="eastAsia"/>
        </w:rPr>
        <w:t>2</w:t>
      </w:r>
      <w:r w:rsidR="00E72A20" w:rsidRPr="000E64D4">
        <w:rPr>
          <w:rFonts w:hint="eastAsia"/>
        </w:rPr>
        <w:t>8.</w:t>
      </w:r>
      <w:r w:rsidR="007D2EF4" w:rsidRPr="000E64D4">
        <w:rPr>
          <w:rFonts w:hint="eastAsia"/>
        </w:rPr>
        <w:t>38</w:t>
      </w:r>
      <w:r w:rsidR="000754B5" w:rsidRPr="000E64D4">
        <w:t>%)</w:t>
      </w:r>
      <w:r w:rsidR="004C5877" w:rsidRPr="000E64D4">
        <w:t>、電子零組件製造業美金</w:t>
      </w:r>
      <w:r w:rsidR="00823492" w:rsidRPr="000E64D4">
        <w:t>4</w:t>
      </w:r>
      <w:r w:rsidR="004C5877" w:rsidRPr="000E64D4">
        <w:t>億</w:t>
      </w:r>
      <w:r w:rsidR="00823492" w:rsidRPr="000E64D4">
        <w:t>392</w:t>
      </w:r>
      <w:r w:rsidR="00823492" w:rsidRPr="000E64D4">
        <w:rPr>
          <w:rFonts w:hint="eastAsia"/>
        </w:rPr>
        <w:t>萬</w:t>
      </w:r>
      <w:r w:rsidR="004C5877" w:rsidRPr="000E64D4">
        <w:t>元</w:t>
      </w:r>
      <w:r w:rsidR="000A0B99" w:rsidRPr="000E64D4">
        <w:t>(</w:t>
      </w:r>
      <w:r w:rsidR="000D7D50" w:rsidRPr="000E64D4">
        <w:rPr>
          <w:rFonts w:hint="eastAsia"/>
          <w:szCs w:val="36"/>
        </w:rPr>
        <w:t>折合新臺幣</w:t>
      </w:r>
      <w:r w:rsidR="004A4A4B" w:rsidRPr="000E64D4">
        <w:rPr>
          <w:rFonts w:hint="eastAsia"/>
          <w:szCs w:val="36"/>
        </w:rPr>
        <w:t>1</w:t>
      </w:r>
      <w:r w:rsidR="002F62B8" w:rsidRPr="000E64D4">
        <w:rPr>
          <w:szCs w:val="36"/>
        </w:rPr>
        <w:t>21</w:t>
      </w:r>
      <w:r w:rsidR="000D7D50" w:rsidRPr="000E64D4">
        <w:rPr>
          <w:rFonts w:hint="eastAsia"/>
          <w:szCs w:val="36"/>
        </w:rPr>
        <w:t>億</w:t>
      </w:r>
      <w:r w:rsidR="002F62B8" w:rsidRPr="000E64D4">
        <w:rPr>
          <w:szCs w:val="36"/>
        </w:rPr>
        <w:t>1,760</w:t>
      </w:r>
      <w:r w:rsidR="000D7D50" w:rsidRPr="000E64D4">
        <w:rPr>
          <w:rFonts w:hint="eastAsia"/>
          <w:szCs w:val="36"/>
        </w:rPr>
        <w:t>萬元；</w:t>
      </w:r>
      <w:r w:rsidR="002B2A35" w:rsidRPr="000E64D4">
        <w:rPr>
          <w:rFonts w:hint="eastAsia"/>
        </w:rPr>
        <w:t>15.8</w:t>
      </w:r>
      <w:r w:rsidR="007D2EF4" w:rsidRPr="000E64D4">
        <w:rPr>
          <w:rFonts w:hint="eastAsia"/>
        </w:rPr>
        <w:t>5</w:t>
      </w:r>
      <w:r w:rsidR="000754B5" w:rsidRPr="000E64D4">
        <w:t>%)</w:t>
      </w:r>
      <w:r w:rsidR="004C5877" w:rsidRPr="000E64D4">
        <w:t>及銀行業美金</w:t>
      </w:r>
      <w:r w:rsidR="004C5877" w:rsidRPr="000E64D4">
        <w:t>2</w:t>
      </w:r>
      <w:r w:rsidR="004C5877" w:rsidRPr="000E64D4">
        <w:t>億</w:t>
      </w:r>
      <w:r w:rsidR="004C5877" w:rsidRPr="000E64D4">
        <w:t>144</w:t>
      </w:r>
      <w:r w:rsidR="004C5877" w:rsidRPr="000E64D4">
        <w:t>萬</w:t>
      </w:r>
      <w:r w:rsidR="004C5877" w:rsidRPr="000E64D4">
        <w:t>1,000</w:t>
      </w:r>
      <w:r w:rsidR="004C5877" w:rsidRPr="000E64D4">
        <w:t>元</w:t>
      </w:r>
      <w:r w:rsidR="000A0B99" w:rsidRPr="000E64D4">
        <w:t>(</w:t>
      </w:r>
      <w:r w:rsidR="00985147" w:rsidRPr="000E64D4">
        <w:rPr>
          <w:rFonts w:hint="eastAsia"/>
          <w:szCs w:val="36"/>
        </w:rPr>
        <w:t>折合新臺幣</w:t>
      </w:r>
      <w:r w:rsidR="00985147" w:rsidRPr="000E64D4">
        <w:rPr>
          <w:rFonts w:hint="eastAsia"/>
          <w:szCs w:val="36"/>
        </w:rPr>
        <w:t>60</w:t>
      </w:r>
      <w:r w:rsidR="00985147" w:rsidRPr="000E64D4">
        <w:rPr>
          <w:rFonts w:hint="eastAsia"/>
          <w:szCs w:val="36"/>
        </w:rPr>
        <w:t>億</w:t>
      </w:r>
      <w:r w:rsidR="00985147" w:rsidRPr="000E64D4">
        <w:rPr>
          <w:rFonts w:hint="eastAsia"/>
          <w:szCs w:val="36"/>
        </w:rPr>
        <w:t>4,323</w:t>
      </w:r>
      <w:r w:rsidR="00985147" w:rsidRPr="000E64D4">
        <w:rPr>
          <w:rFonts w:hint="eastAsia"/>
          <w:szCs w:val="36"/>
        </w:rPr>
        <w:t>萬元；</w:t>
      </w:r>
      <w:r w:rsidR="0004072C" w:rsidRPr="000E64D4">
        <w:t>7.9</w:t>
      </w:r>
      <w:r w:rsidR="007D2EF4" w:rsidRPr="000E64D4">
        <w:rPr>
          <w:rFonts w:hint="eastAsia"/>
        </w:rPr>
        <w:t>0</w:t>
      </w:r>
      <w:r w:rsidR="004C5877" w:rsidRPr="000E64D4">
        <w:t>%</w:t>
      </w:r>
      <w:r w:rsidR="000754B5" w:rsidRPr="000E64D4">
        <w:t>)</w:t>
      </w:r>
      <w:r w:rsidR="000A0B99" w:rsidRPr="000E64D4">
        <w:t>(</w:t>
      </w:r>
      <w:r w:rsidR="004C5877" w:rsidRPr="000E64D4">
        <w:t>請參閱表</w:t>
      </w:r>
      <w:r w:rsidR="004C5877" w:rsidRPr="000E64D4">
        <w:t>2-1</w:t>
      </w:r>
      <w:r w:rsidR="004C5877" w:rsidRPr="000E64D4">
        <w:t>及</w:t>
      </w:r>
      <w:r w:rsidR="004C5877" w:rsidRPr="000E64D4">
        <w:t>2-2)</w:t>
      </w:r>
      <w:r w:rsidR="004C5877" w:rsidRPr="000E64D4">
        <w:t>。</w:t>
      </w:r>
    </w:p>
    <w:p w:rsidR="00E15544" w:rsidRPr="000E64D4" w:rsidRDefault="004C5877">
      <w:pPr>
        <w:pStyle w:val="2"/>
        <w:spacing w:before="188" w:line="240" w:lineRule="auto"/>
        <w:ind w:firstLine="0"/>
      </w:pPr>
      <w:r w:rsidRPr="000E64D4">
        <w:t>三、對外投資部分：</w:t>
      </w:r>
    </w:p>
    <w:p w:rsidR="00E15544" w:rsidRPr="000E64D4" w:rsidRDefault="00642349">
      <w:pPr>
        <w:pStyle w:val="2"/>
        <w:spacing w:before="188" w:line="240" w:lineRule="auto"/>
        <w:ind w:firstLine="811"/>
      </w:pPr>
      <w:r w:rsidRPr="000E64D4">
        <w:rPr>
          <w:rFonts w:hint="eastAsia"/>
          <w:szCs w:val="36"/>
        </w:rPr>
        <w:t>111</w:t>
      </w:r>
      <w:r w:rsidRPr="000E64D4">
        <w:rPr>
          <w:rFonts w:hint="eastAsia"/>
          <w:szCs w:val="36"/>
        </w:rPr>
        <w:t>年</w:t>
      </w:r>
      <w:r w:rsidR="005200F3" w:rsidRPr="000E64D4">
        <w:rPr>
          <w:rFonts w:hint="eastAsia"/>
          <w:szCs w:val="36"/>
        </w:rPr>
        <w:t>10</w:t>
      </w:r>
      <w:r w:rsidRPr="000E64D4">
        <w:rPr>
          <w:rFonts w:hint="eastAsia"/>
          <w:szCs w:val="36"/>
        </w:rPr>
        <w:t>月</w:t>
      </w:r>
      <w:r w:rsidR="00A608A6" w:rsidRPr="000E64D4">
        <w:rPr>
          <w:rFonts w:hint="eastAsia"/>
          <w:szCs w:val="36"/>
        </w:rPr>
        <w:t>份</w:t>
      </w:r>
      <w:r w:rsidR="004C5877" w:rsidRPr="000E64D4">
        <w:t>單月</w:t>
      </w:r>
      <w:r w:rsidR="004C5877" w:rsidRPr="000E64D4">
        <w:rPr>
          <w:szCs w:val="36"/>
        </w:rPr>
        <w:t>核准</w:t>
      </w:r>
      <w:r w:rsidR="000A0B99" w:rsidRPr="000E64D4">
        <w:rPr>
          <w:szCs w:val="36"/>
        </w:rPr>
        <w:t>(</w:t>
      </w:r>
      <w:r w:rsidR="004C5877" w:rsidRPr="000E64D4">
        <w:rPr>
          <w:szCs w:val="36"/>
        </w:rPr>
        <w:t>備</w:t>
      </w:r>
      <w:r w:rsidR="004C5877" w:rsidRPr="000E64D4">
        <w:rPr>
          <w:szCs w:val="36"/>
        </w:rPr>
        <w:t>)</w:t>
      </w:r>
      <w:r w:rsidR="004C5877" w:rsidRPr="000E64D4">
        <w:rPr>
          <w:szCs w:val="36"/>
        </w:rPr>
        <w:t>對外投資件數</w:t>
      </w:r>
      <w:r w:rsidR="004C5877" w:rsidRPr="000E64D4">
        <w:t>為</w:t>
      </w:r>
      <w:r w:rsidR="005200F3" w:rsidRPr="000E64D4">
        <w:rPr>
          <w:rFonts w:hint="eastAsia"/>
        </w:rPr>
        <w:t>40</w:t>
      </w:r>
      <w:r w:rsidR="004C5877" w:rsidRPr="000E64D4">
        <w:t>件，投資金額為美金</w:t>
      </w:r>
      <w:r w:rsidR="005200F3" w:rsidRPr="000E64D4">
        <w:rPr>
          <w:rFonts w:hint="eastAsia"/>
        </w:rPr>
        <w:t>23</w:t>
      </w:r>
      <w:r w:rsidR="0008144E" w:rsidRPr="000E64D4">
        <w:rPr>
          <w:szCs w:val="36"/>
        </w:rPr>
        <w:t>億</w:t>
      </w:r>
      <w:r w:rsidR="005200F3" w:rsidRPr="000E64D4">
        <w:rPr>
          <w:rFonts w:hint="eastAsia"/>
          <w:szCs w:val="36"/>
        </w:rPr>
        <w:t>404</w:t>
      </w:r>
      <w:r w:rsidR="0008144E" w:rsidRPr="000E64D4">
        <w:rPr>
          <w:szCs w:val="36"/>
        </w:rPr>
        <w:t>萬</w:t>
      </w:r>
      <w:r w:rsidR="005200F3" w:rsidRPr="000E64D4">
        <w:rPr>
          <w:rFonts w:hint="eastAsia"/>
          <w:szCs w:val="36"/>
        </w:rPr>
        <w:t>6</w:t>
      </w:r>
      <w:r w:rsidR="00183D64" w:rsidRPr="000E64D4">
        <w:rPr>
          <w:szCs w:val="36"/>
        </w:rPr>
        <w:t>,</w:t>
      </w:r>
      <w:r w:rsidR="00183D64" w:rsidRPr="000E64D4">
        <w:rPr>
          <w:rFonts w:hint="eastAsia"/>
          <w:szCs w:val="36"/>
        </w:rPr>
        <w:t>000</w:t>
      </w:r>
      <w:r w:rsidR="0008144E" w:rsidRPr="000E64D4">
        <w:rPr>
          <w:szCs w:val="36"/>
        </w:rPr>
        <w:t>元</w:t>
      </w:r>
      <w:r w:rsidR="0008144E" w:rsidRPr="000E64D4">
        <w:rPr>
          <w:rFonts w:hint="eastAsia"/>
          <w:szCs w:val="36"/>
        </w:rPr>
        <w:t>(</w:t>
      </w:r>
      <w:r w:rsidR="0008144E" w:rsidRPr="000E64D4">
        <w:rPr>
          <w:rFonts w:hint="eastAsia"/>
          <w:szCs w:val="36"/>
        </w:rPr>
        <w:t>折合新臺幣</w:t>
      </w:r>
      <w:r w:rsidR="005200F3" w:rsidRPr="000E64D4">
        <w:rPr>
          <w:rFonts w:hint="eastAsia"/>
          <w:szCs w:val="36"/>
        </w:rPr>
        <w:t>691</w:t>
      </w:r>
      <w:r w:rsidR="0008144E" w:rsidRPr="000E64D4">
        <w:rPr>
          <w:rFonts w:hint="eastAsia"/>
          <w:szCs w:val="36"/>
        </w:rPr>
        <w:t>億</w:t>
      </w:r>
      <w:r w:rsidR="005200F3" w:rsidRPr="000E64D4">
        <w:rPr>
          <w:rFonts w:hint="eastAsia"/>
          <w:szCs w:val="36"/>
        </w:rPr>
        <w:t>2,138</w:t>
      </w:r>
      <w:r w:rsidR="0008144E" w:rsidRPr="000E64D4">
        <w:rPr>
          <w:rFonts w:hint="eastAsia"/>
          <w:szCs w:val="36"/>
        </w:rPr>
        <w:t>萬元</w:t>
      </w:r>
      <w:r w:rsidR="0008144E" w:rsidRPr="000E64D4">
        <w:rPr>
          <w:rFonts w:hint="eastAsia"/>
          <w:szCs w:val="36"/>
        </w:rPr>
        <w:t>)</w:t>
      </w:r>
      <w:r w:rsidR="004C5877" w:rsidRPr="000E64D4">
        <w:t>。有關</w:t>
      </w:r>
      <w:r w:rsidRPr="000E64D4">
        <w:rPr>
          <w:rFonts w:hint="eastAsia"/>
          <w:szCs w:val="36"/>
        </w:rPr>
        <w:t>111</w:t>
      </w:r>
      <w:r w:rsidRPr="000E64D4">
        <w:rPr>
          <w:rFonts w:hint="eastAsia"/>
          <w:szCs w:val="36"/>
        </w:rPr>
        <w:t>年</w:t>
      </w:r>
      <w:r w:rsidR="005200F3" w:rsidRPr="000E64D4">
        <w:rPr>
          <w:rFonts w:hint="eastAsia"/>
          <w:szCs w:val="36"/>
        </w:rPr>
        <w:t>10</w:t>
      </w:r>
      <w:r w:rsidRPr="000E64D4">
        <w:rPr>
          <w:rFonts w:hint="eastAsia"/>
          <w:szCs w:val="36"/>
        </w:rPr>
        <w:t>月</w:t>
      </w:r>
      <w:r w:rsidR="004C5877" w:rsidRPr="000E64D4">
        <w:t>及最近</w:t>
      </w:r>
      <w:r w:rsidR="004C5877" w:rsidRPr="000E64D4">
        <w:t>2</w:t>
      </w:r>
      <w:r w:rsidR="004C5877" w:rsidRPr="000E64D4">
        <w:t>年對外投資概況，詳如表</w:t>
      </w:r>
      <w:r w:rsidR="004C5877" w:rsidRPr="000E64D4">
        <w:t>3-1</w:t>
      </w:r>
      <w:r w:rsidR="004C5877" w:rsidRPr="000E64D4">
        <w:t>。</w:t>
      </w:r>
    </w:p>
    <w:p w:rsidR="00E15544" w:rsidRPr="000E64D4" w:rsidRDefault="00642349" w:rsidP="00ED4C3C">
      <w:pPr>
        <w:tabs>
          <w:tab w:val="left" w:pos="4962"/>
        </w:tabs>
        <w:ind w:firstLine="811"/>
        <w:jc w:val="both"/>
        <w:rPr>
          <w:rFonts w:eastAsia="標楷體"/>
          <w:sz w:val="36"/>
        </w:rPr>
      </w:pPr>
      <w:r w:rsidRPr="000E64D4">
        <w:rPr>
          <w:rFonts w:eastAsia="標楷體" w:hint="eastAsia"/>
          <w:sz w:val="36"/>
          <w:szCs w:val="36"/>
        </w:rPr>
        <w:t>111</w:t>
      </w:r>
      <w:r w:rsidRPr="000E64D4">
        <w:rPr>
          <w:rFonts w:eastAsia="標楷體" w:hint="eastAsia"/>
          <w:sz w:val="36"/>
          <w:szCs w:val="36"/>
        </w:rPr>
        <w:t>年</w:t>
      </w:r>
      <w:r w:rsidR="001423FF" w:rsidRPr="000E64D4">
        <w:rPr>
          <w:rFonts w:eastAsia="標楷體" w:hint="eastAsia"/>
          <w:sz w:val="36"/>
          <w:szCs w:val="36"/>
        </w:rPr>
        <w:t>1-</w:t>
      </w:r>
      <w:r w:rsidR="005200F3" w:rsidRPr="000E64D4">
        <w:rPr>
          <w:rFonts w:eastAsia="標楷體" w:hint="eastAsia"/>
          <w:sz w:val="36"/>
          <w:szCs w:val="36"/>
        </w:rPr>
        <w:t>10</w:t>
      </w:r>
      <w:r w:rsidR="001423FF" w:rsidRPr="000E64D4">
        <w:rPr>
          <w:rFonts w:eastAsia="標楷體" w:hint="eastAsia"/>
          <w:sz w:val="36"/>
          <w:szCs w:val="36"/>
        </w:rPr>
        <w:t>月</w:t>
      </w:r>
      <w:r w:rsidR="004C5877" w:rsidRPr="000E64D4">
        <w:rPr>
          <w:rFonts w:eastAsia="標楷體"/>
          <w:sz w:val="36"/>
          <w:szCs w:val="36"/>
        </w:rPr>
        <w:t>申</w:t>
      </w:r>
      <w:r w:rsidR="00592BA8" w:rsidRPr="000E64D4">
        <w:rPr>
          <w:rFonts w:eastAsia="標楷體" w:hint="eastAsia"/>
          <w:sz w:val="36"/>
          <w:szCs w:val="36"/>
        </w:rPr>
        <w:t>請</w:t>
      </w:r>
      <w:r w:rsidR="000A0B99" w:rsidRPr="000E64D4">
        <w:rPr>
          <w:rFonts w:eastAsia="標楷體"/>
          <w:sz w:val="36"/>
        </w:rPr>
        <w:t>(</w:t>
      </w:r>
      <w:r w:rsidR="00592BA8" w:rsidRPr="000E64D4">
        <w:rPr>
          <w:rFonts w:ascii="標楷體" w:eastAsia="標楷體" w:hAnsi="標楷體" w:hint="eastAsia"/>
          <w:sz w:val="36"/>
        </w:rPr>
        <w:t>報</w:t>
      </w:r>
      <w:r w:rsidR="000A0B99" w:rsidRPr="000E64D4">
        <w:rPr>
          <w:rFonts w:eastAsia="標楷體"/>
          <w:sz w:val="36"/>
        </w:rPr>
        <w:t>)</w:t>
      </w:r>
      <w:r w:rsidR="0008144E" w:rsidRPr="000E64D4">
        <w:rPr>
          <w:rFonts w:eastAsia="標楷體"/>
          <w:sz w:val="36"/>
        </w:rPr>
        <w:t>對外投資案件，若以地區觀之，</w:t>
      </w:r>
      <w:r w:rsidR="00ED4C3C" w:rsidRPr="000E64D4">
        <w:rPr>
          <w:rFonts w:eastAsia="標楷體" w:hint="eastAsia"/>
          <w:sz w:val="36"/>
        </w:rPr>
        <w:t>以新加坡</w:t>
      </w:r>
      <w:r w:rsidR="00086C2E" w:rsidRPr="000E64D4">
        <w:rPr>
          <w:rFonts w:eastAsia="標楷體"/>
          <w:sz w:val="36"/>
        </w:rPr>
        <w:t>美金</w:t>
      </w:r>
      <w:r w:rsidR="005200F3" w:rsidRPr="000E64D4">
        <w:rPr>
          <w:rFonts w:eastAsia="標楷體" w:hint="eastAsia"/>
          <w:sz w:val="36"/>
        </w:rPr>
        <w:t>29</w:t>
      </w:r>
      <w:r w:rsidR="00086C2E" w:rsidRPr="000E64D4">
        <w:rPr>
          <w:rFonts w:eastAsia="標楷體" w:hint="eastAsia"/>
          <w:sz w:val="36"/>
        </w:rPr>
        <w:t>億</w:t>
      </w:r>
      <w:r w:rsidR="005200F3" w:rsidRPr="000E64D4">
        <w:rPr>
          <w:rFonts w:eastAsia="標楷體" w:hint="eastAsia"/>
          <w:sz w:val="36"/>
        </w:rPr>
        <w:t>8,952</w:t>
      </w:r>
      <w:r w:rsidR="00086C2E" w:rsidRPr="000E64D4">
        <w:rPr>
          <w:rFonts w:eastAsia="標楷體"/>
          <w:sz w:val="36"/>
        </w:rPr>
        <w:t>萬</w:t>
      </w:r>
      <w:r w:rsidR="005200F3" w:rsidRPr="000E64D4">
        <w:rPr>
          <w:rFonts w:eastAsia="標楷體" w:hint="eastAsia"/>
          <w:sz w:val="36"/>
        </w:rPr>
        <w:t>9</w:t>
      </w:r>
      <w:r w:rsidR="00753202" w:rsidRPr="000E64D4">
        <w:rPr>
          <w:rFonts w:eastAsia="標楷體" w:hint="eastAsia"/>
          <w:sz w:val="36"/>
        </w:rPr>
        <w:t>,000</w:t>
      </w:r>
      <w:r w:rsidR="00086C2E" w:rsidRPr="000E64D4">
        <w:rPr>
          <w:rFonts w:eastAsia="標楷體"/>
          <w:sz w:val="36"/>
        </w:rPr>
        <w:t>元</w:t>
      </w:r>
      <w:r w:rsidR="000A0B99" w:rsidRPr="000E64D4">
        <w:rPr>
          <w:rFonts w:eastAsia="標楷體"/>
          <w:sz w:val="36"/>
        </w:rPr>
        <w:t>(</w:t>
      </w:r>
      <w:r w:rsidR="00086C2E" w:rsidRPr="000E64D4">
        <w:rPr>
          <w:rFonts w:eastAsia="標楷體" w:hint="eastAsia"/>
          <w:sz w:val="36"/>
          <w:szCs w:val="36"/>
        </w:rPr>
        <w:t>折合新臺幣</w:t>
      </w:r>
      <w:r w:rsidR="005200F3" w:rsidRPr="000E64D4">
        <w:rPr>
          <w:rFonts w:eastAsia="標楷體" w:hint="eastAsia"/>
          <w:sz w:val="36"/>
          <w:szCs w:val="36"/>
        </w:rPr>
        <w:t>896</w:t>
      </w:r>
      <w:r w:rsidR="00086C2E" w:rsidRPr="000E64D4">
        <w:rPr>
          <w:rFonts w:eastAsia="標楷體" w:hint="eastAsia"/>
          <w:sz w:val="36"/>
          <w:szCs w:val="36"/>
        </w:rPr>
        <w:t>億</w:t>
      </w:r>
      <w:r w:rsidR="005200F3" w:rsidRPr="000E64D4">
        <w:rPr>
          <w:rFonts w:eastAsia="標楷體" w:hint="eastAsia"/>
          <w:sz w:val="36"/>
          <w:szCs w:val="36"/>
        </w:rPr>
        <w:t>8,587</w:t>
      </w:r>
      <w:r w:rsidR="00086C2E" w:rsidRPr="000E64D4">
        <w:rPr>
          <w:rFonts w:eastAsia="標楷體" w:hint="eastAsia"/>
          <w:sz w:val="36"/>
          <w:szCs w:val="36"/>
        </w:rPr>
        <w:t>萬元；</w:t>
      </w:r>
      <w:r w:rsidR="005200F3" w:rsidRPr="000E64D4">
        <w:rPr>
          <w:rFonts w:eastAsia="標楷體" w:hint="eastAsia"/>
          <w:sz w:val="36"/>
          <w:szCs w:val="36"/>
        </w:rPr>
        <w:t>35.88</w:t>
      </w:r>
      <w:r w:rsidR="00086C2E" w:rsidRPr="000E64D4">
        <w:rPr>
          <w:rFonts w:eastAsia="標楷體"/>
          <w:sz w:val="36"/>
        </w:rPr>
        <w:t>%</w:t>
      </w:r>
      <w:r w:rsidR="000754B5" w:rsidRPr="000E64D4">
        <w:rPr>
          <w:rFonts w:eastAsia="標楷體"/>
          <w:sz w:val="36"/>
        </w:rPr>
        <w:t>)</w:t>
      </w:r>
      <w:r w:rsidR="00086C2E" w:rsidRPr="000E64D4">
        <w:rPr>
          <w:rFonts w:eastAsia="標楷體" w:hint="eastAsia"/>
          <w:sz w:val="36"/>
        </w:rPr>
        <w:t>、</w:t>
      </w:r>
      <w:r w:rsidR="00ED4C3C" w:rsidRPr="000E64D4">
        <w:rPr>
          <w:rFonts w:eastAsia="標楷體" w:hint="eastAsia"/>
          <w:sz w:val="36"/>
        </w:rPr>
        <w:t>美國</w:t>
      </w:r>
      <w:r w:rsidR="00DE1141" w:rsidRPr="000E64D4">
        <w:rPr>
          <w:rFonts w:eastAsia="標楷體"/>
          <w:sz w:val="36"/>
        </w:rPr>
        <w:t>美金</w:t>
      </w:r>
      <w:r w:rsidR="005200F3" w:rsidRPr="000E64D4">
        <w:rPr>
          <w:rFonts w:eastAsia="標楷體" w:hint="eastAsia"/>
          <w:sz w:val="36"/>
        </w:rPr>
        <w:t>10</w:t>
      </w:r>
      <w:r w:rsidR="00575975" w:rsidRPr="000E64D4">
        <w:rPr>
          <w:rFonts w:eastAsia="標楷體" w:hint="eastAsia"/>
          <w:sz w:val="36"/>
        </w:rPr>
        <w:t>億</w:t>
      </w:r>
      <w:r w:rsidR="005200F3" w:rsidRPr="000E64D4">
        <w:rPr>
          <w:rFonts w:eastAsia="標楷體" w:hint="eastAsia"/>
          <w:sz w:val="36"/>
        </w:rPr>
        <w:t>2,748</w:t>
      </w:r>
      <w:r w:rsidR="00DE1141" w:rsidRPr="000E64D4">
        <w:rPr>
          <w:rFonts w:eastAsia="標楷體"/>
          <w:sz w:val="36"/>
        </w:rPr>
        <w:t>萬</w:t>
      </w:r>
      <w:r w:rsidR="005200F3" w:rsidRPr="000E64D4">
        <w:rPr>
          <w:rFonts w:eastAsia="標楷體" w:hint="eastAsia"/>
          <w:sz w:val="36"/>
        </w:rPr>
        <w:t>4</w:t>
      </w:r>
      <w:r w:rsidR="00DE1141" w:rsidRPr="000E64D4">
        <w:rPr>
          <w:rFonts w:eastAsia="標楷體" w:hint="eastAsia"/>
          <w:sz w:val="36"/>
        </w:rPr>
        <w:t>,000</w:t>
      </w:r>
      <w:r w:rsidR="00DE1141" w:rsidRPr="000E64D4">
        <w:rPr>
          <w:rFonts w:eastAsia="標楷體"/>
          <w:sz w:val="36"/>
        </w:rPr>
        <w:t>元</w:t>
      </w:r>
      <w:r w:rsidR="00DE1141" w:rsidRPr="000E64D4">
        <w:rPr>
          <w:rFonts w:eastAsia="標楷體"/>
          <w:sz w:val="36"/>
        </w:rPr>
        <w:t>(</w:t>
      </w:r>
      <w:r w:rsidR="00DE1141" w:rsidRPr="000E64D4">
        <w:rPr>
          <w:rFonts w:eastAsia="標楷體" w:hint="eastAsia"/>
          <w:sz w:val="36"/>
          <w:szCs w:val="36"/>
        </w:rPr>
        <w:t>折合新臺幣</w:t>
      </w:r>
      <w:r w:rsidR="005200F3" w:rsidRPr="000E64D4">
        <w:rPr>
          <w:rFonts w:eastAsia="標楷體" w:hint="eastAsia"/>
          <w:sz w:val="36"/>
          <w:szCs w:val="36"/>
        </w:rPr>
        <w:t>308</w:t>
      </w:r>
      <w:r w:rsidR="00DE1141" w:rsidRPr="000E64D4">
        <w:rPr>
          <w:rFonts w:eastAsia="標楷體" w:hint="eastAsia"/>
          <w:sz w:val="36"/>
        </w:rPr>
        <w:t>億</w:t>
      </w:r>
      <w:r w:rsidR="005200F3" w:rsidRPr="000E64D4">
        <w:rPr>
          <w:rFonts w:eastAsia="標楷體" w:hint="eastAsia"/>
          <w:sz w:val="36"/>
        </w:rPr>
        <w:t>2,452</w:t>
      </w:r>
      <w:r w:rsidR="00DE1141" w:rsidRPr="000E64D4">
        <w:rPr>
          <w:rFonts w:eastAsia="標楷體"/>
          <w:sz w:val="36"/>
        </w:rPr>
        <w:t>萬元</w:t>
      </w:r>
      <w:r w:rsidR="00DE1141" w:rsidRPr="000E64D4">
        <w:rPr>
          <w:rFonts w:eastAsia="標楷體" w:hint="eastAsia"/>
          <w:sz w:val="36"/>
          <w:szCs w:val="36"/>
        </w:rPr>
        <w:t>；</w:t>
      </w:r>
      <w:r w:rsidR="005200F3" w:rsidRPr="000E64D4">
        <w:rPr>
          <w:rFonts w:eastAsia="標楷體" w:hint="eastAsia"/>
          <w:sz w:val="36"/>
          <w:szCs w:val="36"/>
        </w:rPr>
        <w:t>12.33</w:t>
      </w:r>
      <w:r w:rsidR="00DE1141" w:rsidRPr="000E64D4">
        <w:rPr>
          <w:rFonts w:eastAsia="標楷體"/>
          <w:sz w:val="36"/>
        </w:rPr>
        <w:t>%</w:t>
      </w:r>
      <w:r w:rsidR="00DE1141" w:rsidRPr="000E64D4">
        <w:rPr>
          <w:rFonts w:eastAsia="標楷體" w:hint="eastAsia"/>
          <w:sz w:val="36"/>
        </w:rPr>
        <w:t>)</w:t>
      </w:r>
      <w:r w:rsidR="00DE1141" w:rsidRPr="000E64D4">
        <w:rPr>
          <w:rFonts w:eastAsia="標楷體" w:hint="eastAsia"/>
          <w:sz w:val="36"/>
        </w:rPr>
        <w:t>、</w:t>
      </w:r>
      <w:r w:rsidR="005200F3" w:rsidRPr="000E64D4">
        <w:rPr>
          <w:rFonts w:eastAsia="標楷體"/>
          <w:sz w:val="36"/>
        </w:rPr>
        <w:t>加勒比海英國屬地美金</w:t>
      </w:r>
      <w:r w:rsidR="005200F3" w:rsidRPr="000E64D4">
        <w:rPr>
          <w:rFonts w:eastAsia="標楷體" w:hint="eastAsia"/>
          <w:sz w:val="36"/>
        </w:rPr>
        <w:t>5</w:t>
      </w:r>
      <w:r w:rsidR="005200F3" w:rsidRPr="000E64D4">
        <w:rPr>
          <w:rFonts w:eastAsia="標楷體" w:hint="eastAsia"/>
          <w:sz w:val="36"/>
        </w:rPr>
        <w:t>億</w:t>
      </w:r>
      <w:r w:rsidR="005200F3" w:rsidRPr="000E64D4">
        <w:rPr>
          <w:rFonts w:eastAsia="標楷體" w:hint="eastAsia"/>
          <w:sz w:val="36"/>
        </w:rPr>
        <w:t>2,587</w:t>
      </w:r>
      <w:r w:rsidR="005200F3" w:rsidRPr="000E64D4">
        <w:rPr>
          <w:rFonts w:eastAsia="標楷體"/>
          <w:sz w:val="36"/>
        </w:rPr>
        <w:t>萬</w:t>
      </w:r>
      <w:r w:rsidR="005200F3" w:rsidRPr="000E64D4">
        <w:rPr>
          <w:rFonts w:eastAsia="標楷體" w:hint="eastAsia"/>
          <w:sz w:val="36"/>
        </w:rPr>
        <w:t>1,000</w:t>
      </w:r>
      <w:r w:rsidR="005200F3" w:rsidRPr="000E64D4">
        <w:rPr>
          <w:rFonts w:eastAsia="標楷體"/>
          <w:sz w:val="36"/>
        </w:rPr>
        <w:t>元</w:t>
      </w:r>
      <w:r w:rsidR="005200F3" w:rsidRPr="000E64D4">
        <w:rPr>
          <w:rFonts w:eastAsia="標楷體"/>
          <w:sz w:val="36"/>
        </w:rPr>
        <w:t>(</w:t>
      </w:r>
      <w:r w:rsidR="005200F3" w:rsidRPr="000E64D4">
        <w:rPr>
          <w:rFonts w:eastAsia="標楷體" w:hint="eastAsia"/>
          <w:sz w:val="36"/>
        </w:rPr>
        <w:t>折合新臺幣</w:t>
      </w:r>
      <w:r w:rsidR="005200F3" w:rsidRPr="000E64D4">
        <w:rPr>
          <w:rFonts w:eastAsia="標楷體" w:hint="eastAsia"/>
          <w:sz w:val="36"/>
        </w:rPr>
        <w:t>157</w:t>
      </w:r>
      <w:r w:rsidR="005200F3" w:rsidRPr="000E64D4">
        <w:rPr>
          <w:rFonts w:eastAsia="標楷體" w:hint="eastAsia"/>
          <w:sz w:val="36"/>
        </w:rPr>
        <w:t>億</w:t>
      </w:r>
      <w:r w:rsidR="005200F3" w:rsidRPr="000E64D4">
        <w:rPr>
          <w:rFonts w:eastAsia="標楷體" w:hint="eastAsia"/>
          <w:sz w:val="36"/>
        </w:rPr>
        <w:t>7,613</w:t>
      </w:r>
      <w:r w:rsidR="005200F3" w:rsidRPr="000E64D4">
        <w:rPr>
          <w:rFonts w:eastAsia="標楷體" w:hint="eastAsia"/>
          <w:sz w:val="36"/>
        </w:rPr>
        <w:t>萬元；</w:t>
      </w:r>
      <w:r w:rsidR="005200F3" w:rsidRPr="000E64D4">
        <w:rPr>
          <w:rFonts w:eastAsia="標楷體" w:hint="eastAsia"/>
          <w:sz w:val="36"/>
        </w:rPr>
        <w:t>6.31%</w:t>
      </w:r>
      <w:r w:rsidR="005200F3" w:rsidRPr="000E64D4">
        <w:rPr>
          <w:rFonts w:eastAsia="標楷體" w:hint="eastAsia"/>
          <w:sz w:val="36"/>
        </w:rPr>
        <w:t>，</w:t>
      </w:r>
      <w:r w:rsidR="005200F3" w:rsidRPr="000E64D4">
        <w:rPr>
          <w:rFonts w:eastAsia="標楷體"/>
          <w:sz w:val="36"/>
        </w:rPr>
        <w:t>主要為英屬</w:t>
      </w:r>
      <w:r w:rsidR="005200F3" w:rsidRPr="000E64D4">
        <w:rPr>
          <w:rFonts w:eastAsia="標楷體" w:hint="eastAsia"/>
          <w:sz w:val="36"/>
        </w:rPr>
        <w:t>開曼</w:t>
      </w:r>
      <w:r w:rsidR="005200F3" w:rsidRPr="000E64D4">
        <w:rPr>
          <w:rFonts w:eastAsia="標楷體"/>
          <w:sz w:val="36"/>
        </w:rPr>
        <w:t>群島</w:t>
      </w:r>
      <w:r w:rsidR="005200F3" w:rsidRPr="000E64D4">
        <w:rPr>
          <w:rFonts w:eastAsia="標楷體" w:hint="eastAsia"/>
          <w:sz w:val="36"/>
        </w:rPr>
        <w:t>、</w:t>
      </w:r>
      <w:r w:rsidR="005200F3" w:rsidRPr="000E64D4">
        <w:rPr>
          <w:rFonts w:eastAsia="標楷體"/>
          <w:sz w:val="36"/>
        </w:rPr>
        <w:t>英屬</w:t>
      </w:r>
      <w:r w:rsidR="005200F3" w:rsidRPr="000E64D4">
        <w:rPr>
          <w:rFonts w:eastAsia="標楷體" w:hint="eastAsia"/>
          <w:sz w:val="36"/>
        </w:rPr>
        <w:t>維京</w:t>
      </w:r>
      <w:r w:rsidR="005200F3" w:rsidRPr="000E64D4">
        <w:rPr>
          <w:rFonts w:eastAsia="標楷體"/>
          <w:sz w:val="36"/>
        </w:rPr>
        <w:t>群島</w:t>
      </w:r>
      <w:r w:rsidR="005200F3" w:rsidRPr="000E64D4">
        <w:rPr>
          <w:rFonts w:eastAsia="標楷體"/>
          <w:sz w:val="36"/>
        </w:rPr>
        <w:t>)</w:t>
      </w:r>
      <w:r w:rsidR="005200F3" w:rsidRPr="000E64D4">
        <w:rPr>
          <w:rFonts w:eastAsia="標楷體" w:hint="eastAsia"/>
          <w:sz w:val="36"/>
        </w:rPr>
        <w:t xml:space="preserve"> </w:t>
      </w:r>
      <w:r w:rsidR="005200F3" w:rsidRPr="000E64D4">
        <w:rPr>
          <w:rFonts w:eastAsia="標楷體" w:hint="eastAsia"/>
          <w:sz w:val="36"/>
        </w:rPr>
        <w:t>、</w:t>
      </w:r>
      <w:r w:rsidR="00ED4C3C" w:rsidRPr="000E64D4">
        <w:rPr>
          <w:rFonts w:eastAsia="標楷體" w:hint="eastAsia"/>
          <w:sz w:val="36"/>
        </w:rPr>
        <w:t>韓國</w:t>
      </w:r>
      <w:r w:rsidR="00185E87" w:rsidRPr="000E64D4">
        <w:rPr>
          <w:rFonts w:eastAsia="標楷體"/>
          <w:sz w:val="36"/>
        </w:rPr>
        <w:t>美金</w:t>
      </w:r>
      <w:r w:rsidR="002A6B6E" w:rsidRPr="000E64D4">
        <w:rPr>
          <w:rFonts w:eastAsia="標楷體"/>
          <w:sz w:val="36"/>
        </w:rPr>
        <w:t>4</w:t>
      </w:r>
      <w:r w:rsidR="006D0612" w:rsidRPr="000E64D4">
        <w:rPr>
          <w:rFonts w:eastAsia="標楷體" w:hint="eastAsia"/>
          <w:sz w:val="36"/>
        </w:rPr>
        <w:t>億</w:t>
      </w:r>
      <w:r w:rsidR="00372832" w:rsidRPr="000E64D4">
        <w:rPr>
          <w:rFonts w:eastAsia="標楷體" w:hint="eastAsia"/>
          <w:sz w:val="36"/>
        </w:rPr>
        <w:t>6,718</w:t>
      </w:r>
      <w:r w:rsidR="00185E87" w:rsidRPr="000E64D4">
        <w:rPr>
          <w:rFonts w:eastAsia="標楷體"/>
          <w:sz w:val="36"/>
        </w:rPr>
        <w:t>萬</w:t>
      </w:r>
      <w:r w:rsidR="00372832" w:rsidRPr="000E64D4">
        <w:rPr>
          <w:rFonts w:eastAsia="標楷體" w:hint="eastAsia"/>
          <w:sz w:val="36"/>
        </w:rPr>
        <w:t>9</w:t>
      </w:r>
      <w:r w:rsidR="00185E87" w:rsidRPr="000E64D4">
        <w:rPr>
          <w:rFonts w:eastAsia="標楷體" w:hint="eastAsia"/>
          <w:sz w:val="36"/>
        </w:rPr>
        <w:t>,000</w:t>
      </w:r>
      <w:r w:rsidR="00185E87" w:rsidRPr="000E64D4">
        <w:rPr>
          <w:rFonts w:eastAsia="標楷體"/>
          <w:sz w:val="36"/>
        </w:rPr>
        <w:t>元</w:t>
      </w:r>
      <w:r w:rsidR="00185E87" w:rsidRPr="000E64D4">
        <w:rPr>
          <w:rFonts w:eastAsia="標楷體"/>
          <w:sz w:val="36"/>
        </w:rPr>
        <w:t>(</w:t>
      </w:r>
      <w:r w:rsidR="00185E87" w:rsidRPr="000E64D4">
        <w:rPr>
          <w:rFonts w:eastAsia="標楷體" w:hint="eastAsia"/>
          <w:sz w:val="36"/>
        </w:rPr>
        <w:t>折合新臺幣</w:t>
      </w:r>
      <w:r w:rsidR="00B10120" w:rsidRPr="000E64D4">
        <w:rPr>
          <w:rFonts w:eastAsia="標楷體"/>
          <w:sz w:val="36"/>
        </w:rPr>
        <w:t>140</w:t>
      </w:r>
      <w:r w:rsidR="00185E87" w:rsidRPr="000E64D4">
        <w:rPr>
          <w:rFonts w:eastAsia="標楷體" w:hint="eastAsia"/>
          <w:sz w:val="36"/>
        </w:rPr>
        <w:t>億</w:t>
      </w:r>
      <w:r w:rsidR="00B10120" w:rsidRPr="000E64D4">
        <w:rPr>
          <w:rFonts w:eastAsia="標楷體"/>
          <w:sz w:val="36"/>
        </w:rPr>
        <w:t>1,567</w:t>
      </w:r>
      <w:r w:rsidR="00185E87" w:rsidRPr="000E64D4">
        <w:rPr>
          <w:rFonts w:eastAsia="標楷體" w:hint="eastAsia"/>
          <w:sz w:val="36"/>
        </w:rPr>
        <w:t>萬元；</w:t>
      </w:r>
      <w:r w:rsidR="005200F3" w:rsidRPr="000E64D4">
        <w:rPr>
          <w:rFonts w:eastAsia="標楷體" w:hint="eastAsia"/>
          <w:sz w:val="36"/>
        </w:rPr>
        <w:t>5.61</w:t>
      </w:r>
      <w:r w:rsidR="00185E87" w:rsidRPr="000E64D4">
        <w:rPr>
          <w:rFonts w:eastAsia="標楷體" w:hint="eastAsia"/>
          <w:sz w:val="36"/>
        </w:rPr>
        <w:t>%</w:t>
      </w:r>
      <w:r w:rsidR="00185E87" w:rsidRPr="000E64D4">
        <w:rPr>
          <w:rFonts w:eastAsia="標楷體"/>
          <w:sz w:val="36"/>
        </w:rPr>
        <w:t>)</w:t>
      </w:r>
      <w:r w:rsidR="00DE1141" w:rsidRPr="000E64D4">
        <w:rPr>
          <w:rFonts w:eastAsia="標楷體" w:hint="eastAsia"/>
          <w:sz w:val="36"/>
        </w:rPr>
        <w:t>及</w:t>
      </w:r>
      <w:r w:rsidR="004D0A68" w:rsidRPr="000E64D4">
        <w:rPr>
          <w:rFonts w:eastAsia="標楷體" w:hint="eastAsia"/>
          <w:sz w:val="36"/>
        </w:rPr>
        <w:t>越南</w:t>
      </w:r>
      <w:r w:rsidR="006A70C3" w:rsidRPr="000E64D4">
        <w:rPr>
          <w:rFonts w:eastAsia="標楷體"/>
          <w:sz w:val="36"/>
        </w:rPr>
        <w:t>美金</w:t>
      </w:r>
      <w:r w:rsidR="006A70C3" w:rsidRPr="000E64D4">
        <w:rPr>
          <w:rFonts w:eastAsia="標楷體"/>
          <w:sz w:val="36"/>
        </w:rPr>
        <w:t>4</w:t>
      </w:r>
      <w:r w:rsidR="006A70C3" w:rsidRPr="000E64D4">
        <w:rPr>
          <w:rFonts w:eastAsia="標楷體" w:hint="eastAsia"/>
          <w:sz w:val="36"/>
        </w:rPr>
        <w:t>億</w:t>
      </w:r>
      <w:r w:rsidR="004D0A68" w:rsidRPr="000E64D4">
        <w:rPr>
          <w:rFonts w:eastAsia="標楷體" w:hint="eastAsia"/>
          <w:sz w:val="36"/>
        </w:rPr>
        <w:t>1,846</w:t>
      </w:r>
      <w:r w:rsidR="006A70C3" w:rsidRPr="000E64D4">
        <w:rPr>
          <w:rFonts w:eastAsia="標楷體" w:hint="eastAsia"/>
          <w:sz w:val="36"/>
        </w:rPr>
        <w:t>萬</w:t>
      </w:r>
      <w:r w:rsidR="004D0A68" w:rsidRPr="000E64D4">
        <w:rPr>
          <w:rFonts w:eastAsia="標楷體" w:hint="eastAsia"/>
          <w:sz w:val="36"/>
        </w:rPr>
        <w:t>8</w:t>
      </w:r>
      <w:r w:rsidR="006A70C3" w:rsidRPr="000E64D4">
        <w:rPr>
          <w:rFonts w:eastAsia="標楷體"/>
          <w:sz w:val="36"/>
        </w:rPr>
        <w:t>,</w:t>
      </w:r>
      <w:r w:rsidR="006A70C3" w:rsidRPr="000E64D4">
        <w:rPr>
          <w:rFonts w:eastAsia="標楷體" w:hint="eastAsia"/>
          <w:sz w:val="36"/>
        </w:rPr>
        <w:t>000</w:t>
      </w:r>
      <w:r w:rsidR="006A70C3" w:rsidRPr="000E64D4">
        <w:rPr>
          <w:rFonts w:eastAsia="標楷體"/>
          <w:sz w:val="36"/>
        </w:rPr>
        <w:t>元</w:t>
      </w:r>
      <w:r w:rsidR="006A70C3" w:rsidRPr="000E64D4">
        <w:rPr>
          <w:rFonts w:eastAsia="標楷體"/>
          <w:sz w:val="36"/>
        </w:rPr>
        <w:t>(</w:t>
      </w:r>
      <w:r w:rsidR="006A70C3" w:rsidRPr="000E64D4">
        <w:rPr>
          <w:rFonts w:eastAsia="標楷體" w:hint="eastAsia"/>
          <w:sz w:val="36"/>
          <w:szCs w:val="36"/>
        </w:rPr>
        <w:t>折合新臺幣</w:t>
      </w:r>
      <w:r w:rsidR="004D0A68" w:rsidRPr="000E64D4">
        <w:rPr>
          <w:rFonts w:eastAsia="標楷體" w:hint="eastAsia"/>
          <w:sz w:val="36"/>
          <w:szCs w:val="36"/>
        </w:rPr>
        <w:t>125</w:t>
      </w:r>
      <w:r w:rsidR="006A70C3" w:rsidRPr="000E64D4">
        <w:rPr>
          <w:rFonts w:eastAsia="標楷體" w:hint="eastAsia"/>
          <w:sz w:val="36"/>
          <w:szCs w:val="36"/>
        </w:rPr>
        <w:t>億</w:t>
      </w:r>
      <w:r w:rsidR="004D0A68" w:rsidRPr="000E64D4">
        <w:rPr>
          <w:rFonts w:eastAsia="標楷體" w:hint="eastAsia"/>
          <w:sz w:val="36"/>
          <w:szCs w:val="36"/>
        </w:rPr>
        <w:t>5,404</w:t>
      </w:r>
      <w:r w:rsidR="006A70C3" w:rsidRPr="000E64D4">
        <w:rPr>
          <w:rFonts w:eastAsia="標楷體" w:hint="eastAsia"/>
          <w:sz w:val="36"/>
          <w:szCs w:val="36"/>
        </w:rPr>
        <w:t>萬元；</w:t>
      </w:r>
      <w:r w:rsidR="004D0A68" w:rsidRPr="000E64D4">
        <w:rPr>
          <w:rFonts w:eastAsia="標楷體" w:hint="eastAsia"/>
          <w:sz w:val="36"/>
          <w:szCs w:val="36"/>
        </w:rPr>
        <w:t>5.02</w:t>
      </w:r>
      <w:r w:rsidR="006A70C3" w:rsidRPr="000E64D4">
        <w:rPr>
          <w:rFonts w:eastAsia="標楷體"/>
          <w:sz w:val="36"/>
        </w:rPr>
        <w:t>%)</w:t>
      </w:r>
      <w:r w:rsidR="004C5877" w:rsidRPr="000E64D4">
        <w:rPr>
          <w:rFonts w:eastAsia="標楷體"/>
          <w:sz w:val="36"/>
        </w:rPr>
        <w:t>分居前</w:t>
      </w:r>
      <w:r w:rsidR="004C5877" w:rsidRPr="000E64D4">
        <w:rPr>
          <w:rFonts w:eastAsia="標楷體"/>
          <w:sz w:val="36"/>
        </w:rPr>
        <w:t>5</w:t>
      </w:r>
      <w:r w:rsidR="004C5877" w:rsidRPr="000E64D4">
        <w:rPr>
          <w:rFonts w:eastAsia="標楷體"/>
          <w:sz w:val="36"/>
        </w:rPr>
        <w:t>名，合計約占本期申報對外投資總額的</w:t>
      </w:r>
      <w:r w:rsidR="004D0A68" w:rsidRPr="000E64D4">
        <w:rPr>
          <w:rFonts w:eastAsia="標楷體" w:hint="eastAsia"/>
          <w:sz w:val="36"/>
        </w:rPr>
        <w:t>65.15</w:t>
      </w:r>
      <w:r w:rsidR="004C5877" w:rsidRPr="000E64D4">
        <w:rPr>
          <w:rFonts w:eastAsia="標楷體"/>
          <w:sz w:val="36"/>
        </w:rPr>
        <w:t xml:space="preserve">% </w:t>
      </w:r>
      <w:r w:rsidR="000A0B99" w:rsidRPr="000E64D4">
        <w:rPr>
          <w:rFonts w:eastAsia="標楷體"/>
          <w:sz w:val="36"/>
        </w:rPr>
        <w:t>(</w:t>
      </w:r>
      <w:r w:rsidR="004C5877" w:rsidRPr="000E64D4">
        <w:rPr>
          <w:rFonts w:eastAsia="標楷體"/>
          <w:sz w:val="36"/>
        </w:rPr>
        <w:t>請參閱表</w:t>
      </w:r>
      <w:r w:rsidR="004C5877" w:rsidRPr="000E64D4">
        <w:rPr>
          <w:rFonts w:eastAsia="標楷體"/>
          <w:sz w:val="36"/>
        </w:rPr>
        <w:t>3-2)</w:t>
      </w:r>
      <w:r w:rsidR="004C5877" w:rsidRPr="000E64D4">
        <w:rPr>
          <w:rFonts w:eastAsia="標楷體"/>
          <w:sz w:val="36"/>
        </w:rPr>
        <w:t>；另就業別而言，以</w:t>
      </w:r>
      <w:r w:rsidR="009442CF" w:rsidRPr="000E64D4">
        <w:rPr>
          <w:rFonts w:eastAsia="標楷體" w:hint="eastAsia"/>
          <w:sz w:val="36"/>
        </w:rPr>
        <w:t>運輸及倉儲業美金</w:t>
      </w:r>
      <w:r w:rsidR="009442CF" w:rsidRPr="000E64D4">
        <w:rPr>
          <w:rFonts w:eastAsia="標楷體" w:hint="eastAsia"/>
          <w:sz w:val="36"/>
        </w:rPr>
        <w:t>17</w:t>
      </w:r>
      <w:r w:rsidR="009442CF" w:rsidRPr="000E64D4">
        <w:rPr>
          <w:rFonts w:eastAsia="標楷體" w:hint="eastAsia"/>
          <w:sz w:val="36"/>
        </w:rPr>
        <w:t>億</w:t>
      </w:r>
      <w:r w:rsidR="009442CF" w:rsidRPr="000E64D4">
        <w:rPr>
          <w:rFonts w:eastAsia="標楷體" w:hint="eastAsia"/>
          <w:sz w:val="36"/>
        </w:rPr>
        <w:t>7,921</w:t>
      </w:r>
      <w:r w:rsidR="009442CF" w:rsidRPr="000E64D4">
        <w:rPr>
          <w:rFonts w:eastAsia="標楷體" w:hint="eastAsia"/>
          <w:sz w:val="36"/>
        </w:rPr>
        <w:t>萬</w:t>
      </w:r>
      <w:r w:rsidR="009442CF" w:rsidRPr="000E64D4">
        <w:rPr>
          <w:rFonts w:eastAsia="標楷體" w:hint="eastAsia"/>
          <w:sz w:val="36"/>
        </w:rPr>
        <w:t>6,000</w:t>
      </w:r>
      <w:r w:rsidR="009442CF" w:rsidRPr="000E64D4">
        <w:rPr>
          <w:rFonts w:eastAsia="標楷體" w:hint="eastAsia"/>
          <w:sz w:val="36"/>
        </w:rPr>
        <w:t>元（折合</w:t>
      </w:r>
      <w:r w:rsidR="009442CF" w:rsidRPr="000E64D4">
        <w:rPr>
          <w:rFonts w:eastAsia="標楷體" w:hint="eastAsia"/>
          <w:sz w:val="36"/>
          <w:szCs w:val="36"/>
        </w:rPr>
        <w:t>新臺幣</w:t>
      </w:r>
      <w:r w:rsidR="009442CF" w:rsidRPr="000E64D4">
        <w:rPr>
          <w:rFonts w:eastAsia="標楷體" w:hint="eastAsia"/>
          <w:sz w:val="36"/>
          <w:szCs w:val="36"/>
        </w:rPr>
        <w:t>533</w:t>
      </w:r>
      <w:r w:rsidR="009442CF" w:rsidRPr="000E64D4">
        <w:rPr>
          <w:rFonts w:eastAsia="標楷體" w:hint="eastAsia"/>
          <w:sz w:val="36"/>
          <w:szCs w:val="36"/>
        </w:rPr>
        <w:t>億</w:t>
      </w:r>
      <w:r w:rsidR="009442CF" w:rsidRPr="000E64D4">
        <w:rPr>
          <w:rFonts w:eastAsia="標楷體" w:hint="eastAsia"/>
          <w:sz w:val="36"/>
          <w:szCs w:val="36"/>
        </w:rPr>
        <w:t>7,648</w:t>
      </w:r>
      <w:r w:rsidR="009442CF" w:rsidRPr="000E64D4">
        <w:rPr>
          <w:rFonts w:eastAsia="標楷體" w:hint="eastAsia"/>
          <w:sz w:val="36"/>
          <w:szCs w:val="36"/>
        </w:rPr>
        <w:t>萬元；</w:t>
      </w:r>
      <w:r w:rsidR="009442CF" w:rsidRPr="000E64D4">
        <w:rPr>
          <w:rFonts w:eastAsia="標楷體" w:hint="eastAsia"/>
          <w:sz w:val="36"/>
          <w:szCs w:val="36"/>
        </w:rPr>
        <w:t>21.36</w:t>
      </w:r>
      <w:r w:rsidR="009442CF" w:rsidRPr="000E64D4">
        <w:rPr>
          <w:rFonts w:eastAsia="標楷體"/>
          <w:sz w:val="36"/>
        </w:rPr>
        <w:t>%)</w:t>
      </w:r>
      <w:r w:rsidR="009442CF" w:rsidRPr="000E64D4">
        <w:rPr>
          <w:rFonts w:eastAsia="標楷體"/>
          <w:sz w:val="36"/>
        </w:rPr>
        <w:t>、</w:t>
      </w:r>
      <w:r w:rsidR="004C0472" w:rsidRPr="000E64D4">
        <w:rPr>
          <w:rFonts w:eastAsia="標楷體"/>
          <w:sz w:val="36"/>
        </w:rPr>
        <w:t>金融及保險業</w:t>
      </w:r>
      <w:r w:rsidR="002E4D65" w:rsidRPr="000E64D4">
        <w:rPr>
          <w:rFonts w:eastAsia="標楷體"/>
          <w:sz w:val="36"/>
        </w:rPr>
        <w:t>美金</w:t>
      </w:r>
      <w:r w:rsidR="009442CF" w:rsidRPr="000E64D4">
        <w:rPr>
          <w:rFonts w:eastAsia="標楷體" w:hint="eastAsia"/>
          <w:sz w:val="36"/>
        </w:rPr>
        <w:t>16</w:t>
      </w:r>
      <w:r w:rsidR="002E4D65" w:rsidRPr="000E64D4">
        <w:rPr>
          <w:rFonts w:eastAsia="標楷體" w:hint="eastAsia"/>
          <w:sz w:val="36"/>
        </w:rPr>
        <w:t>億</w:t>
      </w:r>
      <w:r w:rsidR="009442CF" w:rsidRPr="000E64D4">
        <w:rPr>
          <w:rFonts w:eastAsia="標楷體" w:hint="eastAsia"/>
          <w:sz w:val="36"/>
        </w:rPr>
        <w:t>1,355</w:t>
      </w:r>
      <w:r w:rsidR="002E4D65" w:rsidRPr="000E64D4">
        <w:rPr>
          <w:rFonts w:eastAsia="標楷體"/>
          <w:sz w:val="36"/>
        </w:rPr>
        <w:t>萬</w:t>
      </w:r>
      <w:r w:rsidR="00F21EE4" w:rsidRPr="000E64D4">
        <w:rPr>
          <w:rFonts w:eastAsia="標楷體" w:hint="eastAsia"/>
          <w:sz w:val="36"/>
        </w:rPr>
        <w:t>8</w:t>
      </w:r>
      <w:r w:rsidR="00904809" w:rsidRPr="000E64D4">
        <w:rPr>
          <w:rFonts w:eastAsia="標楷體" w:hint="eastAsia"/>
          <w:sz w:val="36"/>
        </w:rPr>
        <w:t>,000</w:t>
      </w:r>
      <w:r w:rsidR="002E4D65" w:rsidRPr="000E64D4">
        <w:rPr>
          <w:rFonts w:eastAsia="標楷體"/>
          <w:sz w:val="36"/>
        </w:rPr>
        <w:t>元</w:t>
      </w:r>
      <w:r w:rsidR="002E4D65" w:rsidRPr="000E64D4">
        <w:rPr>
          <w:rFonts w:eastAsia="標楷體"/>
          <w:sz w:val="36"/>
        </w:rPr>
        <w:t>(</w:t>
      </w:r>
      <w:r w:rsidR="002E4D65" w:rsidRPr="000E64D4">
        <w:rPr>
          <w:rFonts w:eastAsia="標楷體" w:hint="eastAsia"/>
          <w:sz w:val="36"/>
          <w:szCs w:val="36"/>
        </w:rPr>
        <w:t>折合新臺幣</w:t>
      </w:r>
      <w:r w:rsidR="009442CF" w:rsidRPr="000E64D4">
        <w:rPr>
          <w:rFonts w:eastAsia="標楷體" w:hint="eastAsia"/>
          <w:sz w:val="36"/>
          <w:szCs w:val="36"/>
        </w:rPr>
        <w:t>484</w:t>
      </w:r>
      <w:r w:rsidR="002E4D65" w:rsidRPr="000E64D4">
        <w:rPr>
          <w:rFonts w:eastAsia="標楷體" w:hint="eastAsia"/>
          <w:sz w:val="36"/>
          <w:szCs w:val="36"/>
        </w:rPr>
        <w:t>億</w:t>
      </w:r>
      <w:r w:rsidR="009442CF" w:rsidRPr="000E64D4">
        <w:rPr>
          <w:rFonts w:eastAsia="標楷體" w:hint="eastAsia"/>
          <w:sz w:val="36"/>
          <w:szCs w:val="36"/>
        </w:rPr>
        <w:t>674</w:t>
      </w:r>
      <w:r w:rsidR="002E4D65" w:rsidRPr="000E64D4">
        <w:rPr>
          <w:rFonts w:eastAsia="標楷體" w:hint="eastAsia"/>
          <w:sz w:val="36"/>
          <w:szCs w:val="36"/>
        </w:rPr>
        <w:t>萬元；</w:t>
      </w:r>
      <w:r w:rsidR="009442CF" w:rsidRPr="000E64D4">
        <w:rPr>
          <w:rFonts w:eastAsia="標楷體" w:hint="eastAsia"/>
          <w:sz w:val="36"/>
          <w:szCs w:val="36"/>
        </w:rPr>
        <w:t>19.37</w:t>
      </w:r>
      <w:r w:rsidR="002E4D65" w:rsidRPr="000E64D4">
        <w:rPr>
          <w:rFonts w:eastAsia="標楷體"/>
          <w:sz w:val="36"/>
        </w:rPr>
        <w:t>%)</w:t>
      </w:r>
      <w:r w:rsidR="002E4D65" w:rsidRPr="000E64D4">
        <w:rPr>
          <w:rFonts w:eastAsia="標楷體"/>
          <w:sz w:val="36"/>
        </w:rPr>
        <w:t>、</w:t>
      </w:r>
      <w:r w:rsidR="008F6E64" w:rsidRPr="000E64D4">
        <w:rPr>
          <w:rFonts w:eastAsia="標楷體" w:hint="eastAsia"/>
          <w:sz w:val="36"/>
        </w:rPr>
        <w:t>電子零組件製造業</w:t>
      </w:r>
      <w:r w:rsidR="004C5877" w:rsidRPr="000E64D4">
        <w:rPr>
          <w:rFonts w:eastAsia="標楷體"/>
          <w:sz w:val="36"/>
        </w:rPr>
        <w:t>美金</w:t>
      </w:r>
      <w:r w:rsidR="0070460A" w:rsidRPr="000E64D4">
        <w:rPr>
          <w:rFonts w:eastAsia="標楷體" w:hint="eastAsia"/>
          <w:sz w:val="36"/>
        </w:rPr>
        <w:t>1</w:t>
      </w:r>
      <w:r w:rsidR="00F21EE4" w:rsidRPr="000E64D4">
        <w:rPr>
          <w:rFonts w:eastAsia="標楷體"/>
          <w:sz w:val="36"/>
        </w:rPr>
        <w:t>1</w:t>
      </w:r>
      <w:r w:rsidR="004C5877" w:rsidRPr="000E64D4">
        <w:rPr>
          <w:rFonts w:eastAsia="標楷體"/>
          <w:sz w:val="36"/>
        </w:rPr>
        <w:t>億</w:t>
      </w:r>
      <w:r w:rsidR="009442CF" w:rsidRPr="000E64D4">
        <w:rPr>
          <w:rFonts w:eastAsia="標楷體" w:hint="eastAsia"/>
          <w:sz w:val="36"/>
        </w:rPr>
        <w:lastRenderedPageBreak/>
        <w:t>9,204</w:t>
      </w:r>
      <w:r w:rsidR="004C5877" w:rsidRPr="000E64D4">
        <w:rPr>
          <w:rFonts w:eastAsia="標楷體"/>
          <w:sz w:val="36"/>
        </w:rPr>
        <w:t>萬</w:t>
      </w:r>
      <w:r w:rsidR="009442CF" w:rsidRPr="000E64D4">
        <w:rPr>
          <w:rFonts w:eastAsia="標楷體" w:hint="eastAsia"/>
          <w:sz w:val="36"/>
        </w:rPr>
        <w:t>6</w:t>
      </w:r>
      <w:r w:rsidR="003059FE" w:rsidRPr="000E64D4">
        <w:rPr>
          <w:rFonts w:eastAsia="標楷體" w:hint="eastAsia"/>
          <w:sz w:val="36"/>
        </w:rPr>
        <w:t>,000</w:t>
      </w:r>
      <w:r w:rsidR="004C5877" w:rsidRPr="000E64D4">
        <w:rPr>
          <w:rFonts w:eastAsia="標楷體"/>
          <w:sz w:val="36"/>
        </w:rPr>
        <w:t>元</w:t>
      </w:r>
      <w:r w:rsidR="000A0B99" w:rsidRPr="000E64D4">
        <w:rPr>
          <w:rFonts w:eastAsia="標楷體"/>
          <w:sz w:val="36"/>
        </w:rPr>
        <w:t>(</w:t>
      </w:r>
      <w:r w:rsidR="00931F9C" w:rsidRPr="000E64D4">
        <w:rPr>
          <w:rFonts w:eastAsia="標楷體" w:hint="eastAsia"/>
          <w:sz w:val="36"/>
          <w:szCs w:val="36"/>
        </w:rPr>
        <w:t>折合新臺幣</w:t>
      </w:r>
      <w:r w:rsidR="009442CF" w:rsidRPr="000E64D4">
        <w:rPr>
          <w:rFonts w:eastAsia="標楷體" w:hint="eastAsia"/>
          <w:sz w:val="36"/>
          <w:szCs w:val="36"/>
        </w:rPr>
        <w:t>357</w:t>
      </w:r>
      <w:r w:rsidR="00931F9C" w:rsidRPr="000E64D4">
        <w:rPr>
          <w:rFonts w:eastAsia="標楷體" w:hint="eastAsia"/>
          <w:sz w:val="36"/>
          <w:szCs w:val="36"/>
        </w:rPr>
        <w:t>億</w:t>
      </w:r>
      <w:r w:rsidR="009442CF" w:rsidRPr="000E64D4">
        <w:rPr>
          <w:rFonts w:eastAsia="標楷體" w:hint="eastAsia"/>
          <w:sz w:val="36"/>
          <w:szCs w:val="36"/>
        </w:rPr>
        <w:t>6,138</w:t>
      </w:r>
      <w:r w:rsidR="00931F9C" w:rsidRPr="000E64D4">
        <w:rPr>
          <w:rFonts w:eastAsia="標楷體" w:hint="eastAsia"/>
          <w:sz w:val="36"/>
          <w:szCs w:val="36"/>
        </w:rPr>
        <w:t>萬元；</w:t>
      </w:r>
      <w:r w:rsidR="009442CF" w:rsidRPr="000E64D4">
        <w:rPr>
          <w:rFonts w:eastAsia="標楷體" w:hint="eastAsia"/>
          <w:sz w:val="36"/>
          <w:szCs w:val="36"/>
        </w:rPr>
        <w:t>14.31</w:t>
      </w:r>
      <w:r w:rsidR="004C5877" w:rsidRPr="000E64D4">
        <w:rPr>
          <w:rFonts w:eastAsia="標楷體"/>
          <w:sz w:val="36"/>
        </w:rPr>
        <w:t>%</w:t>
      </w:r>
      <w:r w:rsidR="000754B5" w:rsidRPr="000E64D4">
        <w:rPr>
          <w:rFonts w:eastAsia="標楷體"/>
          <w:sz w:val="36"/>
        </w:rPr>
        <w:t>)</w:t>
      </w:r>
      <w:r w:rsidR="00C63B16" w:rsidRPr="000E64D4">
        <w:rPr>
          <w:rFonts w:eastAsia="標楷體"/>
          <w:sz w:val="36"/>
        </w:rPr>
        <w:t>、</w:t>
      </w:r>
      <w:r w:rsidR="008F6E64" w:rsidRPr="000E64D4">
        <w:rPr>
          <w:rFonts w:eastAsia="標楷體" w:hint="eastAsia"/>
          <w:sz w:val="36"/>
        </w:rPr>
        <w:t>批發及零售</w:t>
      </w:r>
      <w:r w:rsidR="008F6E64" w:rsidRPr="000E64D4">
        <w:rPr>
          <w:rFonts w:eastAsia="標楷體"/>
          <w:sz w:val="36"/>
        </w:rPr>
        <w:t>業</w:t>
      </w:r>
      <w:r w:rsidR="005F2013" w:rsidRPr="000E64D4">
        <w:rPr>
          <w:rFonts w:eastAsia="標楷體"/>
          <w:sz w:val="36"/>
        </w:rPr>
        <w:t>美金</w:t>
      </w:r>
      <w:r w:rsidR="009442CF" w:rsidRPr="000E64D4">
        <w:rPr>
          <w:rFonts w:eastAsia="標楷體" w:hint="eastAsia"/>
          <w:sz w:val="36"/>
        </w:rPr>
        <w:t>10</w:t>
      </w:r>
      <w:r w:rsidR="008C16CA" w:rsidRPr="000E64D4">
        <w:rPr>
          <w:rFonts w:eastAsia="標楷體" w:hint="eastAsia"/>
          <w:sz w:val="36"/>
        </w:rPr>
        <w:t>億</w:t>
      </w:r>
      <w:r w:rsidR="009442CF" w:rsidRPr="000E64D4">
        <w:rPr>
          <w:rFonts w:eastAsia="標楷體" w:hint="eastAsia"/>
          <w:sz w:val="36"/>
        </w:rPr>
        <w:t>4,159</w:t>
      </w:r>
      <w:r w:rsidR="005F2013" w:rsidRPr="000E64D4">
        <w:rPr>
          <w:rFonts w:eastAsia="標楷體"/>
          <w:sz w:val="36"/>
        </w:rPr>
        <w:t>萬</w:t>
      </w:r>
      <w:r w:rsidR="009442CF" w:rsidRPr="000E64D4">
        <w:rPr>
          <w:rFonts w:eastAsia="標楷體" w:hint="eastAsia"/>
          <w:sz w:val="36"/>
        </w:rPr>
        <w:t>6</w:t>
      </w:r>
      <w:r w:rsidR="003059FE" w:rsidRPr="000E64D4">
        <w:rPr>
          <w:rFonts w:eastAsia="標楷體" w:hint="eastAsia"/>
          <w:sz w:val="36"/>
        </w:rPr>
        <w:t>,000</w:t>
      </w:r>
      <w:r w:rsidR="005F2013" w:rsidRPr="000E64D4">
        <w:rPr>
          <w:rFonts w:eastAsia="標楷體"/>
          <w:sz w:val="36"/>
        </w:rPr>
        <w:t>元</w:t>
      </w:r>
      <w:r w:rsidR="000A0B99" w:rsidRPr="000E64D4">
        <w:rPr>
          <w:rFonts w:eastAsia="標楷體"/>
          <w:sz w:val="36"/>
        </w:rPr>
        <w:t>(</w:t>
      </w:r>
      <w:r w:rsidR="005F2013" w:rsidRPr="000E64D4">
        <w:rPr>
          <w:rFonts w:eastAsia="標楷體" w:hint="eastAsia"/>
          <w:sz w:val="36"/>
          <w:szCs w:val="36"/>
        </w:rPr>
        <w:t>折合新臺幣</w:t>
      </w:r>
      <w:r w:rsidR="009442CF" w:rsidRPr="000E64D4">
        <w:rPr>
          <w:rFonts w:eastAsia="標楷體" w:hint="eastAsia"/>
          <w:sz w:val="36"/>
          <w:szCs w:val="36"/>
        </w:rPr>
        <w:t>312</w:t>
      </w:r>
      <w:r w:rsidR="005F2013" w:rsidRPr="000E64D4">
        <w:rPr>
          <w:rFonts w:eastAsia="標楷體" w:hint="eastAsia"/>
          <w:sz w:val="36"/>
          <w:szCs w:val="36"/>
        </w:rPr>
        <w:t>億</w:t>
      </w:r>
      <w:r w:rsidR="009442CF" w:rsidRPr="000E64D4">
        <w:rPr>
          <w:rFonts w:eastAsia="標楷體" w:hint="eastAsia"/>
          <w:sz w:val="36"/>
          <w:szCs w:val="36"/>
        </w:rPr>
        <w:t>4,788</w:t>
      </w:r>
      <w:r w:rsidR="005F2013" w:rsidRPr="000E64D4">
        <w:rPr>
          <w:rFonts w:eastAsia="標楷體" w:hint="eastAsia"/>
          <w:sz w:val="36"/>
          <w:szCs w:val="36"/>
        </w:rPr>
        <w:t>萬元；</w:t>
      </w:r>
      <w:r w:rsidR="009442CF" w:rsidRPr="000E64D4">
        <w:rPr>
          <w:rFonts w:eastAsia="標楷體" w:hint="eastAsia"/>
          <w:sz w:val="36"/>
          <w:szCs w:val="36"/>
        </w:rPr>
        <w:t>12.50</w:t>
      </w:r>
      <w:r w:rsidR="000754B5" w:rsidRPr="000E64D4">
        <w:rPr>
          <w:rFonts w:eastAsia="標楷體"/>
          <w:sz w:val="36"/>
        </w:rPr>
        <w:t>%)</w:t>
      </w:r>
      <w:r w:rsidR="009442CF" w:rsidRPr="000E64D4">
        <w:rPr>
          <w:rFonts w:eastAsia="標楷體" w:hint="eastAsia"/>
          <w:sz w:val="36"/>
        </w:rPr>
        <w:t>及</w:t>
      </w:r>
      <w:r w:rsidR="008F6E64" w:rsidRPr="000E64D4">
        <w:rPr>
          <w:rFonts w:eastAsia="標楷體" w:hint="eastAsia"/>
          <w:sz w:val="36"/>
        </w:rPr>
        <w:t>礦業及土石採取業</w:t>
      </w:r>
      <w:r w:rsidR="00C63B16" w:rsidRPr="000E64D4">
        <w:rPr>
          <w:rFonts w:eastAsia="標楷體"/>
          <w:sz w:val="36"/>
        </w:rPr>
        <w:t>美金</w:t>
      </w:r>
      <w:r w:rsidR="00F55196" w:rsidRPr="000E64D4">
        <w:rPr>
          <w:rFonts w:eastAsia="標楷體"/>
          <w:sz w:val="36"/>
        </w:rPr>
        <w:t>4</w:t>
      </w:r>
      <w:r w:rsidR="00084397" w:rsidRPr="000E64D4">
        <w:rPr>
          <w:rFonts w:eastAsia="標楷體" w:hint="eastAsia"/>
          <w:sz w:val="36"/>
        </w:rPr>
        <w:t>億</w:t>
      </w:r>
      <w:r w:rsidR="00904809" w:rsidRPr="000E64D4">
        <w:rPr>
          <w:rFonts w:eastAsia="標楷體" w:hint="eastAsia"/>
          <w:sz w:val="36"/>
        </w:rPr>
        <w:t>8,356</w:t>
      </w:r>
      <w:r w:rsidR="00C63B16" w:rsidRPr="000E64D4">
        <w:rPr>
          <w:rFonts w:eastAsia="標楷體" w:hint="eastAsia"/>
          <w:sz w:val="36"/>
        </w:rPr>
        <w:t>萬</w:t>
      </w:r>
      <w:r w:rsidR="00F55196" w:rsidRPr="000E64D4">
        <w:rPr>
          <w:rFonts w:eastAsia="標楷體" w:hint="eastAsia"/>
          <w:sz w:val="36"/>
        </w:rPr>
        <w:t>9</w:t>
      </w:r>
      <w:r w:rsidR="00AD15CB" w:rsidRPr="000E64D4">
        <w:rPr>
          <w:rFonts w:eastAsia="標楷體" w:hint="eastAsia"/>
          <w:sz w:val="36"/>
        </w:rPr>
        <w:t>,000</w:t>
      </w:r>
      <w:r w:rsidR="00C63B16" w:rsidRPr="000E64D4">
        <w:rPr>
          <w:rFonts w:eastAsia="標楷體"/>
          <w:sz w:val="36"/>
        </w:rPr>
        <w:t>元</w:t>
      </w:r>
      <w:r w:rsidR="000A0B99" w:rsidRPr="000E64D4">
        <w:rPr>
          <w:rFonts w:eastAsia="標楷體"/>
          <w:sz w:val="36"/>
        </w:rPr>
        <w:t>(</w:t>
      </w:r>
      <w:r w:rsidR="00C63B16" w:rsidRPr="000E64D4">
        <w:rPr>
          <w:rFonts w:eastAsia="標楷體" w:hint="eastAsia"/>
          <w:sz w:val="36"/>
          <w:szCs w:val="36"/>
        </w:rPr>
        <w:t>折合新臺幣</w:t>
      </w:r>
      <w:r w:rsidR="00904809" w:rsidRPr="000E64D4">
        <w:rPr>
          <w:rFonts w:eastAsia="標楷體" w:hint="eastAsia"/>
          <w:sz w:val="36"/>
          <w:szCs w:val="36"/>
        </w:rPr>
        <w:t>145</w:t>
      </w:r>
      <w:r w:rsidR="00C63B16" w:rsidRPr="000E64D4">
        <w:rPr>
          <w:rFonts w:eastAsia="標楷體" w:hint="eastAsia"/>
          <w:sz w:val="36"/>
          <w:szCs w:val="36"/>
        </w:rPr>
        <w:t>億</w:t>
      </w:r>
      <w:r w:rsidR="00904809" w:rsidRPr="000E64D4">
        <w:rPr>
          <w:rFonts w:eastAsia="標楷體" w:hint="eastAsia"/>
          <w:sz w:val="36"/>
          <w:szCs w:val="36"/>
        </w:rPr>
        <w:t>707</w:t>
      </w:r>
      <w:r w:rsidR="00C63B16" w:rsidRPr="000E64D4">
        <w:rPr>
          <w:rFonts w:eastAsia="標楷體" w:hint="eastAsia"/>
          <w:sz w:val="36"/>
          <w:szCs w:val="36"/>
        </w:rPr>
        <w:t>萬元；</w:t>
      </w:r>
      <w:r w:rsidR="009442CF" w:rsidRPr="000E64D4">
        <w:rPr>
          <w:rFonts w:eastAsia="標楷體" w:hint="eastAsia"/>
          <w:sz w:val="36"/>
          <w:szCs w:val="36"/>
        </w:rPr>
        <w:t>5.80</w:t>
      </w:r>
      <w:r w:rsidR="000754B5" w:rsidRPr="000E64D4">
        <w:rPr>
          <w:rFonts w:eastAsia="標楷體"/>
          <w:sz w:val="36"/>
        </w:rPr>
        <w:t>%)</w:t>
      </w:r>
      <w:r w:rsidR="004C5877" w:rsidRPr="000E64D4">
        <w:rPr>
          <w:rFonts w:eastAsia="標楷體"/>
          <w:sz w:val="36"/>
        </w:rPr>
        <w:t>分居前</w:t>
      </w:r>
      <w:r w:rsidR="004C5877" w:rsidRPr="000E64D4">
        <w:rPr>
          <w:rFonts w:eastAsia="標楷體"/>
          <w:sz w:val="36"/>
        </w:rPr>
        <w:t>5</w:t>
      </w:r>
      <w:r w:rsidR="004C5877" w:rsidRPr="000E64D4">
        <w:rPr>
          <w:rFonts w:eastAsia="標楷體"/>
          <w:sz w:val="36"/>
        </w:rPr>
        <w:t>名，合計約占本期核准對外投資總額的</w:t>
      </w:r>
      <w:r w:rsidR="00D60835" w:rsidRPr="000E64D4">
        <w:rPr>
          <w:rFonts w:eastAsia="標楷體" w:hint="eastAsia"/>
          <w:sz w:val="36"/>
        </w:rPr>
        <w:t>73</w:t>
      </w:r>
      <w:r w:rsidR="009442CF" w:rsidRPr="000E64D4">
        <w:rPr>
          <w:rFonts w:eastAsia="標楷體" w:hint="eastAsia"/>
          <w:sz w:val="36"/>
        </w:rPr>
        <w:t>.34</w:t>
      </w:r>
      <w:r w:rsidR="000754B5" w:rsidRPr="000E64D4">
        <w:rPr>
          <w:rFonts w:eastAsia="標楷體"/>
          <w:sz w:val="36"/>
        </w:rPr>
        <w:t>%</w:t>
      </w:r>
      <w:r w:rsidR="000A0B99" w:rsidRPr="000E64D4">
        <w:rPr>
          <w:rFonts w:eastAsia="標楷體"/>
          <w:sz w:val="36"/>
        </w:rPr>
        <w:t>(</w:t>
      </w:r>
      <w:r w:rsidR="004C5877" w:rsidRPr="000E64D4">
        <w:rPr>
          <w:rFonts w:eastAsia="標楷體"/>
          <w:sz w:val="36"/>
        </w:rPr>
        <w:t>請參閱表</w:t>
      </w:r>
      <w:r w:rsidR="004C5877" w:rsidRPr="000E64D4">
        <w:rPr>
          <w:rFonts w:eastAsia="標楷體"/>
          <w:sz w:val="36"/>
        </w:rPr>
        <w:t>3-3)</w:t>
      </w:r>
      <w:r w:rsidR="004C5877" w:rsidRPr="000E64D4">
        <w:rPr>
          <w:rFonts w:eastAsia="標楷體"/>
          <w:sz w:val="36"/>
        </w:rPr>
        <w:t>。</w:t>
      </w:r>
    </w:p>
    <w:p w:rsidR="00E15544" w:rsidRPr="000E64D4" w:rsidRDefault="004C5877">
      <w:pPr>
        <w:pStyle w:val="2"/>
        <w:spacing w:before="188" w:line="240" w:lineRule="auto"/>
        <w:ind w:firstLine="0"/>
      </w:pPr>
      <w:r w:rsidRPr="000E64D4">
        <w:t>四、對中國大陸投資部分：</w:t>
      </w:r>
    </w:p>
    <w:p w:rsidR="00E15544" w:rsidRPr="000E64D4" w:rsidRDefault="00642349">
      <w:pPr>
        <w:pStyle w:val="2"/>
        <w:spacing w:before="188" w:line="240" w:lineRule="auto"/>
        <w:ind w:firstLine="796"/>
      </w:pPr>
      <w:r w:rsidRPr="000E64D4">
        <w:rPr>
          <w:rFonts w:hint="eastAsia"/>
          <w:szCs w:val="36"/>
        </w:rPr>
        <w:t>111</w:t>
      </w:r>
      <w:r w:rsidRPr="000E64D4">
        <w:rPr>
          <w:rFonts w:hint="eastAsia"/>
          <w:szCs w:val="36"/>
        </w:rPr>
        <w:t>年</w:t>
      </w:r>
      <w:r w:rsidR="008F4C55" w:rsidRPr="000E64D4">
        <w:rPr>
          <w:szCs w:val="36"/>
        </w:rPr>
        <w:t>10</w:t>
      </w:r>
      <w:r w:rsidRPr="000E64D4">
        <w:rPr>
          <w:rFonts w:hint="eastAsia"/>
          <w:szCs w:val="36"/>
        </w:rPr>
        <w:t>月</w:t>
      </w:r>
      <w:r w:rsidR="00A608A6" w:rsidRPr="000E64D4">
        <w:rPr>
          <w:rFonts w:hint="eastAsia"/>
          <w:szCs w:val="36"/>
        </w:rPr>
        <w:t>份</w:t>
      </w:r>
      <w:r w:rsidR="004C5877" w:rsidRPr="000E64D4">
        <w:t>單月我對中國大陸投資核准件數為</w:t>
      </w:r>
      <w:r w:rsidR="008F4C55" w:rsidRPr="000E64D4">
        <w:t>27</w:t>
      </w:r>
      <w:r w:rsidR="004C5877" w:rsidRPr="000E64D4">
        <w:t>件，核准投資金額為美金</w:t>
      </w:r>
      <w:r w:rsidR="008F4C55" w:rsidRPr="000E64D4">
        <w:rPr>
          <w:rFonts w:hint="eastAsia"/>
          <w:szCs w:val="36"/>
        </w:rPr>
        <w:t>11</w:t>
      </w:r>
      <w:r w:rsidR="005A170B" w:rsidRPr="000E64D4">
        <w:rPr>
          <w:szCs w:val="36"/>
        </w:rPr>
        <w:t>億</w:t>
      </w:r>
      <w:r w:rsidR="008F4C55" w:rsidRPr="000E64D4">
        <w:rPr>
          <w:rFonts w:hint="eastAsia"/>
          <w:szCs w:val="36"/>
        </w:rPr>
        <w:t>1,585</w:t>
      </w:r>
      <w:r w:rsidR="005A170B" w:rsidRPr="000E64D4">
        <w:rPr>
          <w:szCs w:val="36"/>
        </w:rPr>
        <w:t>萬元</w:t>
      </w:r>
      <w:r w:rsidR="005A170B" w:rsidRPr="000E64D4">
        <w:rPr>
          <w:rFonts w:hint="eastAsia"/>
          <w:szCs w:val="36"/>
        </w:rPr>
        <w:t>(</w:t>
      </w:r>
      <w:r w:rsidR="005A170B" w:rsidRPr="000E64D4">
        <w:rPr>
          <w:rFonts w:hint="eastAsia"/>
          <w:szCs w:val="36"/>
        </w:rPr>
        <w:t>折合新臺幣</w:t>
      </w:r>
      <w:r w:rsidR="008F4C55" w:rsidRPr="000E64D4">
        <w:rPr>
          <w:rFonts w:hint="eastAsia"/>
          <w:szCs w:val="36"/>
        </w:rPr>
        <w:t>334</w:t>
      </w:r>
      <w:r w:rsidR="00884E3F" w:rsidRPr="000E64D4">
        <w:rPr>
          <w:rFonts w:hint="eastAsia"/>
          <w:szCs w:val="36"/>
        </w:rPr>
        <w:t>億</w:t>
      </w:r>
      <w:r w:rsidR="008F4C55" w:rsidRPr="000E64D4">
        <w:rPr>
          <w:rFonts w:hint="eastAsia"/>
          <w:szCs w:val="36"/>
        </w:rPr>
        <w:t>7,550</w:t>
      </w:r>
      <w:r w:rsidR="00884E3F" w:rsidRPr="000E64D4">
        <w:rPr>
          <w:rFonts w:hint="eastAsia"/>
          <w:szCs w:val="36"/>
        </w:rPr>
        <w:t>萬</w:t>
      </w:r>
      <w:r w:rsidR="005A170B" w:rsidRPr="000E64D4">
        <w:rPr>
          <w:rFonts w:hint="eastAsia"/>
          <w:szCs w:val="36"/>
        </w:rPr>
        <w:t>元</w:t>
      </w:r>
      <w:r w:rsidR="005A170B" w:rsidRPr="000E64D4">
        <w:rPr>
          <w:rFonts w:hint="eastAsia"/>
          <w:szCs w:val="36"/>
        </w:rPr>
        <w:t>)</w:t>
      </w:r>
      <w:r w:rsidR="004C5877" w:rsidRPr="000E64D4">
        <w:t>。有關</w:t>
      </w:r>
      <w:r w:rsidRPr="000E64D4">
        <w:rPr>
          <w:rFonts w:hint="eastAsia"/>
          <w:szCs w:val="36"/>
        </w:rPr>
        <w:t>111</w:t>
      </w:r>
      <w:r w:rsidRPr="000E64D4">
        <w:rPr>
          <w:rFonts w:hint="eastAsia"/>
          <w:szCs w:val="36"/>
        </w:rPr>
        <w:t>年</w:t>
      </w:r>
      <w:r w:rsidR="008F4C55" w:rsidRPr="000E64D4">
        <w:rPr>
          <w:rFonts w:hint="eastAsia"/>
          <w:szCs w:val="36"/>
        </w:rPr>
        <w:t>10</w:t>
      </w:r>
      <w:r w:rsidRPr="000E64D4">
        <w:rPr>
          <w:rFonts w:hint="eastAsia"/>
          <w:szCs w:val="36"/>
        </w:rPr>
        <w:t>月</w:t>
      </w:r>
      <w:r w:rsidR="004C5877" w:rsidRPr="000E64D4">
        <w:t>及最近</w:t>
      </w:r>
      <w:r w:rsidR="004C5877" w:rsidRPr="000E64D4">
        <w:t>2</w:t>
      </w:r>
      <w:r w:rsidR="004C5877" w:rsidRPr="000E64D4">
        <w:t>年對中國大陸投資概況，詳如</w:t>
      </w:r>
      <w:r w:rsidR="00BF3A4F" w:rsidRPr="000E64D4">
        <w:rPr>
          <w:rFonts w:hint="eastAsia"/>
        </w:rPr>
        <w:t>表</w:t>
      </w:r>
      <w:r w:rsidR="004C5877" w:rsidRPr="000E64D4">
        <w:t>4-1</w:t>
      </w:r>
      <w:r w:rsidR="004C5877" w:rsidRPr="000E64D4">
        <w:t>。</w:t>
      </w:r>
    </w:p>
    <w:p w:rsidR="00E15544" w:rsidRPr="000E64D4" w:rsidRDefault="00642349" w:rsidP="00AA719D">
      <w:pPr>
        <w:ind w:firstLine="811"/>
        <w:jc w:val="both"/>
        <w:rPr>
          <w:rFonts w:eastAsia="標楷體"/>
          <w:sz w:val="36"/>
          <w:szCs w:val="36"/>
        </w:rPr>
      </w:pPr>
      <w:r w:rsidRPr="000E64D4">
        <w:rPr>
          <w:rFonts w:eastAsia="標楷體" w:hint="eastAsia"/>
          <w:sz w:val="36"/>
          <w:szCs w:val="36"/>
        </w:rPr>
        <w:t>111</w:t>
      </w:r>
      <w:r w:rsidRPr="000E64D4">
        <w:rPr>
          <w:rFonts w:eastAsia="標楷體" w:hint="eastAsia"/>
          <w:sz w:val="36"/>
          <w:szCs w:val="36"/>
        </w:rPr>
        <w:t>年</w:t>
      </w:r>
      <w:r w:rsidR="001423FF" w:rsidRPr="000E64D4">
        <w:rPr>
          <w:rFonts w:eastAsia="標楷體" w:hint="eastAsia"/>
          <w:sz w:val="36"/>
          <w:szCs w:val="36"/>
        </w:rPr>
        <w:t>1-</w:t>
      </w:r>
      <w:r w:rsidR="008F4C55" w:rsidRPr="000E64D4">
        <w:rPr>
          <w:rFonts w:eastAsia="標楷體" w:hint="eastAsia"/>
          <w:sz w:val="36"/>
          <w:szCs w:val="36"/>
        </w:rPr>
        <w:t>10</w:t>
      </w:r>
      <w:r w:rsidR="001423FF" w:rsidRPr="000E64D4">
        <w:rPr>
          <w:rFonts w:eastAsia="標楷體" w:hint="eastAsia"/>
          <w:sz w:val="36"/>
          <w:szCs w:val="36"/>
        </w:rPr>
        <w:t>月</w:t>
      </w:r>
      <w:r w:rsidR="004C5877" w:rsidRPr="000E64D4">
        <w:rPr>
          <w:rFonts w:eastAsia="標楷體"/>
          <w:sz w:val="36"/>
        </w:rPr>
        <w:t>核准對中國大陸投資案件，若以投資地區分，主要集中於</w:t>
      </w:r>
      <w:r w:rsidR="008F4C55" w:rsidRPr="000E64D4">
        <w:rPr>
          <w:rFonts w:eastAsia="標楷體" w:hint="eastAsia"/>
          <w:sz w:val="36"/>
        </w:rPr>
        <w:t>福建省</w:t>
      </w:r>
      <w:r w:rsidR="008F4C55" w:rsidRPr="000E64D4">
        <w:rPr>
          <w:rFonts w:eastAsia="標楷體"/>
          <w:sz w:val="36"/>
        </w:rPr>
        <w:t>美金</w:t>
      </w:r>
      <w:r w:rsidR="008F4C55" w:rsidRPr="000E64D4">
        <w:rPr>
          <w:rFonts w:eastAsia="標楷體" w:hint="eastAsia"/>
          <w:sz w:val="36"/>
        </w:rPr>
        <w:t>10</w:t>
      </w:r>
      <w:r w:rsidR="008F4C55" w:rsidRPr="000E64D4">
        <w:rPr>
          <w:rFonts w:eastAsia="標楷體" w:hint="eastAsia"/>
          <w:sz w:val="36"/>
        </w:rPr>
        <w:t>億</w:t>
      </w:r>
      <w:r w:rsidR="008F4C55" w:rsidRPr="000E64D4">
        <w:rPr>
          <w:rFonts w:eastAsia="標楷體" w:hint="eastAsia"/>
          <w:sz w:val="36"/>
        </w:rPr>
        <w:t>9,793</w:t>
      </w:r>
      <w:r w:rsidR="008F4C55" w:rsidRPr="000E64D4">
        <w:rPr>
          <w:rFonts w:eastAsia="標楷體"/>
          <w:sz w:val="36"/>
        </w:rPr>
        <w:t>萬</w:t>
      </w:r>
      <w:r w:rsidR="008F4C55" w:rsidRPr="000E64D4">
        <w:rPr>
          <w:rFonts w:eastAsia="標楷體" w:hint="eastAsia"/>
          <w:sz w:val="36"/>
        </w:rPr>
        <w:t>5,000</w:t>
      </w:r>
      <w:r w:rsidR="008F4C55" w:rsidRPr="000E64D4">
        <w:rPr>
          <w:rFonts w:eastAsia="標楷體"/>
          <w:sz w:val="36"/>
        </w:rPr>
        <w:t>元</w:t>
      </w:r>
      <w:r w:rsidR="008F4C55" w:rsidRPr="000E64D4">
        <w:rPr>
          <w:rFonts w:eastAsia="標楷體"/>
          <w:sz w:val="36"/>
        </w:rPr>
        <w:t>(</w:t>
      </w:r>
      <w:r w:rsidR="008F4C55" w:rsidRPr="000E64D4">
        <w:rPr>
          <w:rFonts w:eastAsia="標楷體" w:hint="eastAsia"/>
          <w:sz w:val="36"/>
          <w:szCs w:val="36"/>
        </w:rPr>
        <w:t>折合新臺幣</w:t>
      </w:r>
      <w:r w:rsidR="008F4C55" w:rsidRPr="000E64D4">
        <w:rPr>
          <w:rFonts w:eastAsia="標楷體" w:hint="eastAsia"/>
          <w:sz w:val="36"/>
          <w:szCs w:val="36"/>
        </w:rPr>
        <w:t>329</w:t>
      </w:r>
      <w:r w:rsidR="008F4C55" w:rsidRPr="000E64D4">
        <w:rPr>
          <w:rFonts w:eastAsia="標楷體" w:hint="eastAsia"/>
          <w:sz w:val="36"/>
          <w:szCs w:val="36"/>
        </w:rPr>
        <w:t>億</w:t>
      </w:r>
      <w:r w:rsidR="008F4C55" w:rsidRPr="000E64D4">
        <w:rPr>
          <w:rFonts w:eastAsia="標楷體" w:hint="eastAsia"/>
          <w:sz w:val="36"/>
          <w:szCs w:val="36"/>
        </w:rPr>
        <w:t>3,805</w:t>
      </w:r>
      <w:r w:rsidR="008F4C55" w:rsidRPr="000E64D4">
        <w:rPr>
          <w:rFonts w:eastAsia="標楷體" w:hint="eastAsia"/>
          <w:sz w:val="36"/>
          <w:szCs w:val="36"/>
        </w:rPr>
        <w:t>萬元；</w:t>
      </w:r>
      <w:r w:rsidR="008F4C55" w:rsidRPr="000E64D4">
        <w:rPr>
          <w:rFonts w:eastAsia="標楷體" w:hint="eastAsia"/>
          <w:sz w:val="36"/>
          <w:szCs w:val="36"/>
        </w:rPr>
        <w:t>26.37</w:t>
      </w:r>
      <w:r w:rsidR="008F4C55" w:rsidRPr="000E64D4">
        <w:rPr>
          <w:rFonts w:eastAsia="標楷體"/>
          <w:sz w:val="36"/>
        </w:rPr>
        <w:t>%)</w:t>
      </w:r>
      <w:r w:rsidR="008F4C55" w:rsidRPr="000E64D4">
        <w:rPr>
          <w:rFonts w:eastAsia="標楷體"/>
          <w:sz w:val="36"/>
        </w:rPr>
        <w:t>、</w:t>
      </w:r>
      <w:r w:rsidR="007305CA" w:rsidRPr="000E64D4">
        <w:rPr>
          <w:rFonts w:eastAsia="標楷體" w:hint="eastAsia"/>
          <w:sz w:val="36"/>
        </w:rPr>
        <w:t>江蘇省</w:t>
      </w:r>
      <w:r w:rsidR="004C5877" w:rsidRPr="000E64D4">
        <w:rPr>
          <w:rFonts w:eastAsia="標楷體"/>
          <w:sz w:val="36"/>
        </w:rPr>
        <w:t>美金</w:t>
      </w:r>
      <w:r w:rsidR="008F4C55" w:rsidRPr="000E64D4">
        <w:rPr>
          <w:rFonts w:eastAsia="標楷體" w:hint="eastAsia"/>
          <w:sz w:val="36"/>
        </w:rPr>
        <w:t>10</w:t>
      </w:r>
      <w:r w:rsidR="00D55BE0" w:rsidRPr="000E64D4">
        <w:rPr>
          <w:rFonts w:eastAsia="標楷體" w:hint="eastAsia"/>
          <w:sz w:val="36"/>
        </w:rPr>
        <w:t>億</w:t>
      </w:r>
      <w:r w:rsidR="008F4C55" w:rsidRPr="000E64D4">
        <w:rPr>
          <w:rFonts w:eastAsia="標楷體" w:hint="eastAsia"/>
          <w:sz w:val="36"/>
        </w:rPr>
        <w:t>4,693</w:t>
      </w:r>
      <w:r w:rsidR="00B80B97" w:rsidRPr="000E64D4">
        <w:rPr>
          <w:rFonts w:eastAsia="標楷體" w:hint="eastAsia"/>
          <w:sz w:val="36"/>
        </w:rPr>
        <w:t>萬</w:t>
      </w:r>
      <w:r w:rsidR="008F4C55" w:rsidRPr="000E64D4">
        <w:rPr>
          <w:rFonts w:eastAsia="標楷體" w:hint="eastAsia"/>
          <w:sz w:val="36"/>
        </w:rPr>
        <w:t>2</w:t>
      </w:r>
      <w:r w:rsidR="00B21108" w:rsidRPr="000E64D4">
        <w:rPr>
          <w:rFonts w:eastAsia="標楷體"/>
          <w:sz w:val="36"/>
        </w:rPr>
        <w:t>,</w:t>
      </w:r>
      <w:r w:rsidR="00062C0F" w:rsidRPr="000E64D4">
        <w:rPr>
          <w:rFonts w:eastAsia="標楷體" w:hint="eastAsia"/>
          <w:sz w:val="36"/>
        </w:rPr>
        <w:t>000</w:t>
      </w:r>
      <w:r w:rsidR="004C5877" w:rsidRPr="000E64D4">
        <w:rPr>
          <w:rFonts w:eastAsia="標楷體"/>
          <w:sz w:val="36"/>
        </w:rPr>
        <w:t>元</w:t>
      </w:r>
      <w:r w:rsidR="000A0B99" w:rsidRPr="000E64D4">
        <w:rPr>
          <w:rFonts w:eastAsia="標楷體"/>
          <w:sz w:val="36"/>
        </w:rPr>
        <w:t>(</w:t>
      </w:r>
      <w:r w:rsidR="00480DD8" w:rsidRPr="000E64D4">
        <w:rPr>
          <w:rFonts w:eastAsia="標楷體" w:hint="eastAsia"/>
          <w:sz w:val="36"/>
          <w:szCs w:val="36"/>
        </w:rPr>
        <w:t>折合新臺幣</w:t>
      </w:r>
      <w:r w:rsidR="008F4C55" w:rsidRPr="000E64D4">
        <w:rPr>
          <w:rFonts w:eastAsia="標楷體" w:hint="eastAsia"/>
          <w:sz w:val="36"/>
          <w:szCs w:val="36"/>
        </w:rPr>
        <w:t>314</w:t>
      </w:r>
      <w:r w:rsidR="00480DD8" w:rsidRPr="000E64D4">
        <w:rPr>
          <w:rFonts w:eastAsia="標楷體" w:hint="eastAsia"/>
          <w:sz w:val="36"/>
          <w:szCs w:val="36"/>
        </w:rPr>
        <w:t>億</w:t>
      </w:r>
      <w:r w:rsidR="008F4C55" w:rsidRPr="000E64D4">
        <w:rPr>
          <w:rFonts w:eastAsia="標楷體" w:hint="eastAsia"/>
          <w:sz w:val="36"/>
          <w:szCs w:val="36"/>
        </w:rPr>
        <w:t>796</w:t>
      </w:r>
      <w:r w:rsidR="00480DD8" w:rsidRPr="000E64D4">
        <w:rPr>
          <w:rFonts w:eastAsia="標楷體" w:hint="eastAsia"/>
          <w:sz w:val="36"/>
          <w:szCs w:val="36"/>
        </w:rPr>
        <w:t>萬元；</w:t>
      </w:r>
      <w:r w:rsidR="008F4C55" w:rsidRPr="000E64D4">
        <w:rPr>
          <w:rFonts w:eastAsia="標楷體" w:hint="eastAsia"/>
          <w:sz w:val="36"/>
          <w:szCs w:val="36"/>
        </w:rPr>
        <w:t>25.15</w:t>
      </w:r>
      <w:r w:rsidR="000754B5" w:rsidRPr="000E64D4">
        <w:rPr>
          <w:rFonts w:eastAsia="標楷體"/>
          <w:sz w:val="36"/>
        </w:rPr>
        <w:t>%)</w:t>
      </w:r>
      <w:r w:rsidR="004C5877" w:rsidRPr="000E64D4">
        <w:rPr>
          <w:rFonts w:eastAsia="標楷體"/>
          <w:sz w:val="36"/>
        </w:rPr>
        <w:t>、</w:t>
      </w:r>
      <w:r w:rsidR="008F4C55" w:rsidRPr="000E64D4">
        <w:rPr>
          <w:rFonts w:eastAsia="標楷體" w:hint="eastAsia"/>
          <w:sz w:val="36"/>
        </w:rPr>
        <w:t>廣東省</w:t>
      </w:r>
      <w:r w:rsidR="008F4C55" w:rsidRPr="000E64D4">
        <w:rPr>
          <w:rFonts w:eastAsia="標楷體"/>
          <w:sz w:val="36"/>
        </w:rPr>
        <w:t>美金</w:t>
      </w:r>
      <w:r w:rsidR="008F4C55" w:rsidRPr="000E64D4">
        <w:rPr>
          <w:rFonts w:eastAsia="標楷體"/>
          <w:sz w:val="36"/>
        </w:rPr>
        <w:t>5</w:t>
      </w:r>
      <w:r w:rsidR="008F4C55" w:rsidRPr="000E64D4">
        <w:rPr>
          <w:rFonts w:eastAsia="標楷體" w:hint="eastAsia"/>
          <w:sz w:val="36"/>
        </w:rPr>
        <w:t>億</w:t>
      </w:r>
      <w:r w:rsidR="008F4C55" w:rsidRPr="000E64D4">
        <w:rPr>
          <w:rFonts w:eastAsia="標楷體" w:hint="eastAsia"/>
          <w:sz w:val="36"/>
        </w:rPr>
        <w:t>6,261</w:t>
      </w:r>
      <w:r w:rsidR="008F4C55" w:rsidRPr="000E64D4">
        <w:rPr>
          <w:rFonts w:eastAsia="標楷體"/>
          <w:sz w:val="36"/>
        </w:rPr>
        <w:t>萬</w:t>
      </w:r>
      <w:r w:rsidR="008F4C55" w:rsidRPr="000E64D4">
        <w:rPr>
          <w:rFonts w:eastAsia="標楷體" w:hint="eastAsia"/>
          <w:sz w:val="36"/>
        </w:rPr>
        <w:t>6,000</w:t>
      </w:r>
      <w:r w:rsidR="008F4C55" w:rsidRPr="000E64D4">
        <w:rPr>
          <w:rFonts w:eastAsia="標楷體"/>
          <w:sz w:val="36"/>
        </w:rPr>
        <w:t>元</w:t>
      </w:r>
      <w:r w:rsidR="008F4C55" w:rsidRPr="000E64D4">
        <w:rPr>
          <w:rFonts w:eastAsia="標楷體"/>
          <w:sz w:val="36"/>
        </w:rPr>
        <w:t>(</w:t>
      </w:r>
      <w:r w:rsidR="008F4C55" w:rsidRPr="000E64D4">
        <w:rPr>
          <w:rFonts w:eastAsia="標楷體" w:hint="eastAsia"/>
          <w:sz w:val="36"/>
          <w:szCs w:val="36"/>
        </w:rPr>
        <w:t>折合新臺幣</w:t>
      </w:r>
      <w:r w:rsidR="00784B32" w:rsidRPr="000E64D4">
        <w:rPr>
          <w:rFonts w:eastAsia="標楷體" w:hint="eastAsia"/>
          <w:sz w:val="36"/>
          <w:szCs w:val="36"/>
        </w:rPr>
        <w:t>168</w:t>
      </w:r>
      <w:r w:rsidR="008F4C55" w:rsidRPr="000E64D4">
        <w:rPr>
          <w:rFonts w:eastAsia="標楷體" w:hint="eastAsia"/>
          <w:sz w:val="36"/>
          <w:szCs w:val="36"/>
        </w:rPr>
        <w:t>億</w:t>
      </w:r>
      <w:r w:rsidR="00784B32" w:rsidRPr="000E64D4">
        <w:rPr>
          <w:rFonts w:eastAsia="標楷體" w:hint="eastAsia"/>
          <w:sz w:val="36"/>
          <w:szCs w:val="36"/>
        </w:rPr>
        <w:t>7,848</w:t>
      </w:r>
      <w:r w:rsidR="008F4C55" w:rsidRPr="000E64D4">
        <w:rPr>
          <w:rFonts w:eastAsia="標楷體" w:hint="eastAsia"/>
          <w:sz w:val="36"/>
          <w:szCs w:val="36"/>
        </w:rPr>
        <w:t>萬元；</w:t>
      </w:r>
      <w:r w:rsidR="00784B32" w:rsidRPr="000E64D4">
        <w:rPr>
          <w:rFonts w:eastAsia="標楷體" w:hint="eastAsia"/>
          <w:sz w:val="36"/>
          <w:szCs w:val="36"/>
        </w:rPr>
        <w:t>13.51</w:t>
      </w:r>
      <w:r w:rsidR="008F4C55" w:rsidRPr="000E64D4">
        <w:rPr>
          <w:rFonts w:eastAsia="標楷體"/>
          <w:sz w:val="36"/>
        </w:rPr>
        <w:t>%)</w:t>
      </w:r>
      <w:r w:rsidR="008F4C55" w:rsidRPr="000E64D4">
        <w:rPr>
          <w:rFonts w:eastAsia="標楷體" w:hint="eastAsia"/>
          <w:sz w:val="36"/>
        </w:rPr>
        <w:t>、</w:t>
      </w:r>
      <w:r w:rsidR="007305CA" w:rsidRPr="000E64D4">
        <w:rPr>
          <w:rFonts w:eastAsia="標楷體" w:hint="eastAsia"/>
          <w:sz w:val="36"/>
        </w:rPr>
        <w:t>上海市</w:t>
      </w:r>
      <w:r w:rsidR="00C46466" w:rsidRPr="000E64D4">
        <w:rPr>
          <w:rFonts w:eastAsia="標楷體"/>
          <w:sz w:val="36"/>
        </w:rPr>
        <w:t>美金</w:t>
      </w:r>
      <w:r w:rsidR="00C30DDA" w:rsidRPr="000E64D4">
        <w:rPr>
          <w:rFonts w:eastAsia="標楷體" w:hint="eastAsia"/>
          <w:sz w:val="36"/>
        </w:rPr>
        <w:t>5</w:t>
      </w:r>
      <w:r w:rsidR="00F01968" w:rsidRPr="000E64D4">
        <w:rPr>
          <w:rFonts w:eastAsia="標楷體" w:hint="eastAsia"/>
          <w:sz w:val="36"/>
        </w:rPr>
        <w:t>億</w:t>
      </w:r>
      <w:r w:rsidR="00784B32" w:rsidRPr="000E64D4">
        <w:rPr>
          <w:rFonts w:eastAsia="標楷體" w:hint="eastAsia"/>
          <w:sz w:val="36"/>
        </w:rPr>
        <w:t>2,999</w:t>
      </w:r>
      <w:r w:rsidR="00C46466" w:rsidRPr="000E64D4">
        <w:rPr>
          <w:rFonts w:eastAsia="標楷體"/>
          <w:sz w:val="36"/>
        </w:rPr>
        <w:t>萬</w:t>
      </w:r>
      <w:r w:rsidR="00784B32" w:rsidRPr="000E64D4">
        <w:rPr>
          <w:rFonts w:eastAsia="標楷體" w:hint="eastAsia"/>
          <w:sz w:val="36"/>
        </w:rPr>
        <w:t>9</w:t>
      </w:r>
      <w:r w:rsidR="00C30DDA" w:rsidRPr="000E64D4">
        <w:rPr>
          <w:rFonts w:eastAsia="標楷體" w:hint="eastAsia"/>
          <w:sz w:val="36"/>
        </w:rPr>
        <w:t>,000</w:t>
      </w:r>
      <w:r w:rsidR="00C46466" w:rsidRPr="000E64D4">
        <w:rPr>
          <w:rFonts w:eastAsia="標楷體"/>
          <w:sz w:val="36"/>
        </w:rPr>
        <w:t>元</w:t>
      </w:r>
      <w:r w:rsidR="000A0B99" w:rsidRPr="000E64D4">
        <w:rPr>
          <w:rFonts w:eastAsia="標楷體"/>
          <w:sz w:val="36"/>
        </w:rPr>
        <w:t>(</w:t>
      </w:r>
      <w:r w:rsidR="00B23A93" w:rsidRPr="000E64D4">
        <w:rPr>
          <w:rFonts w:eastAsia="標楷體" w:hint="eastAsia"/>
          <w:sz w:val="36"/>
          <w:szCs w:val="36"/>
        </w:rPr>
        <w:t>折合新臺幣</w:t>
      </w:r>
      <w:r w:rsidR="00784B32" w:rsidRPr="000E64D4">
        <w:rPr>
          <w:rFonts w:eastAsia="標楷體" w:hint="eastAsia"/>
          <w:sz w:val="36"/>
          <w:szCs w:val="36"/>
        </w:rPr>
        <w:t>158</w:t>
      </w:r>
      <w:r w:rsidR="00B23A93" w:rsidRPr="000E64D4">
        <w:rPr>
          <w:rFonts w:eastAsia="標楷體" w:hint="eastAsia"/>
          <w:sz w:val="36"/>
          <w:szCs w:val="36"/>
        </w:rPr>
        <w:t>億</w:t>
      </w:r>
      <w:r w:rsidR="00784B32" w:rsidRPr="000E64D4">
        <w:rPr>
          <w:rFonts w:eastAsia="標楷體" w:hint="eastAsia"/>
          <w:sz w:val="36"/>
          <w:szCs w:val="36"/>
        </w:rPr>
        <w:t>9,997</w:t>
      </w:r>
      <w:r w:rsidR="00B23A93" w:rsidRPr="000E64D4">
        <w:rPr>
          <w:rFonts w:eastAsia="標楷體" w:hint="eastAsia"/>
          <w:sz w:val="36"/>
          <w:szCs w:val="36"/>
        </w:rPr>
        <w:t>萬元；</w:t>
      </w:r>
      <w:r w:rsidR="00784B32" w:rsidRPr="000E64D4">
        <w:rPr>
          <w:rFonts w:eastAsia="標楷體" w:hint="eastAsia"/>
          <w:sz w:val="36"/>
          <w:szCs w:val="36"/>
        </w:rPr>
        <w:t>12.73</w:t>
      </w:r>
      <w:r w:rsidR="000754B5" w:rsidRPr="000E64D4">
        <w:rPr>
          <w:rFonts w:eastAsia="標楷體"/>
          <w:sz w:val="36"/>
        </w:rPr>
        <w:t>%)</w:t>
      </w:r>
      <w:r w:rsidR="00784B32" w:rsidRPr="000E64D4">
        <w:rPr>
          <w:rFonts w:eastAsia="標楷體" w:hint="eastAsia"/>
          <w:sz w:val="36"/>
        </w:rPr>
        <w:t>及</w:t>
      </w:r>
      <w:r w:rsidR="0006467C" w:rsidRPr="000E64D4">
        <w:rPr>
          <w:rFonts w:eastAsia="標楷體" w:hint="eastAsia"/>
          <w:sz w:val="36"/>
        </w:rPr>
        <w:t>浙江省</w:t>
      </w:r>
      <w:r w:rsidR="004C5877" w:rsidRPr="000E64D4">
        <w:rPr>
          <w:rFonts w:eastAsia="標楷體"/>
          <w:sz w:val="36"/>
        </w:rPr>
        <w:t>美金</w:t>
      </w:r>
      <w:r w:rsidR="00947121" w:rsidRPr="000E64D4">
        <w:rPr>
          <w:rFonts w:eastAsia="標楷體"/>
          <w:sz w:val="36"/>
        </w:rPr>
        <w:t>3</w:t>
      </w:r>
      <w:r w:rsidR="00E7715C" w:rsidRPr="000E64D4">
        <w:rPr>
          <w:rFonts w:eastAsia="標楷體" w:hint="eastAsia"/>
          <w:sz w:val="36"/>
        </w:rPr>
        <w:t>億</w:t>
      </w:r>
      <w:r w:rsidR="00784B32" w:rsidRPr="000E64D4">
        <w:rPr>
          <w:rFonts w:eastAsia="標楷體" w:hint="eastAsia"/>
          <w:sz w:val="36"/>
        </w:rPr>
        <w:t>7,296</w:t>
      </w:r>
      <w:r w:rsidR="00855B66" w:rsidRPr="000E64D4">
        <w:rPr>
          <w:rFonts w:eastAsia="標楷體" w:hint="eastAsia"/>
          <w:sz w:val="36"/>
        </w:rPr>
        <w:t>萬</w:t>
      </w:r>
      <w:r w:rsidR="00784B32" w:rsidRPr="000E64D4">
        <w:rPr>
          <w:rFonts w:eastAsia="標楷體" w:hint="eastAsia"/>
          <w:sz w:val="36"/>
        </w:rPr>
        <w:t>4</w:t>
      </w:r>
      <w:r w:rsidR="009110BD" w:rsidRPr="000E64D4">
        <w:rPr>
          <w:rFonts w:eastAsia="標楷體" w:hint="eastAsia"/>
          <w:sz w:val="36"/>
        </w:rPr>
        <w:t>,000</w:t>
      </w:r>
      <w:r w:rsidR="004C5877" w:rsidRPr="000E64D4">
        <w:rPr>
          <w:rFonts w:eastAsia="標楷體"/>
          <w:sz w:val="36"/>
        </w:rPr>
        <w:t>元</w:t>
      </w:r>
      <w:r w:rsidR="000A0B99" w:rsidRPr="000E64D4">
        <w:rPr>
          <w:rFonts w:eastAsia="標楷體"/>
          <w:sz w:val="36"/>
        </w:rPr>
        <w:t>(</w:t>
      </w:r>
      <w:r w:rsidR="00B23A93" w:rsidRPr="000E64D4">
        <w:rPr>
          <w:rFonts w:eastAsia="標楷體" w:hint="eastAsia"/>
          <w:sz w:val="36"/>
          <w:szCs w:val="36"/>
        </w:rPr>
        <w:t>折合新臺幣</w:t>
      </w:r>
      <w:r w:rsidR="00784B32" w:rsidRPr="000E64D4">
        <w:rPr>
          <w:rFonts w:eastAsia="標楷體" w:hint="eastAsia"/>
          <w:sz w:val="36"/>
          <w:szCs w:val="36"/>
        </w:rPr>
        <w:t>111</w:t>
      </w:r>
      <w:r w:rsidR="00784B32" w:rsidRPr="000E64D4">
        <w:rPr>
          <w:rFonts w:eastAsia="標楷體" w:hint="eastAsia"/>
          <w:sz w:val="36"/>
          <w:szCs w:val="36"/>
        </w:rPr>
        <w:t>億</w:t>
      </w:r>
      <w:r w:rsidR="00784B32" w:rsidRPr="000E64D4">
        <w:rPr>
          <w:rFonts w:eastAsia="標楷體" w:hint="eastAsia"/>
          <w:sz w:val="36"/>
          <w:szCs w:val="36"/>
        </w:rPr>
        <w:t>8,892</w:t>
      </w:r>
      <w:r w:rsidR="00AA719D" w:rsidRPr="000E64D4">
        <w:rPr>
          <w:rFonts w:eastAsia="標楷體" w:hint="eastAsia"/>
          <w:sz w:val="36"/>
          <w:szCs w:val="36"/>
        </w:rPr>
        <w:t>萬</w:t>
      </w:r>
      <w:r w:rsidR="00B23A93" w:rsidRPr="000E64D4">
        <w:rPr>
          <w:rFonts w:eastAsia="標楷體" w:hint="eastAsia"/>
          <w:sz w:val="36"/>
          <w:szCs w:val="36"/>
        </w:rPr>
        <w:t>元；</w:t>
      </w:r>
      <w:r w:rsidR="00784B32" w:rsidRPr="000E64D4">
        <w:rPr>
          <w:rFonts w:eastAsia="標楷體" w:hint="eastAsia"/>
          <w:sz w:val="36"/>
          <w:szCs w:val="36"/>
        </w:rPr>
        <w:t>8.96</w:t>
      </w:r>
      <w:r w:rsidR="000754B5" w:rsidRPr="000E64D4">
        <w:rPr>
          <w:rFonts w:eastAsia="標楷體"/>
          <w:sz w:val="36"/>
        </w:rPr>
        <w:t>%)</w:t>
      </w:r>
      <w:r w:rsidR="004C5877" w:rsidRPr="000E64D4">
        <w:rPr>
          <w:rFonts w:eastAsia="標楷體"/>
          <w:sz w:val="36"/>
        </w:rPr>
        <w:t>分居前</w:t>
      </w:r>
      <w:r w:rsidR="004C5877" w:rsidRPr="000E64D4">
        <w:rPr>
          <w:rFonts w:eastAsia="標楷體"/>
          <w:sz w:val="36"/>
        </w:rPr>
        <w:t>5</w:t>
      </w:r>
      <w:r w:rsidR="004C5877" w:rsidRPr="000E64D4">
        <w:rPr>
          <w:rFonts w:eastAsia="標楷體"/>
          <w:sz w:val="36"/>
        </w:rPr>
        <w:t>名，合計約占本期核准對中國大陸投資總額的</w:t>
      </w:r>
      <w:r w:rsidR="00784B32" w:rsidRPr="000E64D4">
        <w:rPr>
          <w:rFonts w:eastAsia="標楷體" w:hint="eastAsia"/>
          <w:sz w:val="36"/>
        </w:rPr>
        <w:t>86.72</w:t>
      </w:r>
      <w:r w:rsidR="000754B5" w:rsidRPr="000E64D4">
        <w:rPr>
          <w:rFonts w:eastAsia="標楷體"/>
          <w:sz w:val="36"/>
        </w:rPr>
        <w:t>%</w:t>
      </w:r>
      <w:r w:rsidR="000A0B99" w:rsidRPr="000E64D4">
        <w:rPr>
          <w:rFonts w:eastAsia="標楷體"/>
          <w:sz w:val="36"/>
        </w:rPr>
        <w:t>(</w:t>
      </w:r>
      <w:r w:rsidR="004C5877" w:rsidRPr="000E64D4">
        <w:rPr>
          <w:rFonts w:eastAsia="標楷體"/>
          <w:sz w:val="36"/>
        </w:rPr>
        <w:t>請參閱表</w:t>
      </w:r>
      <w:r w:rsidR="004C5877" w:rsidRPr="000E64D4">
        <w:rPr>
          <w:rFonts w:eastAsia="標楷體"/>
          <w:sz w:val="36"/>
        </w:rPr>
        <w:t>4-2)</w:t>
      </w:r>
      <w:r w:rsidR="004C5877" w:rsidRPr="000E64D4">
        <w:rPr>
          <w:rFonts w:eastAsia="標楷體"/>
          <w:sz w:val="36"/>
        </w:rPr>
        <w:t>；在投資業別方面，則以</w:t>
      </w:r>
      <w:r w:rsidR="00757E53" w:rsidRPr="000E64D4">
        <w:rPr>
          <w:rFonts w:eastAsia="標楷體"/>
          <w:sz w:val="36"/>
        </w:rPr>
        <w:t>電子零組件</w:t>
      </w:r>
      <w:r w:rsidR="00757E53" w:rsidRPr="000E64D4">
        <w:rPr>
          <w:rFonts w:eastAsia="標楷體" w:hint="eastAsia"/>
          <w:sz w:val="36"/>
        </w:rPr>
        <w:t>製造</w:t>
      </w:r>
      <w:r w:rsidR="00757E53" w:rsidRPr="000E64D4">
        <w:rPr>
          <w:rFonts w:eastAsia="標楷體"/>
          <w:sz w:val="36"/>
        </w:rPr>
        <w:t>業</w:t>
      </w:r>
      <w:r w:rsidR="00AA719D" w:rsidRPr="000E64D4">
        <w:rPr>
          <w:rFonts w:eastAsia="標楷體"/>
          <w:sz w:val="36"/>
        </w:rPr>
        <w:t>美金</w:t>
      </w:r>
      <w:r w:rsidR="00784B32" w:rsidRPr="000E64D4">
        <w:rPr>
          <w:rFonts w:eastAsia="標楷體" w:hint="eastAsia"/>
          <w:sz w:val="36"/>
        </w:rPr>
        <w:t>12</w:t>
      </w:r>
      <w:r w:rsidR="00AA719D" w:rsidRPr="000E64D4">
        <w:rPr>
          <w:rFonts w:eastAsia="標楷體" w:hint="eastAsia"/>
          <w:sz w:val="36"/>
        </w:rPr>
        <w:t>億</w:t>
      </w:r>
      <w:r w:rsidR="00784B32" w:rsidRPr="000E64D4">
        <w:rPr>
          <w:rFonts w:eastAsia="標楷體" w:hint="eastAsia"/>
          <w:sz w:val="36"/>
        </w:rPr>
        <w:t>4,810</w:t>
      </w:r>
      <w:r w:rsidR="00AA719D" w:rsidRPr="000E64D4">
        <w:rPr>
          <w:rFonts w:eastAsia="標楷體" w:hint="eastAsia"/>
          <w:sz w:val="36"/>
        </w:rPr>
        <w:t>萬</w:t>
      </w:r>
      <w:r w:rsidR="00784B32" w:rsidRPr="000E64D4">
        <w:rPr>
          <w:rFonts w:eastAsia="標楷體" w:hint="eastAsia"/>
          <w:sz w:val="36"/>
        </w:rPr>
        <w:t>6</w:t>
      </w:r>
      <w:r w:rsidR="00AA719D" w:rsidRPr="000E64D4">
        <w:rPr>
          <w:rFonts w:eastAsia="標楷體" w:hint="eastAsia"/>
          <w:sz w:val="36"/>
        </w:rPr>
        <w:t>,000</w:t>
      </w:r>
      <w:r w:rsidR="00AA719D" w:rsidRPr="000E64D4">
        <w:rPr>
          <w:rFonts w:eastAsia="標楷體"/>
          <w:sz w:val="36"/>
        </w:rPr>
        <w:t>元</w:t>
      </w:r>
      <w:r w:rsidR="00AA719D" w:rsidRPr="000E64D4">
        <w:rPr>
          <w:rFonts w:eastAsia="標楷體"/>
          <w:sz w:val="36"/>
        </w:rPr>
        <w:t>(</w:t>
      </w:r>
      <w:r w:rsidR="00AA719D" w:rsidRPr="000E64D4">
        <w:rPr>
          <w:rFonts w:eastAsia="標楷體" w:hint="eastAsia"/>
          <w:sz w:val="36"/>
          <w:szCs w:val="36"/>
        </w:rPr>
        <w:t>折合新臺幣</w:t>
      </w:r>
      <w:r w:rsidR="00784B32" w:rsidRPr="000E64D4">
        <w:rPr>
          <w:rFonts w:eastAsia="標楷體" w:hint="eastAsia"/>
          <w:sz w:val="36"/>
          <w:szCs w:val="36"/>
        </w:rPr>
        <w:t>374</w:t>
      </w:r>
      <w:r w:rsidR="00AA719D" w:rsidRPr="000E64D4">
        <w:rPr>
          <w:rFonts w:eastAsia="標楷體" w:hint="eastAsia"/>
          <w:sz w:val="36"/>
          <w:szCs w:val="36"/>
        </w:rPr>
        <w:t>億</w:t>
      </w:r>
      <w:r w:rsidR="00784B32" w:rsidRPr="000E64D4">
        <w:rPr>
          <w:rFonts w:eastAsia="標楷體" w:hint="eastAsia"/>
          <w:sz w:val="36"/>
          <w:szCs w:val="36"/>
        </w:rPr>
        <w:t>4,318</w:t>
      </w:r>
      <w:r w:rsidR="00AA719D" w:rsidRPr="000E64D4">
        <w:rPr>
          <w:rFonts w:eastAsia="標楷體" w:hint="eastAsia"/>
          <w:sz w:val="36"/>
          <w:szCs w:val="36"/>
        </w:rPr>
        <w:t>萬元；</w:t>
      </w:r>
      <w:r w:rsidR="00784B32" w:rsidRPr="000E64D4">
        <w:rPr>
          <w:rFonts w:eastAsia="標楷體" w:hint="eastAsia"/>
          <w:sz w:val="36"/>
          <w:szCs w:val="36"/>
        </w:rPr>
        <w:t>29.98</w:t>
      </w:r>
      <w:r w:rsidR="00AA719D" w:rsidRPr="000E64D4">
        <w:rPr>
          <w:rFonts w:eastAsia="標楷體"/>
          <w:sz w:val="36"/>
        </w:rPr>
        <w:t>%)</w:t>
      </w:r>
      <w:r w:rsidR="00AA719D" w:rsidRPr="000E64D4">
        <w:rPr>
          <w:rFonts w:eastAsia="標楷體"/>
          <w:sz w:val="36"/>
        </w:rPr>
        <w:t>、</w:t>
      </w:r>
      <w:r w:rsidR="00757E53" w:rsidRPr="000E64D4">
        <w:rPr>
          <w:rFonts w:eastAsia="標楷體" w:hint="eastAsia"/>
          <w:sz w:val="36"/>
        </w:rPr>
        <w:t>專業、科學及技術服務業</w:t>
      </w:r>
      <w:r w:rsidR="00E0679A" w:rsidRPr="000E64D4">
        <w:rPr>
          <w:rFonts w:eastAsia="標楷體"/>
          <w:sz w:val="36"/>
        </w:rPr>
        <w:t>美金</w:t>
      </w:r>
      <w:r w:rsidR="00B859B9" w:rsidRPr="000E64D4">
        <w:rPr>
          <w:rFonts w:eastAsia="標楷體"/>
          <w:sz w:val="36"/>
        </w:rPr>
        <w:t>3</w:t>
      </w:r>
      <w:r w:rsidR="00242880" w:rsidRPr="000E64D4">
        <w:rPr>
          <w:rFonts w:eastAsia="標楷體" w:hint="eastAsia"/>
          <w:sz w:val="36"/>
        </w:rPr>
        <w:t>億</w:t>
      </w:r>
      <w:r w:rsidR="00784B32" w:rsidRPr="000E64D4">
        <w:rPr>
          <w:rFonts w:eastAsia="標楷體" w:hint="eastAsia"/>
          <w:sz w:val="36"/>
        </w:rPr>
        <w:t>5,572</w:t>
      </w:r>
      <w:r w:rsidR="00E0679A" w:rsidRPr="000E64D4">
        <w:rPr>
          <w:rFonts w:eastAsia="標楷體"/>
          <w:sz w:val="36"/>
        </w:rPr>
        <w:t>萬</w:t>
      </w:r>
      <w:r w:rsidR="00784B32" w:rsidRPr="000E64D4">
        <w:rPr>
          <w:rFonts w:eastAsia="標楷體" w:hint="eastAsia"/>
          <w:sz w:val="36"/>
        </w:rPr>
        <w:t>2</w:t>
      </w:r>
      <w:r w:rsidR="008A25B3" w:rsidRPr="000E64D4">
        <w:rPr>
          <w:rFonts w:eastAsia="標楷體"/>
          <w:sz w:val="36"/>
        </w:rPr>
        <w:t>,</w:t>
      </w:r>
      <w:r w:rsidR="008A25B3" w:rsidRPr="000E64D4">
        <w:rPr>
          <w:rFonts w:eastAsia="標楷體" w:hint="eastAsia"/>
          <w:sz w:val="36"/>
        </w:rPr>
        <w:t>000</w:t>
      </w:r>
      <w:r w:rsidR="00E0679A" w:rsidRPr="000E64D4">
        <w:rPr>
          <w:rFonts w:eastAsia="標楷體"/>
          <w:sz w:val="36"/>
        </w:rPr>
        <w:t>元</w:t>
      </w:r>
      <w:r w:rsidR="000A0B99" w:rsidRPr="000E64D4">
        <w:rPr>
          <w:rFonts w:eastAsia="標楷體"/>
          <w:sz w:val="36"/>
        </w:rPr>
        <w:t>(</w:t>
      </w:r>
      <w:r w:rsidR="00E0679A" w:rsidRPr="000E64D4">
        <w:rPr>
          <w:rFonts w:eastAsia="標楷體" w:hint="eastAsia"/>
          <w:sz w:val="36"/>
          <w:szCs w:val="36"/>
        </w:rPr>
        <w:t>折合新臺幣</w:t>
      </w:r>
      <w:r w:rsidR="003F488C" w:rsidRPr="000E64D4">
        <w:rPr>
          <w:rFonts w:eastAsia="標楷體"/>
          <w:sz w:val="36"/>
          <w:szCs w:val="36"/>
        </w:rPr>
        <w:t>10</w:t>
      </w:r>
      <w:r w:rsidR="005B71E6" w:rsidRPr="000E64D4">
        <w:rPr>
          <w:rFonts w:eastAsia="標楷體" w:hint="eastAsia"/>
          <w:sz w:val="36"/>
          <w:szCs w:val="36"/>
        </w:rPr>
        <w:t>6</w:t>
      </w:r>
      <w:r w:rsidR="00E0679A" w:rsidRPr="000E64D4">
        <w:rPr>
          <w:rFonts w:eastAsia="標楷體" w:hint="eastAsia"/>
          <w:sz w:val="36"/>
          <w:szCs w:val="36"/>
        </w:rPr>
        <w:t>億</w:t>
      </w:r>
      <w:r w:rsidR="00784B32" w:rsidRPr="000E64D4">
        <w:rPr>
          <w:rFonts w:eastAsia="標楷體" w:hint="eastAsia"/>
          <w:sz w:val="36"/>
          <w:szCs w:val="36"/>
        </w:rPr>
        <w:t>7,166</w:t>
      </w:r>
      <w:r w:rsidR="00E0679A" w:rsidRPr="000E64D4">
        <w:rPr>
          <w:rFonts w:eastAsia="標楷體" w:hint="eastAsia"/>
          <w:sz w:val="36"/>
          <w:szCs w:val="36"/>
        </w:rPr>
        <w:t>萬元；</w:t>
      </w:r>
      <w:r w:rsidR="00784B32" w:rsidRPr="000E64D4">
        <w:rPr>
          <w:rFonts w:eastAsia="標楷體" w:hint="eastAsia"/>
          <w:sz w:val="36"/>
          <w:szCs w:val="36"/>
        </w:rPr>
        <w:t>8.54</w:t>
      </w:r>
      <w:r w:rsidR="000754B5" w:rsidRPr="000E64D4">
        <w:rPr>
          <w:rFonts w:eastAsia="標楷體"/>
          <w:sz w:val="36"/>
        </w:rPr>
        <w:t>%)</w:t>
      </w:r>
      <w:r w:rsidR="00E0679A" w:rsidRPr="000E64D4">
        <w:rPr>
          <w:rFonts w:eastAsia="標楷體" w:hint="eastAsia"/>
          <w:sz w:val="36"/>
        </w:rPr>
        <w:t>、</w:t>
      </w:r>
      <w:r w:rsidR="00784B32" w:rsidRPr="000E64D4">
        <w:rPr>
          <w:rFonts w:eastAsia="標楷體" w:hint="eastAsia"/>
          <w:sz w:val="36"/>
        </w:rPr>
        <w:t>電腦、電子產品及光學製品製造業</w:t>
      </w:r>
      <w:r w:rsidR="00784B32" w:rsidRPr="000E64D4">
        <w:rPr>
          <w:rFonts w:eastAsia="標楷體"/>
          <w:sz w:val="36"/>
        </w:rPr>
        <w:lastRenderedPageBreak/>
        <w:t>美金</w:t>
      </w:r>
      <w:r w:rsidR="00784B32" w:rsidRPr="000E64D4">
        <w:rPr>
          <w:rFonts w:eastAsia="標楷體" w:hint="eastAsia"/>
          <w:sz w:val="36"/>
        </w:rPr>
        <w:t>3</w:t>
      </w:r>
      <w:r w:rsidR="00784B32" w:rsidRPr="000E64D4">
        <w:rPr>
          <w:rFonts w:eastAsia="標楷體" w:hint="eastAsia"/>
          <w:sz w:val="36"/>
        </w:rPr>
        <w:t>億</w:t>
      </w:r>
      <w:r w:rsidR="00784B32" w:rsidRPr="000E64D4">
        <w:rPr>
          <w:rFonts w:eastAsia="標楷體" w:hint="eastAsia"/>
          <w:sz w:val="36"/>
        </w:rPr>
        <w:t>2,384</w:t>
      </w:r>
      <w:r w:rsidR="00784B32" w:rsidRPr="000E64D4">
        <w:rPr>
          <w:rFonts w:eastAsia="標楷體" w:hint="eastAsia"/>
          <w:sz w:val="36"/>
        </w:rPr>
        <w:t>萬</w:t>
      </w:r>
      <w:r w:rsidR="00784B32" w:rsidRPr="000E64D4">
        <w:rPr>
          <w:rFonts w:eastAsia="標楷體" w:hint="eastAsia"/>
          <w:sz w:val="36"/>
        </w:rPr>
        <w:t>5,000</w:t>
      </w:r>
      <w:r w:rsidR="00784B32" w:rsidRPr="000E64D4">
        <w:rPr>
          <w:rFonts w:eastAsia="標楷體"/>
          <w:sz w:val="36"/>
        </w:rPr>
        <w:t>元</w:t>
      </w:r>
      <w:r w:rsidR="00784B32" w:rsidRPr="000E64D4">
        <w:rPr>
          <w:rFonts w:eastAsia="標楷體"/>
          <w:sz w:val="36"/>
        </w:rPr>
        <w:t>(</w:t>
      </w:r>
      <w:r w:rsidR="00784B32" w:rsidRPr="000E64D4">
        <w:rPr>
          <w:rFonts w:eastAsia="標楷體" w:hint="eastAsia"/>
          <w:sz w:val="36"/>
          <w:szCs w:val="36"/>
        </w:rPr>
        <w:t>折合新臺幣</w:t>
      </w:r>
      <w:r w:rsidR="00784B32" w:rsidRPr="000E64D4">
        <w:rPr>
          <w:rFonts w:eastAsia="標楷體" w:hint="eastAsia"/>
          <w:sz w:val="36"/>
          <w:szCs w:val="36"/>
        </w:rPr>
        <w:t>97</w:t>
      </w:r>
      <w:r w:rsidR="00784B32" w:rsidRPr="000E64D4">
        <w:rPr>
          <w:rFonts w:eastAsia="標楷體" w:hint="eastAsia"/>
          <w:sz w:val="36"/>
          <w:szCs w:val="36"/>
        </w:rPr>
        <w:t>億</w:t>
      </w:r>
      <w:r w:rsidR="00784B32" w:rsidRPr="000E64D4">
        <w:rPr>
          <w:rFonts w:eastAsia="標楷體" w:hint="eastAsia"/>
          <w:sz w:val="36"/>
          <w:szCs w:val="36"/>
        </w:rPr>
        <w:t>1,535</w:t>
      </w:r>
      <w:r w:rsidR="00784B32" w:rsidRPr="000E64D4">
        <w:rPr>
          <w:rFonts w:eastAsia="標楷體" w:hint="eastAsia"/>
          <w:sz w:val="36"/>
          <w:szCs w:val="36"/>
        </w:rPr>
        <w:t>萬元；</w:t>
      </w:r>
      <w:r w:rsidR="00784B32" w:rsidRPr="000E64D4">
        <w:rPr>
          <w:rFonts w:eastAsia="標楷體" w:hint="eastAsia"/>
          <w:sz w:val="36"/>
          <w:szCs w:val="36"/>
        </w:rPr>
        <w:t>7.78</w:t>
      </w:r>
      <w:r w:rsidR="00784B32" w:rsidRPr="000E64D4">
        <w:rPr>
          <w:rFonts w:eastAsia="標楷體"/>
          <w:sz w:val="36"/>
        </w:rPr>
        <w:t>%)</w:t>
      </w:r>
      <w:r w:rsidR="00784B32" w:rsidRPr="000E64D4">
        <w:rPr>
          <w:rFonts w:eastAsia="標楷體"/>
          <w:sz w:val="36"/>
        </w:rPr>
        <w:t>、</w:t>
      </w:r>
      <w:r w:rsidR="00757E53" w:rsidRPr="000E64D4">
        <w:rPr>
          <w:rFonts w:eastAsia="標楷體" w:hint="eastAsia"/>
          <w:sz w:val="36"/>
        </w:rPr>
        <w:t>基本金屬製造</w:t>
      </w:r>
      <w:r w:rsidR="00EB2640" w:rsidRPr="000E64D4">
        <w:rPr>
          <w:rFonts w:eastAsia="標楷體"/>
          <w:sz w:val="36"/>
        </w:rPr>
        <w:t>業</w:t>
      </w:r>
      <w:r w:rsidR="004C5877" w:rsidRPr="000E64D4">
        <w:rPr>
          <w:rFonts w:eastAsia="標楷體"/>
          <w:sz w:val="36"/>
        </w:rPr>
        <w:t>美金</w:t>
      </w:r>
      <w:r w:rsidR="00784B32" w:rsidRPr="000E64D4">
        <w:rPr>
          <w:rFonts w:eastAsia="標楷體" w:hint="eastAsia"/>
          <w:sz w:val="36"/>
        </w:rPr>
        <w:t>3</w:t>
      </w:r>
      <w:r w:rsidR="00DE1138" w:rsidRPr="000E64D4">
        <w:rPr>
          <w:rFonts w:eastAsia="標楷體" w:hint="eastAsia"/>
          <w:sz w:val="36"/>
        </w:rPr>
        <w:t>億</w:t>
      </w:r>
      <w:r w:rsidR="00194CC8" w:rsidRPr="000E64D4">
        <w:rPr>
          <w:rFonts w:eastAsia="標楷體"/>
          <w:sz w:val="36"/>
        </w:rPr>
        <w:t>305</w:t>
      </w:r>
      <w:r w:rsidR="004C5877" w:rsidRPr="000E64D4">
        <w:rPr>
          <w:rFonts w:eastAsia="標楷體"/>
          <w:sz w:val="36"/>
        </w:rPr>
        <w:t>萬</w:t>
      </w:r>
      <w:r w:rsidR="00194CC8" w:rsidRPr="000E64D4">
        <w:rPr>
          <w:rFonts w:eastAsia="標楷體" w:hint="eastAsia"/>
          <w:sz w:val="36"/>
        </w:rPr>
        <w:t>7</w:t>
      </w:r>
      <w:r w:rsidR="00C1443C" w:rsidRPr="000E64D4">
        <w:rPr>
          <w:rFonts w:eastAsia="標楷體" w:hint="eastAsia"/>
          <w:sz w:val="36"/>
        </w:rPr>
        <w:t>,000</w:t>
      </w:r>
      <w:r w:rsidR="004C5877" w:rsidRPr="000E64D4">
        <w:rPr>
          <w:rFonts w:eastAsia="標楷體"/>
          <w:sz w:val="36"/>
        </w:rPr>
        <w:t>元</w:t>
      </w:r>
      <w:r w:rsidR="000A0B99" w:rsidRPr="000E64D4">
        <w:rPr>
          <w:rFonts w:eastAsia="標楷體"/>
          <w:sz w:val="36"/>
        </w:rPr>
        <w:t>(</w:t>
      </w:r>
      <w:r w:rsidR="00181615" w:rsidRPr="000E64D4">
        <w:rPr>
          <w:rFonts w:eastAsia="標楷體" w:hint="eastAsia"/>
          <w:sz w:val="36"/>
          <w:szCs w:val="36"/>
        </w:rPr>
        <w:t>折合新臺幣</w:t>
      </w:r>
      <w:r w:rsidR="00DE05C3" w:rsidRPr="000E64D4">
        <w:rPr>
          <w:rFonts w:eastAsia="標楷體"/>
          <w:sz w:val="36"/>
          <w:szCs w:val="36"/>
        </w:rPr>
        <w:t>90</w:t>
      </w:r>
      <w:r w:rsidR="00181615" w:rsidRPr="000E64D4">
        <w:rPr>
          <w:rFonts w:eastAsia="標楷體" w:hint="eastAsia"/>
          <w:sz w:val="36"/>
          <w:szCs w:val="36"/>
        </w:rPr>
        <w:t>億</w:t>
      </w:r>
      <w:r w:rsidR="00DE05C3" w:rsidRPr="000E64D4">
        <w:rPr>
          <w:rFonts w:eastAsia="標楷體"/>
          <w:sz w:val="36"/>
          <w:szCs w:val="36"/>
        </w:rPr>
        <w:t>9,171</w:t>
      </w:r>
      <w:r w:rsidR="00181615" w:rsidRPr="000E64D4">
        <w:rPr>
          <w:rFonts w:eastAsia="標楷體" w:hint="eastAsia"/>
          <w:sz w:val="36"/>
          <w:szCs w:val="36"/>
        </w:rPr>
        <w:t>萬元；</w:t>
      </w:r>
      <w:r w:rsidR="00784B32" w:rsidRPr="000E64D4">
        <w:rPr>
          <w:rFonts w:eastAsia="標楷體" w:hint="eastAsia"/>
          <w:sz w:val="36"/>
          <w:szCs w:val="36"/>
        </w:rPr>
        <w:t>7.28</w:t>
      </w:r>
      <w:r w:rsidR="000754B5" w:rsidRPr="000E64D4">
        <w:rPr>
          <w:rFonts w:eastAsia="標楷體"/>
          <w:sz w:val="36"/>
        </w:rPr>
        <w:t>%)</w:t>
      </w:r>
      <w:r w:rsidR="00784B32" w:rsidRPr="000E64D4">
        <w:rPr>
          <w:rFonts w:eastAsia="標楷體" w:hint="eastAsia"/>
          <w:sz w:val="36"/>
        </w:rPr>
        <w:t>及</w:t>
      </w:r>
      <w:r w:rsidR="00757E53" w:rsidRPr="000E64D4">
        <w:rPr>
          <w:rFonts w:eastAsia="標楷體"/>
          <w:sz w:val="36"/>
        </w:rPr>
        <w:t>批發及零售業</w:t>
      </w:r>
      <w:r w:rsidR="00AA719D" w:rsidRPr="000E64D4">
        <w:rPr>
          <w:rFonts w:eastAsia="標楷體" w:hint="eastAsia"/>
          <w:sz w:val="36"/>
        </w:rPr>
        <w:t>美金</w:t>
      </w:r>
      <w:r w:rsidR="00AA719D" w:rsidRPr="000E64D4">
        <w:rPr>
          <w:rFonts w:eastAsia="標楷體" w:hint="eastAsia"/>
          <w:sz w:val="36"/>
        </w:rPr>
        <w:t>2</w:t>
      </w:r>
      <w:r w:rsidR="00AA719D" w:rsidRPr="000E64D4">
        <w:rPr>
          <w:rFonts w:eastAsia="標楷體" w:hint="eastAsia"/>
          <w:sz w:val="36"/>
        </w:rPr>
        <w:t>億</w:t>
      </w:r>
      <w:r w:rsidR="00784B32" w:rsidRPr="000E64D4">
        <w:rPr>
          <w:rFonts w:eastAsia="標楷體" w:hint="eastAsia"/>
          <w:sz w:val="36"/>
        </w:rPr>
        <w:t>8,705</w:t>
      </w:r>
      <w:r w:rsidR="00AA719D" w:rsidRPr="000E64D4">
        <w:rPr>
          <w:rFonts w:eastAsia="標楷體" w:hint="eastAsia"/>
          <w:sz w:val="36"/>
        </w:rPr>
        <w:t>萬元（折合新臺幣</w:t>
      </w:r>
      <w:r w:rsidR="00784B32" w:rsidRPr="000E64D4">
        <w:rPr>
          <w:rFonts w:eastAsia="標楷體" w:hint="eastAsia"/>
          <w:sz w:val="36"/>
        </w:rPr>
        <w:t>86</w:t>
      </w:r>
      <w:r w:rsidR="00AA719D" w:rsidRPr="000E64D4">
        <w:rPr>
          <w:rFonts w:eastAsia="標楷體" w:hint="eastAsia"/>
          <w:sz w:val="36"/>
        </w:rPr>
        <w:t>億</w:t>
      </w:r>
      <w:r w:rsidR="00784B32" w:rsidRPr="000E64D4">
        <w:rPr>
          <w:rFonts w:eastAsia="標楷體" w:hint="eastAsia"/>
          <w:sz w:val="36"/>
        </w:rPr>
        <w:t>1,150</w:t>
      </w:r>
      <w:r w:rsidR="00AA719D" w:rsidRPr="000E64D4">
        <w:rPr>
          <w:rFonts w:eastAsia="標楷體" w:hint="eastAsia"/>
          <w:sz w:val="36"/>
        </w:rPr>
        <w:t>萬元；</w:t>
      </w:r>
      <w:r w:rsidR="00784B32" w:rsidRPr="000E64D4">
        <w:rPr>
          <w:rFonts w:eastAsia="標楷體" w:hint="eastAsia"/>
          <w:sz w:val="36"/>
        </w:rPr>
        <w:t>6.89</w:t>
      </w:r>
      <w:r w:rsidR="00AA719D" w:rsidRPr="000E64D4">
        <w:rPr>
          <w:rFonts w:eastAsia="標楷體" w:hint="eastAsia"/>
          <w:sz w:val="36"/>
        </w:rPr>
        <w:t>%</w:t>
      </w:r>
      <w:r w:rsidR="00AA719D" w:rsidRPr="000E64D4">
        <w:rPr>
          <w:rFonts w:eastAsia="標楷體" w:hint="eastAsia"/>
          <w:sz w:val="36"/>
        </w:rPr>
        <w:t>）</w:t>
      </w:r>
      <w:r w:rsidR="004C5877" w:rsidRPr="000E64D4">
        <w:rPr>
          <w:rFonts w:eastAsia="標楷體"/>
          <w:sz w:val="36"/>
        </w:rPr>
        <w:t>分居前</w:t>
      </w:r>
      <w:r w:rsidR="004C5877" w:rsidRPr="000E64D4">
        <w:rPr>
          <w:rFonts w:eastAsia="標楷體"/>
          <w:sz w:val="36"/>
        </w:rPr>
        <w:t>5</w:t>
      </w:r>
      <w:r w:rsidR="004C5877" w:rsidRPr="000E64D4">
        <w:rPr>
          <w:rFonts w:eastAsia="標楷體"/>
          <w:sz w:val="36"/>
        </w:rPr>
        <w:t>名，合計約占本期核准對中國大陸投資總額的</w:t>
      </w:r>
      <w:r w:rsidR="00784B32" w:rsidRPr="000E64D4">
        <w:rPr>
          <w:rFonts w:eastAsia="標楷體" w:hint="eastAsia"/>
          <w:sz w:val="36"/>
          <w:szCs w:val="36"/>
        </w:rPr>
        <w:t>60.47</w:t>
      </w:r>
      <w:r w:rsidR="000754B5" w:rsidRPr="000E64D4">
        <w:rPr>
          <w:rFonts w:eastAsia="標楷體"/>
          <w:sz w:val="36"/>
        </w:rPr>
        <w:t>%</w:t>
      </w:r>
      <w:r w:rsidR="000A0B99" w:rsidRPr="000E64D4">
        <w:rPr>
          <w:rFonts w:eastAsia="標楷體"/>
          <w:sz w:val="36"/>
        </w:rPr>
        <w:t>(</w:t>
      </w:r>
      <w:r w:rsidR="004C5877" w:rsidRPr="000E64D4">
        <w:rPr>
          <w:rFonts w:eastAsia="標楷體"/>
          <w:sz w:val="36"/>
        </w:rPr>
        <w:t>請參閱表</w:t>
      </w:r>
      <w:r w:rsidR="004C5877" w:rsidRPr="000E64D4">
        <w:rPr>
          <w:rFonts w:eastAsia="標楷體"/>
          <w:sz w:val="36"/>
        </w:rPr>
        <w:t>4-3)</w:t>
      </w:r>
      <w:r w:rsidR="004C5877" w:rsidRPr="000E64D4">
        <w:rPr>
          <w:rFonts w:eastAsia="標楷體"/>
          <w:sz w:val="36"/>
        </w:rPr>
        <w:t>。</w:t>
      </w:r>
    </w:p>
    <w:p w:rsidR="00E15544" w:rsidRPr="000E64D4" w:rsidRDefault="004C5877">
      <w:pPr>
        <w:pageBreakBefore/>
        <w:spacing w:after="188" w:line="560" w:lineRule="exact"/>
        <w:ind w:left="329" w:firstLine="482"/>
        <w:jc w:val="both"/>
        <w:rPr>
          <w:sz w:val="36"/>
          <w:szCs w:val="36"/>
        </w:rPr>
      </w:pPr>
      <w:r w:rsidRPr="000E64D4">
        <w:rPr>
          <w:rFonts w:eastAsia="標楷體"/>
          <w:sz w:val="36"/>
          <w:szCs w:val="36"/>
        </w:rPr>
        <w:lastRenderedPageBreak/>
        <w:t>表</w:t>
      </w:r>
      <w:r w:rsidRPr="000E64D4">
        <w:rPr>
          <w:rFonts w:eastAsia="標楷體"/>
          <w:sz w:val="36"/>
          <w:szCs w:val="36"/>
        </w:rPr>
        <w:t>1-1</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FF629B" w:rsidRPr="000E64D4">
        <w:rPr>
          <w:rFonts w:eastAsia="標楷體"/>
          <w:sz w:val="36"/>
          <w:szCs w:val="36"/>
        </w:rPr>
        <w:t>10</w:t>
      </w:r>
      <w:r w:rsidR="00642349" w:rsidRPr="000E64D4">
        <w:rPr>
          <w:rFonts w:eastAsia="標楷體" w:hint="eastAsia"/>
          <w:sz w:val="36"/>
          <w:szCs w:val="36"/>
        </w:rPr>
        <w:t>月</w:t>
      </w:r>
      <w:r w:rsidRPr="000E64D4">
        <w:rPr>
          <w:rFonts w:eastAsia="標楷體"/>
          <w:sz w:val="36"/>
          <w:szCs w:val="36"/>
        </w:rPr>
        <w:t>及最近</w:t>
      </w:r>
      <w:r w:rsidRPr="000E64D4">
        <w:rPr>
          <w:rFonts w:eastAsia="標楷體"/>
          <w:sz w:val="36"/>
          <w:szCs w:val="36"/>
        </w:rPr>
        <w:t>2</w:t>
      </w:r>
      <w:r w:rsidRPr="000E64D4">
        <w:rPr>
          <w:rFonts w:eastAsia="標楷體"/>
          <w:sz w:val="36"/>
          <w:szCs w:val="36"/>
        </w:rPr>
        <w:t>年僑外投資概況</w:t>
      </w:r>
    </w:p>
    <w:tbl>
      <w:tblPr>
        <w:tblW w:w="9491" w:type="dxa"/>
        <w:jc w:val="center"/>
        <w:tblLayout w:type="fixed"/>
        <w:tblCellMar>
          <w:left w:w="10" w:type="dxa"/>
          <w:right w:w="10" w:type="dxa"/>
        </w:tblCellMar>
        <w:tblLook w:val="0000"/>
      </w:tblPr>
      <w:tblGrid>
        <w:gridCol w:w="695"/>
        <w:gridCol w:w="709"/>
        <w:gridCol w:w="567"/>
        <w:gridCol w:w="1171"/>
        <w:gridCol w:w="543"/>
        <w:gridCol w:w="709"/>
        <w:gridCol w:w="567"/>
        <w:gridCol w:w="1134"/>
        <w:gridCol w:w="567"/>
        <w:gridCol w:w="567"/>
        <w:gridCol w:w="553"/>
        <w:gridCol w:w="1134"/>
        <w:gridCol w:w="575"/>
      </w:tblGrid>
      <w:tr w:rsidR="00433D57" w:rsidRPr="000E64D4" w:rsidTr="00490169">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rPr>
                <w:rFonts w:ascii="Times New Roman" w:hAnsi="Times New Roman"/>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rsidR="00E15544" w:rsidRPr="000E64D4" w:rsidRDefault="00E15544">
            <w:pPr>
              <w:pStyle w:val="a3"/>
              <w:spacing w:line="400" w:lineRule="exact"/>
              <w:jc w:val="center"/>
              <w:rPr>
                <w:rFonts w:ascii="Times New Roman" w:hAnsi="Times New Roman"/>
                <w:sz w:val="32"/>
                <w:szCs w:val="32"/>
              </w:rPr>
            </w:pPr>
          </w:p>
        </w:tc>
        <w:tc>
          <w:tcPr>
            <w:tcW w:w="2829" w:type="dxa"/>
            <w:gridSpan w:val="4"/>
            <w:tcBorders>
              <w:bottom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right"/>
              <w:rPr>
                <w:rFonts w:ascii="Times New Roman" w:hAnsi="Times New Roman"/>
                <w:sz w:val="24"/>
                <w:szCs w:val="24"/>
              </w:rPr>
            </w:pPr>
            <w:r w:rsidRPr="000E64D4">
              <w:rPr>
                <w:rFonts w:ascii="Times New Roman" w:hAnsi="Times New Roman"/>
                <w:sz w:val="24"/>
                <w:szCs w:val="24"/>
              </w:rPr>
              <w:t>單位：千美元；</w:t>
            </w:r>
            <w:r w:rsidR="000754B5" w:rsidRPr="000E64D4">
              <w:rPr>
                <w:rFonts w:ascii="Times New Roman" w:hAnsi="Times New Roman"/>
                <w:sz w:val="24"/>
                <w:szCs w:val="24"/>
              </w:rPr>
              <w:t>%</w:t>
            </w:r>
          </w:p>
        </w:tc>
      </w:tr>
      <w:tr w:rsidR="00433D57" w:rsidRPr="000E64D4" w:rsidTr="00490169">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0ECA" w:rsidRPr="000E64D4" w:rsidRDefault="00A50ECA" w:rsidP="00A50EC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0E64D4" w:rsidRDefault="00A50ECA" w:rsidP="00A50EC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109</w:t>
            </w:r>
            <w:r w:rsidRPr="000E64D4">
              <w:rPr>
                <w:rFonts w:ascii="Times New Roman" w:hAnsi="Times New Roman"/>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0E64D4" w:rsidRDefault="00A50ECA" w:rsidP="00A50EC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110</w:t>
            </w:r>
            <w:r w:rsidRPr="000E64D4">
              <w:rPr>
                <w:rFonts w:ascii="Times New Roman" w:hAnsi="Times New Roman"/>
                <w:sz w:val="22"/>
                <w:szCs w:val="22"/>
              </w:rPr>
              <w:t>年</w:t>
            </w:r>
          </w:p>
        </w:tc>
        <w:tc>
          <w:tcPr>
            <w:tcW w:w="28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0E64D4" w:rsidRDefault="00A50ECA" w:rsidP="00A50EC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111</w:t>
            </w:r>
            <w:r w:rsidRPr="000E64D4">
              <w:rPr>
                <w:rFonts w:ascii="Times New Roman" w:hAnsi="Times New Roman"/>
                <w:sz w:val="22"/>
                <w:szCs w:val="22"/>
              </w:rPr>
              <w:t>年</w:t>
            </w:r>
          </w:p>
        </w:tc>
      </w:tr>
      <w:tr w:rsidR="00433D57" w:rsidRPr="000E64D4" w:rsidTr="00490169">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jc w:val="center"/>
              <w:rPr>
                <w:rFonts w:ascii="Times New Roman" w:hAnsi="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件</w:t>
            </w:r>
          </w:p>
          <w:p w:rsidR="00E15544" w:rsidRPr="000E64D4" w:rsidRDefault="00E15544">
            <w:pPr>
              <w:pStyle w:val="a3"/>
              <w:spacing w:line="400" w:lineRule="exact"/>
              <w:jc w:val="center"/>
              <w:rPr>
                <w:rFonts w:ascii="Times New Roman" w:hAnsi="Times New Roman"/>
                <w:sz w:val="22"/>
                <w:szCs w:val="22"/>
              </w:rPr>
            </w:pP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成</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長</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金</w:t>
            </w:r>
          </w:p>
          <w:p w:rsidR="00E15544" w:rsidRPr="000E64D4" w:rsidRDefault="00E15544">
            <w:pPr>
              <w:pStyle w:val="a3"/>
              <w:spacing w:line="400" w:lineRule="exact"/>
              <w:jc w:val="center"/>
              <w:rPr>
                <w:rFonts w:ascii="Times New Roman" w:hAnsi="Times New Roman"/>
                <w:sz w:val="22"/>
                <w:szCs w:val="22"/>
              </w:rPr>
            </w:pP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成</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長</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件</w:t>
            </w:r>
          </w:p>
          <w:p w:rsidR="00E15544" w:rsidRPr="000E64D4" w:rsidRDefault="00E15544">
            <w:pPr>
              <w:pStyle w:val="a3"/>
              <w:spacing w:line="400" w:lineRule="exact"/>
              <w:jc w:val="center"/>
              <w:rPr>
                <w:rFonts w:ascii="Times New Roman" w:hAnsi="Times New Roman"/>
                <w:sz w:val="22"/>
                <w:szCs w:val="22"/>
              </w:rPr>
            </w:pP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成</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長</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金</w:t>
            </w:r>
          </w:p>
          <w:p w:rsidR="00E15544" w:rsidRPr="000E64D4" w:rsidRDefault="00E15544">
            <w:pPr>
              <w:pStyle w:val="a3"/>
              <w:spacing w:line="400" w:lineRule="exact"/>
              <w:jc w:val="center"/>
              <w:rPr>
                <w:rFonts w:ascii="Times New Roman" w:hAnsi="Times New Roman"/>
                <w:sz w:val="22"/>
                <w:szCs w:val="22"/>
              </w:rPr>
            </w:pP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成</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長</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件</w:t>
            </w:r>
          </w:p>
          <w:p w:rsidR="00E15544" w:rsidRPr="000E64D4" w:rsidRDefault="00E15544">
            <w:pPr>
              <w:pStyle w:val="a3"/>
              <w:spacing w:line="400" w:lineRule="exact"/>
              <w:jc w:val="center"/>
              <w:rPr>
                <w:rFonts w:ascii="Times New Roman" w:hAnsi="Times New Roman"/>
                <w:sz w:val="22"/>
                <w:szCs w:val="22"/>
              </w:rPr>
            </w:pP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成</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長</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金</w:t>
            </w:r>
          </w:p>
          <w:p w:rsidR="00E15544" w:rsidRPr="000E64D4" w:rsidRDefault="00E15544">
            <w:pPr>
              <w:pStyle w:val="a3"/>
              <w:spacing w:line="400" w:lineRule="exact"/>
              <w:jc w:val="center"/>
              <w:rPr>
                <w:rFonts w:ascii="Times New Roman" w:hAnsi="Times New Roman"/>
                <w:sz w:val="22"/>
                <w:szCs w:val="22"/>
              </w:rPr>
            </w:pP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額</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成</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長</w:t>
            </w:r>
          </w:p>
          <w:p w:rsidR="00E15544" w:rsidRPr="000E64D4" w:rsidRDefault="004C5877">
            <w:pPr>
              <w:pStyle w:val="a3"/>
              <w:spacing w:line="400" w:lineRule="exact"/>
              <w:jc w:val="center"/>
              <w:rPr>
                <w:rFonts w:ascii="Times New Roman" w:hAnsi="Times New Roman"/>
                <w:sz w:val="22"/>
                <w:szCs w:val="22"/>
              </w:rPr>
            </w:pPr>
            <w:r w:rsidRPr="000E64D4">
              <w:rPr>
                <w:rFonts w:ascii="Times New Roman" w:hAnsi="Times New Roman"/>
                <w:sz w:val="22"/>
                <w:szCs w:val="22"/>
              </w:rPr>
              <w:t>率</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center"/>
              <w:rPr>
                <w:rFonts w:ascii="Times New Roman" w:hAnsi="Times New Roman"/>
                <w:sz w:val="22"/>
                <w:szCs w:val="22"/>
              </w:rPr>
            </w:pPr>
            <w:r w:rsidRPr="000E64D4">
              <w:rPr>
                <w:rFonts w:ascii="Times New Roman" w:hAnsi="Times New Roman"/>
                <w:sz w:val="22"/>
                <w:szCs w:val="22"/>
              </w:rPr>
              <w:t>1</w:t>
            </w:r>
            <w:r w:rsidRPr="000E64D4">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1A1AA4" w:rsidP="001A1AA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B52FA2" w:rsidP="001A1AA4">
            <w:pPr>
              <w:pStyle w:val="a3"/>
              <w:spacing w:line="400" w:lineRule="exact"/>
              <w:jc w:val="right"/>
              <w:rPr>
                <w:rFonts w:ascii="Times New Roman" w:hAnsi="Times New Roman"/>
                <w:sz w:val="22"/>
                <w:szCs w:val="22"/>
              </w:rPr>
            </w:pPr>
            <w:r w:rsidRPr="000E64D4">
              <w:rPr>
                <w:rFonts w:ascii="Times New Roman" w:hAnsi="Times New Roman"/>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B52FA2" w:rsidP="00B52FA2">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A9401B" w:rsidP="00A9401B">
            <w:pPr>
              <w:pStyle w:val="a3"/>
              <w:spacing w:line="400" w:lineRule="exact"/>
              <w:jc w:val="right"/>
              <w:rPr>
                <w:rFonts w:ascii="Times New Roman" w:hAnsi="Times New Roman"/>
                <w:sz w:val="22"/>
                <w:szCs w:val="22"/>
              </w:rPr>
            </w:pPr>
            <w:r w:rsidRPr="000E64D4">
              <w:rPr>
                <w:rFonts w:ascii="Times New Roman" w:hAnsi="Times New Roman"/>
                <w:sz w:val="22"/>
                <w:szCs w:val="22"/>
              </w:rPr>
              <w:t>1,</w:t>
            </w:r>
            <w:r w:rsidRPr="000E64D4">
              <w:rPr>
                <w:rFonts w:ascii="Times New Roman" w:hAnsi="Times New Roman" w:hint="eastAsia"/>
                <w:sz w:val="22"/>
                <w:szCs w:val="22"/>
              </w:rPr>
              <w:t>474</w:t>
            </w:r>
            <w:r w:rsidRPr="000E64D4">
              <w:rPr>
                <w:rFonts w:ascii="Times New Roman" w:hAnsi="Times New Roman"/>
                <w:sz w:val="22"/>
                <w:szCs w:val="22"/>
              </w:rPr>
              <w:t>,</w:t>
            </w:r>
            <w:r w:rsidRPr="000E64D4">
              <w:rPr>
                <w:rFonts w:ascii="Times New Roman" w:hAnsi="Times New Roman" w:hint="eastAsia"/>
                <w:sz w:val="22"/>
                <w:szCs w:val="22"/>
              </w:rPr>
              <w:t>988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0E64D4" w:rsidRDefault="00A9401B" w:rsidP="001A1AA4">
            <w:pPr>
              <w:pStyle w:val="a3"/>
              <w:spacing w:line="400" w:lineRule="exact"/>
              <w:jc w:val="right"/>
              <w:rPr>
                <w:rFonts w:ascii="Times New Roman" w:hAnsi="Times New Roman"/>
                <w:sz w:val="22"/>
                <w:szCs w:val="22"/>
              </w:rPr>
            </w:pPr>
            <w:r w:rsidRPr="000E64D4">
              <w:rPr>
                <w:rFonts w:ascii="Times New Roman" w:hAnsi="Times New Roman"/>
                <w:sz w:val="22"/>
                <w:szCs w:val="22"/>
              </w:rPr>
              <w:t>190</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240F9F"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240F9F" w:rsidP="00985BF9">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240F9F"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382</w:t>
            </w:r>
            <w:r w:rsidRPr="000E64D4">
              <w:rPr>
                <w:rFonts w:ascii="Times New Roman" w:hAnsi="Times New Roman"/>
                <w:sz w:val="22"/>
                <w:szCs w:val="22"/>
              </w:rPr>
              <w:t>,</w:t>
            </w:r>
            <w:r w:rsidRPr="000E64D4">
              <w:rPr>
                <w:rFonts w:ascii="Times New Roman" w:hAnsi="Times New Roman" w:hint="eastAsia"/>
                <w:sz w:val="22"/>
                <w:szCs w:val="22"/>
              </w:rPr>
              <w:t>893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240F9F"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991,227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188</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EC1FF3"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EC1FF3" w:rsidP="007A6E19">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EC1FF3"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270</w:t>
            </w:r>
            <w:r w:rsidRPr="000E64D4">
              <w:rPr>
                <w:rFonts w:ascii="Times New Roman" w:hAnsi="Times New Roman"/>
                <w:sz w:val="22"/>
                <w:szCs w:val="22"/>
              </w:rPr>
              <w:t>,241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EC1FF3"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5</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-40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453,450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FA1BAC" w:rsidP="00455C14">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431,216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FA1BAC"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180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w:t>
            </w:r>
            <w:r w:rsidRPr="000E64D4">
              <w:rPr>
                <w:rFonts w:ascii="Times New Roman" w:hAnsi="Times New Roman"/>
                <w:sz w:val="22"/>
                <w:szCs w:val="22"/>
              </w:rPr>
              <w:t>,</w:t>
            </w:r>
            <w:r w:rsidRPr="000E64D4">
              <w:rPr>
                <w:rFonts w:ascii="Times New Roman" w:hAnsi="Times New Roman" w:hint="eastAsia"/>
                <w:sz w:val="22"/>
                <w:szCs w:val="22"/>
              </w:rPr>
              <w:t>176</w:t>
            </w:r>
            <w:r w:rsidRPr="000E64D4">
              <w:rPr>
                <w:rFonts w:ascii="Times New Roman" w:hAnsi="Times New Roman"/>
                <w:sz w:val="22"/>
                <w:szCs w:val="22"/>
              </w:rPr>
              <w:t>,</w:t>
            </w:r>
            <w:r w:rsidRPr="000E64D4">
              <w:rPr>
                <w:rFonts w:ascii="Times New Roman" w:hAnsi="Times New Roman" w:hint="eastAsia"/>
                <w:sz w:val="22"/>
                <w:szCs w:val="22"/>
              </w:rPr>
              <w:t>258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173</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6</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418,231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351,612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0D213E"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B53E3B" w:rsidP="000D213E">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ED01C3" w:rsidP="000D213E">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794471" w:rsidP="00257BC9">
            <w:pPr>
              <w:pStyle w:val="a3"/>
              <w:spacing w:line="400" w:lineRule="exact"/>
              <w:jc w:val="right"/>
              <w:rPr>
                <w:rFonts w:ascii="Times New Roman" w:hAnsi="Times New Roman"/>
                <w:sz w:val="22"/>
                <w:szCs w:val="22"/>
              </w:rPr>
            </w:pPr>
            <w:r w:rsidRPr="000E64D4">
              <w:rPr>
                <w:rFonts w:ascii="Times New Roman" w:hAnsi="Times New Roman"/>
                <w:sz w:val="22"/>
                <w:szCs w:val="22"/>
              </w:rPr>
              <w:t>4,488,964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0E64D4" w:rsidRDefault="00ED01C3" w:rsidP="00794471">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w:t>
            </w:r>
            <w:r w:rsidR="00794471" w:rsidRPr="000E64D4">
              <w:rPr>
                <w:rFonts w:ascii="Times New Roman" w:hAnsi="Times New Roman"/>
                <w:sz w:val="22"/>
                <w:szCs w:val="22"/>
              </w:rPr>
              <w:t>,177</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7</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563,812</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871,316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DF4D8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DF4D8F" w:rsidP="009D77E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DF4D8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903</w:t>
            </w:r>
            <w:r w:rsidRPr="000E64D4">
              <w:rPr>
                <w:rFonts w:ascii="Times New Roman" w:hAnsi="Times New Roman"/>
                <w:sz w:val="22"/>
                <w:szCs w:val="22"/>
              </w:rPr>
              <w:t>,757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DF4D8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FC7484" w:rsidP="009D77E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8</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1,313,571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518,380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C3CBF">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482FA7" w:rsidP="009D77ED">
            <w:pPr>
              <w:pStyle w:val="a3"/>
              <w:spacing w:line="400" w:lineRule="exact"/>
              <w:jc w:val="right"/>
              <w:rPr>
                <w:rFonts w:ascii="Times New Roman" w:hAnsi="Times New Roman"/>
                <w:sz w:val="22"/>
                <w:szCs w:val="22"/>
              </w:rPr>
            </w:pPr>
            <w:r w:rsidRPr="000E64D4">
              <w:rPr>
                <w:rFonts w:ascii="Times New Roman" w:hAnsi="Times New Roman"/>
                <w:sz w:val="22"/>
                <w:szCs w:val="22"/>
              </w:rPr>
              <w:t>240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490169" w:rsidP="009D77E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482FA7" w:rsidP="009D77ED">
            <w:pPr>
              <w:pStyle w:val="a3"/>
              <w:spacing w:line="400" w:lineRule="exact"/>
              <w:jc w:val="right"/>
              <w:rPr>
                <w:rFonts w:ascii="Times New Roman" w:hAnsi="Times New Roman"/>
                <w:sz w:val="22"/>
                <w:szCs w:val="22"/>
              </w:rPr>
            </w:pPr>
            <w:r w:rsidRPr="000E64D4">
              <w:rPr>
                <w:rFonts w:ascii="Times New Roman" w:hAnsi="Times New Roman"/>
                <w:sz w:val="22"/>
                <w:szCs w:val="22"/>
              </w:rPr>
              <w:t>696</w:t>
            </w:r>
            <w:r w:rsidRPr="000E64D4">
              <w:rPr>
                <w:rFonts w:ascii="Times New Roman" w:hAnsi="Times New Roman" w:hint="eastAsia"/>
                <w:sz w:val="22"/>
                <w:szCs w:val="22"/>
              </w:rPr>
              <w:t>,645</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0E64D4" w:rsidRDefault="00A074F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w:t>
            </w:r>
          </w:p>
        </w:tc>
      </w:tr>
      <w:tr w:rsidR="00433D57"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9</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603,694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tabs>
                <w:tab w:val="left" w:pos="288"/>
              </w:tabs>
              <w:spacing w:line="400" w:lineRule="exact"/>
              <w:ind w:firstLineChars="100" w:firstLine="210"/>
              <w:jc w:val="right"/>
              <w:rPr>
                <w:rFonts w:ascii="Times New Roman" w:hAnsi="Times New Roman"/>
                <w:spacing w:val="-10"/>
                <w:sz w:val="22"/>
                <w:szCs w:val="22"/>
              </w:rPr>
            </w:pPr>
            <w:r w:rsidRPr="000E64D4">
              <w:rPr>
                <w:rFonts w:ascii="Times New Roman" w:hAnsi="Times New Roman" w:hint="eastAsia"/>
                <w:spacing w:val="-10"/>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689,556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14.22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2E348D"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170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2E348D"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F16D28" w:rsidP="00990D76">
            <w:pPr>
              <w:pStyle w:val="a3"/>
              <w:spacing w:line="400" w:lineRule="exact"/>
              <w:jc w:val="right"/>
              <w:rPr>
                <w:rFonts w:ascii="Times New Roman" w:hAnsi="Times New Roman"/>
                <w:sz w:val="22"/>
                <w:szCs w:val="22"/>
              </w:rPr>
            </w:pPr>
            <w:r w:rsidRPr="000E64D4">
              <w:rPr>
                <w:rFonts w:ascii="Times New Roman" w:hAnsi="Times New Roman"/>
                <w:sz w:val="22"/>
                <w:szCs w:val="22"/>
              </w:rPr>
              <w:t>755,997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F16D28"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w:t>
            </w:r>
          </w:p>
        </w:tc>
      </w:tr>
      <w:tr w:rsidR="00FF629B"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10</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-44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991,045</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sz w:val="22"/>
                <w:szCs w:val="22"/>
              </w:rPr>
              <w:t>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FF629B">
            <w:pPr>
              <w:pStyle w:val="a3"/>
              <w:tabs>
                <w:tab w:val="left" w:pos="288"/>
              </w:tabs>
              <w:spacing w:line="400" w:lineRule="exact"/>
              <w:ind w:firstLineChars="100" w:firstLine="210"/>
              <w:jc w:val="right"/>
              <w:rPr>
                <w:rFonts w:ascii="Times New Roman" w:hAnsi="Times New Roman"/>
                <w:spacing w:val="-10"/>
                <w:sz w:val="22"/>
                <w:szCs w:val="22"/>
              </w:rPr>
            </w:pPr>
            <w:r w:rsidRPr="000E64D4">
              <w:rPr>
                <w:rFonts w:ascii="Times New Roman" w:hAnsi="Times New Roman" w:hint="eastAsia"/>
                <w:spacing w:val="-10"/>
                <w:sz w:val="22"/>
                <w:szCs w:val="22"/>
              </w:rPr>
              <w:t>-</w:t>
            </w:r>
            <w:r w:rsidRPr="000E64D4">
              <w:rPr>
                <w:rFonts w:ascii="Times New Roman" w:hAnsi="Times New Roman"/>
                <w:spacing w:val="-10"/>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w:t>
            </w:r>
            <w:r w:rsidRPr="000E64D4">
              <w:rPr>
                <w:rFonts w:ascii="Times New Roman" w:hAnsi="Times New Roman"/>
                <w:sz w:val="22"/>
                <w:szCs w:val="22"/>
              </w:rPr>
              <w:t>52,547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0E1AF9"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194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1E53"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429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420,007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1E53" w:rsidP="0040429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r w:rsidR="0040429A" w:rsidRPr="000E64D4">
              <w:rPr>
                <w:rFonts w:ascii="Times New Roman" w:hAnsi="Times New Roman" w:hint="eastAsia"/>
                <w:sz w:val="22"/>
                <w:szCs w:val="22"/>
              </w:rPr>
              <w:t>51</w:t>
            </w:r>
          </w:p>
        </w:tc>
      </w:tr>
      <w:tr w:rsidR="00FF629B" w:rsidRPr="000E64D4"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1-10</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2,901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-12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7,345,175</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sz w:val="22"/>
                <w:szCs w:val="22"/>
              </w:rPr>
              <w:t>2</w:t>
            </w:r>
            <w:r w:rsidRPr="000E64D4">
              <w:rPr>
                <w:rFonts w:ascii="Times New Roman" w:hAnsi="Times New Roman" w:hint="eastAsia"/>
                <w:sz w:val="22"/>
                <w:szCs w:val="22"/>
              </w:rPr>
              <w:t>,</w:t>
            </w:r>
            <w:r w:rsidRPr="000E64D4">
              <w:rPr>
                <w:rFonts w:ascii="Times New Roman" w:hAnsi="Times New Roman"/>
                <w:sz w:val="22"/>
                <w:szCs w:val="22"/>
              </w:rPr>
              <w:t>230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w:t>
            </w:r>
            <w:r w:rsidRPr="000E64D4">
              <w:rPr>
                <w:rFonts w:ascii="Times New Roman" w:hAnsi="Times New Roman"/>
                <w:spacing w:val="-10"/>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sz w:val="22"/>
                <w:szCs w:val="22"/>
              </w:rPr>
              <w:t>5,270,282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1E53"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2,030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1E53"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429A" w:rsidP="00F16D28">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11,560,978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40429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119</w:t>
            </w:r>
          </w:p>
        </w:tc>
      </w:tr>
      <w:tr w:rsidR="00FF629B" w:rsidRPr="000E64D4" w:rsidTr="00490169">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FB0B49">
            <w:pPr>
              <w:pStyle w:val="a3"/>
              <w:spacing w:line="400" w:lineRule="exact"/>
              <w:jc w:val="center"/>
              <w:rPr>
                <w:rFonts w:ascii="Times New Roman" w:hAnsi="Times New Roman"/>
                <w:sz w:val="22"/>
                <w:szCs w:val="22"/>
              </w:rPr>
            </w:pPr>
            <w:r w:rsidRPr="000E64D4">
              <w:rPr>
                <w:rFonts w:ascii="Times New Roman" w:hAnsi="Times New Roman"/>
                <w:sz w:val="22"/>
                <w:szCs w:val="22"/>
              </w:rPr>
              <w:t>1-12</w:t>
            </w:r>
            <w:r w:rsidRPr="000E64D4">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sz w:val="22"/>
                <w:szCs w:val="22"/>
              </w:rPr>
              <w:t>,</w:t>
            </w:r>
            <w:r w:rsidRPr="000E64D4">
              <w:rPr>
                <w:rFonts w:ascii="Times New Roman" w:hAnsi="Times New Roman" w:hint="eastAsia"/>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w:t>
            </w:r>
            <w:r w:rsidRPr="000E64D4">
              <w:rPr>
                <w:rFonts w:ascii="Times New Roman" w:hAnsi="Times New Roman"/>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F629B" w:rsidRPr="000E64D4" w:rsidRDefault="00FF629B"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r>
      <w:tr w:rsidR="00FF629B" w:rsidRPr="000E64D4" w:rsidTr="00490169">
        <w:trPr>
          <w:cantSplit/>
          <w:trHeight w:val="70"/>
          <w:jc w:val="center"/>
        </w:trPr>
        <w:tc>
          <w:tcPr>
            <w:tcW w:w="9491" w:type="dxa"/>
            <w:gridSpan w:val="13"/>
            <w:tcBorders>
              <w:top w:val="single" w:sz="4" w:space="0" w:color="000000"/>
            </w:tcBorders>
            <w:shd w:val="clear" w:color="auto" w:fill="auto"/>
            <w:tcMar>
              <w:top w:w="0" w:type="dxa"/>
              <w:left w:w="28" w:type="dxa"/>
              <w:bottom w:w="0" w:type="dxa"/>
              <w:right w:w="28" w:type="dxa"/>
            </w:tcMar>
          </w:tcPr>
          <w:p w:rsidR="00FF629B" w:rsidRPr="000E64D4" w:rsidRDefault="00FF629B">
            <w:pPr>
              <w:pStyle w:val="a3"/>
              <w:spacing w:before="120" w:line="300" w:lineRule="exact"/>
              <w:rPr>
                <w:rFonts w:ascii="Times New Roman" w:hAnsi="Times New Roman"/>
                <w:sz w:val="24"/>
              </w:rPr>
            </w:pPr>
            <w:r w:rsidRPr="000E64D4">
              <w:rPr>
                <w:rFonts w:ascii="Times New Roman" w:hAnsi="Times New Roman"/>
                <w:sz w:val="24"/>
              </w:rPr>
              <w:t>註：成長率係與上年度同期比較。</w:t>
            </w:r>
          </w:p>
        </w:tc>
      </w:tr>
    </w:tbl>
    <w:p w:rsidR="00E15544" w:rsidRPr="000E64D4" w:rsidRDefault="00E15544" w:rsidP="00712851">
      <w:pPr>
        <w:pStyle w:val="a3"/>
        <w:spacing w:line="400" w:lineRule="exact"/>
        <w:jc w:val="right"/>
        <w:rPr>
          <w:rFonts w:ascii="Times New Roman" w:hAnsi="Times New Roman"/>
          <w:sz w:val="36"/>
        </w:rPr>
      </w:pPr>
    </w:p>
    <w:p w:rsidR="00E15544" w:rsidRPr="000E64D4" w:rsidRDefault="004C5877">
      <w:pPr>
        <w:pageBreakBefore/>
        <w:jc w:val="center"/>
        <w:rPr>
          <w:sz w:val="36"/>
          <w:szCs w:val="36"/>
        </w:rPr>
      </w:pPr>
      <w:r w:rsidRPr="000E64D4">
        <w:rPr>
          <w:rFonts w:eastAsia="標楷體"/>
          <w:sz w:val="36"/>
          <w:szCs w:val="36"/>
        </w:rPr>
        <w:lastRenderedPageBreak/>
        <w:t>表</w:t>
      </w:r>
      <w:r w:rsidRPr="000E64D4">
        <w:rPr>
          <w:rFonts w:eastAsia="標楷體"/>
          <w:sz w:val="36"/>
          <w:szCs w:val="36"/>
        </w:rPr>
        <w:t>1-2</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49199D"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僑外投資前五大地區統計表</w:t>
      </w:r>
    </w:p>
    <w:p w:rsidR="00E15544" w:rsidRPr="000E64D4" w:rsidRDefault="004C5877">
      <w:pPr>
        <w:ind w:right="480" w:firstLine="6840"/>
      </w:pPr>
      <w:r w:rsidRPr="000E64D4">
        <w:t xml:space="preserve">　</w:t>
      </w:r>
      <w:r w:rsidRPr="000E64D4">
        <w:rPr>
          <w:rFonts w:eastAsia="標楷體"/>
          <w:sz w:val="22"/>
          <w:szCs w:val="22"/>
        </w:rPr>
        <w:t>單位：千美元；</w:t>
      </w:r>
      <w:r w:rsidR="000754B5" w:rsidRPr="000E64D4">
        <w:rPr>
          <w:rFonts w:eastAsia="標楷體"/>
          <w:sz w:val="22"/>
          <w:szCs w:val="22"/>
        </w:rPr>
        <w:t>%</w:t>
      </w:r>
    </w:p>
    <w:tbl>
      <w:tblPr>
        <w:tblW w:w="8184" w:type="dxa"/>
        <w:jc w:val="center"/>
        <w:tblLayout w:type="fixed"/>
        <w:tblCellMar>
          <w:left w:w="10" w:type="dxa"/>
          <w:right w:w="10" w:type="dxa"/>
        </w:tblCellMar>
        <w:tblLook w:val="0000"/>
      </w:tblPr>
      <w:tblGrid>
        <w:gridCol w:w="1589"/>
        <w:gridCol w:w="837"/>
        <w:gridCol w:w="1536"/>
        <w:gridCol w:w="1452"/>
        <w:gridCol w:w="1553"/>
        <w:gridCol w:w="1177"/>
        <w:gridCol w:w="40"/>
      </w:tblGrid>
      <w:tr w:rsidR="00433D57" w:rsidRPr="000E64D4"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p w:rsidR="00C43C40" w:rsidRPr="000E64D4" w:rsidRDefault="000A0B99"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w:t>
            </w:r>
            <w:r w:rsidR="00C43C40" w:rsidRPr="000E64D4">
              <w:rPr>
                <w:rFonts w:ascii="Times New Roman" w:hAnsi="Times New Roman"/>
                <w:sz w:val="22"/>
                <w:szCs w:val="22"/>
              </w:rPr>
              <w:t>比重</w:t>
            </w:r>
            <w:r w:rsidR="000754B5" w:rsidRPr="000E64D4">
              <w:rPr>
                <w:rFonts w:ascii="Times New Roman" w:hAnsi="Times New Roman"/>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去年同期</w:t>
            </w:r>
          </w:p>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pPr>
              <w:pStyle w:val="a3"/>
              <w:spacing w:line="360" w:lineRule="exact"/>
              <w:jc w:val="center"/>
              <w:rPr>
                <w:rFonts w:ascii="Times New Roman" w:hAnsi="Times New Roman"/>
                <w:sz w:val="22"/>
                <w:szCs w:val="22"/>
              </w:rPr>
            </w:pPr>
            <w:r w:rsidRPr="000E64D4">
              <w:rPr>
                <w:rFonts w:ascii="Times New Roman" w:hAnsi="Times New Roman"/>
                <w:sz w:val="22"/>
                <w:szCs w:val="22"/>
              </w:rPr>
              <w:t>與去年同期比較</w:t>
            </w:r>
          </w:p>
        </w:tc>
        <w:tc>
          <w:tcPr>
            <w:tcW w:w="40" w:type="dxa"/>
            <w:shd w:val="clear" w:color="auto" w:fill="auto"/>
            <w:tcMar>
              <w:top w:w="0" w:type="dxa"/>
              <w:left w:w="10" w:type="dxa"/>
              <w:bottom w:w="0" w:type="dxa"/>
              <w:right w:w="10" w:type="dxa"/>
            </w:tcMar>
          </w:tcPr>
          <w:p w:rsidR="00C43C40" w:rsidRPr="000E64D4" w:rsidRDefault="00C43C40">
            <w:pPr>
              <w:pStyle w:val="a3"/>
              <w:spacing w:line="360" w:lineRule="exact"/>
              <w:jc w:val="center"/>
              <w:rPr>
                <w:rFonts w:ascii="Times New Roman" w:hAnsi="Times New Roman"/>
                <w:sz w:val="22"/>
                <w:szCs w:val="22"/>
              </w:rPr>
            </w:pPr>
          </w:p>
        </w:tc>
      </w:tr>
      <w:tr w:rsidR="00433D57" w:rsidRPr="000E64D4"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pPr>
              <w:pStyle w:val="a3"/>
              <w:spacing w:line="360" w:lineRule="exact"/>
              <w:jc w:val="both"/>
              <w:rPr>
                <w:rFonts w:ascii="Times New Roman" w:hAnsi="Times New Roman"/>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pPr>
              <w:pStyle w:val="a3"/>
              <w:spacing w:line="360" w:lineRule="exact"/>
              <w:jc w:val="both"/>
              <w:rPr>
                <w:rFonts w:ascii="Times New Roman" w:hAnsi="Times New Roman"/>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pPr>
              <w:pStyle w:val="a3"/>
              <w:spacing w:line="360" w:lineRule="exact"/>
              <w:jc w:val="both"/>
              <w:rPr>
                <w:rFonts w:ascii="Times New Roman" w:hAnsi="Times New Roman"/>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pPr>
              <w:pStyle w:val="a3"/>
              <w:spacing w:line="360" w:lineRule="exact"/>
              <w:jc w:val="both"/>
              <w:rPr>
                <w:rFonts w:ascii="Times New Roman" w:hAnsi="Times New Roman"/>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0E64D4" w:rsidRDefault="00C43C40" w:rsidP="00270D27">
            <w:pPr>
              <w:pStyle w:val="a3"/>
              <w:spacing w:line="360" w:lineRule="exact"/>
              <w:jc w:val="center"/>
              <w:rPr>
                <w:rFonts w:ascii="Times New Roman" w:hAnsi="Times New Roman"/>
                <w:sz w:val="22"/>
                <w:szCs w:val="22"/>
              </w:rPr>
            </w:pPr>
            <w:r w:rsidRPr="000E64D4">
              <w:rPr>
                <w:rFonts w:ascii="Times New Roman" w:hAnsi="Times New Roman"/>
                <w:sz w:val="22"/>
                <w:szCs w:val="22"/>
              </w:rPr>
              <w:t>成長率</w:t>
            </w:r>
          </w:p>
        </w:tc>
        <w:tc>
          <w:tcPr>
            <w:tcW w:w="40" w:type="dxa"/>
            <w:shd w:val="clear" w:color="auto" w:fill="auto"/>
            <w:tcMar>
              <w:top w:w="0" w:type="dxa"/>
              <w:left w:w="10" w:type="dxa"/>
              <w:bottom w:w="0" w:type="dxa"/>
              <w:right w:w="10" w:type="dxa"/>
            </w:tcMar>
          </w:tcPr>
          <w:p w:rsidR="00C43C40" w:rsidRPr="000E64D4" w:rsidRDefault="00C43C40">
            <w:pPr>
              <w:pStyle w:val="a3"/>
              <w:spacing w:line="360" w:lineRule="exact"/>
              <w:jc w:val="center"/>
              <w:rPr>
                <w:rFonts w:ascii="Times New Roman" w:hAnsi="Times New Roman"/>
                <w:sz w:val="22"/>
                <w:szCs w:val="22"/>
              </w:rPr>
            </w:pPr>
          </w:p>
        </w:tc>
      </w:tr>
      <w:tr w:rsidR="0040429A" w:rsidRPr="000E64D4"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jc w:val="center"/>
              <w:rPr>
                <w:rFonts w:eastAsia="標楷體"/>
                <w:szCs w:val="24"/>
              </w:rPr>
            </w:pPr>
            <w:r w:rsidRPr="000E64D4">
              <w:rPr>
                <w:rFonts w:eastAsia="標楷體" w:hint="eastAsia"/>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14</w:t>
            </w:r>
            <w:r w:rsidRPr="000E64D4">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3,211,851</w:t>
            </w:r>
          </w:p>
          <w:p w:rsidR="0040429A" w:rsidRPr="000E64D4" w:rsidRDefault="0040429A" w:rsidP="0040429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27.78</w:t>
            </w:r>
            <w:r w:rsidRPr="000E64D4">
              <w:rPr>
                <w:rFonts w:ascii="Times New Roman" w:hAnsi="Times New Roman"/>
                <w:sz w:val="22"/>
                <w:szCs w:val="24"/>
              </w:rPr>
              <w: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21,025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3,190,826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40429A">
            <w:pPr>
              <w:jc w:val="right"/>
              <w:rPr>
                <w:sz w:val="22"/>
                <w:szCs w:val="22"/>
              </w:rPr>
            </w:pPr>
            <w:r w:rsidRPr="000E64D4">
              <w:rPr>
                <w:sz w:val="22"/>
                <w:szCs w:val="22"/>
              </w:rPr>
              <w:t>15176.51</w:t>
            </w:r>
          </w:p>
        </w:tc>
        <w:tc>
          <w:tcPr>
            <w:tcW w:w="40" w:type="dxa"/>
            <w:shd w:val="clear" w:color="auto" w:fill="auto"/>
            <w:tcMar>
              <w:top w:w="0" w:type="dxa"/>
              <w:left w:w="10" w:type="dxa"/>
              <w:bottom w:w="0" w:type="dxa"/>
              <w:right w:w="10" w:type="dxa"/>
            </w:tcMar>
          </w:tcPr>
          <w:p w:rsidR="0040429A" w:rsidRPr="000E64D4" w:rsidRDefault="0040429A" w:rsidP="00631707">
            <w:pPr>
              <w:pStyle w:val="a3"/>
              <w:spacing w:line="400" w:lineRule="exact"/>
              <w:jc w:val="right"/>
              <w:rPr>
                <w:rFonts w:ascii="Times New Roman" w:hAnsi="Times New Roman"/>
                <w:sz w:val="22"/>
                <w:szCs w:val="24"/>
              </w:rPr>
            </w:pPr>
          </w:p>
        </w:tc>
      </w:tr>
      <w:tr w:rsidR="0040429A" w:rsidRPr="000E64D4"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jc w:val="center"/>
              <w:rPr>
                <w:rFonts w:eastAsia="標楷體"/>
                <w:szCs w:val="24"/>
              </w:rPr>
            </w:pPr>
            <w:r w:rsidRPr="000E64D4">
              <w:rPr>
                <w:rFonts w:eastAsia="標楷體" w:hint="eastAsia"/>
                <w:szCs w:val="24"/>
              </w:rPr>
              <w:t>加勒比海</w:t>
            </w:r>
          </w:p>
          <w:p w:rsidR="0040429A" w:rsidRPr="000E64D4" w:rsidRDefault="0040429A" w:rsidP="00631707">
            <w:pPr>
              <w:jc w:val="center"/>
              <w:rPr>
                <w:rFonts w:eastAsia="標楷體"/>
                <w:szCs w:val="24"/>
              </w:rPr>
            </w:pPr>
            <w:r w:rsidRPr="000E64D4">
              <w:rPr>
                <w:rFonts w:eastAsia="標楷體" w:hint="eastAsia"/>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202</w:t>
            </w:r>
            <w:r w:rsidRPr="000E64D4">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1,974,648</w:t>
            </w:r>
          </w:p>
          <w:p w:rsidR="0040429A" w:rsidRPr="000E64D4" w:rsidRDefault="0040429A" w:rsidP="0040429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17.08</w:t>
            </w:r>
            <w:r w:rsidRPr="000E64D4">
              <w:rPr>
                <w:rFonts w:ascii="Times New Roman" w:hAnsi="Times New Roman"/>
                <w:sz w:val="22"/>
                <w:szCs w:val="24"/>
              </w:rPr>
              <w: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1,219,253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755,395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40429A">
            <w:pPr>
              <w:jc w:val="right"/>
              <w:rPr>
                <w:sz w:val="22"/>
                <w:szCs w:val="22"/>
              </w:rPr>
            </w:pPr>
            <w:r w:rsidRPr="000E64D4">
              <w:rPr>
                <w:sz w:val="22"/>
                <w:szCs w:val="22"/>
              </w:rPr>
              <w:t>61.96</w:t>
            </w:r>
          </w:p>
        </w:tc>
        <w:tc>
          <w:tcPr>
            <w:tcW w:w="40" w:type="dxa"/>
            <w:shd w:val="clear" w:color="auto" w:fill="auto"/>
            <w:tcMar>
              <w:top w:w="0" w:type="dxa"/>
              <w:left w:w="10" w:type="dxa"/>
              <w:bottom w:w="0" w:type="dxa"/>
              <w:right w:w="10" w:type="dxa"/>
            </w:tcMar>
          </w:tcPr>
          <w:p w:rsidR="0040429A" w:rsidRPr="000E64D4" w:rsidRDefault="0040429A" w:rsidP="00631707">
            <w:pPr>
              <w:pStyle w:val="a3"/>
              <w:spacing w:line="400" w:lineRule="exact"/>
              <w:jc w:val="right"/>
              <w:rPr>
                <w:rFonts w:ascii="Times New Roman" w:hAnsi="Times New Roman"/>
                <w:sz w:val="22"/>
                <w:szCs w:val="24"/>
              </w:rPr>
            </w:pPr>
          </w:p>
        </w:tc>
      </w:tr>
      <w:tr w:rsidR="0040429A" w:rsidRPr="000E64D4"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jc w:val="center"/>
              <w:rPr>
                <w:rFonts w:eastAsia="標楷體"/>
                <w:szCs w:val="24"/>
              </w:rPr>
            </w:pPr>
            <w:r w:rsidRPr="000E64D4">
              <w:rPr>
                <w:rFonts w:eastAsia="標楷體" w:hint="eastAsia"/>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177</w:t>
            </w:r>
            <w:r w:rsidRPr="000E64D4">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1,512,415</w:t>
            </w:r>
          </w:p>
          <w:p w:rsidR="0040429A" w:rsidRPr="000E64D4" w:rsidRDefault="0040429A" w:rsidP="0040429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13.08</w:t>
            </w:r>
            <w:r w:rsidRPr="000E64D4">
              <w:rPr>
                <w:rFonts w:ascii="Times New Roman" w:hAnsi="Times New Roman"/>
                <w:sz w:val="22"/>
                <w:szCs w:val="24"/>
              </w:rPr>
              <w: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473,642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1,038,773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40429A">
            <w:pPr>
              <w:jc w:val="right"/>
              <w:rPr>
                <w:sz w:val="22"/>
                <w:szCs w:val="22"/>
              </w:rPr>
            </w:pPr>
            <w:r w:rsidRPr="000E64D4">
              <w:rPr>
                <w:sz w:val="22"/>
                <w:szCs w:val="22"/>
              </w:rPr>
              <w:t>219.32</w:t>
            </w:r>
          </w:p>
        </w:tc>
        <w:tc>
          <w:tcPr>
            <w:tcW w:w="40" w:type="dxa"/>
            <w:shd w:val="clear" w:color="auto" w:fill="auto"/>
            <w:tcMar>
              <w:top w:w="0" w:type="dxa"/>
              <w:left w:w="10" w:type="dxa"/>
              <w:bottom w:w="0" w:type="dxa"/>
              <w:right w:w="10" w:type="dxa"/>
            </w:tcMar>
          </w:tcPr>
          <w:p w:rsidR="0040429A" w:rsidRPr="000E64D4" w:rsidRDefault="0040429A" w:rsidP="00631707">
            <w:pPr>
              <w:pStyle w:val="a3"/>
              <w:spacing w:line="400" w:lineRule="exact"/>
              <w:jc w:val="right"/>
              <w:rPr>
                <w:rFonts w:ascii="Times New Roman" w:hAnsi="Times New Roman"/>
                <w:sz w:val="22"/>
                <w:szCs w:val="24"/>
              </w:rPr>
            </w:pPr>
          </w:p>
        </w:tc>
      </w:tr>
      <w:tr w:rsidR="0040429A" w:rsidRPr="000E64D4"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jc w:val="center"/>
              <w:rPr>
                <w:rFonts w:eastAsia="標楷體"/>
                <w:szCs w:val="24"/>
              </w:rPr>
            </w:pPr>
            <w:r w:rsidRPr="000E64D4">
              <w:rPr>
                <w:rFonts w:eastAsia="標楷體" w:hint="eastAsia"/>
                <w:szCs w:val="24"/>
              </w:rPr>
              <w:t>澳大利亞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28</w:t>
            </w:r>
            <w:r w:rsidRPr="000E64D4">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1,143,521</w:t>
            </w:r>
          </w:p>
          <w:p w:rsidR="0040429A" w:rsidRPr="000E64D4" w:rsidRDefault="0040429A" w:rsidP="0040429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9.89</w:t>
            </w:r>
            <w:r w:rsidRPr="000E64D4">
              <w:rPr>
                <w:rFonts w:ascii="Times New Roman" w:hAnsi="Times New Roman"/>
                <w:sz w:val="22"/>
                <w:szCs w:val="24"/>
              </w:rPr>
              <w: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68,689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1,074,833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40429A">
            <w:pPr>
              <w:jc w:val="right"/>
              <w:rPr>
                <w:sz w:val="22"/>
                <w:szCs w:val="22"/>
              </w:rPr>
            </w:pPr>
            <w:r w:rsidRPr="000E64D4">
              <w:rPr>
                <w:sz w:val="22"/>
                <w:szCs w:val="22"/>
              </w:rPr>
              <w:t>1564.79</w:t>
            </w:r>
          </w:p>
        </w:tc>
        <w:tc>
          <w:tcPr>
            <w:tcW w:w="40" w:type="dxa"/>
            <w:shd w:val="clear" w:color="auto" w:fill="auto"/>
            <w:tcMar>
              <w:top w:w="0" w:type="dxa"/>
              <w:left w:w="10" w:type="dxa"/>
              <w:bottom w:w="0" w:type="dxa"/>
              <w:right w:w="10" w:type="dxa"/>
            </w:tcMar>
          </w:tcPr>
          <w:p w:rsidR="0040429A" w:rsidRPr="000E64D4" w:rsidRDefault="0040429A" w:rsidP="00631707">
            <w:pPr>
              <w:pStyle w:val="a3"/>
              <w:spacing w:line="400" w:lineRule="exact"/>
              <w:jc w:val="right"/>
              <w:rPr>
                <w:rFonts w:ascii="Times New Roman" w:hAnsi="Times New Roman"/>
                <w:sz w:val="22"/>
                <w:szCs w:val="24"/>
              </w:rPr>
            </w:pPr>
          </w:p>
        </w:tc>
      </w:tr>
      <w:tr w:rsidR="0040429A" w:rsidRPr="000E64D4"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jc w:val="center"/>
              <w:rPr>
                <w:rFonts w:eastAsia="標楷體"/>
                <w:szCs w:val="24"/>
              </w:rPr>
            </w:pPr>
            <w:r w:rsidRPr="000E64D4">
              <w:rPr>
                <w:rFonts w:eastAsia="標楷體" w:hint="eastAsia"/>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17</w:t>
            </w:r>
            <w:r w:rsidRPr="000E64D4">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631707">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861,362</w:t>
            </w:r>
          </w:p>
          <w:p w:rsidR="0040429A" w:rsidRPr="000E64D4" w:rsidRDefault="0040429A" w:rsidP="0040429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7.45</w:t>
            </w:r>
            <w:r w:rsidRPr="000E64D4">
              <w:rPr>
                <w:rFonts w:ascii="Times New Roman" w:hAnsi="Times New Roman"/>
                <w:sz w:val="22"/>
                <w:szCs w:val="24"/>
              </w:rPr>
              <w:t>)</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484,854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pPr>
              <w:jc w:val="right"/>
              <w:rPr>
                <w:sz w:val="22"/>
                <w:szCs w:val="22"/>
              </w:rPr>
            </w:pPr>
            <w:r w:rsidRPr="000E64D4">
              <w:rPr>
                <w:sz w:val="22"/>
                <w:szCs w:val="22"/>
              </w:rPr>
              <w:t xml:space="preserve">376,508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0429A" w:rsidRPr="000E64D4" w:rsidRDefault="0040429A" w:rsidP="0040429A">
            <w:pPr>
              <w:jc w:val="right"/>
              <w:rPr>
                <w:sz w:val="22"/>
                <w:szCs w:val="22"/>
              </w:rPr>
            </w:pPr>
            <w:r w:rsidRPr="000E64D4">
              <w:rPr>
                <w:sz w:val="22"/>
                <w:szCs w:val="22"/>
              </w:rPr>
              <w:t>77.65</w:t>
            </w:r>
          </w:p>
        </w:tc>
        <w:tc>
          <w:tcPr>
            <w:tcW w:w="40" w:type="dxa"/>
            <w:shd w:val="clear" w:color="auto" w:fill="auto"/>
            <w:tcMar>
              <w:top w:w="0" w:type="dxa"/>
              <w:left w:w="10" w:type="dxa"/>
              <w:bottom w:w="0" w:type="dxa"/>
              <w:right w:w="10" w:type="dxa"/>
            </w:tcMar>
          </w:tcPr>
          <w:p w:rsidR="0040429A" w:rsidRPr="000E64D4" w:rsidRDefault="0040429A" w:rsidP="00631707">
            <w:pPr>
              <w:pStyle w:val="a3"/>
              <w:spacing w:line="400" w:lineRule="exact"/>
              <w:jc w:val="right"/>
              <w:rPr>
                <w:rFonts w:ascii="Times New Roman" w:hAnsi="Times New Roman"/>
                <w:sz w:val="22"/>
                <w:szCs w:val="24"/>
              </w:rPr>
            </w:pPr>
          </w:p>
        </w:tc>
      </w:tr>
    </w:tbl>
    <w:p w:rsidR="00E15544" w:rsidRPr="000E64D4" w:rsidRDefault="00E15544" w:rsidP="004C212C">
      <w:pPr>
        <w:pStyle w:val="a3"/>
        <w:spacing w:line="400" w:lineRule="exact"/>
        <w:jc w:val="right"/>
        <w:rPr>
          <w:rFonts w:ascii="Times New Roman" w:hAnsi="Times New Roman"/>
          <w:sz w:val="22"/>
          <w:szCs w:val="24"/>
        </w:rPr>
      </w:pPr>
    </w:p>
    <w:p w:rsidR="00E15544" w:rsidRPr="000E64D4" w:rsidRDefault="004C5877">
      <w:pPr>
        <w:jc w:val="center"/>
        <w:rPr>
          <w:rFonts w:eastAsia="標楷體"/>
          <w:sz w:val="36"/>
          <w:szCs w:val="36"/>
        </w:rPr>
      </w:pPr>
      <w:r w:rsidRPr="000E64D4">
        <w:rPr>
          <w:rFonts w:eastAsia="標楷體"/>
          <w:sz w:val="36"/>
          <w:szCs w:val="36"/>
        </w:rPr>
        <w:t>表</w:t>
      </w:r>
      <w:r w:rsidRPr="000E64D4">
        <w:rPr>
          <w:rFonts w:eastAsia="標楷體"/>
          <w:sz w:val="36"/>
          <w:szCs w:val="36"/>
        </w:rPr>
        <w:t>1-3</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49199D"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僑外投資前五大業別統計表</w:t>
      </w:r>
    </w:p>
    <w:p w:rsidR="00E15544" w:rsidRPr="000E64D4" w:rsidRDefault="004C5877">
      <w:pPr>
        <w:ind w:right="480" w:firstLine="6720"/>
        <w:rPr>
          <w:rFonts w:eastAsia="標楷體"/>
          <w:sz w:val="22"/>
          <w:szCs w:val="22"/>
        </w:rPr>
      </w:pPr>
      <w:r w:rsidRPr="000E64D4">
        <w:rPr>
          <w:rFonts w:eastAsia="標楷體"/>
        </w:rPr>
        <w:t xml:space="preserve">　</w:t>
      </w:r>
      <w:r w:rsidRPr="000E64D4">
        <w:rPr>
          <w:rFonts w:eastAsia="標楷體"/>
          <w:sz w:val="22"/>
          <w:szCs w:val="22"/>
        </w:rPr>
        <w:t>單位：千美元；</w:t>
      </w:r>
      <w:r w:rsidR="000754B5" w:rsidRPr="000E64D4">
        <w:rPr>
          <w:rFonts w:eastAsia="標楷體"/>
          <w:sz w:val="22"/>
          <w:szCs w:val="22"/>
        </w:rPr>
        <w:t>%</w:t>
      </w:r>
    </w:p>
    <w:tbl>
      <w:tblPr>
        <w:tblW w:w="8187" w:type="dxa"/>
        <w:jc w:val="center"/>
        <w:tblLayout w:type="fixed"/>
        <w:tblCellMar>
          <w:left w:w="10" w:type="dxa"/>
          <w:right w:w="10" w:type="dxa"/>
        </w:tblCellMar>
        <w:tblLook w:val="0000"/>
      </w:tblPr>
      <w:tblGrid>
        <w:gridCol w:w="1555"/>
        <w:gridCol w:w="850"/>
        <w:gridCol w:w="1559"/>
        <w:gridCol w:w="1418"/>
        <w:gridCol w:w="1387"/>
        <w:gridCol w:w="1418"/>
      </w:tblGrid>
      <w:tr w:rsidR="00433D57" w:rsidRPr="000E64D4"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133B5A">
            <w:pPr>
              <w:jc w:val="center"/>
              <w:rPr>
                <w:rFonts w:eastAsia="標楷體"/>
                <w:szCs w:val="24"/>
              </w:rPr>
            </w:pPr>
            <w:r w:rsidRPr="000E64D4">
              <w:rPr>
                <w:rFonts w:eastAsia="標楷體"/>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p w:rsidR="000E353D" w:rsidRPr="000E64D4" w:rsidRDefault="000A0B99"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w:t>
            </w:r>
            <w:r w:rsidR="000E353D" w:rsidRPr="000E64D4">
              <w:rPr>
                <w:rFonts w:ascii="Times New Roman" w:hAnsi="Times New Roman"/>
                <w:sz w:val="22"/>
                <w:szCs w:val="22"/>
              </w:rPr>
              <w:t>比重</w:t>
            </w:r>
            <w:r w:rsidR="000754B5" w:rsidRPr="000E64D4">
              <w:rPr>
                <w:rFonts w:ascii="Times New Roman" w:hAnsi="Times New Roman"/>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去年同期</w:t>
            </w:r>
          </w:p>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與去年同期比較</w:t>
            </w:r>
          </w:p>
        </w:tc>
      </w:tr>
      <w:tr w:rsidR="00433D57" w:rsidRPr="000E64D4"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133B5A">
            <w:pPr>
              <w:jc w:val="both"/>
              <w:rPr>
                <w:rFonts w:eastAsia="標楷體"/>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both"/>
              <w:rPr>
                <w:rFonts w:ascii="Times New Roman" w:hAnsi="Times New Roman"/>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both"/>
              <w:rPr>
                <w:rFonts w:ascii="Times New Roman" w:hAnsi="Times New Roman"/>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both"/>
              <w:rPr>
                <w:rFonts w:ascii="Times New Roman" w:hAnsi="Times New Roman"/>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0E64D4" w:rsidRDefault="000E353D" w:rsidP="00CF6362">
            <w:pPr>
              <w:pStyle w:val="a3"/>
              <w:spacing w:line="360" w:lineRule="exact"/>
              <w:jc w:val="center"/>
              <w:rPr>
                <w:rFonts w:ascii="Times New Roman" w:hAnsi="Times New Roman"/>
                <w:sz w:val="22"/>
                <w:szCs w:val="22"/>
              </w:rPr>
            </w:pPr>
            <w:r w:rsidRPr="000E64D4">
              <w:rPr>
                <w:rFonts w:ascii="Times New Roman" w:hAnsi="Times New Roman"/>
                <w:sz w:val="22"/>
                <w:szCs w:val="22"/>
              </w:rPr>
              <w:t>成長率</w:t>
            </w:r>
          </w:p>
        </w:tc>
      </w:tr>
      <w:tr w:rsidR="00B73A81" w:rsidRPr="000E64D4"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64755B">
            <w:pPr>
              <w:jc w:val="center"/>
              <w:rPr>
                <w:rFonts w:eastAsia="標楷體"/>
                <w:szCs w:val="24"/>
              </w:rPr>
            </w:pPr>
            <w:r w:rsidRPr="000E64D4">
              <w:rPr>
                <w:rFonts w:eastAsia="標楷體" w:hint="eastAsia"/>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211</w:t>
            </w:r>
            <w:r w:rsidRPr="000E64D4">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4,947,755</w:t>
            </w:r>
          </w:p>
          <w:p w:rsidR="00B73A81" w:rsidRPr="000E64D4" w:rsidRDefault="00B73A81" w:rsidP="00B73A81">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42.80</w:t>
            </w:r>
            <w:r w:rsidRPr="000E64D4">
              <w:rPr>
                <w:rFonts w:ascii="Times New Roman" w:hAnsi="Times New Roman"/>
                <w:sz w:val="22"/>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1,322,876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3,624,879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B73A81">
            <w:pPr>
              <w:jc w:val="right"/>
              <w:rPr>
                <w:sz w:val="22"/>
                <w:szCs w:val="22"/>
              </w:rPr>
            </w:pPr>
            <w:r w:rsidRPr="000E64D4">
              <w:rPr>
                <w:sz w:val="22"/>
                <w:szCs w:val="22"/>
              </w:rPr>
              <w:t>291.13</w:t>
            </w:r>
          </w:p>
        </w:tc>
      </w:tr>
      <w:tr w:rsidR="00B73A81" w:rsidRPr="000E64D4"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64755B">
            <w:pPr>
              <w:jc w:val="center"/>
              <w:rPr>
                <w:rFonts w:eastAsia="標楷體"/>
                <w:szCs w:val="24"/>
              </w:rPr>
            </w:pPr>
            <w:r w:rsidRPr="000E64D4">
              <w:rPr>
                <w:rFonts w:eastAsia="標楷體" w:hint="eastAsia"/>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675</w:t>
            </w:r>
            <w:r w:rsidRPr="000E64D4">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1,669,269</w:t>
            </w:r>
          </w:p>
          <w:p w:rsidR="00B73A81" w:rsidRPr="000E64D4" w:rsidRDefault="00B73A81" w:rsidP="00B73A81">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14.44</w:t>
            </w:r>
            <w:r w:rsidRPr="000E64D4">
              <w:rPr>
                <w:rFonts w:ascii="Times New Roman" w:hAnsi="Times New Roman"/>
                <w:sz w:val="22"/>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727,829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941,440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B73A81">
            <w:pPr>
              <w:jc w:val="right"/>
              <w:rPr>
                <w:sz w:val="22"/>
                <w:szCs w:val="22"/>
              </w:rPr>
            </w:pPr>
            <w:r w:rsidRPr="000E64D4">
              <w:rPr>
                <w:sz w:val="22"/>
                <w:szCs w:val="22"/>
              </w:rPr>
              <w:t>129.35</w:t>
            </w:r>
          </w:p>
        </w:tc>
      </w:tr>
      <w:tr w:rsidR="00B73A81" w:rsidRPr="000E64D4"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64755B">
            <w:pPr>
              <w:jc w:val="center"/>
              <w:rPr>
                <w:rFonts w:eastAsia="標楷體"/>
                <w:szCs w:val="24"/>
              </w:rPr>
            </w:pPr>
            <w:r w:rsidRPr="000E64D4">
              <w:rPr>
                <w:rFonts w:eastAsia="標楷體" w:hint="eastAsia"/>
                <w:szCs w:val="24"/>
              </w:rPr>
              <w:t>電力及燃氣</w:t>
            </w:r>
          </w:p>
          <w:p w:rsidR="00B73A81" w:rsidRPr="000E64D4" w:rsidRDefault="00B73A81" w:rsidP="0064755B">
            <w:pPr>
              <w:jc w:val="center"/>
              <w:rPr>
                <w:rFonts w:eastAsia="標楷體"/>
                <w:szCs w:val="24"/>
              </w:rPr>
            </w:pPr>
            <w:r w:rsidRPr="000E64D4">
              <w:rPr>
                <w:rFonts w:eastAsia="標楷體" w:hint="eastAsia"/>
                <w:szCs w:val="24"/>
              </w:rPr>
              <w:t>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21</w:t>
            </w:r>
            <w:r w:rsidRPr="000E64D4">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1,455,565</w:t>
            </w:r>
          </w:p>
          <w:p w:rsidR="00B73A81" w:rsidRPr="000E64D4" w:rsidRDefault="00B73A81" w:rsidP="00B73A81">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12.59</w:t>
            </w:r>
            <w:r w:rsidRPr="000E64D4">
              <w:rPr>
                <w:rFonts w:ascii="Times New Roman" w:hAnsi="Times New Roman"/>
                <w:sz w:val="22"/>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124,604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1,330,961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B73A81">
            <w:pPr>
              <w:jc w:val="right"/>
              <w:rPr>
                <w:sz w:val="22"/>
                <w:szCs w:val="22"/>
              </w:rPr>
            </w:pPr>
            <w:r w:rsidRPr="000E64D4">
              <w:rPr>
                <w:sz w:val="22"/>
                <w:szCs w:val="22"/>
              </w:rPr>
              <w:t>1068.15</w:t>
            </w:r>
          </w:p>
        </w:tc>
      </w:tr>
      <w:tr w:rsidR="00B73A81" w:rsidRPr="000E64D4"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64755B">
            <w:pPr>
              <w:jc w:val="center"/>
              <w:rPr>
                <w:rFonts w:eastAsia="標楷體"/>
                <w:szCs w:val="24"/>
              </w:rPr>
            </w:pPr>
            <w:r w:rsidRPr="000E64D4">
              <w:rPr>
                <w:rFonts w:eastAsia="標楷體" w:hint="eastAsia"/>
                <w:szCs w:val="24"/>
              </w:rPr>
              <w:t>機械設備</w:t>
            </w:r>
          </w:p>
          <w:p w:rsidR="00B73A81" w:rsidRPr="000E64D4" w:rsidRDefault="00B73A81" w:rsidP="0064755B">
            <w:pPr>
              <w:jc w:val="center"/>
              <w:rPr>
                <w:rFonts w:eastAsia="標楷體"/>
                <w:szCs w:val="24"/>
              </w:rPr>
            </w:pPr>
            <w:r w:rsidRPr="000E64D4">
              <w:rPr>
                <w:rFonts w:eastAsia="標楷體" w:hint="eastAsia"/>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19</w:t>
            </w:r>
            <w:r w:rsidRPr="000E64D4">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780,624</w:t>
            </w:r>
          </w:p>
          <w:p w:rsidR="00B73A81" w:rsidRPr="000E64D4" w:rsidRDefault="00B73A81" w:rsidP="00B73A81">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6.75</w:t>
            </w:r>
            <w:r w:rsidRPr="000E64D4">
              <w:rPr>
                <w:rFonts w:ascii="Times New Roman" w:hAnsi="Times New Roman"/>
                <w:sz w:val="22"/>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12,484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768,141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B73A81">
            <w:pPr>
              <w:jc w:val="right"/>
              <w:rPr>
                <w:sz w:val="22"/>
                <w:szCs w:val="22"/>
              </w:rPr>
            </w:pPr>
            <w:r w:rsidRPr="000E64D4">
              <w:rPr>
                <w:sz w:val="22"/>
                <w:szCs w:val="22"/>
              </w:rPr>
              <w:t>6153.23</w:t>
            </w:r>
          </w:p>
        </w:tc>
      </w:tr>
      <w:tr w:rsidR="00B73A81" w:rsidRPr="000E64D4"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64755B">
            <w:pPr>
              <w:jc w:val="center"/>
              <w:rPr>
                <w:rFonts w:eastAsia="標楷體"/>
                <w:szCs w:val="24"/>
              </w:rPr>
            </w:pPr>
            <w:r w:rsidRPr="000E64D4">
              <w:rPr>
                <w:rFonts w:eastAsia="標楷體" w:hint="eastAsia"/>
                <w:szCs w:val="24"/>
              </w:rPr>
              <w:t>專業、科學及技術服務業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311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CA540C">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437,110</w:t>
            </w:r>
          </w:p>
          <w:p w:rsidR="00B73A81" w:rsidRPr="000E64D4" w:rsidRDefault="00B73A81" w:rsidP="00B73A81">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3.78</w:t>
            </w:r>
            <w:r w:rsidRPr="000E64D4">
              <w:rPr>
                <w:rFonts w:ascii="Times New Roman" w:hAnsi="Times New Roman"/>
                <w:sz w:val="22"/>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335,208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pPr>
              <w:jc w:val="right"/>
              <w:rPr>
                <w:sz w:val="22"/>
                <w:szCs w:val="22"/>
              </w:rPr>
            </w:pPr>
            <w:r w:rsidRPr="000E64D4">
              <w:rPr>
                <w:sz w:val="22"/>
                <w:szCs w:val="22"/>
              </w:rPr>
              <w:t xml:space="preserve">101,902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3A81" w:rsidRPr="000E64D4" w:rsidRDefault="00B73A81" w:rsidP="00B73A81">
            <w:pPr>
              <w:jc w:val="right"/>
              <w:rPr>
                <w:sz w:val="22"/>
                <w:szCs w:val="22"/>
              </w:rPr>
            </w:pPr>
            <w:r w:rsidRPr="000E64D4">
              <w:rPr>
                <w:sz w:val="22"/>
                <w:szCs w:val="22"/>
              </w:rPr>
              <w:t>30.40</w:t>
            </w:r>
          </w:p>
        </w:tc>
      </w:tr>
    </w:tbl>
    <w:p w:rsidR="000E353D" w:rsidRPr="000E64D4" w:rsidRDefault="000E353D" w:rsidP="00715E57">
      <w:pPr>
        <w:pStyle w:val="a3"/>
        <w:spacing w:line="400" w:lineRule="exact"/>
        <w:ind w:right="960"/>
        <w:jc w:val="right"/>
        <w:rPr>
          <w:rFonts w:ascii="Times New Roman" w:hAnsi="Times New Roman"/>
          <w:sz w:val="22"/>
          <w:szCs w:val="22"/>
        </w:rPr>
      </w:pPr>
    </w:p>
    <w:p w:rsidR="000E353D" w:rsidRPr="000E64D4" w:rsidRDefault="000E353D" w:rsidP="004A3EF4">
      <w:pPr>
        <w:pStyle w:val="a3"/>
        <w:spacing w:line="400" w:lineRule="exact"/>
        <w:jc w:val="right"/>
        <w:rPr>
          <w:rFonts w:ascii="Times New Roman" w:hAnsi="Times New Roman"/>
          <w:sz w:val="22"/>
          <w:szCs w:val="22"/>
        </w:rPr>
      </w:pPr>
    </w:p>
    <w:p w:rsidR="00E15544" w:rsidRPr="000E64D4" w:rsidRDefault="004C5877">
      <w:pPr>
        <w:pageBreakBefore/>
        <w:spacing w:after="188" w:line="560" w:lineRule="exact"/>
        <w:ind w:left="329" w:firstLine="482"/>
        <w:jc w:val="both"/>
        <w:rPr>
          <w:rFonts w:eastAsia="標楷體"/>
          <w:sz w:val="36"/>
        </w:rPr>
      </w:pPr>
      <w:r w:rsidRPr="000E64D4">
        <w:rPr>
          <w:rFonts w:eastAsia="標楷體"/>
          <w:sz w:val="36"/>
        </w:rPr>
        <w:lastRenderedPageBreak/>
        <w:t>表</w:t>
      </w:r>
      <w:r w:rsidRPr="000E64D4">
        <w:rPr>
          <w:rFonts w:eastAsia="標楷體"/>
          <w:sz w:val="36"/>
        </w:rPr>
        <w:t>2-1</w:t>
      </w:r>
      <w:r w:rsidRPr="000E64D4">
        <w:rPr>
          <w:rFonts w:eastAsia="標楷體"/>
          <w:sz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49199D" w:rsidRPr="000E64D4">
        <w:rPr>
          <w:rFonts w:eastAsia="標楷體"/>
          <w:sz w:val="36"/>
          <w:szCs w:val="36"/>
        </w:rPr>
        <w:t>10</w:t>
      </w:r>
      <w:r w:rsidR="00642349" w:rsidRPr="000E64D4">
        <w:rPr>
          <w:rFonts w:eastAsia="標楷體" w:hint="eastAsia"/>
          <w:sz w:val="36"/>
          <w:szCs w:val="36"/>
        </w:rPr>
        <w:t>月</w:t>
      </w:r>
      <w:r w:rsidRPr="000E64D4">
        <w:rPr>
          <w:rFonts w:eastAsia="標楷體"/>
          <w:sz w:val="36"/>
        </w:rPr>
        <w:t>及最近</w:t>
      </w:r>
      <w:r w:rsidRPr="000E64D4">
        <w:rPr>
          <w:rFonts w:eastAsia="標楷體"/>
          <w:sz w:val="36"/>
        </w:rPr>
        <w:t>2</w:t>
      </w:r>
      <w:r w:rsidRPr="000E64D4">
        <w:rPr>
          <w:rFonts w:eastAsia="標楷體"/>
          <w:sz w:val="36"/>
        </w:rPr>
        <w:t>年陸資來臺投資概況</w:t>
      </w:r>
    </w:p>
    <w:tbl>
      <w:tblPr>
        <w:tblW w:w="9355" w:type="dxa"/>
        <w:jc w:val="right"/>
        <w:tblLayout w:type="fixed"/>
        <w:tblCellMar>
          <w:left w:w="10" w:type="dxa"/>
          <w:right w:w="10" w:type="dxa"/>
        </w:tblCellMar>
        <w:tblLook w:val="0000"/>
      </w:tblPr>
      <w:tblGrid>
        <w:gridCol w:w="850"/>
        <w:gridCol w:w="681"/>
        <w:gridCol w:w="526"/>
        <w:gridCol w:w="1033"/>
        <w:gridCol w:w="392"/>
        <w:gridCol w:w="203"/>
        <w:gridCol w:w="526"/>
        <w:gridCol w:w="680"/>
        <w:gridCol w:w="907"/>
        <w:gridCol w:w="469"/>
        <w:gridCol w:w="253"/>
        <w:gridCol w:w="525"/>
        <w:gridCol w:w="680"/>
        <w:gridCol w:w="1035"/>
        <w:gridCol w:w="595"/>
      </w:tblGrid>
      <w:tr w:rsidR="00433D57" w:rsidRPr="000E64D4"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rPr>
                <w:rFonts w:ascii="Times New Roman" w:hAnsi="Times New Roman"/>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rsidR="00E15544" w:rsidRPr="000E64D4" w:rsidRDefault="00E15544">
            <w:pPr>
              <w:pStyle w:val="a3"/>
              <w:spacing w:line="400" w:lineRule="exact"/>
              <w:jc w:val="center"/>
              <w:rPr>
                <w:rFonts w:ascii="Times New Roman" w:hAnsi="Times New Roman"/>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rsidR="00E15544" w:rsidRPr="000E64D4" w:rsidRDefault="004C5877" w:rsidP="008D3AB4">
            <w:pPr>
              <w:pStyle w:val="a3"/>
              <w:spacing w:line="0" w:lineRule="atLeast"/>
              <w:jc w:val="right"/>
              <w:rPr>
                <w:rFonts w:ascii="Arial" w:hAnsi="Arial" w:cs="Arial"/>
                <w:sz w:val="20"/>
              </w:rPr>
            </w:pPr>
            <w:r w:rsidRPr="000E64D4">
              <w:rPr>
                <w:rFonts w:ascii="Arial" w:hAnsi="Arial" w:cs="Arial"/>
                <w:sz w:val="20"/>
              </w:rPr>
              <w:t>單位：千美元；</w:t>
            </w:r>
            <w:r w:rsidR="000754B5" w:rsidRPr="000E64D4">
              <w:rPr>
                <w:rFonts w:ascii="Arial" w:hAnsi="Arial" w:cs="Arial"/>
                <w:sz w:val="20"/>
              </w:rPr>
              <w:t>%</w:t>
            </w:r>
          </w:p>
        </w:tc>
      </w:tr>
      <w:tr w:rsidR="00433D57" w:rsidRPr="000E64D4"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B7EC2" w:rsidRPr="000E64D4" w:rsidRDefault="00DB7EC2" w:rsidP="00DB7EC2">
            <w:pPr>
              <w:pStyle w:val="a3"/>
              <w:spacing w:line="400" w:lineRule="exact"/>
              <w:jc w:val="center"/>
              <w:rPr>
                <w:rFonts w:ascii="Times New Roman" w:hAnsi="Times New Roman"/>
                <w:sz w:val="24"/>
              </w:rPr>
            </w:pPr>
            <w:r w:rsidRPr="000E64D4">
              <w:rPr>
                <w:rFonts w:ascii="Times New Roman" w:hAnsi="Times New Roman" w:hint="eastAsia"/>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center"/>
              <w:rPr>
                <w:rFonts w:ascii="Times New Roman" w:hAnsi="Times New Roman"/>
                <w:sz w:val="24"/>
              </w:rPr>
            </w:pPr>
            <w:r w:rsidRPr="000E64D4">
              <w:rPr>
                <w:rFonts w:ascii="Times New Roman" w:hAnsi="Times New Roman"/>
                <w:sz w:val="24"/>
              </w:rPr>
              <w:t>1</w:t>
            </w:r>
            <w:r w:rsidRPr="000E64D4">
              <w:rPr>
                <w:rFonts w:ascii="Times New Roman" w:hAnsi="Times New Roman" w:hint="eastAsia"/>
                <w:sz w:val="24"/>
              </w:rPr>
              <w:t>09</w:t>
            </w:r>
            <w:r w:rsidRPr="000E64D4">
              <w:rPr>
                <w:rFonts w:ascii="Times New Roman" w:hAnsi="Times New Roman"/>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center"/>
              <w:rPr>
                <w:rFonts w:ascii="Times New Roman" w:hAnsi="Times New Roman"/>
                <w:sz w:val="24"/>
              </w:rPr>
            </w:pPr>
            <w:r w:rsidRPr="000E64D4">
              <w:rPr>
                <w:rFonts w:ascii="Times New Roman" w:hAnsi="Times New Roman" w:hint="eastAsia"/>
                <w:sz w:val="24"/>
              </w:rPr>
              <w:t>110</w:t>
            </w:r>
            <w:r w:rsidRPr="000E64D4">
              <w:rPr>
                <w:rFonts w:ascii="Times New Roman" w:hAnsi="Times New Roman" w:hint="eastAsia"/>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center"/>
              <w:rPr>
                <w:rFonts w:ascii="Times New Roman" w:hAnsi="Times New Roman"/>
                <w:sz w:val="24"/>
              </w:rPr>
            </w:pPr>
            <w:r w:rsidRPr="000E64D4">
              <w:rPr>
                <w:rFonts w:ascii="Times New Roman" w:hAnsi="Times New Roman" w:hint="eastAsia"/>
                <w:sz w:val="24"/>
              </w:rPr>
              <w:t>111</w:t>
            </w:r>
            <w:r w:rsidRPr="000E64D4">
              <w:rPr>
                <w:rFonts w:ascii="Times New Roman" w:hAnsi="Times New Roman" w:hint="eastAsia"/>
                <w:sz w:val="24"/>
              </w:rPr>
              <w:t>年</w:t>
            </w:r>
          </w:p>
        </w:tc>
      </w:tr>
      <w:tr w:rsidR="00433D57" w:rsidRPr="000E64D4"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件</w:t>
            </w:r>
          </w:p>
          <w:p w:rsidR="009A3D55" w:rsidRPr="000E64D4" w:rsidRDefault="009A3D55">
            <w:pPr>
              <w:pStyle w:val="a3"/>
              <w:spacing w:line="400" w:lineRule="exact"/>
              <w:jc w:val="center"/>
              <w:rPr>
                <w:rFonts w:ascii="Times New Roman" w:hAnsi="Times New Roman"/>
                <w:sz w:val="24"/>
              </w:rPr>
            </w:pP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成</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長</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金</w:t>
            </w:r>
          </w:p>
          <w:p w:rsidR="009A3D55" w:rsidRPr="000E64D4" w:rsidRDefault="009A3D55">
            <w:pPr>
              <w:pStyle w:val="a3"/>
              <w:spacing w:line="400" w:lineRule="exact"/>
              <w:jc w:val="center"/>
              <w:rPr>
                <w:rFonts w:ascii="Times New Roman" w:hAnsi="Times New Roman"/>
                <w:sz w:val="24"/>
              </w:rPr>
            </w:pP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成</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長</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件</w:t>
            </w:r>
          </w:p>
          <w:p w:rsidR="009A3D55" w:rsidRPr="000E64D4" w:rsidRDefault="009A3D55">
            <w:pPr>
              <w:pStyle w:val="a3"/>
              <w:spacing w:line="400" w:lineRule="exact"/>
              <w:jc w:val="center"/>
              <w:rPr>
                <w:rFonts w:ascii="Times New Roman" w:hAnsi="Times New Roman"/>
                <w:sz w:val="24"/>
              </w:rPr>
            </w:pP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成</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長</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金</w:t>
            </w:r>
          </w:p>
          <w:p w:rsidR="009A3D55" w:rsidRPr="000E64D4" w:rsidRDefault="009A3D55">
            <w:pPr>
              <w:pStyle w:val="a3"/>
              <w:spacing w:line="400" w:lineRule="exact"/>
              <w:jc w:val="center"/>
              <w:rPr>
                <w:rFonts w:ascii="Times New Roman" w:hAnsi="Times New Roman"/>
                <w:sz w:val="24"/>
              </w:rPr>
            </w:pP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成</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長</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件</w:t>
            </w:r>
          </w:p>
          <w:p w:rsidR="009A3D55" w:rsidRPr="000E64D4" w:rsidRDefault="009A3D55">
            <w:pPr>
              <w:pStyle w:val="a3"/>
              <w:spacing w:line="400" w:lineRule="exact"/>
              <w:jc w:val="center"/>
              <w:rPr>
                <w:rFonts w:ascii="Times New Roman" w:hAnsi="Times New Roman"/>
                <w:sz w:val="24"/>
              </w:rPr>
            </w:pP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成</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長</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金</w:t>
            </w:r>
          </w:p>
          <w:p w:rsidR="009A3D55" w:rsidRPr="000E64D4" w:rsidRDefault="009A3D55">
            <w:pPr>
              <w:pStyle w:val="a3"/>
              <w:spacing w:line="400" w:lineRule="exact"/>
              <w:jc w:val="center"/>
              <w:rPr>
                <w:rFonts w:ascii="Times New Roman" w:hAnsi="Times New Roman"/>
                <w:sz w:val="24"/>
              </w:rPr>
            </w:pP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成</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長</w:t>
            </w:r>
          </w:p>
          <w:p w:rsidR="009A3D55" w:rsidRPr="000E64D4" w:rsidRDefault="009A3D55">
            <w:pPr>
              <w:pStyle w:val="a3"/>
              <w:spacing w:line="400" w:lineRule="exact"/>
              <w:jc w:val="center"/>
              <w:rPr>
                <w:rFonts w:ascii="Times New Roman" w:hAnsi="Times New Roman"/>
                <w:sz w:val="24"/>
              </w:rPr>
            </w:pPr>
            <w:r w:rsidRPr="000E64D4">
              <w:rPr>
                <w:rFonts w:ascii="Times New Roman" w:hAnsi="Times New Roman"/>
                <w:sz w:val="24"/>
              </w:rPr>
              <w:t>率</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center"/>
              <w:rPr>
                <w:rFonts w:ascii="Times New Roman" w:hAnsi="Times New Roman"/>
                <w:sz w:val="22"/>
                <w:szCs w:val="22"/>
              </w:rPr>
            </w:pPr>
            <w:r w:rsidRPr="000E64D4">
              <w:rPr>
                <w:rFonts w:ascii="Times New Roman" w:hAnsi="Times New Roman"/>
                <w:sz w:val="22"/>
                <w:szCs w:val="22"/>
              </w:rPr>
              <w:t>1</w:t>
            </w:r>
            <w:r w:rsidRPr="000E64D4">
              <w:rPr>
                <w:rFonts w:ascii="Times New Roman" w:hAnsi="Times New Roman"/>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DB7EC2"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7A6D44"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7A6D44"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7A6D44"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sz w:val="22"/>
                <w:szCs w:val="22"/>
              </w:rPr>
              <w:t>,</w:t>
            </w:r>
            <w:r w:rsidRPr="000E64D4">
              <w:rPr>
                <w:rFonts w:ascii="Times New Roman" w:hAnsi="Times New Roman" w:hint="eastAsia"/>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0E64D4" w:rsidRDefault="007A6D44" w:rsidP="00DB7EC2">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202</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985BF9"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8F02D5"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8F02D5"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8F02D5"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w:t>
            </w:r>
            <w:r w:rsidRPr="000E64D4">
              <w:rPr>
                <w:rFonts w:ascii="Times New Roman" w:hAnsi="Times New Roman"/>
                <w:sz w:val="22"/>
                <w:szCs w:val="22"/>
              </w:rPr>
              <w:t>,2</w:t>
            </w:r>
            <w:r w:rsidRPr="000E64D4">
              <w:rPr>
                <w:rFonts w:ascii="Times New Roman" w:hAnsi="Times New Roman" w:hint="eastAsia"/>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0E64D4" w:rsidRDefault="008F02D5" w:rsidP="00985BF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-89</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233052"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-44</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7A6E19"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1B09CB"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1B09CB"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1B09CB"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0E64D4" w:rsidRDefault="001B09CB" w:rsidP="007A6E1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-64</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5</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5,581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w:t>
            </w:r>
            <w:r w:rsidRPr="000E64D4">
              <w:rPr>
                <w:rFonts w:ascii="Times New Roman" w:hAnsi="Times New Roman"/>
                <w:sz w:val="22"/>
                <w:szCs w:val="22"/>
              </w:rPr>
              <w:t>,</w:t>
            </w:r>
            <w:r w:rsidRPr="000E64D4">
              <w:rPr>
                <w:rFonts w:ascii="Times New Roman" w:hAnsi="Times New Roman" w:hint="eastAsia"/>
                <w:sz w:val="22"/>
                <w:szCs w:val="22"/>
              </w:rPr>
              <w:t>119</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6C264E"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58</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6</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2,133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8,605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7F353A"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3333E9"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3333E9"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3333E9"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8,278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0E64D4" w:rsidRDefault="003333E9" w:rsidP="007F353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7</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8,605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1,094</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9D77ED"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EC44B4"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EC44B4"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EC44B4"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663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0E64D4" w:rsidRDefault="00EC44B4"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-39</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8</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60,147</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269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1,591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E37838"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E37838"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E37838"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1,156</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E37838" w:rsidP="009D77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-27</w:t>
            </w:r>
          </w:p>
        </w:tc>
      </w:tr>
      <w:tr w:rsidR="00433D57"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9</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-56</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3,590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4,591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E019C0"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E019C0"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E019C0"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394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E019C0"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-91</w:t>
            </w:r>
          </w:p>
        </w:tc>
      </w:tr>
      <w:tr w:rsidR="0049199D"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10</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2,057</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7,241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2,035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-72</w:t>
            </w:r>
          </w:p>
        </w:tc>
      </w:tr>
      <w:tr w:rsidR="0049199D" w:rsidRPr="000E64D4"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49199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1-10</w:t>
            </w:r>
            <w:r w:rsidRPr="000E64D4">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83</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123,952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61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sz w:val="22"/>
                <w:szCs w:val="22"/>
              </w:rPr>
              <w:t>1,303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67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21,283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8D2A0A"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-48</w:t>
            </w:r>
          </w:p>
        </w:tc>
      </w:tr>
      <w:tr w:rsidR="00433D57" w:rsidRPr="000E64D4"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0E64D4" w:rsidRDefault="00FB0B49" w:rsidP="00FB0B49">
            <w:pPr>
              <w:pStyle w:val="a3"/>
              <w:spacing w:line="400" w:lineRule="exact"/>
              <w:jc w:val="center"/>
              <w:rPr>
                <w:rFonts w:ascii="Times New Roman" w:hAnsi="Times New Roman"/>
                <w:sz w:val="22"/>
                <w:szCs w:val="22"/>
              </w:rPr>
            </w:pPr>
            <w:r w:rsidRPr="000E64D4">
              <w:rPr>
                <w:rFonts w:ascii="Times New Roman" w:hAnsi="Times New Roman"/>
                <w:sz w:val="22"/>
                <w:szCs w:val="22"/>
              </w:rPr>
              <w:t>1-12</w:t>
            </w:r>
            <w:r w:rsidRPr="000E64D4">
              <w:rPr>
                <w:rFonts w:ascii="Times New Roman" w:hAnsi="Times New Roman"/>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r>
      <w:tr w:rsidR="00E15544" w:rsidRPr="000E64D4"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rsidR="00E15544" w:rsidRPr="000E64D4" w:rsidRDefault="004C5877">
            <w:pPr>
              <w:pStyle w:val="a3"/>
              <w:spacing w:before="120" w:line="300" w:lineRule="exact"/>
              <w:rPr>
                <w:rFonts w:ascii="Times New Roman" w:hAnsi="Times New Roman"/>
                <w:sz w:val="24"/>
              </w:rPr>
            </w:pPr>
            <w:r w:rsidRPr="000E64D4">
              <w:rPr>
                <w:rFonts w:ascii="Times New Roman" w:hAnsi="Times New Roman"/>
                <w:sz w:val="24"/>
              </w:rPr>
              <w:t>註</w:t>
            </w:r>
            <w:r w:rsidRPr="000E64D4">
              <w:rPr>
                <w:rFonts w:ascii="Times New Roman" w:hAnsi="Times New Roman"/>
                <w:sz w:val="24"/>
              </w:rPr>
              <w:t>1</w:t>
            </w:r>
            <w:r w:rsidRPr="000E64D4">
              <w:rPr>
                <w:rFonts w:ascii="Times New Roman" w:hAnsi="Times New Roman"/>
                <w:sz w:val="24"/>
              </w:rPr>
              <w:t>：</w:t>
            </w:r>
            <w:r w:rsidRPr="000E64D4">
              <w:rPr>
                <w:rFonts w:ascii="Times New Roman" w:hAnsi="Times New Roman"/>
                <w:sz w:val="24"/>
              </w:rPr>
              <w:t>98</w:t>
            </w:r>
            <w:r w:rsidRPr="000E64D4">
              <w:rPr>
                <w:rFonts w:ascii="Times New Roman" w:hAnsi="Times New Roman"/>
                <w:sz w:val="24"/>
              </w:rPr>
              <w:t>年</w:t>
            </w:r>
            <w:r w:rsidRPr="000E64D4">
              <w:rPr>
                <w:rFonts w:ascii="Times New Roman" w:hAnsi="Times New Roman"/>
                <w:sz w:val="24"/>
              </w:rPr>
              <w:t>6</w:t>
            </w:r>
            <w:r w:rsidRPr="000E64D4">
              <w:rPr>
                <w:rFonts w:ascii="Times New Roman" w:hAnsi="Times New Roman"/>
                <w:sz w:val="24"/>
              </w:rPr>
              <w:t>月</w:t>
            </w:r>
            <w:r w:rsidRPr="000E64D4">
              <w:rPr>
                <w:rFonts w:ascii="Times New Roman" w:hAnsi="Times New Roman"/>
                <w:sz w:val="24"/>
              </w:rPr>
              <w:t>30</w:t>
            </w:r>
            <w:r w:rsidRPr="000E64D4">
              <w:rPr>
                <w:rFonts w:ascii="Times New Roman" w:hAnsi="Times New Roman"/>
                <w:sz w:val="24"/>
              </w:rPr>
              <w:t>日起開放陸資來臺投資。</w:t>
            </w:r>
          </w:p>
          <w:p w:rsidR="00E15544" w:rsidRPr="000E64D4" w:rsidRDefault="004C5877">
            <w:pPr>
              <w:pStyle w:val="a3"/>
              <w:spacing w:before="120" w:line="300" w:lineRule="exact"/>
              <w:rPr>
                <w:rFonts w:ascii="Times New Roman" w:hAnsi="Times New Roman"/>
                <w:sz w:val="24"/>
              </w:rPr>
            </w:pPr>
            <w:r w:rsidRPr="000E64D4">
              <w:rPr>
                <w:rFonts w:ascii="Times New Roman" w:hAnsi="Times New Roman"/>
                <w:sz w:val="24"/>
              </w:rPr>
              <w:t>註</w:t>
            </w:r>
            <w:r w:rsidRPr="000E64D4">
              <w:rPr>
                <w:rFonts w:ascii="Times New Roman" w:hAnsi="Times New Roman"/>
                <w:sz w:val="24"/>
              </w:rPr>
              <w:t>2</w:t>
            </w:r>
            <w:r w:rsidRPr="000E64D4">
              <w:rPr>
                <w:rFonts w:ascii="Times New Roman" w:hAnsi="Times New Roman"/>
                <w:sz w:val="24"/>
              </w:rPr>
              <w:t>：成長率係與上年度同期比較。</w:t>
            </w:r>
          </w:p>
          <w:p w:rsidR="00FB4C83" w:rsidRPr="000E64D4" w:rsidRDefault="00FB4C83">
            <w:pPr>
              <w:pStyle w:val="a3"/>
              <w:spacing w:before="120" w:line="300" w:lineRule="exact"/>
              <w:rPr>
                <w:rFonts w:ascii="Times New Roman" w:hAnsi="Times New Roman"/>
                <w:sz w:val="24"/>
              </w:rPr>
            </w:pPr>
          </w:p>
        </w:tc>
      </w:tr>
    </w:tbl>
    <w:p w:rsidR="00E15544" w:rsidRPr="000E64D4" w:rsidRDefault="00E15544">
      <w:pPr>
        <w:spacing w:after="188" w:line="560" w:lineRule="exact"/>
        <w:ind w:left="329" w:firstLine="482"/>
        <w:jc w:val="both"/>
        <w:rPr>
          <w:rFonts w:eastAsia="標楷體"/>
          <w:sz w:val="36"/>
        </w:rPr>
      </w:pPr>
    </w:p>
    <w:p w:rsidR="00E15544" w:rsidRPr="000E64D4" w:rsidRDefault="00E15544">
      <w:pPr>
        <w:spacing w:after="188" w:line="560" w:lineRule="exact"/>
        <w:ind w:left="329" w:firstLine="482"/>
        <w:jc w:val="both"/>
        <w:rPr>
          <w:rFonts w:eastAsia="標楷體"/>
          <w:sz w:val="36"/>
        </w:rPr>
      </w:pPr>
    </w:p>
    <w:p w:rsidR="00E15544" w:rsidRPr="000E64D4" w:rsidRDefault="00E15544">
      <w:pPr>
        <w:spacing w:after="188" w:line="560" w:lineRule="exact"/>
        <w:ind w:left="329" w:firstLine="482"/>
        <w:jc w:val="both"/>
        <w:rPr>
          <w:rFonts w:eastAsia="標楷體"/>
          <w:sz w:val="36"/>
        </w:rPr>
      </w:pPr>
    </w:p>
    <w:p w:rsidR="00E15544" w:rsidRPr="000E64D4" w:rsidRDefault="00E15544">
      <w:pPr>
        <w:spacing w:after="188" w:line="560" w:lineRule="exact"/>
        <w:ind w:left="329" w:firstLine="482"/>
        <w:jc w:val="both"/>
        <w:rPr>
          <w:rFonts w:eastAsia="標楷體"/>
          <w:sz w:val="36"/>
        </w:rPr>
      </w:pPr>
    </w:p>
    <w:p w:rsidR="00E15544" w:rsidRPr="000E64D4" w:rsidRDefault="00E15544">
      <w:pPr>
        <w:spacing w:after="188" w:line="560" w:lineRule="exact"/>
        <w:ind w:left="329" w:firstLine="482"/>
        <w:jc w:val="both"/>
        <w:rPr>
          <w:rFonts w:eastAsia="標楷體"/>
          <w:sz w:val="36"/>
        </w:rPr>
      </w:pPr>
    </w:p>
    <w:p w:rsidR="00E15544" w:rsidRPr="000E64D4" w:rsidRDefault="00E15544">
      <w:pPr>
        <w:spacing w:after="188" w:line="560" w:lineRule="exact"/>
        <w:ind w:left="329" w:firstLine="482"/>
        <w:jc w:val="both"/>
        <w:rPr>
          <w:rFonts w:eastAsia="標楷體"/>
          <w:sz w:val="36"/>
        </w:rPr>
      </w:pPr>
    </w:p>
    <w:p w:rsidR="00E15544" w:rsidRPr="000E64D4" w:rsidRDefault="004C5877">
      <w:pPr>
        <w:pageBreakBefore/>
        <w:spacing w:after="188" w:line="560" w:lineRule="exact"/>
        <w:ind w:firstLine="811"/>
        <w:jc w:val="both"/>
        <w:rPr>
          <w:rFonts w:eastAsia="標楷體"/>
          <w:sz w:val="36"/>
        </w:rPr>
      </w:pPr>
      <w:r w:rsidRPr="000E64D4">
        <w:rPr>
          <w:rFonts w:eastAsia="標楷體"/>
          <w:sz w:val="36"/>
        </w:rPr>
        <w:lastRenderedPageBreak/>
        <w:t>表</w:t>
      </w:r>
      <w:r w:rsidRPr="000E64D4">
        <w:rPr>
          <w:rFonts w:eastAsia="標楷體"/>
          <w:sz w:val="36"/>
        </w:rPr>
        <w:t xml:space="preserve">2-2   </w:t>
      </w:r>
      <w:r w:rsidRPr="000E64D4">
        <w:rPr>
          <w:rFonts w:eastAsia="標楷體"/>
          <w:sz w:val="36"/>
        </w:rPr>
        <w:t>截至</w:t>
      </w:r>
      <w:r w:rsidR="00642349" w:rsidRPr="000E64D4">
        <w:rPr>
          <w:rFonts w:eastAsia="標楷體" w:hint="eastAsia"/>
          <w:sz w:val="36"/>
          <w:szCs w:val="36"/>
        </w:rPr>
        <w:t>111</w:t>
      </w:r>
      <w:r w:rsidR="00642349" w:rsidRPr="000E64D4">
        <w:rPr>
          <w:rFonts w:eastAsia="標楷體" w:hint="eastAsia"/>
          <w:sz w:val="36"/>
          <w:szCs w:val="36"/>
        </w:rPr>
        <w:t>年</w:t>
      </w:r>
      <w:r w:rsidR="0049199D" w:rsidRPr="000E64D4">
        <w:rPr>
          <w:rFonts w:eastAsia="標楷體"/>
          <w:sz w:val="36"/>
          <w:szCs w:val="36"/>
        </w:rPr>
        <w:t>10</w:t>
      </w:r>
      <w:r w:rsidR="00642349" w:rsidRPr="000E64D4">
        <w:rPr>
          <w:rFonts w:eastAsia="標楷體" w:hint="eastAsia"/>
          <w:sz w:val="36"/>
          <w:szCs w:val="36"/>
        </w:rPr>
        <w:t>月</w:t>
      </w:r>
      <w:r w:rsidRPr="000E64D4">
        <w:rPr>
          <w:rFonts w:eastAsia="標楷體"/>
          <w:sz w:val="36"/>
        </w:rPr>
        <w:t>陸資來臺投資業別統計表</w:t>
      </w:r>
    </w:p>
    <w:tbl>
      <w:tblPr>
        <w:tblW w:w="9740" w:type="dxa"/>
        <w:tblInd w:w="18" w:type="dxa"/>
        <w:tblCellMar>
          <w:left w:w="28" w:type="dxa"/>
          <w:right w:w="28" w:type="dxa"/>
        </w:tblCellMar>
        <w:tblLook w:val="04A0"/>
      </w:tblPr>
      <w:tblGrid>
        <w:gridCol w:w="3820"/>
        <w:gridCol w:w="1580"/>
        <w:gridCol w:w="1131"/>
        <w:gridCol w:w="1729"/>
        <w:gridCol w:w="1480"/>
      </w:tblGrid>
      <w:tr w:rsidR="00433D57" w:rsidRPr="000E64D4"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5298C" w:rsidRPr="000E64D4" w:rsidRDefault="009A3D55"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0E64D4">
              <w:rPr>
                <w:rFonts w:ascii="標楷體" w:eastAsia="標楷體" w:hAnsi="標楷體" w:cs="新細明體" w:hint="eastAsia"/>
                <w:b/>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rsidR="0055298C" w:rsidRPr="000E64D4"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0E64D4">
              <w:rPr>
                <w:rFonts w:ascii="標楷體" w:eastAsia="標楷體" w:hAnsi="標楷體" w:cs="新細明體" w:hint="eastAsia"/>
                <w:b/>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rsidR="0055298C" w:rsidRPr="000E64D4"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0E64D4">
              <w:rPr>
                <w:rFonts w:ascii="標楷體" w:eastAsia="標楷體" w:hAnsi="標楷體" w:cs="新細明體" w:hint="eastAsia"/>
                <w:b/>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rsidR="0055298C" w:rsidRPr="000E64D4"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0E64D4">
              <w:rPr>
                <w:rFonts w:ascii="標楷體" w:eastAsia="標楷體" w:hAnsi="標楷體" w:cs="新細明體" w:hint="eastAsia"/>
                <w:b/>
                <w:kern w:val="0"/>
                <w:sz w:val="22"/>
                <w:szCs w:val="22"/>
              </w:rPr>
              <w:t>金額</w:t>
            </w:r>
            <w:r w:rsidR="000A0B99" w:rsidRPr="000E64D4">
              <w:rPr>
                <w:rFonts w:ascii="標楷體" w:eastAsia="標楷體" w:hAnsi="標楷體" w:cs="新細明體" w:hint="eastAsia"/>
                <w:b/>
                <w:kern w:val="0"/>
                <w:sz w:val="22"/>
                <w:szCs w:val="22"/>
              </w:rPr>
              <w:t>(</w:t>
            </w:r>
            <w:r w:rsidRPr="000E64D4">
              <w:rPr>
                <w:rFonts w:ascii="標楷體" w:eastAsia="標楷體" w:hAnsi="標楷體" w:cs="新細明體" w:hint="eastAsia"/>
                <w:b/>
                <w:kern w:val="0"/>
                <w:sz w:val="22"/>
                <w:szCs w:val="22"/>
              </w:rPr>
              <w:t>千美元</w:t>
            </w:r>
            <w:r w:rsidR="000754B5" w:rsidRPr="000E64D4">
              <w:rPr>
                <w:rFonts w:ascii="標楷體" w:eastAsia="標楷體" w:hAnsi="標楷體" w:cs="新細明體" w:hint="eastAsia"/>
                <w:b/>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rsidR="0055298C" w:rsidRPr="000E64D4"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0E64D4">
              <w:rPr>
                <w:rFonts w:ascii="標楷體" w:eastAsia="標楷體" w:hAnsi="標楷體" w:cs="新細明體" w:hint="eastAsia"/>
                <w:b/>
                <w:kern w:val="0"/>
                <w:sz w:val="22"/>
                <w:szCs w:val="22"/>
              </w:rPr>
              <w:t>比重</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批發及零售業</w:t>
            </w:r>
            <w:r w:rsidRPr="000E64D4">
              <w:rPr>
                <w:rFonts w:eastAsia="標楷體"/>
                <w:sz w:val="22"/>
                <w:szCs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w:t>
            </w:r>
            <w:r w:rsidR="00EE6D8B" w:rsidRPr="000E64D4">
              <w:rPr>
                <w:rFonts w:eastAsia="標楷體" w:hint="eastAsia"/>
                <w:sz w:val="22"/>
                <w:szCs w:val="22"/>
              </w:rPr>
              <w:t>,</w:t>
            </w:r>
            <w:r w:rsidRPr="000E64D4">
              <w:rPr>
                <w:rFonts w:eastAsia="標楷體"/>
                <w:sz w:val="22"/>
                <w:szCs w:val="22"/>
              </w:rPr>
              <w:t>024</w:t>
            </w:r>
          </w:p>
        </w:tc>
        <w:tc>
          <w:tcPr>
            <w:tcW w:w="1131" w:type="dxa"/>
            <w:tcBorders>
              <w:top w:val="single" w:sz="4" w:space="0" w:color="auto"/>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66.11%</w:t>
            </w:r>
          </w:p>
        </w:tc>
        <w:tc>
          <w:tcPr>
            <w:tcW w:w="1729" w:type="dxa"/>
            <w:tcBorders>
              <w:top w:val="single" w:sz="4" w:space="0" w:color="auto"/>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723,464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28.38%</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電子零組件製造業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67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4.33%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403,920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15.85%</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銀行業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7.90%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資訊軟體服務業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112</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7.23%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143,413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5.63%</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港埠業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5.46%</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機械設備製造業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37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2.39%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4.56%</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電腦、電子產品及光學製品製造業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37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2.39%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4.40%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研究發展服務業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9</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0.58%</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4.40%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電力設備製造業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9</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0.58%</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4.36%</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金屬製品製造業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15</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0.97%</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107,054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4.20%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住宿服務業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5</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0.32%</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4.18%</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化學製品製造業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6</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0.39%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2.98%</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餐飲業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77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4.97%</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38,057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1.49%</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醫療器材製造業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27,293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1.07%</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廢棄物清除、處理及資源回收業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10</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0.65%</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0.87%</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紡織業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0.72%</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食品製造業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0.58%</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化學材料製造業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0.53%</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塑膠製品製造業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16</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1.03%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8,696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0.34%</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汽車及其零件製造業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0.33%</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其他製造業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0.21%</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產業用機械設備維修及安裝業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技術檢測及分析服務業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會議服務業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21</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1.36%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0.19%</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專業設計服務業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15</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0.97%</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4,397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0.17%</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橡膠製品製造業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0.16%</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未分類其他專業、科學及技術服務業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0.15%</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運輸及倉儲業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20</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1.29%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0.12%</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未分類其他運輸工具及其零件製造業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6</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0.39%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0.12%</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成衣及服飾品製造業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0.12%</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創業投資業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0.08%</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租賃業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0.05%</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廢污水處理業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5</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0.32%</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0.02%</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清潔服務業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0.01%</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家具製造業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0.00%</w:t>
            </w:r>
          </w:p>
        </w:tc>
      </w:tr>
      <w:tr w:rsidR="00EC5479" w:rsidRPr="000E64D4"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C5479" w:rsidRPr="000E64D4" w:rsidRDefault="00EC5479">
            <w:pPr>
              <w:rPr>
                <w:rFonts w:eastAsia="標楷體"/>
                <w:sz w:val="22"/>
                <w:szCs w:val="22"/>
              </w:rPr>
            </w:pPr>
            <w:r w:rsidRPr="000E64D4">
              <w:rPr>
                <w:rFonts w:eastAsia="標楷體"/>
                <w:sz w:val="22"/>
                <w:szCs w:val="22"/>
              </w:rPr>
              <w:t xml:space="preserve"> </w:t>
            </w:r>
            <w:r w:rsidRPr="000E64D4">
              <w:rPr>
                <w:rFonts w:eastAsia="標楷體" w:hAnsi="標楷體"/>
                <w:sz w:val="22"/>
                <w:szCs w:val="22"/>
              </w:rPr>
              <w:t>廣告業</w:t>
            </w:r>
            <w:r w:rsidRPr="000E64D4">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C5479" w:rsidRPr="000E64D4" w:rsidRDefault="00EC5479">
            <w:pPr>
              <w:rPr>
                <w:rFonts w:eastAsia="標楷體"/>
                <w:sz w:val="22"/>
                <w:szCs w:val="22"/>
              </w:rPr>
            </w:pPr>
            <w:r w:rsidRPr="000E64D4">
              <w:rPr>
                <w:rFonts w:eastAsia="標楷體"/>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C5479" w:rsidRPr="000E64D4" w:rsidRDefault="00EC5479">
            <w:pPr>
              <w:jc w:val="right"/>
              <w:rPr>
                <w:rFonts w:eastAsia="標楷體"/>
                <w:sz w:val="22"/>
                <w:szCs w:val="22"/>
              </w:rPr>
            </w:pPr>
            <w:r w:rsidRPr="000E64D4">
              <w:rPr>
                <w:rFonts w:eastAsia="標楷體"/>
                <w:sz w:val="22"/>
                <w:szCs w:val="22"/>
              </w:rPr>
              <w:t>0.00%</w:t>
            </w:r>
          </w:p>
        </w:tc>
      </w:tr>
      <w:tr w:rsidR="00EC5479" w:rsidRPr="000E64D4" w:rsidTr="00EC547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rsidR="00EC5479" w:rsidRPr="000E64D4" w:rsidRDefault="00EC5479" w:rsidP="00EC5479">
            <w:pPr>
              <w:jc w:val="center"/>
              <w:rPr>
                <w:rFonts w:eastAsia="標楷體"/>
                <w:b/>
                <w:sz w:val="22"/>
                <w:szCs w:val="22"/>
              </w:rPr>
            </w:pPr>
            <w:r w:rsidRPr="000E64D4">
              <w:rPr>
                <w:rFonts w:eastAsia="標楷體" w:hAnsi="標楷體"/>
                <w:b/>
                <w:sz w:val="22"/>
                <w:szCs w:val="22"/>
              </w:rPr>
              <w:t>小計</w:t>
            </w:r>
          </w:p>
        </w:tc>
        <w:tc>
          <w:tcPr>
            <w:tcW w:w="1580" w:type="dxa"/>
            <w:tcBorders>
              <w:top w:val="single" w:sz="4" w:space="0" w:color="auto"/>
              <w:left w:val="nil"/>
              <w:bottom w:val="single" w:sz="8" w:space="0" w:color="auto"/>
              <w:right w:val="single" w:sz="4" w:space="0" w:color="auto"/>
            </w:tcBorders>
            <w:shd w:val="clear" w:color="auto" w:fill="auto"/>
            <w:vAlign w:val="center"/>
          </w:tcPr>
          <w:p w:rsidR="00EC5479" w:rsidRPr="000E64D4" w:rsidRDefault="00EC5479" w:rsidP="00EE6D8B">
            <w:pPr>
              <w:jc w:val="right"/>
              <w:rPr>
                <w:rFonts w:eastAsia="標楷體"/>
                <w:b/>
                <w:sz w:val="22"/>
                <w:szCs w:val="22"/>
              </w:rPr>
            </w:pPr>
            <w:r w:rsidRPr="000E64D4">
              <w:rPr>
                <w:rFonts w:eastAsia="標楷體"/>
                <w:b/>
                <w:sz w:val="22"/>
                <w:szCs w:val="22"/>
              </w:rPr>
              <w:t>1,549</w:t>
            </w:r>
          </w:p>
        </w:tc>
        <w:tc>
          <w:tcPr>
            <w:tcW w:w="1131" w:type="dxa"/>
            <w:tcBorders>
              <w:top w:val="single" w:sz="4" w:space="0" w:color="auto"/>
              <w:left w:val="nil"/>
              <w:bottom w:val="single" w:sz="8" w:space="0" w:color="auto"/>
              <w:right w:val="single" w:sz="4" w:space="0" w:color="auto"/>
            </w:tcBorders>
            <w:shd w:val="clear" w:color="auto" w:fill="auto"/>
            <w:vAlign w:val="center"/>
          </w:tcPr>
          <w:p w:rsidR="00EC5479" w:rsidRPr="000E64D4" w:rsidRDefault="00EC5479" w:rsidP="00EE6D8B">
            <w:pPr>
              <w:jc w:val="right"/>
              <w:rPr>
                <w:rFonts w:eastAsia="標楷體"/>
                <w:b/>
                <w:sz w:val="22"/>
                <w:szCs w:val="22"/>
              </w:rPr>
            </w:pPr>
            <w:r w:rsidRPr="000E64D4">
              <w:rPr>
                <w:rFonts w:eastAsia="標楷體"/>
                <w:b/>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rsidR="00EC5479" w:rsidRPr="000E64D4" w:rsidRDefault="00EC5479" w:rsidP="00EE6D8B">
            <w:pPr>
              <w:jc w:val="right"/>
              <w:rPr>
                <w:rFonts w:eastAsia="標楷體"/>
                <w:b/>
                <w:sz w:val="22"/>
                <w:szCs w:val="22"/>
              </w:rPr>
            </w:pPr>
            <w:r w:rsidRPr="000E64D4">
              <w:rPr>
                <w:rFonts w:eastAsia="標楷體"/>
                <w:b/>
                <w:sz w:val="22"/>
                <w:szCs w:val="22"/>
              </w:rPr>
              <w:t>2,548,809</w:t>
            </w:r>
          </w:p>
        </w:tc>
        <w:tc>
          <w:tcPr>
            <w:tcW w:w="1480" w:type="dxa"/>
            <w:tcBorders>
              <w:top w:val="nil"/>
              <w:left w:val="nil"/>
              <w:bottom w:val="single" w:sz="8" w:space="0" w:color="auto"/>
              <w:right w:val="single" w:sz="8" w:space="0" w:color="auto"/>
            </w:tcBorders>
            <w:shd w:val="clear" w:color="auto" w:fill="auto"/>
            <w:vAlign w:val="center"/>
          </w:tcPr>
          <w:p w:rsidR="00EC5479" w:rsidRPr="000E64D4" w:rsidRDefault="00EC5479" w:rsidP="00EE6D8B">
            <w:pPr>
              <w:jc w:val="right"/>
              <w:rPr>
                <w:rFonts w:eastAsia="標楷體"/>
                <w:b/>
                <w:sz w:val="22"/>
                <w:szCs w:val="22"/>
              </w:rPr>
            </w:pPr>
            <w:r w:rsidRPr="000E64D4">
              <w:rPr>
                <w:rFonts w:eastAsia="標楷體"/>
                <w:b/>
                <w:sz w:val="22"/>
                <w:szCs w:val="22"/>
              </w:rPr>
              <w:t>100.00%</w:t>
            </w:r>
          </w:p>
        </w:tc>
      </w:tr>
    </w:tbl>
    <w:p w:rsidR="00E15544" w:rsidRPr="000E64D4" w:rsidRDefault="004C5877" w:rsidP="002E4EA4">
      <w:pPr>
        <w:pStyle w:val="a3"/>
        <w:spacing w:before="60" w:line="300" w:lineRule="exact"/>
        <w:rPr>
          <w:rFonts w:ascii="Times New Roman" w:hAnsi="Times New Roman"/>
          <w:sz w:val="22"/>
          <w:szCs w:val="22"/>
        </w:rPr>
        <w:sectPr w:rsidR="00E15544" w:rsidRPr="000E64D4" w:rsidSect="00720A13">
          <w:footerReference w:type="default" r:id="rId8"/>
          <w:pgSz w:w="11907" w:h="16840"/>
          <w:pgMar w:top="851" w:right="1134" w:bottom="680" w:left="1134" w:header="851" w:footer="992" w:gutter="0"/>
          <w:cols w:space="720"/>
          <w:docGrid w:type="lines" w:linePitch="333"/>
        </w:sectPr>
      </w:pPr>
      <w:r w:rsidRPr="000E64D4">
        <w:rPr>
          <w:rFonts w:ascii="Times New Roman" w:hAnsi="Times New Roman"/>
          <w:sz w:val="22"/>
          <w:szCs w:val="22"/>
        </w:rPr>
        <w:t>註：</w:t>
      </w:r>
      <w:r w:rsidRPr="000E64D4">
        <w:rPr>
          <w:rFonts w:ascii="Times New Roman" w:hAnsi="Times New Roman"/>
          <w:sz w:val="22"/>
          <w:szCs w:val="22"/>
        </w:rPr>
        <w:t>98</w:t>
      </w:r>
      <w:r w:rsidRPr="000E64D4">
        <w:rPr>
          <w:rFonts w:ascii="Times New Roman" w:hAnsi="Times New Roman"/>
          <w:sz w:val="22"/>
          <w:szCs w:val="22"/>
        </w:rPr>
        <w:t>年</w:t>
      </w:r>
      <w:r w:rsidRPr="000E64D4">
        <w:rPr>
          <w:rFonts w:ascii="Times New Roman" w:hAnsi="Times New Roman"/>
          <w:sz w:val="22"/>
          <w:szCs w:val="22"/>
        </w:rPr>
        <w:t>6</w:t>
      </w:r>
      <w:r w:rsidRPr="000E64D4">
        <w:rPr>
          <w:rFonts w:ascii="Times New Roman" w:hAnsi="Times New Roman"/>
          <w:sz w:val="22"/>
          <w:szCs w:val="22"/>
        </w:rPr>
        <w:t>月</w:t>
      </w:r>
      <w:r w:rsidRPr="000E64D4">
        <w:rPr>
          <w:rFonts w:ascii="Times New Roman" w:hAnsi="Times New Roman"/>
          <w:sz w:val="22"/>
          <w:szCs w:val="22"/>
        </w:rPr>
        <w:t>30</w:t>
      </w:r>
      <w:r w:rsidRPr="000E64D4">
        <w:rPr>
          <w:rFonts w:ascii="Times New Roman" w:hAnsi="Times New Roman"/>
          <w:sz w:val="22"/>
          <w:szCs w:val="22"/>
        </w:rPr>
        <w:t>日起開放陸資來臺投資。</w:t>
      </w:r>
    </w:p>
    <w:p w:rsidR="00E15544" w:rsidRPr="000E64D4" w:rsidRDefault="004C5877">
      <w:pPr>
        <w:spacing w:after="188" w:line="560" w:lineRule="exact"/>
        <w:ind w:firstLine="811"/>
        <w:jc w:val="both"/>
        <w:rPr>
          <w:rFonts w:eastAsia="標楷體"/>
          <w:sz w:val="36"/>
        </w:rPr>
      </w:pPr>
      <w:r w:rsidRPr="000E64D4">
        <w:rPr>
          <w:rFonts w:eastAsia="標楷體"/>
          <w:sz w:val="36"/>
        </w:rPr>
        <w:lastRenderedPageBreak/>
        <w:t>表</w:t>
      </w:r>
      <w:r w:rsidRPr="000E64D4">
        <w:rPr>
          <w:rFonts w:eastAsia="標楷體"/>
          <w:sz w:val="36"/>
        </w:rPr>
        <w:t>3-1</w:t>
      </w:r>
      <w:r w:rsidRPr="000E64D4">
        <w:rPr>
          <w:rFonts w:eastAsia="標楷體"/>
          <w:sz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49199D" w:rsidRPr="000E64D4">
        <w:rPr>
          <w:rFonts w:eastAsia="標楷體"/>
          <w:sz w:val="36"/>
          <w:szCs w:val="36"/>
        </w:rPr>
        <w:t>10</w:t>
      </w:r>
      <w:r w:rsidR="00642349" w:rsidRPr="000E64D4">
        <w:rPr>
          <w:rFonts w:eastAsia="標楷體" w:hint="eastAsia"/>
          <w:sz w:val="36"/>
          <w:szCs w:val="36"/>
        </w:rPr>
        <w:t>月</w:t>
      </w:r>
      <w:r w:rsidRPr="000E64D4">
        <w:rPr>
          <w:rFonts w:eastAsia="標楷體"/>
          <w:sz w:val="36"/>
        </w:rPr>
        <w:t>及最近</w:t>
      </w:r>
      <w:r w:rsidRPr="000E64D4">
        <w:rPr>
          <w:rFonts w:eastAsia="標楷體"/>
          <w:sz w:val="36"/>
        </w:rPr>
        <w:t>2</w:t>
      </w:r>
      <w:r w:rsidRPr="000E64D4">
        <w:rPr>
          <w:rFonts w:eastAsia="標楷體"/>
          <w:sz w:val="36"/>
        </w:rPr>
        <w:t>年對外投資概況</w:t>
      </w:r>
    </w:p>
    <w:tbl>
      <w:tblPr>
        <w:tblW w:w="9414" w:type="dxa"/>
        <w:tblInd w:w="574" w:type="dxa"/>
        <w:tblLayout w:type="fixed"/>
        <w:tblCellMar>
          <w:left w:w="10" w:type="dxa"/>
          <w:right w:w="10" w:type="dxa"/>
        </w:tblCellMar>
        <w:tblLook w:val="0000"/>
      </w:tblPr>
      <w:tblGrid>
        <w:gridCol w:w="840"/>
        <w:gridCol w:w="774"/>
        <w:gridCol w:w="480"/>
        <w:gridCol w:w="1200"/>
        <w:gridCol w:w="555"/>
        <w:gridCol w:w="525"/>
        <w:gridCol w:w="480"/>
        <w:gridCol w:w="1200"/>
        <w:gridCol w:w="600"/>
        <w:gridCol w:w="600"/>
        <w:gridCol w:w="480"/>
        <w:gridCol w:w="1080"/>
        <w:gridCol w:w="600"/>
      </w:tblGrid>
      <w:tr w:rsidR="00433D57" w:rsidRPr="000E64D4"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rPr>
                <w:rFonts w:ascii="Times New Roman" w:hAnsi="Times New Roman"/>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rsidR="00E15544" w:rsidRPr="000E64D4" w:rsidRDefault="00E15544">
            <w:pPr>
              <w:pStyle w:val="a3"/>
              <w:spacing w:line="400" w:lineRule="exact"/>
              <w:jc w:val="center"/>
              <w:rPr>
                <w:rFonts w:ascii="Times New Roman" w:hAnsi="Times New Roman"/>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right"/>
              <w:rPr>
                <w:rFonts w:ascii="Times New Roman" w:hAnsi="Times New Roman"/>
                <w:sz w:val="24"/>
              </w:rPr>
            </w:pPr>
            <w:r w:rsidRPr="000E64D4">
              <w:rPr>
                <w:rFonts w:ascii="Times New Roman" w:hAnsi="Times New Roman"/>
                <w:sz w:val="24"/>
              </w:rPr>
              <w:t>單位：千美元</w:t>
            </w:r>
          </w:p>
        </w:tc>
      </w:tr>
      <w:tr w:rsidR="00433D57" w:rsidRPr="000E64D4"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spacing w:line="400" w:lineRule="exact"/>
              <w:jc w:val="center"/>
              <w:rPr>
                <w:rFonts w:ascii="Times New Roman" w:hAnsi="Times New Roman"/>
                <w:sz w:val="24"/>
              </w:rPr>
            </w:pPr>
            <w:r w:rsidRPr="000E64D4">
              <w:rPr>
                <w:rFonts w:ascii="Times New Roman" w:hAnsi="Times New Roman" w:hint="eastAsia"/>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center"/>
              <w:rPr>
                <w:rFonts w:ascii="Times New Roman" w:hAnsi="Times New Roman"/>
                <w:sz w:val="24"/>
              </w:rPr>
            </w:pPr>
            <w:r w:rsidRPr="000E64D4">
              <w:rPr>
                <w:rFonts w:ascii="Times New Roman" w:hAnsi="Times New Roman" w:hint="eastAsia"/>
                <w:sz w:val="24"/>
              </w:rPr>
              <w:t>109</w:t>
            </w:r>
            <w:r w:rsidRPr="000E64D4">
              <w:rPr>
                <w:rFonts w:ascii="Times New Roman" w:hAnsi="Times New Roman"/>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center"/>
              <w:rPr>
                <w:rFonts w:ascii="Times New Roman" w:hAnsi="Times New Roman"/>
                <w:sz w:val="24"/>
              </w:rPr>
            </w:pPr>
            <w:r w:rsidRPr="000E64D4">
              <w:rPr>
                <w:rFonts w:ascii="Times New Roman" w:hAnsi="Times New Roman" w:hint="eastAsia"/>
                <w:sz w:val="24"/>
              </w:rPr>
              <w:t>110</w:t>
            </w:r>
            <w:r w:rsidRPr="000E64D4">
              <w:rPr>
                <w:rFonts w:ascii="Times New Roman" w:hAnsi="Times New Roman"/>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center"/>
              <w:rPr>
                <w:rFonts w:ascii="Times New Roman" w:hAnsi="Times New Roman"/>
                <w:sz w:val="24"/>
              </w:rPr>
            </w:pPr>
            <w:r w:rsidRPr="000E64D4">
              <w:rPr>
                <w:rFonts w:ascii="Times New Roman" w:hAnsi="Times New Roman" w:hint="eastAsia"/>
                <w:sz w:val="24"/>
              </w:rPr>
              <w:t>111</w:t>
            </w:r>
            <w:r w:rsidRPr="000E64D4">
              <w:rPr>
                <w:rFonts w:ascii="Times New Roman" w:hAnsi="Times New Roman"/>
                <w:sz w:val="24"/>
              </w:rPr>
              <w:t>年</w:t>
            </w:r>
          </w:p>
        </w:tc>
      </w:tr>
      <w:tr w:rsidR="00433D57" w:rsidRPr="000E64D4"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rPr>
                <w:rFonts w:ascii="Times New Roman" w:hAnsi="Times New Roman"/>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件</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金</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件</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金</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件</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金</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spacing w:line="400" w:lineRule="exact"/>
              <w:jc w:val="center"/>
              <w:rPr>
                <w:rFonts w:ascii="Times New Roman" w:hAnsi="Times New Roman"/>
                <w:sz w:val="22"/>
                <w:szCs w:val="22"/>
              </w:rPr>
            </w:pPr>
            <w:r w:rsidRPr="000E64D4">
              <w:rPr>
                <w:rFonts w:ascii="Times New Roman" w:hAnsi="Times New Roman"/>
                <w:sz w:val="22"/>
                <w:szCs w:val="22"/>
              </w:rPr>
              <w:t>1</w:t>
            </w:r>
            <w:r w:rsidRPr="000E64D4">
              <w:rPr>
                <w:rFonts w:ascii="Times New Roman" w:hAnsi="Times New Roman"/>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97037A"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97037A"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97037A"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97037A"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3755B5"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8B51BA"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8B51BA"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8B51BA"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329</w:t>
            </w:r>
            <w:r w:rsidRPr="000E64D4">
              <w:rPr>
                <w:rFonts w:ascii="Times New Roman" w:hAnsi="Times New Roman"/>
                <w:sz w:val="22"/>
                <w:szCs w:val="22"/>
              </w:rPr>
              <w:t>,</w:t>
            </w:r>
            <w:r w:rsidRPr="000E64D4">
              <w:rPr>
                <w:rFonts w:ascii="Times New Roman" w:hAnsi="Times New Roman" w:hint="eastAsia"/>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0E64D4" w:rsidRDefault="008B51BA" w:rsidP="003755B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-43</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F0A" w:rsidRPr="000E64D4" w:rsidRDefault="00834F0A" w:rsidP="00834F0A">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834F0A"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0112B8"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0112B8"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0112B8"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0E64D4" w:rsidRDefault="000112B8" w:rsidP="00834F0A">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397</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715" w:rsidRPr="000E64D4" w:rsidRDefault="00765715" w:rsidP="00765715">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765715"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1C6D8A"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1C6D8A"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1C6D8A"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0E64D4" w:rsidRDefault="001C6D8A" w:rsidP="00765715">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-20</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5</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359,122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455C14"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844712"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844712"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844712"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562,974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0E64D4" w:rsidRDefault="00844712" w:rsidP="00455C1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147</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1CBB" w:rsidRPr="000E64D4" w:rsidRDefault="006C1CBB" w:rsidP="006C1CBB">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6</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1,654,046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196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2,700,060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6C1CBB"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F2557F"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F2557F"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F2557F"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1,413,544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0E64D4" w:rsidRDefault="00F2557F" w:rsidP="006C1CBB">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-48</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A3FED" w:rsidRPr="000E64D4" w:rsidRDefault="005A3FED" w:rsidP="005A3FE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7</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796,732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3,205,289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5A3FED"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6B34A7"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6B34A7"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6B34A7"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814,056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0E64D4" w:rsidRDefault="006B34A7"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-75</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5A3FE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8</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608,716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1,020,171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9C3CBF"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4056C1"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4056C1"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4056C1"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400,902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0E64D4" w:rsidRDefault="004056C1" w:rsidP="005A3FE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-61</w:t>
            </w:r>
          </w:p>
        </w:tc>
      </w:tr>
      <w:tr w:rsidR="00433D57" w:rsidRPr="000E64D4" w:rsidTr="006104E4">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9</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420,414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tabs>
                <w:tab w:val="left" w:pos="238"/>
              </w:tabs>
              <w:spacing w:line="400" w:lineRule="exact"/>
              <w:jc w:val="right"/>
              <w:rPr>
                <w:rFonts w:ascii="Times New Roman" w:hAnsi="Times New Roman"/>
                <w:sz w:val="22"/>
                <w:szCs w:val="22"/>
              </w:rPr>
            </w:pPr>
            <w:r w:rsidRPr="000E64D4">
              <w:rPr>
                <w:rFonts w:ascii="Times New Roman" w:hAnsi="Times New Roman" w:hint="eastAsia"/>
                <w:sz w:val="22"/>
                <w:szCs w:val="22"/>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341,122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tabs>
                <w:tab w:val="left" w:pos="315"/>
              </w:tabs>
              <w:spacing w:line="400" w:lineRule="exact"/>
              <w:jc w:val="right"/>
              <w:rPr>
                <w:rFonts w:ascii="Times New Roman" w:hAnsi="Times New Roman"/>
                <w:sz w:val="22"/>
                <w:szCs w:val="22"/>
              </w:rPr>
            </w:pPr>
            <w:r w:rsidRPr="000E64D4">
              <w:rPr>
                <w:rFonts w:ascii="Times New Roman" w:hAnsi="Times New Roman" w:hint="eastAsia"/>
                <w:sz w:val="22"/>
                <w:szCs w:val="22"/>
              </w:rPr>
              <w:t>-19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B802E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B802E6"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B802E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596,471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B802E6"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75</w:t>
            </w:r>
          </w:p>
        </w:tc>
      </w:tr>
      <w:tr w:rsidR="0049199D" w:rsidRPr="000E64D4" w:rsidTr="006104E4">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10</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-60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308,043</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sz w:val="22"/>
                <w:szCs w:val="22"/>
              </w:rPr>
              <w:t>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tabs>
                <w:tab w:val="left" w:pos="238"/>
              </w:tabs>
              <w:spacing w:line="400" w:lineRule="exac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sz w:val="22"/>
                <w:szCs w:val="22"/>
              </w:rPr>
              <w:t>53,535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tabs>
                <w:tab w:val="left" w:pos="315"/>
              </w:tabs>
              <w:spacing w:line="400" w:lineRule="exact"/>
              <w:jc w:val="right"/>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850F2"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850F2"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850F2"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2,304,046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850F2"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408</w:t>
            </w:r>
          </w:p>
        </w:tc>
      </w:tr>
      <w:tr w:rsidR="0049199D" w:rsidRPr="000E64D4" w:rsidTr="006104E4">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49199D">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1-10</w:t>
            </w:r>
            <w:r w:rsidRPr="000E64D4">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7,040,172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sz w:val="22"/>
                <w:szCs w:val="22"/>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sz w:val="22"/>
                <w:szCs w:val="22"/>
              </w:rPr>
              <w:t>9,422,464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49199D" w:rsidP="00915EFD">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sz w:val="22"/>
                <w:szCs w:val="22"/>
              </w:rPr>
              <w:t>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CF1155"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448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CF1155" w:rsidP="00990D76">
            <w:pPr>
              <w:pStyle w:val="a3"/>
              <w:spacing w:line="400" w:lineRule="exact"/>
              <w:jc w:val="right"/>
              <w:rPr>
                <w:rFonts w:ascii="Times New Roman" w:hAnsi="Times New Roman"/>
                <w:spacing w:val="-10"/>
                <w:sz w:val="22"/>
                <w:szCs w:val="22"/>
              </w:rPr>
            </w:pPr>
            <w:r w:rsidRPr="000E64D4">
              <w:rPr>
                <w:rFonts w:ascii="Times New Roman" w:hAnsi="Times New Roman" w:hint="eastAsia"/>
                <w:spacing w:val="-10"/>
                <w:sz w:val="22"/>
                <w:szCs w:val="22"/>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CF1155"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8,330,924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199D" w:rsidRPr="000E64D4" w:rsidRDefault="00CF1155" w:rsidP="00990D76">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w:t>
            </w:r>
          </w:p>
        </w:tc>
      </w:tr>
      <w:tr w:rsidR="00433D57" w:rsidRPr="000E64D4"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spacing w:line="400" w:lineRule="exact"/>
              <w:jc w:val="center"/>
              <w:rPr>
                <w:rFonts w:ascii="Times New Roman" w:hAnsi="Times New Roman"/>
                <w:sz w:val="22"/>
                <w:szCs w:val="22"/>
              </w:rPr>
            </w:pPr>
            <w:r w:rsidRPr="000E64D4">
              <w:rPr>
                <w:rFonts w:ascii="Times New Roman" w:hAnsi="Times New Roman"/>
                <w:sz w:val="22"/>
                <w:szCs w:val="22"/>
              </w:rPr>
              <w:t>1-12</w:t>
            </w:r>
            <w:r w:rsidRPr="000E64D4">
              <w:rPr>
                <w:rFonts w:ascii="Times New Roman" w:hAnsi="Times New Roman"/>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tabs>
                <w:tab w:val="left" w:pos="470"/>
              </w:tabs>
              <w:spacing w:line="400" w:lineRule="exact"/>
              <w:jc w:val="right"/>
              <w:rPr>
                <w:rFonts w:ascii="Times New Roman" w:hAnsi="Times New Roman"/>
                <w:sz w:val="22"/>
                <w:szCs w:val="22"/>
              </w:rPr>
            </w:pPr>
            <w:r w:rsidRPr="000E64D4">
              <w:rPr>
                <w:rFonts w:ascii="Times New Roman" w:hAnsi="Times New Roman" w:hint="eastAsia"/>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tabs>
                <w:tab w:val="left" w:pos="470"/>
              </w:tabs>
              <w:spacing w:line="400" w:lineRule="exact"/>
              <w:jc w:val="right"/>
              <w:rPr>
                <w:rFonts w:ascii="Times New Roman" w:hAnsi="Times New Roman"/>
                <w:sz w:val="22"/>
                <w:szCs w:val="22"/>
              </w:rPr>
            </w:pPr>
            <w:r w:rsidRPr="000E64D4">
              <w:rPr>
                <w:rFonts w:ascii="Times New Roman" w:hAnsi="Times New Roman" w:hint="eastAsia"/>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BA0304"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FB0B49" w:rsidP="00BA0304">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FB0B49" w:rsidP="00BA0304">
            <w:pPr>
              <w:pStyle w:val="a3"/>
              <w:spacing w:line="400" w:lineRule="exact"/>
              <w:jc w:val="right"/>
              <w:rPr>
                <w:rFonts w:ascii="Times New Roman" w:hAnsi="Times New Roman"/>
                <w:sz w:val="22"/>
                <w:szCs w:val="22"/>
              </w:rPr>
            </w:pPr>
            <w:r w:rsidRPr="000E64D4">
              <w:rPr>
                <w:rFonts w:ascii="Times New Roman" w:hAnsi="Times New Roman" w:hint="eastAsia"/>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FB0B49" w:rsidP="00BA0304">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0E64D4" w:rsidRDefault="00FB0B49" w:rsidP="00BA0304">
            <w:pPr>
              <w:pStyle w:val="a3"/>
              <w:spacing w:line="400" w:lineRule="exact"/>
              <w:jc w:val="right"/>
              <w:rPr>
                <w:rFonts w:ascii="Times New Roman" w:hAnsi="Times New Roman"/>
                <w:sz w:val="22"/>
                <w:szCs w:val="22"/>
              </w:rPr>
            </w:pPr>
            <w:r w:rsidRPr="000E64D4">
              <w:rPr>
                <w:rFonts w:ascii="Times New Roman" w:hAnsi="Times New Roman"/>
                <w:sz w:val="22"/>
                <w:szCs w:val="22"/>
              </w:rPr>
              <w:t>-</w:t>
            </w:r>
          </w:p>
        </w:tc>
      </w:tr>
    </w:tbl>
    <w:p w:rsidR="00E15544" w:rsidRPr="000E64D4" w:rsidRDefault="004C5877">
      <w:pPr>
        <w:pStyle w:val="a3"/>
        <w:spacing w:line="400" w:lineRule="exact"/>
        <w:ind w:firstLine="480"/>
      </w:pPr>
      <w:r w:rsidRPr="000E64D4">
        <w:rPr>
          <w:rFonts w:ascii="Times New Roman" w:hAnsi="Times New Roman"/>
          <w:sz w:val="24"/>
        </w:rPr>
        <w:t>註：成長率係與上年度同期比較。</w:t>
      </w:r>
    </w:p>
    <w:p w:rsidR="00E15544" w:rsidRPr="000E64D4" w:rsidRDefault="004C5877">
      <w:pPr>
        <w:pageBreakBefore/>
        <w:jc w:val="center"/>
      </w:pPr>
      <w:r w:rsidRPr="000E64D4">
        <w:rPr>
          <w:rFonts w:eastAsia="標楷體"/>
          <w:sz w:val="36"/>
          <w:szCs w:val="36"/>
        </w:rPr>
        <w:lastRenderedPageBreak/>
        <w:t>表</w:t>
      </w:r>
      <w:r w:rsidRPr="000E64D4">
        <w:rPr>
          <w:rFonts w:eastAsia="標楷體"/>
          <w:sz w:val="36"/>
          <w:szCs w:val="36"/>
        </w:rPr>
        <w:t>3-2</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D154BB" w:rsidRPr="000E64D4">
        <w:rPr>
          <w:rFonts w:eastAsia="標楷體" w:hint="eastAsia"/>
          <w:sz w:val="36"/>
          <w:szCs w:val="36"/>
        </w:rPr>
        <w:t>1-10</w:t>
      </w:r>
      <w:r w:rsidR="00D154BB" w:rsidRPr="000E64D4">
        <w:rPr>
          <w:rFonts w:eastAsia="標楷體" w:hint="eastAsia"/>
          <w:sz w:val="36"/>
          <w:szCs w:val="36"/>
        </w:rPr>
        <w:t>月</w:t>
      </w:r>
      <w:r w:rsidRPr="000E64D4">
        <w:rPr>
          <w:rFonts w:eastAsia="標楷體"/>
          <w:sz w:val="36"/>
          <w:szCs w:val="36"/>
        </w:rPr>
        <w:t>對外投資前五大地區統計表</w:t>
      </w:r>
    </w:p>
    <w:p w:rsidR="00E15544" w:rsidRPr="000E64D4" w:rsidRDefault="004C5877">
      <w:pPr>
        <w:ind w:firstLine="6840"/>
      </w:pPr>
      <w:r w:rsidRPr="000E64D4">
        <w:rPr>
          <w:rFonts w:eastAsia="標楷體"/>
        </w:rPr>
        <w:t xml:space="preserve">　</w:t>
      </w:r>
      <w:r w:rsidRPr="000E64D4">
        <w:rPr>
          <w:rFonts w:eastAsia="標楷體"/>
          <w:sz w:val="22"/>
          <w:szCs w:val="22"/>
        </w:rPr>
        <w:t>單位：千美元；</w:t>
      </w:r>
      <w:r w:rsidR="000754B5" w:rsidRPr="000E64D4">
        <w:rPr>
          <w:rFonts w:eastAsia="標楷體"/>
          <w:sz w:val="22"/>
          <w:szCs w:val="22"/>
        </w:rPr>
        <w:t>%</w:t>
      </w:r>
    </w:p>
    <w:tbl>
      <w:tblPr>
        <w:tblW w:w="8047" w:type="dxa"/>
        <w:jc w:val="center"/>
        <w:tblLayout w:type="fixed"/>
        <w:tblCellMar>
          <w:left w:w="10" w:type="dxa"/>
          <w:right w:w="10" w:type="dxa"/>
        </w:tblCellMar>
        <w:tblLook w:val="0000"/>
      </w:tblPr>
      <w:tblGrid>
        <w:gridCol w:w="1501"/>
        <w:gridCol w:w="846"/>
        <w:gridCol w:w="1362"/>
        <w:gridCol w:w="1464"/>
        <w:gridCol w:w="1554"/>
        <w:gridCol w:w="1320"/>
      </w:tblGrid>
      <w:tr w:rsidR="00433D57" w:rsidRPr="000E64D4"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p w:rsidR="00E15544" w:rsidRPr="000E64D4" w:rsidRDefault="000A0B99">
            <w:pPr>
              <w:pStyle w:val="a3"/>
              <w:spacing w:line="360" w:lineRule="exact"/>
              <w:jc w:val="center"/>
              <w:rPr>
                <w:rFonts w:ascii="Times New Roman" w:hAnsi="Times New Roman"/>
                <w:sz w:val="22"/>
                <w:szCs w:val="22"/>
              </w:rPr>
            </w:pPr>
            <w:r w:rsidRPr="000E64D4">
              <w:rPr>
                <w:rFonts w:ascii="Times New Roman" w:hAnsi="Times New Roman"/>
                <w:sz w:val="22"/>
                <w:szCs w:val="22"/>
              </w:rPr>
              <w:t>(</w:t>
            </w:r>
            <w:r w:rsidR="004C5877" w:rsidRPr="000E64D4">
              <w:rPr>
                <w:rFonts w:ascii="Times New Roman" w:hAnsi="Times New Roman"/>
                <w:sz w:val="22"/>
                <w:szCs w:val="22"/>
              </w:rPr>
              <w:t>比重</w:t>
            </w:r>
            <w:r w:rsidR="000754B5" w:rsidRPr="000E64D4">
              <w:rPr>
                <w:rFonts w:ascii="Times New Roman" w:hAnsi="Times New Roman"/>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去年同期</w:t>
            </w:r>
          </w:p>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與去年同期比較</w:t>
            </w:r>
          </w:p>
        </w:tc>
      </w:tr>
      <w:tr w:rsidR="00433D57" w:rsidRPr="000E64D4"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center"/>
              <w:rPr>
                <w:rFonts w:ascii="Times New Roman" w:hAnsi="Times New Roman"/>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center"/>
              <w:rPr>
                <w:rFonts w:ascii="Times New Roman" w:hAnsi="Times New Roman"/>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center"/>
              <w:rPr>
                <w:rFonts w:ascii="Times New Roman" w:hAnsi="Times New Roman"/>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center"/>
              <w:rPr>
                <w:rFonts w:ascii="Times New Roman" w:hAnsi="Times New Roman"/>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成長率</w:t>
            </w:r>
          </w:p>
        </w:tc>
      </w:tr>
      <w:tr w:rsidR="00FB6CF6" w:rsidRPr="000E64D4"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jc w:val="center"/>
              <w:rPr>
                <w:rFonts w:eastAsia="標楷體"/>
                <w:szCs w:val="24"/>
              </w:rPr>
            </w:pPr>
            <w:r w:rsidRPr="000E64D4">
              <w:rPr>
                <w:rFonts w:eastAsia="標楷體" w:hint="eastAsia"/>
                <w:szCs w:val="24"/>
              </w:rPr>
              <w:t>新加坡</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37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2,989,529</w:t>
            </w:r>
          </w:p>
          <w:p w:rsidR="00FB6CF6" w:rsidRPr="000E64D4" w:rsidRDefault="00FB6CF6" w:rsidP="00FB6CF6">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35.88</w:t>
            </w:r>
            <w:r w:rsidRPr="000E64D4">
              <w:rPr>
                <w:rFonts w:ascii="Times New Roman" w:hAnsi="Times New Roman"/>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3,695,266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-705,736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027890">
            <w:pPr>
              <w:jc w:val="right"/>
              <w:rPr>
                <w:sz w:val="22"/>
                <w:szCs w:val="22"/>
              </w:rPr>
            </w:pPr>
            <w:r w:rsidRPr="000E64D4">
              <w:rPr>
                <w:sz w:val="22"/>
                <w:szCs w:val="22"/>
              </w:rPr>
              <w:t>-19.10</w:t>
            </w:r>
          </w:p>
        </w:tc>
      </w:tr>
      <w:tr w:rsidR="00FB6CF6" w:rsidRPr="000E64D4"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jc w:val="center"/>
              <w:rPr>
                <w:rFonts w:eastAsia="標楷體"/>
                <w:szCs w:val="24"/>
              </w:rPr>
            </w:pPr>
            <w:r w:rsidRPr="000E64D4">
              <w:rPr>
                <w:rFonts w:eastAsia="標楷體" w:hint="eastAsia"/>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86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1,027,484</w:t>
            </w:r>
            <w:r w:rsidRPr="000E64D4">
              <w:rPr>
                <w:rFonts w:ascii="Times New Roman" w:hAnsi="Times New Roman"/>
                <w:sz w:val="22"/>
                <w:szCs w:val="24"/>
              </w:rPr>
              <w:t xml:space="preserve"> </w:t>
            </w:r>
          </w:p>
          <w:p w:rsidR="00FB6CF6" w:rsidRPr="000E64D4" w:rsidRDefault="00FB6CF6" w:rsidP="00FB6CF6">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12.33</w:t>
            </w:r>
            <w:r w:rsidRPr="000E64D4">
              <w:rPr>
                <w:rFonts w:ascii="Times New Roman" w:hAnsi="Times New Roman"/>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434,585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592,899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027890">
            <w:pPr>
              <w:jc w:val="right"/>
              <w:rPr>
                <w:sz w:val="22"/>
                <w:szCs w:val="22"/>
              </w:rPr>
            </w:pPr>
            <w:r w:rsidRPr="000E64D4">
              <w:rPr>
                <w:sz w:val="22"/>
                <w:szCs w:val="22"/>
              </w:rPr>
              <w:t>136.43</w:t>
            </w:r>
          </w:p>
        </w:tc>
      </w:tr>
      <w:tr w:rsidR="00FB6CF6" w:rsidRPr="000E64D4"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FB6CF6">
            <w:pPr>
              <w:jc w:val="center"/>
              <w:rPr>
                <w:rFonts w:eastAsia="標楷體"/>
                <w:szCs w:val="24"/>
              </w:rPr>
            </w:pPr>
            <w:r w:rsidRPr="000E64D4">
              <w:rPr>
                <w:rFonts w:eastAsia="標楷體" w:hint="eastAsia"/>
                <w:szCs w:val="24"/>
              </w:rPr>
              <w:t>加勒比海</w:t>
            </w:r>
          </w:p>
          <w:p w:rsidR="00FB6CF6" w:rsidRPr="000E64D4" w:rsidRDefault="00FB6CF6" w:rsidP="00FB6CF6">
            <w:pPr>
              <w:jc w:val="center"/>
              <w:rPr>
                <w:rFonts w:eastAsia="標楷體"/>
                <w:szCs w:val="24"/>
              </w:rPr>
            </w:pPr>
            <w:r w:rsidRPr="000E64D4">
              <w:rPr>
                <w:rFonts w:eastAsia="標楷體" w:hint="eastAsia"/>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93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525,871</w:t>
            </w:r>
          </w:p>
          <w:p w:rsidR="00FB6CF6" w:rsidRPr="000E64D4" w:rsidRDefault="00FB6CF6" w:rsidP="00FB6CF6">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6.31</w:t>
            </w:r>
            <w:r w:rsidRPr="000E64D4">
              <w:rPr>
                <w:rFonts w:ascii="Times New Roman" w:hAnsi="Times New Roman"/>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1,047,372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-521,500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027890">
            <w:pPr>
              <w:jc w:val="right"/>
              <w:rPr>
                <w:sz w:val="22"/>
                <w:szCs w:val="22"/>
              </w:rPr>
            </w:pPr>
            <w:r w:rsidRPr="000E64D4">
              <w:rPr>
                <w:sz w:val="22"/>
                <w:szCs w:val="22"/>
              </w:rPr>
              <w:t>-49.79</w:t>
            </w:r>
          </w:p>
        </w:tc>
      </w:tr>
      <w:tr w:rsidR="00FB6CF6" w:rsidRPr="000E64D4"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jc w:val="center"/>
              <w:rPr>
                <w:rFonts w:eastAsia="標楷體"/>
                <w:szCs w:val="24"/>
              </w:rPr>
            </w:pPr>
            <w:r w:rsidRPr="000E64D4">
              <w:rPr>
                <w:rFonts w:eastAsia="標楷體" w:hint="eastAsia"/>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8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467,189</w:t>
            </w:r>
          </w:p>
          <w:p w:rsidR="00FB6CF6" w:rsidRPr="000E64D4" w:rsidRDefault="00FB6CF6" w:rsidP="00FB6CF6">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5.61</w:t>
            </w:r>
            <w:r w:rsidRPr="000E64D4">
              <w:rPr>
                <w:rFonts w:ascii="Times New Roman" w:hAnsi="Times New Roman"/>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422,554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44,635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027890">
            <w:pPr>
              <w:jc w:val="right"/>
              <w:rPr>
                <w:sz w:val="22"/>
                <w:szCs w:val="22"/>
              </w:rPr>
            </w:pPr>
            <w:r w:rsidRPr="000E64D4">
              <w:rPr>
                <w:sz w:val="22"/>
                <w:szCs w:val="22"/>
              </w:rPr>
              <w:t>10.56</w:t>
            </w:r>
          </w:p>
        </w:tc>
      </w:tr>
      <w:tr w:rsidR="00FB6CF6" w:rsidRPr="000E64D4"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jc w:val="center"/>
              <w:rPr>
                <w:rFonts w:eastAsia="標楷體"/>
                <w:szCs w:val="24"/>
              </w:rPr>
            </w:pPr>
            <w:r w:rsidRPr="000E64D4">
              <w:rPr>
                <w:rFonts w:eastAsia="標楷體" w:hint="eastAsia"/>
                <w:szCs w:val="24"/>
              </w:rPr>
              <w:t>越南</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40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1C6C50">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418,468</w:t>
            </w:r>
          </w:p>
          <w:p w:rsidR="00FB6CF6" w:rsidRPr="000E64D4" w:rsidRDefault="00FB6CF6" w:rsidP="00FB6CF6">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5.02</w:t>
            </w:r>
            <w:r w:rsidRPr="000E64D4">
              <w:rPr>
                <w:rFonts w:ascii="Times New Roman" w:hAnsi="Times New Roman"/>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847,323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pPr>
              <w:jc w:val="right"/>
              <w:rPr>
                <w:sz w:val="22"/>
                <w:szCs w:val="22"/>
              </w:rPr>
            </w:pPr>
            <w:r w:rsidRPr="000E64D4">
              <w:rPr>
                <w:sz w:val="22"/>
                <w:szCs w:val="22"/>
              </w:rPr>
              <w:t xml:space="preserve">-428,855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6CF6" w:rsidRPr="000E64D4" w:rsidRDefault="00FB6CF6" w:rsidP="00027890">
            <w:pPr>
              <w:jc w:val="right"/>
              <w:rPr>
                <w:sz w:val="22"/>
                <w:szCs w:val="22"/>
              </w:rPr>
            </w:pPr>
            <w:r w:rsidRPr="000E64D4">
              <w:rPr>
                <w:sz w:val="22"/>
                <w:szCs w:val="22"/>
              </w:rPr>
              <w:t>-50.61</w:t>
            </w:r>
          </w:p>
        </w:tc>
      </w:tr>
    </w:tbl>
    <w:p w:rsidR="00E15544" w:rsidRPr="000E64D4" w:rsidRDefault="00E15544">
      <w:pPr>
        <w:jc w:val="center"/>
        <w:rPr>
          <w:rFonts w:eastAsia="標楷體"/>
          <w:sz w:val="36"/>
          <w:szCs w:val="36"/>
        </w:rPr>
      </w:pPr>
    </w:p>
    <w:p w:rsidR="00126D7E" w:rsidRPr="000E64D4" w:rsidRDefault="00126D7E" w:rsidP="00F1720F">
      <w:pPr>
        <w:rPr>
          <w:rFonts w:eastAsia="標楷體"/>
          <w:sz w:val="36"/>
          <w:szCs w:val="36"/>
        </w:rPr>
      </w:pPr>
    </w:p>
    <w:p w:rsidR="00E15544" w:rsidRPr="000E64D4" w:rsidRDefault="004C5877">
      <w:pPr>
        <w:jc w:val="center"/>
        <w:rPr>
          <w:rFonts w:eastAsia="標楷體"/>
          <w:sz w:val="36"/>
          <w:szCs w:val="36"/>
        </w:rPr>
      </w:pPr>
      <w:r w:rsidRPr="000E64D4">
        <w:rPr>
          <w:rFonts w:eastAsia="標楷體"/>
          <w:sz w:val="36"/>
          <w:szCs w:val="36"/>
        </w:rPr>
        <w:t>表</w:t>
      </w:r>
      <w:r w:rsidRPr="000E64D4">
        <w:rPr>
          <w:rFonts w:eastAsia="標楷體"/>
          <w:sz w:val="36"/>
          <w:szCs w:val="36"/>
        </w:rPr>
        <w:t>3-3</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D154BB" w:rsidRPr="000E64D4">
        <w:rPr>
          <w:rFonts w:eastAsia="標楷體" w:hint="eastAsia"/>
          <w:sz w:val="36"/>
          <w:szCs w:val="36"/>
        </w:rPr>
        <w:t>10</w:t>
      </w:r>
      <w:r w:rsidR="00D154BB" w:rsidRPr="000E64D4">
        <w:rPr>
          <w:rFonts w:eastAsia="標楷體" w:hint="eastAsia"/>
          <w:sz w:val="36"/>
          <w:szCs w:val="36"/>
        </w:rPr>
        <w:t>月</w:t>
      </w:r>
      <w:r w:rsidRPr="000E64D4">
        <w:rPr>
          <w:rFonts w:eastAsia="標楷體"/>
          <w:sz w:val="36"/>
          <w:szCs w:val="36"/>
        </w:rPr>
        <w:t>對外投資前五大業別統計表</w:t>
      </w:r>
    </w:p>
    <w:p w:rsidR="00CB5608" w:rsidRPr="000E64D4" w:rsidRDefault="004C5877" w:rsidP="00CB5608">
      <w:pPr>
        <w:ind w:firstLine="6840"/>
        <w:rPr>
          <w:rFonts w:eastAsia="標楷體"/>
          <w:sz w:val="22"/>
          <w:szCs w:val="22"/>
        </w:rPr>
      </w:pPr>
      <w:r w:rsidRPr="000E64D4">
        <w:rPr>
          <w:rFonts w:eastAsia="標楷體"/>
        </w:rPr>
        <w:t xml:space="preserve">　</w:t>
      </w:r>
      <w:r w:rsidRPr="000E64D4">
        <w:rPr>
          <w:rFonts w:eastAsia="標楷體"/>
          <w:sz w:val="22"/>
          <w:szCs w:val="22"/>
        </w:rPr>
        <w:t>單位：千美元；</w:t>
      </w:r>
      <w:r w:rsidR="000754B5" w:rsidRPr="000E64D4">
        <w:rPr>
          <w:rFonts w:eastAsia="標楷體"/>
          <w:sz w:val="22"/>
          <w:szCs w:val="22"/>
        </w:rPr>
        <w:t>%</w:t>
      </w:r>
    </w:p>
    <w:tbl>
      <w:tblPr>
        <w:tblW w:w="8062" w:type="dxa"/>
        <w:jc w:val="center"/>
        <w:tblLayout w:type="fixed"/>
        <w:tblCellMar>
          <w:left w:w="10" w:type="dxa"/>
          <w:right w:w="10" w:type="dxa"/>
        </w:tblCellMar>
        <w:tblLook w:val="0000"/>
      </w:tblPr>
      <w:tblGrid>
        <w:gridCol w:w="1509"/>
        <w:gridCol w:w="992"/>
        <w:gridCol w:w="1276"/>
        <w:gridCol w:w="1411"/>
        <w:gridCol w:w="1554"/>
        <w:gridCol w:w="1320"/>
      </w:tblGrid>
      <w:tr w:rsidR="00433D57" w:rsidRPr="000E64D4"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pPr>
            <w:r w:rsidRPr="000E64D4">
              <w:rPr>
                <w:rFonts w:ascii="Times New Roman" w:hAnsi="Times New Roman"/>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p w:rsidR="00E15544" w:rsidRPr="000E64D4" w:rsidRDefault="000A0B99">
            <w:pPr>
              <w:pStyle w:val="a3"/>
              <w:spacing w:line="360" w:lineRule="exact"/>
              <w:jc w:val="center"/>
              <w:rPr>
                <w:rFonts w:ascii="Times New Roman" w:hAnsi="Times New Roman"/>
                <w:sz w:val="22"/>
                <w:szCs w:val="22"/>
              </w:rPr>
            </w:pPr>
            <w:r w:rsidRPr="000E64D4">
              <w:rPr>
                <w:rFonts w:ascii="Times New Roman" w:hAnsi="Times New Roman"/>
                <w:sz w:val="22"/>
                <w:szCs w:val="22"/>
              </w:rPr>
              <w:t>(</w:t>
            </w:r>
            <w:r w:rsidR="004C5877" w:rsidRPr="000E64D4">
              <w:rPr>
                <w:rFonts w:ascii="Times New Roman" w:hAnsi="Times New Roman"/>
                <w:sz w:val="22"/>
                <w:szCs w:val="22"/>
              </w:rPr>
              <w:t>比重</w:t>
            </w:r>
            <w:r w:rsidR="000754B5" w:rsidRPr="000E64D4">
              <w:rPr>
                <w:rFonts w:ascii="Times New Roman" w:hAnsi="Times New Roman"/>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去年同期</w:t>
            </w:r>
          </w:p>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與去年同期比較</w:t>
            </w:r>
          </w:p>
        </w:tc>
      </w:tr>
      <w:tr w:rsidR="00433D57" w:rsidRPr="000E64D4"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成長率</w:t>
            </w:r>
          </w:p>
        </w:tc>
      </w:tr>
      <w:tr w:rsidR="00ED772B" w:rsidRPr="000E64D4"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1C6C50">
            <w:pPr>
              <w:jc w:val="center"/>
              <w:rPr>
                <w:rFonts w:eastAsia="標楷體"/>
                <w:szCs w:val="24"/>
              </w:rPr>
            </w:pPr>
            <w:r w:rsidRPr="000E64D4">
              <w:rPr>
                <w:rFonts w:eastAsia="標楷體" w:hint="eastAsia"/>
                <w:szCs w:val="24"/>
              </w:rPr>
              <w:t>運輸及倉儲業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16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1,779,216</w:t>
            </w:r>
          </w:p>
          <w:p w:rsidR="00ED772B" w:rsidRPr="000E64D4" w:rsidRDefault="00ED772B" w:rsidP="00ED772B">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21.36)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157,054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1,622,161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9D33AA">
            <w:pPr>
              <w:jc w:val="right"/>
              <w:rPr>
                <w:sz w:val="22"/>
                <w:szCs w:val="22"/>
              </w:rPr>
            </w:pPr>
            <w:r w:rsidRPr="000E64D4">
              <w:rPr>
                <w:sz w:val="22"/>
                <w:szCs w:val="22"/>
              </w:rPr>
              <w:t>1032.87</w:t>
            </w:r>
          </w:p>
        </w:tc>
      </w:tr>
      <w:tr w:rsidR="00ED772B" w:rsidRPr="000E64D4"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ED772B">
            <w:pPr>
              <w:jc w:val="center"/>
              <w:rPr>
                <w:rFonts w:eastAsia="標楷體"/>
                <w:szCs w:val="24"/>
              </w:rPr>
            </w:pPr>
            <w:r w:rsidRPr="000E64D4">
              <w:rPr>
                <w:rFonts w:eastAsia="標楷體" w:hint="eastAsia"/>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sz w:val="22"/>
                <w:szCs w:val="24"/>
              </w:rPr>
              <w:t>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1,613,558</w:t>
            </w:r>
          </w:p>
          <w:p w:rsidR="00ED772B" w:rsidRPr="000E64D4" w:rsidRDefault="00ED772B" w:rsidP="00ED772B">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19.37)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3,982,049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-2,368,491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9D33AA">
            <w:pPr>
              <w:jc w:val="right"/>
              <w:rPr>
                <w:sz w:val="22"/>
                <w:szCs w:val="22"/>
              </w:rPr>
            </w:pPr>
            <w:r w:rsidRPr="000E64D4">
              <w:rPr>
                <w:sz w:val="22"/>
                <w:szCs w:val="22"/>
              </w:rPr>
              <w:t>-59.48</w:t>
            </w:r>
          </w:p>
        </w:tc>
      </w:tr>
      <w:tr w:rsidR="00ED772B" w:rsidRPr="000E64D4"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ED772B">
            <w:pPr>
              <w:jc w:val="center"/>
              <w:rPr>
                <w:rFonts w:eastAsia="標楷體"/>
                <w:szCs w:val="24"/>
              </w:rPr>
            </w:pPr>
            <w:r w:rsidRPr="000E64D4">
              <w:rPr>
                <w:rFonts w:eastAsia="標楷體" w:hint="eastAsia"/>
                <w:szCs w:val="24"/>
              </w:rPr>
              <w:t>電子零組件</w:t>
            </w:r>
          </w:p>
          <w:p w:rsidR="00ED772B" w:rsidRPr="000E64D4" w:rsidRDefault="00ED772B" w:rsidP="00ED772B">
            <w:pPr>
              <w:jc w:val="center"/>
              <w:rPr>
                <w:rFonts w:eastAsia="標楷體"/>
                <w:szCs w:val="24"/>
              </w:rPr>
            </w:pPr>
            <w:r w:rsidRPr="000E64D4">
              <w:rPr>
                <w:rFonts w:eastAsia="標楷體" w:hint="eastAsia"/>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1,192,046</w:t>
            </w:r>
          </w:p>
          <w:p w:rsidR="00ED772B" w:rsidRPr="000E64D4" w:rsidRDefault="00ED772B" w:rsidP="00ED772B">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14.31)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887,037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305,009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9D33AA">
            <w:pPr>
              <w:jc w:val="right"/>
              <w:rPr>
                <w:sz w:val="22"/>
                <w:szCs w:val="22"/>
              </w:rPr>
            </w:pPr>
            <w:r w:rsidRPr="000E64D4">
              <w:rPr>
                <w:sz w:val="22"/>
                <w:szCs w:val="22"/>
              </w:rPr>
              <w:t>34.39</w:t>
            </w:r>
          </w:p>
        </w:tc>
      </w:tr>
      <w:tr w:rsidR="00ED772B" w:rsidRPr="000E64D4"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ED772B">
            <w:pPr>
              <w:jc w:val="center"/>
              <w:rPr>
                <w:rFonts w:eastAsia="標楷體"/>
                <w:szCs w:val="24"/>
              </w:rPr>
            </w:pPr>
            <w:r w:rsidRPr="000E64D4">
              <w:rPr>
                <w:rFonts w:eastAsia="標楷體" w:hint="eastAsia"/>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91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1,041,596</w:t>
            </w:r>
          </w:p>
          <w:p w:rsidR="00ED772B" w:rsidRPr="000E64D4" w:rsidRDefault="00ED772B" w:rsidP="00ED772B">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12.50)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2,818,840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-1,777,244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9D33AA">
            <w:pPr>
              <w:jc w:val="right"/>
              <w:rPr>
                <w:sz w:val="22"/>
                <w:szCs w:val="22"/>
              </w:rPr>
            </w:pPr>
            <w:r w:rsidRPr="000E64D4">
              <w:rPr>
                <w:sz w:val="22"/>
                <w:szCs w:val="22"/>
              </w:rPr>
              <w:t>-63.05</w:t>
            </w:r>
          </w:p>
        </w:tc>
      </w:tr>
      <w:tr w:rsidR="00ED772B" w:rsidRPr="000E64D4"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ED772B">
            <w:pPr>
              <w:jc w:val="center"/>
              <w:rPr>
                <w:rFonts w:eastAsia="標楷體"/>
                <w:szCs w:val="24"/>
              </w:rPr>
            </w:pPr>
            <w:r w:rsidRPr="000E64D4">
              <w:rPr>
                <w:rFonts w:eastAsia="標楷體" w:hint="eastAsia"/>
                <w:szCs w:val="24"/>
              </w:rPr>
              <w:t>礦業及土石</w:t>
            </w:r>
          </w:p>
          <w:p w:rsidR="00ED772B" w:rsidRPr="000E64D4" w:rsidRDefault="00ED772B" w:rsidP="00ED772B">
            <w:pPr>
              <w:jc w:val="center"/>
              <w:rPr>
                <w:rFonts w:eastAsia="標楷體"/>
                <w:szCs w:val="24"/>
              </w:rPr>
            </w:pPr>
            <w:r w:rsidRPr="000E64D4">
              <w:rPr>
                <w:rFonts w:eastAsia="標楷體" w:hint="eastAsia"/>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rsidP="00C863C1">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483,569</w:t>
            </w:r>
          </w:p>
          <w:p w:rsidR="00ED772B" w:rsidRPr="000E64D4" w:rsidRDefault="00ED772B" w:rsidP="00ED772B">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5.80)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 xml:space="preserve">483,569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772B" w:rsidRPr="000E64D4" w:rsidRDefault="00ED772B">
            <w:pPr>
              <w:jc w:val="right"/>
              <w:rPr>
                <w:sz w:val="22"/>
                <w:szCs w:val="22"/>
              </w:rPr>
            </w:pPr>
            <w:r w:rsidRPr="000E64D4">
              <w:rPr>
                <w:sz w:val="22"/>
                <w:szCs w:val="22"/>
              </w:rPr>
              <w:t>-</w:t>
            </w:r>
          </w:p>
        </w:tc>
      </w:tr>
    </w:tbl>
    <w:p w:rsidR="00E15544" w:rsidRPr="000E64D4" w:rsidRDefault="004C5877">
      <w:pPr>
        <w:pageBreakBefore/>
        <w:tabs>
          <w:tab w:val="left" w:pos="600"/>
        </w:tabs>
        <w:spacing w:after="188" w:line="560" w:lineRule="exact"/>
        <w:ind w:firstLine="811"/>
        <w:jc w:val="both"/>
      </w:pPr>
      <w:r w:rsidRPr="000E64D4">
        <w:rPr>
          <w:rFonts w:eastAsia="標楷體"/>
          <w:sz w:val="36"/>
        </w:rPr>
        <w:lastRenderedPageBreak/>
        <w:t>表</w:t>
      </w:r>
      <w:r w:rsidRPr="000E64D4">
        <w:rPr>
          <w:rFonts w:eastAsia="標楷體"/>
          <w:sz w:val="36"/>
        </w:rPr>
        <w:t>4-1</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D154BB" w:rsidRPr="000E64D4">
        <w:rPr>
          <w:rFonts w:eastAsia="標楷體"/>
          <w:sz w:val="36"/>
          <w:szCs w:val="36"/>
        </w:rPr>
        <w:t>10</w:t>
      </w:r>
      <w:r w:rsidR="00642349" w:rsidRPr="000E64D4">
        <w:rPr>
          <w:rFonts w:eastAsia="標楷體" w:hint="eastAsia"/>
          <w:sz w:val="36"/>
          <w:szCs w:val="36"/>
        </w:rPr>
        <w:t>月</w:t>
      </w:r>
      <w:r w:rsidRPr="000E64D4">
        <w:rPr>
          <w:rFonts w:eastAsia="標楷體"/>
          <w:sz w:val="36"/>
          <w:szCs w:val="36"/>
        </w:rPr>
        <w:t>及最近</w:t>
      </w:r>
      <w:r w:rsidRPr="000E64D4">
        <w:rPr>
          <w:rFonts w:eastAsia="標楷體"/>
          <w:sz w:val="36"/>
          <w:szCs w:val="36"/>
        </w:rPr>
        <w:t>2</w:t>
      </w:r>
      <w:r w:rsidRPr="000E64D4">
        <w:rPr>
          <w:rFonts w:eastAsia="標楷體"/>
          <w:sz w:val="36"/>
          <w:szCs w:val="36"/>
        </w:rPr>
        <w:t>年對中國大陸投資概況</w:t>
      </w:r>
    </w:p>
    <w:tbl>
      <w:tblPr>
        <w:tblW w:w="9720" w:type="dxa"/>
        <w:jc w:val="center"/>
        <w:tblLayout w:type="fixed"/>
        <w:tblCellMar>
          <w:left w:w="10" w:type="dxa"/>
          <w:right w:w="10" w:type="dxa"/>
        </w:tblCellMar>
        <w:tblLook w:val="0000"/>
      </w:tblPr>
      <w:tblGrid>
        <w:gridCol w:w="796"/>
        <w:gridCol w:w="709"/>
        <w:gridCol w:w="567"/>
        <w:gridCol w:w="1134"/>
        <w:gridCol w:w="567"/>
        <w:gridCol w:w="667"/>
        <w:gridCol w:w="480"/>
        <w:gridCol w:w="1440"/>
        <w:gridCol w:w="480"/>
        <w:gridCol w:w="720"/>
        <w:gridCol w:w="465"/>
        <w:gridCol w:w="1215"/>
        <w:gridCol w:w="480"/>
      </w:tblGrid>
      <w:tr w:rsidR="00433D57" w:rsidRPr="000E64D4"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rPr>
                <w:rFonts w:ascii="Times New Roman" w:hAnsi="Times New Roman"/>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rsidR="00E15544" w:rsidRPr="000E64D4" w:rsidRDefault="00E15544">
            <w:pPr>
              <w:pStyle w:val="a3"/>
              <w:spacing w:line="400" w:lineRule="exact"/>
              <w:jc w:val="center"/>
              <w:rPr>
                <w:rFonts w:ascii="Times New Roman" w:hAnsi="Times New Roman"/>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right"/>
              <w:rPr>
                <w:rFonts w:ascii="Times New Roman" w:hAnsi="Times New Roman"/>
                <w:sz w:val="24"/>
              </w:rPr>
            </w:pPr>
            <w:r w:rsidRPr="000E64D4">
              <w:rPr>
                <w:rFonts w:ascii="Times New Roman" w:hAnsi="Times New Roman"/>
                <w:sz w:val="24"/>
              </w:rPr>
              <w:t>單位：千美元</w:t>
            </w:r>
          </w:p>
        </w:tc>
      </w:tr>
      <w:tr w:rsidR="00433D57" w:rsidRPr="000E64D4"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400" w:lineRule="exact"/>
              <w:jc w:val="center"/>
              <w:rPr>
                <w:rFonts w:ascii="Times New Roman" w:hAnsi="Times New Roman"/>
                <w:sz w:val="24"/>
              </w:rPr>
            </w:pPr>
            <w:r w:rsidRPr="000E64D4">
              <w:rPr>
                <w:rFonts w:ascii="Times New Roman" w:hAnsi="Times New Roman" w:hint="eastAsia"/>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0E64D4" w:rsidRDefault="000F0E03" w:rsidP="000F0E03">
            <w:pPr>
              <w:pStyle w:val="a3"/>
              <w:spacing w:line="400" w:lineRule="exact"/>
              <w:jc w:val="center"/>
              <w:rPr>
                <w:rFonts w:ascii="Times New Roman" w:hAnsi="Times New Roman"/>
                <w:sz w:val="24"/>
              </w:rPr>
            </w:pPr>
            <w:r w:rsidRPr="000E64D4">
              <w:rPr>
                <w:rFonts w:ascii="Times New Roman" w:hAnsi="Times New Roman"/>
                <w:sz w:val="24"/>
              </w:rPr>
              <w:t>10</w:t>
            </w:r>
            <w:r w:rsidRPr="000E64D4">
              <w:rPr>
                <w:rFonts w:ascii="Times New Roman" w:hAnsi="Times New Roman" w:hint="eastAsia"/>
                <w:sz w:val="24"/>
              </w:rPr>
              <w:t>9</w:t>
            </w:r>
            <w:r w:rsidRPr="000E64D4">
              <w:rPr>
                <w:rFonts w:ascii="Times New Roman" w:hAnsi="Times New Roman"/>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0E64D4" w:rsidRDefault="000F0E03" w:rsidP="000F0E03">
            <w:pPr>
              <w:pStyle w:val="a3"/>
              <w:spacing w:line="400" w:lineRule="exact"/>
              <w:jc w:val="center"/>
              <w:rPr>
                <w:rFonts w:ascii="Times New Roman" w:hAnsi="Times New Roman"/>
                <w:sz w:val="24"/>
              </w:rPr>
            </w:pPr>
            <w:r w:rsidRPr="000E64D4">
              <w:rPr>
                <w:rFonts w:ascii="Times New Roman" w:hAnsi="Times New Roman" w:hint="eastAsia"/>
                <w:sz w:val="24"/>
              </w:rPr>
              <w:t>110</w:t>
            </w:r>
            <w:r w:rsidRPr="000E64D4">
              <w:rPr>
                <w:rFonts w:ascii="Times New Roman" w:hAnsi="Times New Roman"/>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0E64D4" w:rsidRDefault="000F0E03" w:rsidP="000F0E03">
            <w:pPr>
              <w:pStyle w:val="a3"/>
              <w:spacing w:line="400" w:lineRule="exact"/>
              <w:jc w:val="center"/>
              <w:rPr>
                <w:rFonts w:ascii="Times New Roman" w:hAnsi="Times New Roman"/>
                <w:sz w:val="24"/>
              </w:rPr>
            </w:pPr>
            <w:r w:rsidRPr="000E64D4">
              <w:rPr>
                <w:rFonts w:ascii="Times New Roman" w:hAnsi="Times New Roman" w:hint="eastAsia"/>
                <w:sz w:val="24"/>
              </w:rPr>
              <w:t>111</w:t>
            </w:r>
            <w:r w:rsidRPr="000E64D4">
              <w:rPr>
                <w:rFonts w:ascii="Times New Roman" w:hAnsi="Times New Roman"/>
                <w:sz w:val="24"/>
              </w:rPr>
              <w:t>年</w:t>
            </w:r>
          </w:p>
        </w:tc>
      </w:tr>
      <w:tr w:rsidR="00433D57" w:rsidRPr="000E64D4"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400" w:lineRule="exact"/>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件</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金</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件</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金</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件</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金</w:t>
            </w:r>
          </w:p>
          <w:p w:rsidR="00E15544" w:rsidRPr="000E64D4" w:rsidRDefault="00E15544">
            <w:pPr>
              <w:pStyle w:val="a3"/>
              <w:spacing w:line="400" w:lineRule="exact"/>
              <w:jc w:val="center"/>
              <w:rPr>
                <w:rFonts w:ascii="Times New Roman" w:hAnsi="Times New Roman"/>
                <w:sz w:val="24"/>
              </w:rPr>
            </w:pP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成</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長</w:t>
            </w:r>
          </w:p>
          <w:p w:rsidR="00E15544" w:rsidRPr="000E64D4" w:rsidRDefault="004C5877">
            <w:pPr>
              <w:pStyle w:val="a3"/>
              <w:spacing w:line="400" w:lineRule="exact"/>
              <w:jc w:val="center"/>
              <w:rPr>
                <w:rFonts w:ascii="Times New Roman" w:hAnsi="Times New Roman"/>
                <w:sz w:val="24"/>
              </w:rPr>
            </w:pPr>
            <w:r w:rsidRPr="000E64D4">
              <w:rPr>
                <w:rFonts w:ascii="Times New Roman" w:hAnsi="Times New Roman"/>
                <w:sz w:val="24"/>
              </w:rPr>
              <w:t>率</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4F0BEB">
            <w:pPr>
              <w:pStyle w:val="a3"/>
              <w:spacing w:line="0" w:lineRule="atLeast"/>
              <w:jc w:val="center"/>
              <w:rPr>
                <w:rFonts w:ascii="Times New Roman" w:hAnsi="Times New Roman"/>
                <w:sz w:val="22"/>
                <w:szCs w:val="22"/>
              </w:rPr>
            </w:pPr>
            <w:r w:rsidRPr="000E64D4">
              <w:rPr>
                <w:rFonts w:ascii="Times New Roman" w:hAnsi="Times New Roman"/>
                <w:sz w:val="22"/>
                <w:szCs w:val="22"/>
              </w:rPr>
              <w:t>1</w:t>
            </w:r>
            <w:r w:rsidRPr="000E64D4">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0F0E03"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BE7BCF"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BE7BCF"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BE7BCF"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0E64D4" w:rsidRDefault="00BE7BCF" w:rsidP="000F0E03">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22</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4F0BEB">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3755B5"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9759D4"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9759D4"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9759D4" w:rsidP="003755B5">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0E64D4" w:rsidRDefault="009759D4" w:rsidP="003755B5">
            <w:pPr>
              <w:pStyle w:val="a3"/>
              <w:spacing w:line="240" w:lineRule="atLeast"/>
              <w:jc w:val="right"/>
              <w:rPr>
                <w:rFonts w:ascii="Times New Roman" w:hAnsi="Times New Roman"/>
                <w:sz w:val="22"/>
                <w:szCs w:val="22"/>
              </w:rPr>
            </w:pPr>
            <w:r w:rsidRPr="000E64D4">
              <w:rPr>
                <w:rFonts w:ascii="Times New Roman" w:hAnsi="Times New Roman"/>
                <w:sz w:val="22"/>
                <w:szCs w:val="22"/>
              </w:rPr>
              <w:t>-5</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8A270A"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593E8F"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593E8F"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593E8F"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0E64D4" w:rsidRDefault="00593E8F" w:rsidP="008A270A">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73</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0E7DB8"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F16DCF"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F16DCF"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F16DCF"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0E64D4" w:rsidRDefault="00F16DCF" w:rsidP="000E7DB8">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40</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5</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292,108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455C14"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363A76"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363A76"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363A76"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366,712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0E64D4" w:rsidRDefault="00363A76" w:rsidP="00455C14">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32</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6</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497,119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186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419,921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B5692D"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013E29"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013E29"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013E29" w:rsidP="00B5692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346,932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0E64D4" w:rsidRDefault="00013E29" w:rsidP="00B5692D">
            <w:pPr>
              <w:pStyle w:val="a3"/>
              <w:spacing w:line="240" w:lineRule="atLeast"/>
              <w:jc w:val="right"/>
              <w:rPr>
                <w:rFonts w:ascii="Times New Roman" w:hAnsi="Times New Roman"/>
                <w:sz w:val="22"/>
                <w:szCs w:val="22"/>
              </w:rPr>
            </w:pPr>
            <w:r w:rsidRPr="000E64D4">
              <w:rPr>
                <w:rFonts w:ascii="Times New Roman" w:hAnsi="Times New Roman"/>
                <w:sz w:val="22"/>
                <w:szCs w:val="22"/>
              </w:rPr>
              <w:t>-</w:t>
            </w:r>
            <w:r w:rsidRPr="000E64D4">
              <w:rPr>
                <w:rFonts w:ascii="Times New Roman" w:hAnsi="Times New Roman" w:hint="eastAsia"/>
                <w:sz w:val="22"/>
                <w:szCs w:val="22"/>
              </w:rPr>
              <w:t>17</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7</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369,783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606,300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2B7291"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63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DA737C"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DA737C"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DA737C"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319,062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0E64D4" w:rsidRDefault="00DA737C"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-47</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9C3CBF">
            <w:pPr>
              <w:pStyle w:val="a3"/>
              <w:spacing w:line="0" w:lineRule="atLeast"/>
              <w:jc w:val="center"/>
              <w:rPr>
                <w:rFonts w:ascii="Times New Roman" w:hAnsi="Times New Roman"/>
                <w:sz w:val="22"/>
                <w:szCs w:val="22"/>
              </w:rPr>
            </w:pPr>
            <w:r w:rsidRPr="000E64D4">
              <w:rPr>
                <w:rFonts w:ascii="Times New Roman" w:hAnsi="Times New Roman" w:hint="eastAsia"/>
                <w:sz w:val="22"/>
                <w:szCs w:val="22"/>
              </w:rPr>
              <w:t>8</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323,942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483,851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9C3CBF"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B35F45"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B35F45"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B35F45"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483,751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0E64D4" w:rsidRDefault="00B35F45" w:rsidP="002B7291">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-0</w:t>
            </w:r>
          </w:p>
        </w:tc>
      </w:tr>
      <w:tr w:rsidR="00433D57" w:rsidRPr="000E64D4" w:rsidTr="00A64CB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0D76" w:rsidRPr="000E64D4" w:rsidRDefault="00990D76"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9</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351,139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48</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262,591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990D76" w:rsidP="00990D76">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7034A9"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7034A9"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7034A9"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449,292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0D76" w:rsidRPr="000E64D4" w:rsidRDefault="007034A9"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71</w:t>
            </w:r>
          </w:p>
        </w:tc>
      </w:tr>
      <w:tr w:rsidR="00D154BB" w:rsidRPr="000E64D4" w:rsidTr="00A64CB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4BB" w:rsidRPr="000E64D4" w:rsidRDefault="00D154BB" w:rsidP="00990D76">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10</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490,953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w:t>
            </w:r>
            <w:r w:rsidRPr="000E64D4">
              <w:rPr>
                <w:rFonts w:ascii="Times New Roman" w:hAnsi="Times New Roman"/>
                <w:sz w:val="22"/>
                <w:szCs w:val="22"/>
              </w:rPr>
              <w:t>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w:t>
            </w:r>
            <w:r w:rsidRPr="000E64D4">
              <w:rPr>
                <w:rFonts w:ascii="Times New Roman" w:hAnsi="Times New Roman"/>
                <w:sz w:val="22"/>
                <w:szCs w:val="22"/>
              </w:rPr>
              <w:t>,440,285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w:t>
            </w:r>
            <w:r w:rsidRPr="000E64D4">
              <w:rPr>
                <w:rFonts w:ascii="Times New Roman" w:hAnsi="Times New Roman"/>
                <w:sz w:val="22"/>
                <w:szCs w:val="22"/>
              </w:rPr>
              <w:t>93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27</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1,115,850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-23</w:t>
            </w:r>
          </w:p>
        </w:tc>
      </w:tr>
      <w:tr w:rsidR="00D154BB" w:rsidRPr="000E64D4" w:rsidTr="00A64CB0">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54BB" w:rsidRPr="000E64D4" w:rsidRDefault="00D154BB" w:rsidP="00D154BB">
            <w:pPr>
              <w:pStyle w:val="a3"/>
              <w:spacing w:line="400" w:lineRule="exact"/>
              <w:jc w:val="center"/>
              <w:rPr>
                <w:rFonts w:ascii="Times New Roman" w:hAnsi="Times New Roman"/>
                <w:sz w:val="22"/>
                <w:szCs w:val="22"/>
              </w:rPr>
            </w:pPr>
            <w:r w:rsidRPr="000E64D4">
              <w:rPr>
                <w:rFonts w:ascii="Times New Roman" w:hAnsi="Times New Roman" w:hint="eastAsia"/>
                <w:sz w:val="22"/>
                <w:szCs w:val="22"/>
              </w:rPr>
              <w:t>1-10</w:t>
            </w:r>
            <w:r w:rsidRPr="000E64D4">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4,705,885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47</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w:t>
            </w:r>
            <w:r w:rsidRPr="000E64D4">
              <w:rPr>
                <w:rFonts w:ascii="Times New Roman" w:hAnsi="Times New Roman"/>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w:t>
            </w:r>
            <w:r w:rsidRPr="000E64D4">
              <w:rPr>
                <w:rFonts w:ascii="Times New Roman" w:hAnsi="Times New Roman"/>
                <w:sz w:val="22"/>
                <w:szCs w:val="22"/>
              </w:rPr>
              <w:t>,301,127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D154BB" w:rsidP="00915EFD">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w:t>
            </w:r>
            <w:r w:rsidRPr="000E64D4">
              <w:rPr>
                <w:rFonts w:ascii="Times New Roman" w:hAnsi="Times New Roman"/>
                <w:sz w:val="22"/>
                <w:szCs w:val="22"/>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296</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1B157E"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4,163,532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154BB" w:rsidRPr="000E64D4" w:rsidRDefault="006D381D" w:rsidP="00273B72">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-3</w:t>
            </w:r>
          </w:p>
        </w:tc>
      </w:tr>
      <w:tr w:rsidR="00433D57" w:rsidRPr="000E64D4"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0" w:lineRule="atLeast"/>
              <w:jc w:val="center"/>
              <w:rPr>
                <w:rFonts w:ascii="Times New Roman" w:hAnsi="Times New Roman"/>
                <w:sz w:val="22"/>
                <w:szCs w:val="22"/>
              </w:rPr>
            </w:pPr>
            <w:r w:rsidRPr="000E64D4">
              <w:rPr>
                <w:rFonts w:ascii="Times New Roman" w:hAnsi="Times New Roman"/>
                <w:sz w:val="22"/>
                <w:szCs w:val="22"/>
              </w:rPr>
              <w:t>1-12</w:t>
            </w:r>
            <w:r w:rsidRPr="000E64D4">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hint="eastAsia"/>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0E64D4" w:rsidRDefault="00FB0B49" w:rsidP="00FB0B49">
            <w:pPr>
              <w:pStyle w:val="a3"/>
              <w:spacing w:line="240" w:lineRule="atLeast"/>
              <w:jc w:val="right"/>
              <w:rPr>
                <w:rFonts w:ascii="Times New Roman" w:hAnsi="Times New Roman"/>
                <w:sz w:val="22"/>
                <w:szCs w:val="22"/>
              </w:rPr>
            </w:pPr>
            <w:r w:rsidRPr="000E64D4">
              <w:rPr>
                <w:rFonts w:ascii="Times New Roman" w:hAnsi="Times New Roman"/>
                <w:sz w:val="22"/>
                <w:szCs w:val="22"/>
              </w:rPr>
              <w:t>-</w:t>
            </w:r>
          </w:p>
        </w:tc>
      </w:tr>
      <w:tr w:rsidR="00E15544" w:rsidRPr="000E64D4"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rsidR="00E15544" w:rsidRPr="000E64D4" w:rsidRDefault="004C5877">
            <w:pPr>
              <w:pStyle w:val="a3"/>
              <w:spacing w:line="400" w:lineRule="exact"/>
              <w:rPr>
                <w:rFonts w:ascii="Times New Roman" w:hAnsi="Times New Roman"/>
                <w:sz w:val="24"/>
              </w:rPr>
            </w:pPr>
            <w:r w:rsidRPr="000E64D4">
              <w:rPr>
                <w:rFonts w:ascii="Times New Roman" w:hAnsi="Times New Roman"/>
                <w:sz w:val="24"/>
              </w:rPr>
              <w:t>註：成長率係與上年度同期比較。</w:t>
            </w:r>
          </w:p>
        </w:tc>
      </w:tr>
    </w:tbl>
    <w:p w:rsidR="00E15544" w:rsidRPr="000E64D4" w:rsidRDefault="00E15544">
      <w:pPr>
        <w:spacing w:line="0" w:lineRule="atLeast"/>
        <w:jc w:val="right"/>
        <w:rPr>
          <w:rFonts w:eastAsia="標楷體"/>
          <w:sz w:val="36"/>
          <w:szCs w:val="36"/>
        </w:rPr>
      </w:pPr>
    </w:p>
    <w:p w:rsidR="00E15544" w:rsidRPr="000E64D4" w:rsidRDefault="00E15544">
      <w:pPr>
        <w:jc w:val="center"/>
        <w:rPr>
          <w:rFonts w:eastAsia="標楷體"/>
          <w:sz w:val="36"/>
          <w:szCs w:val="36"/>
        </w:rPr>
      </w:pPr>
    </w:p>
    <w:p w:rsidR="00E15544" w:rsidRPr="000E64D4" w:rsidRDefault="004C5877" w:rsidP="005E24EE">
      <w:pPr>
        <w:pageBreakBefore/>
        <w:widowControl/>
        <w:jc w:val="center"/>
      </w:pPr>
      <w:r w:rsidRPr="000E64D4">
        <w:rPr>
          <w:rFonts w:eastAsia="標楷體"/>
          <w:sz w:val="36"/>
          <w:szCs w:val="36"/>
        </w:rPr>
        <w:lastRenderedPageBreak/>
        <w:t>表</w:t>
      </w:r>
      <w:r w:rsidRPr="000E64D4">
        <w:rPr>
          <w:rFonts w:eastAsia="標楷體"/>
          <w:sz w:val="36"/>
          <w:szCs w:val="36"/>
        </w:rPr>
        <w:t>4-2</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D154BB"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對中國大陸投資前五大地區統計表</w:t>
      </w:r>
    </w:p>
    <w:p w:rsidR="00E15544" w:rsidRPr="000E64D4" w:rsidRDefault="004C5877">
      <w:pPr>
        <w:ind w:right="480" w:firstLine="6720"/>
      </w:pPr>
      <w:r w:rsidRPr="000E64D4">
        <w:rPr>
          <w:rFonts w:eastAsia="標楷體"/>
        </w:rPr>
        <w:t xml:space="preserve">　</w:t>
      </w:r>
      <w:r w:rsidRPr="000E64D4">
        <w:rPr>
          <w:rFonts w:eastAsia="標楷體"/>
          <w:sz w:val="22"/>
          <w:szCs w:val="22"/>
        </w:rPr>
        <w:t>單位：千美元；</w:t>
      </w:r>
      <w:r w:rsidR="000754B5" w:rsidRPr="000E64D4">
        <w:rPr>
          <w:rFonts w:eastAsia="標楷體"/>
          <w:sz w:val="22"/>
          <w:szCs w:val="22"/>
        </w:rPr>
        <w:t>%</w:t>
      </w:r>
    </w:p>
    <w:tbl>
      <w:tblPr>
        <w:tblW w:w="7800" w:type="dxa"/>
        <w:jc w:val="center"/>
        <w:tblLayout w:type="fixed"/>
        <w:tblCellMar>
          <w:left w:w="10" w:type="dxa"/>
          <w:right w:w="10" w:type="dxa"/>
        </w:tblCellMar>
        <w:tblLook w:val="0000"/>
      </w:tblPr>
      <w:tblGrid>
        <w:gridCol w:w="1378"/>
        <w:gridCol w:w="992"/>
        <w:gridCol w:w="1350"/>
        <w:gridCol w:w="1560"/>
        <w:gridCol w:w="1368"/>
        <w:gridCol w:w="1152"/>
      </w:tblGrid>
      <w:tr w:rsidR="00433D57" w:rsidRPr="000E64D4"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9A3D55" w:rsidP="009A3D55">
            <w:pPr>
              <w:pStyle w:val="a3"/>
              <w:spacing w:line="360" w:lineRule="exact"/>
              <w:jc w:val="center"/>
              <w:rPr>
                <w:rFonts w:ascii="Times New Roman" w:hAnsi="Times New Roman"/>
                <w:sz w:val="22"/>
                <w:szCs w:val="22"/>
              </w:rPr>
            </w:pPr>
            <w:r w:rsidRPr="000E64D4">
              <w:rPr>
                <w:rFonts w:ascii="Times New Roman" w:hAnsi="Times New Roman" w:hint="eastAsia"/>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p w:rsidR="00E15544" w:rsidRPr="000E64D4" w:rsidRDefault="000A0B99">
            <w:pPr>
              <w:pStyle w:val="a3"/>
              <w:spacing w:line="360" w:lineRule="exact"/>
              <w:jc w:val="center"/>
              <w:rPr>
                <w:rFonts w:ascii="Times New Roman" w:hAnsi="Times New Roman"/>
                <w:sz w:val="22"/>
                <w:szCs w:val="22"/>
              </w:rPr>
            </w:pPr>
            <w:r w:rsidRPr="000E64D4">
              <w:rPr>
                <w:rFonts w:ascii="Times New Roman" w:hAnsi="Times New Roman"/>
                <w:sz w:val="22"/>
                <w:szCs w:val="22"/>
              </w:rPr>
              <w:t>(</w:t>
            </w:r>
            <w:r w:rsidR="004C5877" w:rsidRPr="000E64D4">
              <w:rPr>
                <w:rFonts w:ascii="Times New Roman" w:hAnsi="Times New Roman"/>
                <w:sz w:val="22"/>
                <w:szCs w:val="22"/>
              </w:rPr>
              <w:t>比重</w:t>
            </w:r>
            <w:r w:rsidR="000754B5" w:rsidRPr="000E64D4">
              <w:rPr>
                <w:rFonts w:ascii="Times New Roman" w:hAnsi="Times New Roman"/>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去年同期</w:t>
            </w:r>
          </w:p>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與去年同期比較</w:t>
            </w:r>
          </w:p>
        </w:tc>
      </w:tr>
      <w:tr w:rsidR="00433D57" w:rsidRPr="000E64D4"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E15544">
            <w:pPr>
              <w:pStyle w:val="a3"/>
              <w:spacing w:line="360" w:lineRule="exact"/>
              <w:jc w:val="both"/>
              <w:rPr>
                <w:rFonts w:ascii="Times New Roman" w:hAnsi="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成長率</w:t>
            </w:r>
          </w:p>
        </w:tc>
      </w:tr>
      <w:tr w:rsidR="002828DA" w:rsidRPr="000E64D4"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2828DA">
            <w:pPr>
              <w:jc w:val="center"/>
              <w:rPr>
                <w:rFonts w:eastAsia="標楷體"/>
                <w:szCs w:val="24"/>
              </w:rPr>
            </w:pPr>
            <w:r w:rsidRPr="000E64D4">
              <w:rPr>
                <w:rFonts w:eastAsia="標楷體" w:hint="eastAsia"/>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1,097,935</w:t>
            </w:r>
          </w:p>
          <w:p w:rsidR="002828DA" w:rsidRPr="000E64D4" w:rsidRDefault="002828DA" w:rsidP="002828D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26.37)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230,181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867,754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165AF7">
            <w:pPr>
              <w:jc w:val="right"/>
              <w:rPr>
                <w:sz w:val="22"/>
                <w:szCs w:val="22"/>
              </w:rPr>
            </w:pPr>
            <w:r w:rsidRPr="000E64D4">
              <w:rPr>
                <w:sz w:val="22"/>
                <w:szCs w:val="22"/>
              </w:rPr>
              <w:t>376.99</w:t>
            </w:r>
          </w:p>
        </w:tc>
      </w:tr>
      <w:tr w:rsidR="002828DA" w:rsidRPr="000E64D4"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2828DA">
            <w:pPr>
              <w:jc w:val="center"/>
              <w:rPr>
                <w:rFonts w:eastAsia="標楷體"/>
                <w:szCs w:val="24"/>
              </w:rPr>
            </w:pPr>
            <w:r w:rsidRPr="000E64D4">
              <w:rPr>
                <w:rFonts w:eastAsia="標楷體" w:hint="eastAsia"/>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72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1,046,932</w:t>
            </w:r>
          </w:p>
          <w:p w:rsidR="002828DA" w:rsidRPr="000E64D4" w:rsidRDefault="002828DA" w:rsidP="002828D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25.15</w:t>
            </w:r>
            <w:r w:rsidR="00D16534" w:rsidRPr="000E64D4">
              <w:rPr>
                <w:rFonts w:ascii="Times New Roman" w:hAnsi="Times New Roman" w:hint="eastAsia"/>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2,117,829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-1,070,897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165AF7">
            <w:pPr>
              <w:jc w:val="right"/>
              <w:rPr>
                <w:sz w:val="22"/>
                <w:szCs w:val="22"/>
              </w:rPr>
            </w:pPr>
            <w:r w:rsidRPr="000E64D4">
              <w:rPr>
                <w:sz w:val="22"/>
                <w:szCs w:val="22"/>
              </w:rPr>
              <w:t>-50.57</w:t>
            </w:r>
          </w:p>
        </w:tc>
      </w:tr>
      <w:tr w:rsidR="002828DA" w:rsidRPr="000E64D4"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jc w:val="center"/>
              <w:rPr>
                <w:rFonts w:eastAsia="標楷體"/>
                <w:szCs w:val="24"/>
              </w:rPr>
            </w:pPr>
            <w:r w:rsidRPr="000E64D4">
              <w:rPr>
                <w:rFonts w:eastAsia="標楷體" w:hint="eastAsia"/>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67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562,616</w:t>
            </w:r>
          </w:p>
          <w:p w:rsidR="002828DA" w:rsidRPr="000E64D4" w:rsidRDefault="002828DA" w:rsidP="002828D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13.51)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479,776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82,840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165AF7">
            <w:pPr>
              <w:jc w:val="right"/>
              <w:rPr>
                <w:sz w:val="22"/>
                <w:szCs w:val="22"/>
              </w:rPr>
            </w:pPr>
            <w:r w:rsidRPr="000E64D4">
              <w:rPr>
                <w:sz w:val="22"/>
                <w:szCs w:val="22"/>
              </w:rPr>
              <w:t>17.27</w:t>
            </w:r>
          </w:p>
        </w:tc>
      </w:tr>
      <w:tr w:rsidR="002828DA" w:rsidRPr="000E64D4"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2828DA">
            <w:pPr>
              <w:jc w:val="center"/>
              <w:rPr>
                <w:rFonts w:eastAsia="標楷體"/>
                <w:szCs w:val="24"/>
              </w:rPr>
            </w:pPr>
            <w:r w:rsidRPr="000E64D4">
              <w:rPr>
                <w:rFonts w:eastAsia="標楷體" w:hint="eastAsia"/>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529,999</w:t>
            </w:r>
          </w:p>
          <w:p w:rsidR="002828DA" w:rsidRPr="000E64D4" w:rsidRDefault="002828DA" w:rsidP="002828D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12.73)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227,552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302,447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165AF7">
            <w:pPr>
              <w:jc w:val="right"/>
              <w:rPr>
                <w:sz w:val="22"/>
                <w:szCs w:val="22"/>
              </w:rPr>
            </w:pPr>
            <w:r w:rsidRPr="000E64D4">
              <w:rPr>
                <w:sz w:val="22"/>
                <w:szCs w:val="22"/>
              </w:rPr>
              <w:t>132.91</w:t>
            </w:r>
          </w:p>
        </w:tc>
      </w:tr>
      <w:tr w:rsidR="002828DA" w:rsidRPr="000E64D4"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jc w:val="center"/>
              <w:rPr>
                <w:rFonts w:eastAsia="標楷體"/>
                <w:szCs w:val="24"/>
              </w:rPr>
            </w:pPr>
            <w:r w:rsidRPr="000E64D4">
              <w:rPr>
                <w:rFonts w:eastAsia="標楷體" w:hint="eastAsia"/>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sz w:val="22"/>
                <w:szCs w:val="24"/>
              </w:rPr>
              <w:t xml:space="preserve">21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016EC8">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372,964</w:t>
            </w:r>
          </w:p>
          <w:p w:rsidR="002828DA" w:rsidRPr="000E64D4" w:rsidRDefault="002828DA" w:rsidP="002828D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8.96)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279,972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92,992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165AF7">
            <w:pPr>
              <w:jc w:val="right"/>
              <w:rPr>
                <w:sz w:val="22"/>
                <w:szCs w:val="22"/>
              </w:rPr>
            </w:pPr>
            <w:r w:rsidRPr="000E64D4">
              <w:rPr>
                <w:sz w:val="22"/>
                <w:szCs w:val="22"/>
              </w:rPr>
              <w:t>33.21</w:t>
            </w:r>
          </w:p>
        </w:tc>
      </w:tr>
    </w:tbl>
    <w:p w:rsidR="00E15544" w:rsidRPr="000E64D4" w:rsidRDefault="00E15544" w:rsidP="00AA73EE">
      <w:pPr>
        <w:pStyle w:val="a3"/>
        <w:spacing w:line="400" w:lineRule="exact"/>
        <w:ind w:right="1920"/>
        <w:rPr>
          <w:rFonts w:ascii="Times New Roman" w:hAnsi="Times New Roman"/>
          <w:sz w:val="22"/>
          <w:szCs w:val="22"/>
        </w:rPr>
      </w:pPr>
    </w:p>
    <w:p w:rsidR="00E15544" w:rsidRPr="000E64D4" w:rsidRDefault="00E15544">
      <w:pPr>
        <w:jc w:val="center"/>
        <w:rPr>
          <w:rFonts w:eastAsia="標楷體"/>
          <w:sz w:val="36"/>
          <w:szCs w:val="36"/>
        </w:rPr>
      </w:pPr>
    </w:p>
    <w:p w:rsidR="00E15544" w:rsidRPr="000E64D4" w:rsidRDefault="004C5877" w:rsidP="00197702">
      <w:pPr>
        <w:jc w:val="center"/>
        <w:rPr>
          <w:rFonts w:eastAsia="標楷體"/>
          <w:sz w:val="36"/>
          <w:szCs w:val="36"/>
        </w:rPr>
      </w:pPr>
      <w:r w:rsidRPr="000E64D4">
        <w:rPr>
          <w:rFonts w:eastAsia="標楷體"/>
          <w:sz w:val="36"/>
          <w:szCs w:val="36"/>
        </w:rPr>
        <w:t>表</w:t>
      </w:r>
      <w:r w:rsidRPr="000E64D4">
        <w:rPr>
          <w:rFonts w:eastAsia="標楷體"/>
          <w:sz w:val="36"/>
          <w:szCs w:val="36"/>
        </w:rPr>
        <w:t>4-3</w:t>
      </w:r>
      <w:r w:rsidRPr="000E64D4">
        <w:rPr>
          <w:rFonts w:eastAsia="標楷體"/>
          <w:sz w:val="36"/>
          <w:szCs w:val="36"/>
        </w:rPr>
        <w:t xml:space="preserve">　</w:t>
      </w:r>
      <w:r w:rsidR="00642349" w:rsidRPr="000E64D4">
        <w:rPr>
          <w:rFonts w:eastAsia="標楷體" w:hint="eastAsia"/>
          <w:sz w:val="36"/>
          <w:szCs w:val="36"/>
        </w:rPr>
        <w:t>111</w:t>
      </w:r>
      <w:r w:rsidR="00642349" w:rsidRPr="000E64D4">
        <w:rPr>
          <w:rFonts w:eastAsia="標楷體" w:hint="eastAsia"/>
          <w:sz w:val="36"/>
          <w:szCs w:val="36"/>
        </w:rPr>
        <w:t>年</w:t>
      </w:r>
      <w:r w:rsidR="001423FF" w:rsidRPr="000E64D4">
        <w:rPr>
          <w:rFonts w:eastAsia="標楷體" w:hint="eastAsia"/>
          <w:sz w:val="36"/>
          <w:szCs w:val="36"/>
        </w:rPr>
        <w:t>1-</w:t>
      </w:r>
      <w:r w:rsidR="00D154BB" w:rsidRPr="000E64D4">
        <w:rPr>
          <w:rFonts w:eastAsia="標楷體" w:hint="eastAsia"/>
          <w:sz w:val="36"/>
          <w:szCs w:val="36"/>
        </w:rPr>
        <w:t>10</w:t>
      </w:r>
      <w:r w:rsidR="001423FF" w:rsidRPr="000E64D4">
        <w:rPr>
          <w:rFonts w:eastAsia="標楷體" w:hint="eastAsia"/>
          <w:sz w:val="36"/>
          <w:szCs w:val="36"/>
        </w:rPr>
        <w:t>月</w:t>
      </w:r>
      <w:r w:rsidRPr="000E64D4">
        <w:rPr>
          <w:rFonts w:eastAsia="標楷體"/>
          <w:sz w:val="36"/>
          <w:szCs w:val="36"/>
        </w:rPr>
        <w:t>對中國大陸投資前五大業別統計表</w:t>
      </w:r>
    </w:p>
    <w:p w:rsidR="00E15544" w:rsidRPr="000E64D4" w:rsidRDefault="004C5877">
      <w:pPr>
        <w:ind w:firstLine="6600"/>
        <w:rPr>
          <w:rFonts w:eastAsia="標楷體"/>
          <w:sz w:val="22"/>
          <w:szCs w:val="22"/>
        </w:rPr>
      </w:pPr>
      <w:r w:rsidRPr="000E64D4">
        <w:rPr>
          <w:rFonts w:eastAsia="標楷體"/>
          <w:sz w:val="22"/>
          <w:szCs w:val="22"/>
        </w:rPr>
        <w:t xml:space="preserve">　單位：千美元；</w:t>
      </w:r>
      <w:r w:rsidR="000754B5" w:rsidRPr="000E64D4">
        <w:rPr>
          <w:rFonts w:eastAsia="標楷體"/>
          <w:sz w:val="22"/>
          <w:szCs w:val="22"/>
        </w:rPr>
        <w:t>%</w:t>
      </w:r>
    </w:p>
    <w:tbl>
      <w:tblPr>
        <w:tblW w:w="7698" w:type="dxa"/>
        <w:jc w:val="center"/>
        <w:tblLayout w:type="fixed"/>
        <w:tblCellMar>
          <w:left w:w="10" w:type="dxa"/>
          <w:right w:w="10" w:type="dxa"/>
        </w:tblCellMar>
        <w:tblLook w:val="0000"/>
      </w:tblPr>
      <w:tblGrid>
        <w:gridCol w:w="1506"/>
        <w:gridCol w:w="672"/>
        <w:gridCol w:w="1440"/>
        <w:gridCol w:w="1560"/>
        <w:gridCol w:w="1248"/>
        <w:gridCol w:w="1272"/>
      </w:tblGrid>
      <w:tr w:rsidR="00433D57" w:rsidRPr="000E64D4"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F60374" w:rsidP="00F60374">
            <w:pPr>
              <w:pStyle w:val="a3"/>
              <w:spacing w:line="360" w:lineRule="exact"/>
              <w:jc w:val="center"/>
              <w:rPr>
                <w:rFonts w:ascii="Times New Roman" w:hAnsi="Times New Roman"/>
                <w:sz w:val="22"/>
                <w:szCs w:val="22"/>
              </w:rPr>
            </w:pPr>
            <w:r w:rsidRPr="000E64D4">
              <w:rPr>
                <w:rFonts w:ascii="Times New Roman" w:hAnsi="Times New Roman" w:hint="eastAsia"/>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p w:rsidR="00E15544" w:rsidRPr="000E64D4" w:rsidRDefault="000A0B99">
            <w:pPr>
              <w:pStyle w:val="a3"/>
              <w:spacing w:line="360" w:lineRule="exact"/>
              <w:jc w:val="center"/>
              <w:rPr>
                <w:rFonts w:ascii="Times New Roman" w:hAnsi="Times New Roman"/>
                <w:sz w:val="22"/>
                <w:szCs w:val="22"/>
              </w:rPr>
            </w:pPr>
            <w:r w:rsidRPr="000E64D4">
              <w:rPr>
                <w:rFonts w:ascii="Times New Roman" w:hAnsi="Times New Roman"/>
                <w:sz w:val="22"/>
                <w:szCs w:val="22"/>
              </w:rPr>
              <w:t>(</w:t>
            </w:r>
            <w:r w:rsidR="004C5877" w:rsidRPr="000E64D4">
              <w:rPr>
                <w:rFonts w:ascii="Times New Roman" w:hAnsi="Times New Roman"/>
                <w:sz w:val="22"/>
                <w:szCs w:val="22"/>
              </w:rPr>
              <w:t>比重</w:t>
            </w:r>
            <w:r w:rsidR="000754B5" w:rsidRPr="000E64D4">
              <w:rPr>
                <w:rFonts w:ascii="Times New Roman" w:hAnsi="Times New Roman"/>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去年同期</w:t>
            </w:r>
          </w:p>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與去年同期比較</w:t>
            </w:r>
          </w:p>
        </w:tc>
      </w:tr>
      <w:tr w:rsidR="00433D57" w:rsidRPr="000E64D4"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0E64D4" w:rsidRDefault="00E15544">
            <w:pPr>
              <w:pStyle w:val="a3"/>
              <w:spacing w:line="360" w:lineRule="exact"/>
              <w:jc w:val="both"/>
              <w:rPr>
                <w:rFonts w:ascii="Times New Roman" w:hAnsi="Times New Roman"/>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E15544">
            <w:pPr>
              <w:pStyle w:val="a3"/>
              <w:spacing w:line="360" w:lineRule="exact"/>
              <w:jc w:val="both"/>
              <w:rPr>
                <w:rFonts w:ascii="Times New Roman" w:hAnsi="Times New Roman"/>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0E64D4" w:rsidRDefault="004C5877">
            <w:pPr>
              <w:pStyle w:val="a3"/>
              <w:spacing w:line="360" w:lineRule="exact"/>
              <w:jc w:val="center"/>
              <w:rPr>
                <w:rFonts w:ascii="Times New Roman" w:hAnsi="Times New Roman"/>
                <w:sz w:val="22"/>
                <w:szCs w:val="22"/>
              </w:rPr>
            </w:pPr>
            <w:r w:rsidRPr="000E64D4">
              <w:rPr>
                <w:rFonts w:ascii="Times New Roman" w:hAnsi="Times New Roman"/>
                <w:sz w:val="22"/>
                <w:szCs w:val="22"/>
              </w:rPr>
              <w:t>成長率</w:t>
            </w:r>
          </w:p>
        </w:tc>
      </w:tr>
      <w:tr w:rsidR="002828DA" w:rsidRPr="000E64D4"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A75F87">
            <w:pPr>
              <w:jc w:val="center"/>
              <w:rPr>
                <w:rFonts w:eastAsia="標楷體"/>
                <w:szCs w:val="24"/>
              </w:rPr>
            </w:pPr>
            <w:r w:rsidRPr="000E64D4">
              <w:rPr>
                <w:rFonts w:eastAsia="標楷體" w:hint="eastAsia"/>
                <w:szCs w:val="24"/>
              </w:rPr>
              <w:t>電子零組件</w:t>
            </w:r>
          </w:p>
          <w:p w:rsidR="002828DA" w:rsidRPr="000E64D4" w:rsidRDefault="002828DA" w:rsidP="00A75F87">
            <w:pPr>
              <w:jc w:val="center"/>
              <w:rPr>
                <w:rFonts w:eastAsia="標楷體"/>
                <w:szCs w:val="24"/>
              </w:rPr>
            </w:pPr>
            <w:r w:rsidRPr="000E64D4">
              <w:rPr>
                <w:rFonts w:eastAsia="標楷體" w:hint="eastAsia"/>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45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1,248,106</w:t>
            </w:r>
          </w:p>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29.98</w:t>
            </w:r>
            <w:r w:rsidR="00381583" w:rsidRPr="000E64D4">
              <w:rPr>
                <w:rFonts w:ascii="Times New Roman" w:hAnsi="Times New Roman" w:hint="eastAsia"/>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1,671,085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-422,980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381583">
            <w:pPr>
              <w:jc w:val="right"/>
              <w:rPr>
                <w:sz w:val="22"/>
                <w:szCs w:val="22"/>
              </w:rPr>
            </w:pPr>
            <w:r w:rsidRPr="000E64D4">
              <w:rPr>
                <w:sz w:val="22"/>
                <w:szCs w:val="22"/>
              </w:rPr>
              <w:t>-25.31</w:t>
            </w:r>
          </w:p>
        </w:tc>
      </w:tr>
      <w:tr w:rsidR="002828DA" w:rsidRPr="000E64D4"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A75F87">
            <w:pPr>
              <w:jc w:val="center"/>
              <w:rPr>
                <w:rFonts w:eastAsia="標楷體"/>
                <w:szCs w:val="24"/>
              </w:rPr>
            </w:pPr>
            <w:r w:rsidRPr="000E64D4">
              <w:rPr>
                <w:rFonts w:eastAsia="標楷體" w:hint="eastAsia"/>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355,722</w:t>
            </w:r>
          </w:p>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8.54</w:t>
            </w:r>
            <w:r w:rsidR="00381583" w:rsidRPr="000E64D4">
              <w:rPr>
                <w:rFonts w:ascii="Times New Roman" w:hAnsi="Times New Roman" w:hint="eastAsia"/>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72,121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283,601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381583">
            <w:pPr>
              <w:jc w:val="right"/>
              <w:rPr>
                <w:sz w:val="22"/>
                <w:szCs w:val="22"/>
              </w:rPr>
            </w:pPr>
            <w:r w:rsidRPr="000E64D4">
              <w:rPr>
                <w:sz w:val="22"/>
                <w:szCs w:val="22"/>
              </w:rPr>
              <w:t>393.23</w:t>
            </w:r>
          </w:p>
        </w:tc>
      </w:tr>
      <w:tr w:rsidR="002828DA" w:rsidRPr="000E64D4"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2828DA">
            <w:pPr>
              <w:jc w:val="center"/>
              <w:rPr>
                <w:rFonts w:eastAsia="標楷體"/>
                <w:szCs w:val="24"/>
              </w:rPr>
            </w:pPr>
            <w:r w:rsidRPr="000E64D4">
              <w:rPr>
                <w:rFonts w:eastAsia="標楷體" w:hint="eastAsia"/>
                <w:szCs w:val="24"/>
              </w:rPr>
              <w:t>電腦、電子產品及光學製品製造業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323,845</w:t>
            </w:r>
          </w:p>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7.78)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519,842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-195,997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381583">
            <w:pPr>
              <w:jc w:val="right"/>
              <w:rPr>
                <w:sz w:val="22"/>
                <w:szCs w:val="22"/>
              </w:rPr>
            </w:pPr>
            <w:r w:rsidRPr="000E64D4">
              <w:rPr>
                <w:sz w:val="22"/>
                <w:szCs w:val="22"/>
              </w:rPr>
              <w:t>-37.70</w:t>
            </w:r>
          </w:p>
        </w:tc>
      </w:tr>
      <w:tr w:rsidR="002828DA" w:rsidRPr="000E64D4"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2828DA">
            <w:pPr>
              <w:jc w:val="center"/>
              <w:rPr>
                <w:rFonts w:eastAsia="標楷體"/>
                <w:szCs w:val="24"/>
              </w:rPr>
            </w:pPr>
            <w:r w:rsidRPr="000E64D4">
              <w:rPr>
                <w:rFonts w:eastAsia="標楷體" w:hint="eastAsia"/>
                <w:szCs w:val="24"/>
              </w:rPr>
              <w:t>基本金屬</w:t>
            </w:r>
          </w:p>
          <w:p w:rsidR="002828DA" w:rsidRPr="000E64D4" w:rsidRDefault="002828DA" w:rsidP="002828DA">
            <w:pPr>
              <w:jc w:val="center"/>
              <w:rPr>
                <w:rFonts w:eastAsia="標楷體"/>
                <w:szCs w:val="24"/>
              </w:rPr>
            </w:pPr>
            <w:r w:rsidRPr="000E64D4">
              <w:rPr>
                <w:rFonts w:eastAsia="標楷體" w:hint="eastAsia"/>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303,057</w:t>
            </w:r>
          </w:p>
          <w:p w:rsidR="002828DA" w:rsidRPr="000E64D4" w:rsidRDefault="002828DA" w:rsidP="002828DA">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7.28)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17,117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285,941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381583">
            <w:pPr>
              <w:jc w:val="right"/>
              <w:rPr>
                <w:sz w:val="22"/>
                <w:szCs w:val="22"/>
              </w:rPr>
            </w:pPr>
            <w:r w:rsidRPr="000E64D4">
              <w:rPr>
                <w:sz w:val="22"/>
                <w:szCs w:val="22"/>
              </w:rPr>
              <w:t>1670.52</w:t>
            </w:r>
          </w:p>
        </w:tc>
      </w:tr>
      <w:tr w:rsidR="002828DA" w:rsidRPr="000E64D4"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A75F87">
            <w:pPr>
              <w:jc w:val="center"/>
              <w:rPr>
                <w:rFonts w:eastAsia="標楷體"/>
                <w:szCs w:val="24"/>
              </w:rPr>
            </w:pPr>
            <w:r w:rsidRPr="000E64D4">
              <w:rPr>
                <w:rFonts w:eastAsia="標楷體" w:hint="eastAsia"/>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hint="eastAsia"/>
                <w:sz w:val="22"/>
                <w:szCs w:val="24"/>
              </w:rPr>
              <w:t>287,050</w:t>
            </w:r>
          </w:p>
          <w:p w:rsidR="002828DA" w:rsidRPr="000E64D4" w:rsidRDefault="002828DA" w:rsidP="00F037B3">
            <w:pPr>
              <w:pStyle w:val="a3"/>
              <w:spacing w:line="400" w:lineRule="exact"/>
              <w:jc w:val="right"/>
              <w:rPr>
                <w:rFonts w:ascii="Times New Roman" w:hAnsi="Times New Roman"/>
                <w:sz w:val="22"/>
                <w:szCs w:val="24"/>
              </w:rPr>
            </w:pPr>
            <w:r w:rsidRPr="000E64D4">
              <w:rPr>
                <w:rFonts w:ascii="Times New Roman" w:hAnsi="Times New Roman"/>
                <w:sz w:val="22"/>
                <w:szCs w:val="24"/>
              </w:rPr>
              <w:t>(</w:t>
            </w:r>
            <w:r w:rsidRPr="000E64D4">
              <w:rPr>
                <w:rFonts w:ascii="Times New Roman" w:hAnsi="Times New Roman" w:hint="eastAsia"/>
                <w:sz w:val="22"/>
                <w:szCs w:val="24"/>
              </w:rPr>
              <w:t>6.89)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435,858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pPr>
              <w:jc w:val="right"/>
              <w:rPr>
                <w:sz w:val="22"/>
                <w:szCs w:val="22"/>
              </w:rPr>
            </w:pPr>
            <w:r w:rsidRPr="000E64D4">
              <w:rPr>
                <w:sz w:val="22"/>
                <w:szCs w:val="22"/>
              </w:rPr>
              <w:t xml:space="preserve">-148,808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28DA" w:rsidRPr="000E64D4" w:rsidRDefault="002828DA" w:rsidP="00381583">
            <w:pPr>
              <w:jc w:val="right"/>
              <w:rPr>
                <w:sz w:val="22"/>
                <w:szCs w:val="22"/>
              </w:rPr>
            </w:pPr>
            <w:r w:rsidRPr="000E64D4">
              <w:rPr>
                <w:sz w:val="22"/>
                <w:szCs w:val="22"/>
              </w:rPr>
              <w:t>-34.14</w:t>
            </w:r>
          </w:p>
        </w:tc>
      </w:tr>
    </w:tbl>
    <w:p w:rsidR="00E64D3C" w:rsidRPr="000E64D4" w:rsidRDefault="00E64D3C" w:rsidP="00CB432A">
      <w:pPr>
        <w:tabs>
          <w:tab w:val="left" w:pos="600"/>
        </w:tabs>
        <w:snapToGrid w:val="0"/>
        <w:spacing w:after="188"/>
        <w:contextualSpacing/>
        <w:jc w:val="both"/>
      </w:pPr>
    </w:p>
    <w:sectPr w:rsidR="00E64D3C" w:rsidRPr="000E64D4"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83" w:rsidRDefault="003E1F83" w:rsidP="00E15544">
      <w:r>
        <w:separator/>
      </w:r>
    </w:p>
  </w:endnote>
  <w:endnote w:type="continuationSeparator" w:id="1">
    <w:p w:rsidR="003E1F83" w:rsidRDefault="003E1F83" w:rsidP="00E15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7E" w:rsidRDefault="00BD27B5">
    <w:pPr>
      <w:pStyle w:val="a5"/>
      <w:jc w:val="right"/>
    </w:pPr>
    <w:r>
      <w:rPr>
        <w:lang w:val="zh-TW"/>
      </w:rPr>
      <w:fldChar w:fldCharType="begin"/>
    </w:r>
    <w:r w:rsidR="001B157E">
      <w:rPr>
        <w:lang w:val="zh-TW"/>
      </w:rPr>
      <w:instrText xml:space="preserve"> PAGE </w:instrText>
    </w:r>
    <w:r>
      <w:rPr>
        <w:lang w:val="zh-TW"/>
      </w:rPr>
      <w:fldChar w:fldCharType="separate"/>
    </w:r>
    <w:r w:rsidR="00D16534">
      <w:rPr>
        <w:noProof/>
        <w:lang w:val="zh-TW"/>
      </w:rPr>
      <w:t>10</w:t>
    </w:r>
    <w:r>
      <w:rPr>
        <w:lang w:val="zh-TW"/>
      </w:rPr>
      <w:fldChar w:fldCharType="end"/>
    </w:r>
  </w:p>
  <w:p w:rsidR="001B157E" w:rsidRDefault="001B15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7E" w:rsidRDefault="00BD27B5">
    <w:pPr>
      <w:pStyle w:val="a5"/>
      <w:jc w:val="right"/>
    </w:pPr>
    <w:r>
      <w:rPr>
        <w:lang w:val="zh-TW"/>
      </w:rPr>
      <w:fldChar w:fldCharType="begin"/>
    </w:r>
    <w:r w:rsidR="001B157E">
      <w:rPr>
        <w:lang w:val="zh-TW"/>
      </w:rPr>
      <w:instrText xml:space="preserve"> PAGE </w:instrText>
    </w:r>
    <w:r>
      <w:rPr>
        <w:lang w:val="zh-TW"/>
      </w:rPr>
      <w:fldChar w:fldCharType="separate"/>
    </w:r>
    <w:r w:rsidR="00D16534">
      <w:rPr>
        <w:noProof/>
        <w:lang w:val="zh-TW"/>
      </w:rPr>
      <w:t>14</w:t>
    </w:r>
    <w:r>
      <w:rPr>
        <w:lang w:val="zh-TW"/>
      </w:rPr>
      <w:fldChar w:fldCharType="end"/>
    </w:r>
  </w:p>
  <w:p w:rsidR="001B157E" w:rsidRDefault="001B15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83" w:rsidRDefault="003E1F83" w:rsidP="00E15544">
      <w:r w:rsidRPr="00E15544">
        <w:rPr>
          <w:color w:val="000000"/>
        </w:rPr>
        <w:separator/>
      </w:r>
    </w:p>
  </w:footnote>
  <w:footnote w:type="continuationSeparator" w:id="1">
    <w:p w:rsidR="003E1F83" w:rsidRDefault="003E1F83" w:rsidP="00E15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A97B23"/>
    <w:multiLevelType w:val="hybridMultilevel"/>
    <w:tmpl w:val="961E81AA"/>
    <w:lvl w:ilvl="0" w:tplc="8BD4B476">
      <w:start w:val="1"/>
      <w:numFmt w:val="taiwaneseCountingThousand"/>
      <w:suff w:val="nothing"/>
      <w:lvlText w:val="（%1）"/>
      <w:lvlJc w:val="left"/>
      <w:pPr>
        <w:ind w:left="6293"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4">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9"/>
  </w:num>
  <w:num w:numId="4">
    <w:abstractNumId w:val="16"/>
  </w:num>
  <w:num w:numId="5">
    <w:abstractNumId w:val="15"/>
  </w:num>
  <w:num w:numId="6">
    <w:abstractNumId w:val="3"/>
  </w:num>
  <w:num w:numId="7">
    <w:abstractNumId w:val="14"/>
  </w:num>
  <w:num w:numId="8">
    <w:abstractNumId w:val="0"/>
  </w:num>
  <w:num w:numId="9">
    <w:abstractNumId w:val="1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2"/>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autoHyphenation/>
  <w:characterSpacingControl w:val="doNotCompress"/>
  <w:hdrShapeDefaults>
    <o:shapedefaults v:ext="edit" spidmax="11266"/>
  </w:hdrShapeDefaults>
  <w:footnotePr>
    <w:footnote w:id="0"/>
    <w:footnote w:id="1"/>
  </w:footnotePr>
  <w:endnotePr>
    <w:endnote w:id="0"/>
    <w:endnote w:id="1"/>
  </w:endnotePr>
  <w:compat>
    <w:useFELayout/>
  </w:compat>
  <w:rsids>
    <w:rsidRoot w:val="00E15544"/>
    <w:rsid w:val="00000967"/>
    <w:rsid w:val="00000B7D"/>
    <w:rsid w:val="00000B86"/>
    <w:rsid w:val="00000B97"/>
    <w:rsid w:val="0000105C"/>
    <w:rsid w:val="000011C4"/>
    <w:rsid w:val="0000184E"/>
    <w:rsid w:val="00001A31"/>
    <w:rsid w:val="00001BF1"/>
    <w:rsid w:val="00001EB5"/>
    <w:rsid w:val="0000295C"/>
    <w:rsid w:val="00002CEF"/>
    <w:rsid w:val="000030BD"/>
    <w:rsid w:val="00004295"/>
    <w:rsid w:val="000043D8"/>
    <w:rsid w:val="00004FAA"/>
    <w:rsid w:val="00005466"/>
    <w:rsid w:val="000059B8"/>
    <w:rsid w:val="00005B4B"/>
    <w:rsid w:val="0000617A"/>
    <w:rsid w:val="00006246"/>
    <w:rsid w:val="0000667A"/>
    <w:rsid w:val="00006814"/>
    <w:rsid w:val="000069C8"/>
    <w:rsid w:val="00006ACD"/>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3E29"/>
    <w:rsid w:val="000143E6"/>
    <w:rsid w:val="000146C8"/>
    <w:rsid w:val="00014A34"/>
    <w:rsid w:val="000151B3"/>
    <w:rsid w:val="00016670"/>
    <w:rsid w:val="00016B8A"/>
    <w:rsid w:val="00016EC8"/>
    <w:rsid w:val="00017E91"/>
    <w:rsid w:val="000202B0"/>
    <w:rsid w:val="00020EB7"/>
    <w:rsid w:val="000214C2"/>
    <w:rsid w:val="00021BEF"/>
    <w:rsid w:val="00021F6F"/>
    <w:rsid w:val="000227CA"/>
    <w:rsid w:val="00022A3E"/>
    <w:rsid w:val="00023184"/>
    <w:rsid w:val="00023920"/>
    <w:rsid w:val="00023AF1"/>
    <w:rsid w:val="00025223"/>
    <w:rsid w:val="00025265"/>
    <w:rsid w:val="000259F6"/>
    <w:rsid w:val="0002629A"/>
    <w:rsid w:val="00027074"/>
    <w:rsid w:val="00027890"/>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5C84"/>
    <w:rsid w:val="0003779A"/>
    <w:rsid w:val="00037ED4"/>
    <w:rsid w:val="00037F17"/>
    <w:rsid w:val="0004035B"/>
    <w:rsid w:val="0004052D"/>
    <w:rsid w:val="0004072C"/>
    <w:rsid w:val="00040736"/>
    <w:rsid w:val="0004151D"/>
    <w:rsid w:val="000415B1"/>
    <w:rsid w:val="00041E5C"/>
    <w:rsid w:val="00041FAD"/>
    <w:rsid w:val="00042735"/>
    <w:rsid w:val="00042960"/>
    <w:rsid w:val="000430BC"/>
    <w:rsid w:val="000436C8"/>
    <w:rsid w:val="00043F8F"/>
    <w:rsid w:val="0004434D"/>
    <w:rsid w:val="000451CE"/>
    <w:rsid w:val="00045244"/>
    <w:rsid w:val="000453D0"/>
    <w:rsid w:val="000454EA"/>
    <w:rsid w:val="00045891"/>
    <w:rsid w:val="00045D38"/>
    <w:rsid w:val="0004626C"/>
    <w:rsid w:val="00046DE7"/>
    <w:rsid w:val="0004784E"/>
    <w:rsid w:val="00050082"/>
    <w:rsid w:val="00050087"/>
    <w:rsid w:val="0005010A"/>
    <w:rsid w:val="000509BF"/>
    <w:rsid w:val="00050D58"/>
    <w:rsid w:val="000518EA"/>
    <w:rsid w:val="00051C3D"/>
    <w:rsid w:val="00052882"/>
    <w:rsid w:val="00052ABE"/>
    <w:rsid w:val="00053CD8"/>
    <w:rsid w:val="0005461A"/>
    <w:rsid w:val="00054CD2"/>
    <w:rsid w:val="00054F0D"/>
    <w:rsid w:val="00055164"/>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3D77"/>
    <w:rsid w:val="0006467C"/>
    <w:rsid w:val="00064695"/>
    <w:rsid w:val="000652CB"/>
    <w:rsid w:val="00065529"/>
    <w:rsid w:val="00065698"/>
    <w:rsid w:val="000657D1"/>
    <w:rsid w:val="000662B7"/>
    <w:rsid w:val="000663DE"/>
    <w:rsid w:val="00066730"/>
    <w:rsid w:val="00066CC7"/>
    <w:rsid w:val="00066CEF"/>
    <w:rsid w:val="00067C75"/>
    <w:rsid w:val="00067D3F"/>
    <w:rsid w:val="000706C5"/>
    <w:rsid w:val="00071036"/>
    <w:rsid w:val="00071B47"/>
    <w:rsid w:val="00072211"/>
    <w:rsid w:val="00072475"/>
    <w:rsid w:val="000725EE"/>
    <w:rsid w:val="00072654"/>
    <w:rsid w:val="00073461"/>
    <w:rsid w:val="000747D6"/>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713"/>
    <w:rsid w:val="00086C2E"/>
    <w:rsid w:val="00086D9A"/>
    <w:rsid w:val="00086E4B"/>
    <w:rsid w:val="00091442"/>
    <w:rsid w:val="000916C1"/>
    <w:rsid w:val="00091F36"/>
    <w:rsid w:val="000922AF"/>
    <w:rsid w:val="00092407"/>
    <w:rsid w:val="00092763"/>
    <w:rsid w:val="00092D9E"/>
    <w:rsid w:val="00092E57"/>
    <w:rsid w:val="00093C31"/>
    <w:rsid w:val="00094109"/>
    <w:rsid w:val="0009441E"/>
    <w:rsid w:val="000949D4"/>
    <w:rsid w:val="00094AA1"/>
    <w:rsid w:val="000952B0"/>
    <w:rsid w:val="0009575E"/>
    <w:rsid w:val="00095DA4"/>
    <w:rsid w:val="000960A0"/>
    <w:rsid w:val="0009640D"/>
    <w:rsid w:val="00096655"/>
    <w:rsid w:val="00096A8A"/>
    <w:rsid w:val="00096AA0"/>
    <w:rsid w:val="00096BB0"/>
    <w:rsid w:val="00096D35"/>
    <w:rsid w:val="00096ED1"/>
    <w:rsid w:val="0009716F"/>
    <w:rsid w:val="000A0162"/>
    <w:rsid w:val="000A0515"/>
    <w:rsid w:val="000A0B99"/>
    <w:rsid w:val="000A123E"/>
    <w:rsid w:val="000A195B"/>
    <w:rsid w:val="000A1B1D"/>
    <w:rsid w:val="000A2141"/>
    <w:rsid w:val="000A2979"/>
    <w:rsid w:val="000A369E"/>
    <w:rsid w:val="000A3D61"/>
    <w:rsid w:val="000A410E"/>
    <w:rsid w:val="000A413C"/>
    <w:rsid w:val="000A46E8"/>
    <w:rsid w:val="000A480C"/>
    <w:rsid w:val="000A53F4"/>
    <w:rsid w:val="000A57A7"/>
    <w:rsid w:val="000A5B46"/>
    <w:rsid w:val="000A5BFE"/>
    <w:rsid w:val="000A5BFF"/>
    <w:rsid w:val="000A5F83"/>
    <w:rsid w:val="000A67B0"/>
    <w:rsid w:val="000A6D17"/>
    <w:rsid w:val="000A70F5"/>
    <w:rsid w:val="000A76AC"/>
    <w:rsid w:val="000A7F93"/>
    <w:rsid w:val="000B02F5"/>
    <w:rsid w:val="000B076D"/>
    <w:rsid w:val="000B0E88"/>
    <w:rsid w:val="000B0F45"/>
    <w:rsid w:val="000B0F65"/>
    <w:rsid w:val="000B1275"/>
    <w:rsid w:val="000B190D"/>
    <w:rsid w:val="000B1C8F"/>
    <w:rsid w:val="000B1F72"/>
    <w:rsid w:val="000B1F87"/>
    <w:rsid w:val="000B20F8"/>
    <w:rsid w:val="000B2357"/>
    <w:rsid w:val="000B2423"/>
    <w:rsid w:val="000B2630"/>
    <w:rsid w:val="000B2EEE"/>
    <w:rsid w:val="000B2FFF"/>
    <w:rsid w:val="000B3959"/>
    <w:rsid w:val="000B439C"/>
    <w:rsid w:val="000B5639"/>
    <w:rsid w:val="000B6958"/>
    <w:rsid w:val="000B6A4B"/>
    <w:rsid w:val="000B6C88"/>
    <w:rsid w:val="000B7C10"/>
    <w:rsid w:val="000B7C1C"/>
    <w:rsid w:val="000B7E78"/>
    <w:rsid w:val="000B7F1B"/>
    <w:rsid w:val="000C05F3"/>
    <w:rsid w:val="000C132A"/>
    <w:rsid w:val="000C228D"/>
    <w:rsid w:val="000C2355"/>
    <w:rsid w:val="000C29F2"/>
    <w:rsid w:val="000C34C4"/>
    <w:rsid w:val="000C35E3"/>
    <w:rsid w:val="000C37A1"/>
    <w:rsid w:val="000C37EE"/>
    <w:rsid w:val="000C3A7F"/>
    <w:rsid w:val="000C3D6E"/>
    <w:rsid w:val="000C3E1A"/>
    <w:rsid w:val="000C404E"/>
    <w:rsid w:val="000C502C"/>
    <w:rsid w:val="000C5778"/>
    <w:rsid w:val="000C5FEF"/>
    <w:rsid w:val="000C6190"/>
    <w:rsid w:val="000C652D"/>
    <w:rsid w:val="000C66FF"/>
    <w:rsid w:val="000C708A"/>
    <w:rsid w:val="000C75DD"/>
    <w:rsid w:val="000C7902"/>
    <w:rsid w:val="000C7979"/>
    <w:rsid w:val="000C7E8E"/>
    <w:rsid w:val="000D0148"/>
    <w:rsid w:val="000D0A19"/>
    <w:rsid w:val="000D1214"/>
    <w:rsid w:val="000D1549"/>
    <w:rsid w:val="000D166E"/>
    <w:rsid w:val="000D213E"/>
    <w:rsid w:val="000D2251"/>
    <w:rsid w:val="000D27C7"/>
    <w:rsid w:val="000D2892"/>
    <w:rsid w:val="000D3860"/>
    <w:rsid w:val="000D3AAF"/>
    <w:rsid w:val="000D3B0D"/>
    <w:rsid w:val="000D3C40"/>
    <w:rsid w:val="000D3D1B"/>
    <w:rsid w:val="000D4401"/>
    <w:rsid w:val="000D47DC"/>
    <w:rsid w:val="000D47FA"/>
    <w:rsid w:val="000D4E3B"/>
    <w:rsid w:val="000D5865"/>
    <w:rsid w:val="000D58DD"/>
    <w:rsid w:val="000D5D89"/>
    <w:rsid w:val="000D5DB3"/>
    <w:rsid w:val="000D5FD6"/>
    <w:rsid w:val="000D6535"/>
    <w:rsid w:val="000D67C7"/>
    <w:rsid w:val="000D73CD"/>
    <w:rsid w:val="000D7D50"/>
    <w:rsid w:val="000E08E5"/>
    <w:rsid w:val="000E10E3"/>
    <w:rsid w:val="000E1422"/>
    <w:rsid w:val="000E1AF9"/>
    <w:rsid w:val="000E2464"/>
    <w:rsid w:val="000E29B6"/>
    <w:rsid w:val="000E2A1C"/>
    <w:rsid w:val="000E344D"/>
    <w:rsid w:val="000E353D"/>
    <w:rsid w:val="000E3FA0"/>
    <w:rsid w:val="000E421A"/>
    <w:rsid w:val="000E54FD"/>
    <w:rsid w:val="000E611B"/>
    <w:rsid w:val="000E64D4"/>
    <w:rsid w:val="000E66C3"/>
    <w:rsid w:val="000E66F7"/>
    <w:rsid w:val="000E6F2E"/>
    <w:rsid w:val="000E77EA"/>
    <w:rsid w:val="000E7932"/>
    <w:rsid w:val="000E7D63"/>
    <w:rsid w:val="000E7DB8"/>
    <w:rsid w:val="000F0A10"/>
    <w:rsid w:val="000F0C16"/>
    <w:rsid w:val="000F0E03"/>
    <w:rsid w:val="000F17FC"/>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8A3"/>
    <w:rsid w:val="00101D76"/>
    <w:rsid w:val="00102A51"/>
    <w:rsid w:val="00102FB8"/>
    <w:rsid w:val="001032FC"/>
    <w:rsid w:val="00103441"/>
    <w:rsid w:val="00103A32"/>
    <w:rsid w:val="00103C31"/>
    <w:rsid w:val="00105753"/>
    <w:rsid w:val="001058D6"/>
    <w:rsid w:val="00105D35"/>
    <w:rsid w:val="0010602D"/>
    <w:rsid w:val="001062C4"/>
    <w:rsid w:val="00106C4E"/>
    <w:rsid w:val="00106DA3"/>
    <w:rsid w:val="00106FD9"/>
    <w:rsid w:val="0011014B"/>
    <w:rsid w:val="00110745"/>
    <w:rsid w:val="00110D08"/>
    <w:rsid w:val="001113D7"/>
    <w:rsid w:val="00111658"/>
    <w:rsid w:val="00111F95"/>
    <w:rsid w:val="0011203E"/>
    <w:rsid w:val="00112153"/>
    <w:rsid w:val="001135CC"/>
    <w:rsid w:val="001137BC"/>
    <w:rsid w:val="00113AB8"/>
    <w:rsid w:val="0011409D"/>
    <w:rsid w:val="001140BA"/>
    <w:rsid w:val="001140BE"/>
    <w:rsid w:val="00114159"/>
    <w:rsid w:val="00114825"/>
    <w:rsid w:val="00114A98"/>
    <w:rsid w:val="00115152"/>
    <w:rsid w:val="001151AB"/>
    <w:rsid w:val="001152D6"/>
    <w:rsid w:val="001155EE"/>
    <w:rsid w:val="001156B3"/>
    <w:rsid w:val="00115A3B"/>
    <w:rsid w:val="00115F17"/>
    <w:rsid w:val="0011642A"/>
    <w:rsid w:val="001179B5"/>
    <w:rsid w:val="00120100"/>
    <w:rsid w:val="00120865"/>
    <w:rsid w:val="00120ACD"/>
    <w:rsid w:val="00120FF6"/>
    <w:rsid w:val="0012168A"/>
    <w:rsid w:val="00121887"/>
    <w:rsid w:val="00121B50"/>
    <w:rsid w:val="00121BE2"/>
    <w:rsid w:val="00122D0B"/>
    <w:rsid w:val="00122D7F"/>
    <w:rsid w:val="0012300F"/>
    <w:rsid w:val="00123A47"/>
    <w:rsid w:val="00123D26"/>
    <w:rsid w:val="00124076"/>
    <w:rsid w:val="00124219"/>
    <w:rsid w:val="001248BF"/>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0670"/>
    <w:rsid w:val="0013139D"/>
    <w:rsid w:val="00132359"/>
    <w:rsid w:val="00132C8E"/>
    <w:rsid w:val="00132DA9"/>
    <w:rsid w:val="001339A5"/>
    <w:rsid w:val="001339EA"/>
    <w:rsid w:val="00133B5A"/>
    <w:rsid w:val="00133F2E"/>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BE1"/>
    <w:rsid w:val="00140C03"/>
    <w:rsid w:val="00140F8B"/>
    <w:rsid w:val="00140F8D"/>
    <w:rsid w:val="00141238"/>
    <w:rsid w:val="001423FF"/>
    <w:rsid w:val="0014307D"/>
    <w:rsid w:val="00143641"/>
    <w:rsid w:val="001439EA"/>
    <w:rsid w:val="00143E3D"/>
    <w:rsid w:val="001451C9"/>
    <w:rsid w:val="00145570"/>
    <w:rsid w:val="00145FB7"/>
    <w:rsid w:val="00146802"/>
    <w:rsid w:val="001468C0"/>
    <w:rsid w:val="0014691B"/>
    <w:rsid w:val="00146A02"/>
    <w:rsid w:val="00146AF1"/>
    <w:rsid w:val="00146EFF"/>
    <w:rsid w:val="00146F6A"/>
    <w:rsid w:val="001473AD"/>
    <w:rsid w:val="00147683"/>
    <w:rsid w:val="00147783"/>
    <w:rsid w:val="00147A79"/>
    <w:rsid w:val="00147E1D"/>
    <w:rsid w:val="00150507"/>
    <w:rsid w:val="001505DA"/>
    <w:rsid w:val="00150A5B"/>
    <w:rsid w:val="00150C70"/>
    <w:rsid w:val="00150E02"/>
    <w:rsid w:val="00150FC6"/>
    <w:rsid w:val="00151941"/>
    <w:rsid w:val="00151E39"/>
    <w:rsid w:val="0015241A"/>
    <w:rsid w:val="00152452"/>
    <w:rsid w:val="00153530"/>
    <w:rsid w:val="00153B66"/>
    <w:rsid w:val="00153FB1"/>
    <w:rsid w:val="00154059"/>
    <w:rsid w:val="001545B2"/>
    <w:rsid w:val="00154774"/>
    <w:rsid w:val="00154EF3"/>
    <w:rsid w:val="001551B4"/>
    <w:rsid w:val="00155A94"/>
    <w:rsid w:val="00155D17"/>
    <w:rsid w:val="00156066"/>
    <w:rsid w:val="001564AC"/>
    <w:rsid w:val="001567B4"/>
    <w:rsid w:val="0015689B"/>
    <w:rsid w:val="00156CF0"/>
    <w:rsid w:val="00156D71"/>
    <w:rsid w:val="00156F9A"/>
    <w:rsid w:val="001571F3"/>
    <w:rsid w:val="00157274"/>
    <w:rsid w:val="001579E8"/>
    <w:rsid w:val="00157D79"/>
    <w:rsid w:val="0016047E"/>
    <w:rsid w:val="001607E3"/>
    <w:rsid w:val="001609EF"/>
    <w:rsid w:val="001611F6"/>
    <w:rsid w:val="00161821"/>
    <w:rsid w:val="00161914"/>
    <w:rsid w:val="00161EF0"/>
    <w:rsid w:val="001624B6"/>
    <w:rsid w:val="0016286B"/>
    <w:rsid w:val="00162AAB"/>
    <w:rsid w:val="00163508"/>
    <w:rsid w:val="0016351C"/>
    <w:rsid w:val="001635B0"/>
    <w:rsid w:val="001636B1"/>
    <w:rsid w:val="001638AD"/>
    <w:rsid w:val="00163CA2"/>
    <w:rsid w:val="001643D8"/>
    <w:rsid w:val="00164448"/>
    <w:rsid w:val="00164F5A"/>
    <w:rsid w:val="001653D3"/>
    <w:rsid w:val="00165AF7"/>
    <w:rsid w:val="00165B6E"/>
    <w:rsid w:val="00165E13"/>
    <w:rsid w:val="001662A3"/>
    <w:rsid w:val="00166671"/>
    <w:rsid w:val="001677A0"/>
    <w:rsid w:val="0017073F"/>
    <w:rsid w:val="00170E2E"/>
    <w:rsid w:val="00171162"/>
    <w:rsid w:val="00171498"/>
    <w:rsid w:val="0017161C"/>
    <w:rsid w:val="00171DAA"/>
    <w:rsid w:val="00172D5E"/>
    <w:rsid w:val="00173B68"/>
    <w:rsid w:val="00173EFE"/>
    <w:rsid w:val="0017432E"/>
    <w:rsid w:val="00174815"/>
    <w:rsid w:val="00174DB4"/>
    <w:rsid w:val="00175681"/>
    <w:rsid w:val="00175AFE"/>
    <w:rsid w:val="001767A5"/>
    <w:rsid w:val="001770D8"/>
    <w:rsid w:val="00177D4B"/>
    <w:rsid w:val="00180500"/>
    <w:rsid w:val="00180BAB"/>
    <w:rsid w:val="001812E6"/>
    <w:rsid w:val="00181615"/>
    <w:rsid w:val="00181E34"/>
    <w:rsid w:val="00181EC4"/>
    <w:rsid w:val="00181F8B"/>
    <w:rsid w:val="00181FEC"/>
    <w:rsid w:val="0018211C"/>
    <w:rsid w:val="001822B3"/>
    <w:rsid w:val="00182535"/>
    <w:rsid w:val="001835B6"/>
    <w:rsid w:val="00183849"/>
    <w:rsid w:val="00183D64"/>
    <w:rsid w:val="00183E3D"/>
    <w:rsid w:val="00184166"/>
    <w:rsid w:val="00184228"/>
    <w:rsid w:val="001845B5"/>
    <w:rsid w:val="001848AC"/>
    <w:rsid w:val="00184EC0"/>
    <w:rsid w:val="0018518F"/>
    <w:rsid w:val="0018520C"/>
    <w:rsid w:val="00185508"/>
    <w:rsid w:val="0018575A"/>
    <w:rsid w:val="00185A66"/>
    <w:rsid w:val="00185E87"/>
    <w:rsid w:val="001862B9"/>
    <w:rsid w:val="0018642E"/>
    <w:rsid w:val="001868F2"/>
    <w:rsid w:val="001872DC"/>
    <w:rsid w:val="00187846"/>
    <w:rsid w:val="00190A70"/>
    <w:rsid w:val="00190DFE"/>
    <w:rsid w:val="0019109D"/>
    <w:rsid w:val="00191157"/>
    <w:rsid w:val="00191CF4"/>
    <w:rsid w:val="00191FD8"/>
    <w:rsid w:val="001920EB"/>
    <w:rsid w:val="0019258F"/>
    <w:rsid w:val="001926BD"/>
    <w:rsid w:val="00192952"/>
    <w:rsid w:val="00192DE1"/>
    <w:rsid w:val="00192F23"/>
    <w:rsid w:val="001945E5"/>
    <w:rsid w:val="00194CC8"/>
    <w:rsid w:val="00195137"/>
    <w:rsid w:val="001951F1"/>
    <w:rsid w:val="00195287"/>
    <w:rsid w:val="00195776"/>
    <w:rsid w:val="00195C21"/>
    <w:rsid w:val="001967ED"/>
    <w:rsid w:val="001975AE"/>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A9C"/>
    <w:rsid w:val="001A4B65"/>
    <w:rsid w:val="001A562D"/>
    <w:rsid w:val="001A6000"/>
    <w:rsid w:val="001A6B39"/>
    <w:rsid w:val="001A7713"/>
    <w:rsid w:val="001A7925"/>
    <w:rsid w:val="001B09CB"/>
    <w:rsid w:val="001B0AF3"/>
    <w:rsid w:val="001B0BEE"/>
    <w:rsid w:val="001B1190"/>
    <w:rsid w:val="001B12DB"/>
    <w:rsid w:val="001B12F4"/>
    <w:rsid w:val="001B157E"/>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6E62"/>
    <w:rsid w:val="001B70FB"/>
    <w:rsid w:val="001C1154"/>
    <w:rsid w:val="001C11EA"/>
    <w:rsid w:val="001C13EC"/>
    <w:rsid w:val="001C162B"/>
    <w:rsid w:val="001C16F2"/>
    <w:rsid w:val="001C175F"/>
    <w:rsid w:val="001C1A01"/>
    <w:rsid w:val="001C2B9A"/>
    <w:rsid w:val="001C2C08"/>
    <w:rsid w:val="001C2CF3"/>
    <w:rsid w:val="001C394C"/>
    <w:rsid w:val="001C39F8"/>
    <w:rsid w:val="001C3EEF"/>
    <w:rsid w:val="001C3FBE"/>
    <w:rsid w:val="001C4287"/>
    <w:rsid w:val="001C44DF"/>
    <w:rsid w:val="001C5CD3"/>
    <w:rsid w:val="001C66D8"/>
    <w:rsid w:val="001C6728"/>
    <w:rsid w:val="001C6C50"/>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9ED"/>
    <w:rsid w:val="001D2BB1"/>
    <w:rsid w:val="001D2C62"/>
    <w:rsid w:val="001D2CC9"/>
    <w:rsid w:val="001D30F1"/>
    <w:rsid w:val="001D329F"/>
    <w:rsid w:val="001D34E2"/>
    <w:rsid w:val="001D37FC"/>
    <w:rsid w:val="001D3B5E"/>
    <w:rsid w:val="001D3BDD"/>
    <w:rsid w:val="001D4123"/>
    <w:rsid w:val="001D414B"/>
    <w:rsid w:val="001D4528"/>
    <w:rsid w:val="001D4801"/>
    <w:rsid w:val="001D4E59"/>
    <w:rsid w:val="001D4EAC"/>
    <w:rsid w:val="001D5C5C"/>
    <w:rsid w:val="001D636C"/>
    <w:rsid w:val="001D696C"/>
    <w:rsid w:val="001D7137"/>
    <w:rsid w:val="001D7874"/>
    <w:rsid w:val="001E00D1"/>
    <w:rsid w:val="001E0463"/>
    <w:rsid w:val="001E0894"/>
    <w:rsid w:val="001E09CE"/>
    <w:rsid w:val="001E0DE2"/>
    <w:rsid w:val="001E1A49"/>
    <w:rsid w:val="001E1CF6"/>
    <w:rsid w:val="001E1F09"/>
    <w:rsid w:val="001E2130"/>
    <w:rsid w:val="001E214D"/>
    <w:rsid w:val="001E264D"/>
    <w:rsid w:val="001E26D4"/>
    <w:rsid w:val="001E2850"/>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307"/>
    <w:rsid w:val="001F2AB6"/>
    <w:rsid w:val="001F2B56"/>
    <w:rsid w:val="001F2D77"/>
    <w:rsid w:val="001F3845"/>
    <w:rsid w:val="001F38FB"/>
    <w:rsid w:val="001F46F9"/>
    <w:rsid w:val="001F480B"/>
    <w:rsid w:val="001F4940"/>
    <w:rsid w:val="001F4B3B"/>
    <w:rsid w:val="001F588D"/>
    <w:rsid w:val="001F58E7"/>
    <w:rsid w:val="001F599E"/>
    <w:rsid w:val="001F5A04"/>
    <w:rsid w:val="001F5D82"/>
    <w:rsid w:val="001F6538"/>
    <w:rsid w:val="001F6CB8"/>
    <w:rsid w:val="001F74EE"/>
    <w:rsid w:val="002007D2"/>
    <w:rsid w:val="0020099A"/>
    <w:rsid w:val="00200D9B"/>
    <w:rsid w:val="00200E5E"/>
    <w:rsid w:val="0020133A"/>
    <w:rsid w:val="002013BB"/>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4BA"/>
    <w:rsid w:val="002115C0"/>
    <w:rsid w:val="00211769"/>
    <w:rsid w:val="00212B0F"/>
    <w:rsid w:val="00212ECA"/>
    <w:rsid w:val="00212FB6"/>
    <w:rsid w:val="00213984"/>
    <w:rsid w:val="00213A15"/>
    <w:rsid w:val="00213B12"/>
    <w:rsid w:val="00213DE3"/>
    <w:rsid w:val="00215445"/>
    <w:rsid w:val="002156F9"/>
    <w:rsid w:val="0021593C"/>
    <w:rsid w:val="00216936"/>
    <w:rsid w:val="00216989"/>
    <w:rsid w:val="002170D0"/>
    <w:rsid w:val="002171E3"/>
    <w:rsid w:val="0022066E"/>
    <w:rsid w:val="002209E1"/>
    <w:rsid w:val="002209F6"/>
    <w:rsid w:val="00221633"/>
    <w:rsid w:val="002219C4"/>
    <w:rsid w:val="00221A69"/>
    <w:rsid w:val="00221CA8"/>
    <w:rsid w:val="00221E43"/>
    <w:rsid w:val="002224E7"/>
    <w:rsid w:val="002227D2"/>
    <w:rsid w:val="00222B3A"/>
    <w:rsid w:val="0022313B"/>
    <w:rsid w:val="00223546"/>
    <w:rsid w:val="00223BE6"/>
    <w:rsid w:val="0022411F"/>
    <w:rsid w:val="0022470D"/>
    <w:rsid w:val="002254E8"/>
    <w:rsid w:val="0022589C"/>
    <w:rsid w:val="00225B5B"/>
    <w:rsid w:val="00225EF2"/>
    <w:rsid w:val="00226490"/>
    <w:rsid w:val="00226B65"/>
    <w:rsid w:val="00227286"/>
    <w:rsid w:val="0023073C"/>
    <w:rsid w:val="0023074F"/>
    <w:rsid w:val="002308A4"/>
    <w:rsid w:val="00230BAC"/>
    <w:rsid w:val="00230E8D"/>
    <w:rsid w:val="00231045"/>
    <w:rsid w:val="002314F1"/>
    <w:rsid w:val="00231A61"/>
    <w:rsid w:val="00231ABE"/>
    <w:rsid w:val="00231FAA"/>
    <w:rsid w:val="00232447"/>
    <w:rsid w:val="002329B5"/>
    <w:rsid w:val="00232C99"/>
    <w:rsid w:val="00233052"/>
    <w:rsid w:val="00233209"/>
    <w:rsid w:val="00233496"/>
    <w:rsid w:val="002337AD"/>
    <w:rsid w:val="00233F0E"/>
    <w:rsid w:val="0023479D"/>
    <w:rsid w:val="0023511D"/>
    <w:rsid w:val="00235581"/>
    <w:rsid w:val="00235C12"/>
    <w:rsid w:val="002362D1"/>
    <w:rsid w:val="002365FB"/>
    <w:rsid w:val="00236690"/>
    <w:rsid w:val="0023688C"/>
    <w:rsid w:val="002369CD"/>
    <w:rsid w:val="00236C11"/>
    <w:rsid w:val="00236CD9"/>
    <w:rsid w:val="002373AB"/>
    <w:rsid w:val="00237771"/>
    <w:rsid w:val="00237E28"/>
    <w:rsid w:val="00240588"/>
    <w:rsid w:val="002407E4"/>
    <w:rsid w:val="00240F9F"/>
    <w:rsid w:val="0024178A"/>
    <w:rsid w:val="002417D6"/>
    <w:rsid w:val="002421B2"/>
    <w:rsid w:val="002422CF"/>
    <w:rsid w:val="00242880"/>
    <w:rsid w:val="00242D23"/>
    <w:rsid w:val="00242DDB"/>
    <w:rsid w:val="00243294"/>
    <w:rsid w:val="002439B3"/>
    <w:rsid w:val="00243D27"/>
    <w:rsid w:val="00243E6A"/>
    <w:rsid w:val="00243ECA"/>
    <w:rsid w:val="00244AC9"/>
    <w:rsid w:val="00244DA1"/>
    <w:rsid w:val="00244E51"/>
    <w:rsid w:val="002453D8"/>
    <w:rsid w:val="0024718D"/>
    <w:rsid w:val="002478F1"/>
    <w:rsid w:val="00247CF8"/>
    <w:rsid w:val="00247D7B"/>
    <w:rsid w:val="00247EFA"/>
    <w:rsid w:val="0025038B"/>
    <w:rsid w:val="00250493"/>
    <w:rsid w:val="002508F6"/>
    <w:rsid w:val="00250AA9"/>
    <w:rsid w:val="00251CEB"/>
    <w:rsid w:val="002529D6"/>
    <w:rsid w:val="002546F5"/>
    <w:rsid w:val="00254C5F"/>
    <w:rsid w:val="002553FC"/>
    <w:rsid w:val="00255BC2"/>
    <w:rsid w:val="00255CA7"/>
    <w:rsid w:val="00257673"/>
    <w:rsid w:val="002579BC"/>
    <w:rsid w:val="00257ACF"/>
    <w:rsid w:val="00257BC9"/>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5FE3"/>
    <w:rsid w:val="002662BE"/>
    <w:rsid w:val="002665CA"/>
    <w:rsid w:val="00266DE3"/>
    <w:rsid w:val="002673D2"/>
    <w:rsid w:val="00267820"/>
    <w:rsid w:val="0026784C"/>
    <w:rsid w:val="002700BA"/>
    <w:rsid w:val="0027018A"/>
    <w:rsid w:val="00270733"/>
    <w:rsid w:val="00270A04"/>
    <w:rsid w:val="00270A42"/>
    <w:rsid w:val="00270C93"/>
    <w:rsid w:val="00270D19"/>
    <w:rsid w:val="00270D27"/>
    <w:rsid w:val="00271741"/>
    <w:rsid w:val="00271863"/>
    <w:rsid w:val="00271ADF"/>
    <w:rsid w:val="00271B97"/>
    <w:rsid w:val="00271E7F"/>
    <w:rsid w:val="00272777"/>
    <w:rsid w:val="0027369C"/>
    <w:rsid w:val="002739F7"/>
    <w:rsid w:val="00273B72"/>
    <w:rsid w:val="00274000"/>
    <w:rsid w:val="0027404E"/>
    <w:rsid w:val="00275495"/>
    <w:rsid w:val="00275839"/>
    <w:rsid w:val="00275C11"/>
    <w:rsid w:val="00275C3F"/>
    <w:rsid w:val="00276441"/>
    <w:rsid w:val="0027763E"/>
    <w:rsid w:val="002777C9"/>
    <w:rsid w:val="002779AE"/>
    <w:rsid w:val="002779BE"/>
    <w:rsid w:val="002779E8"/>
    <w:rsid w:val="002800B0"/>
    <w:rsid w:val="00280265"/>
    <w:rsid w:val="002804F9"/>
    <w:rsid w:val="002806F2"/>
    <w:rsid w:val="002808B9"/>
    <w:rsid w:val="00280A26"/>
    <w:rsid w:val="00280D52"/>
    <w:rsid w:val="00280E22"/>
    <w:rsid w:val="00281400"/>
    <w:rsid w:val="002814F6"/>
    <w:rsid w:val="00281708"/>
    <w:rsid w:val="00281945"/>
    <w:rsid w:val="00281B29"/>
    <w:rsid w:val="00281D11"/>
    <w:rsid w:val="002824AE"/>
    <w:rsid w:val="002828DA"/>
    <w:rsid w:val="00282D5E"/>
    <w:rsid w:val="00282DA3"/>
    <w:rsid w:val="00283038"/>
    <w:rsid w:val="00283570"/>
    <w:rsid w:val="00283AA6"/>
    <w:rsid w:val="00283AA7"/>
    <w:rsid w:val="00283C4C"/>
    <w:rsid w:val="002840C7"/>
    <w:rsid w:val="002844DC"/>
    <w:rsid w:val="00284CCC"/>
    <w:rsid w:val="00284F75"/>
    <w:rsid w:val="002854DF"/>
    <w:rsid w:val="002855C7"/>
    <w:rsid w:val="00285A26"/>
    <w:rsid w:val="00285B07"/>
    <w:rsid w:val="00285F14"/>
    <w:rsid w:val="00285FB3"/>
    <w:rsid w:val="0028627C"/>
    <w:rsid w:val="00286B73"/>
    <w:rsid w:val="00286D9F"/>
    <w:rsid w:val="00286E9C"/>
    <w:rsid w:val="002872AC"/>
    <w:rsid w:val="00290832"/>
    <w:rsid w:val="00290DD2"/>
    <w:rsid w:val="0029117E"/>
    <w:rsid w:val="002919F2"/>
    <w:rsid w:val="00292BA3"/>
    <w:rsid w:val="00292DD3"/>
    <w:rsid w:val="00293687"/>
    <w:rsid w:val="00293F93"/>
    <w:rsid w:val="00294354"/>
    <w:rsid w:val="00295468"/>
    <w:rsid w:val="0029597F"/>
    <w:rsid w:val="00296032"/>
    <w:rsid w:val="00296362"/>
    <w:rsid w:val="002965B9"/>
    <w:rsid w:val="00296864"/>
    <w:rsid w:val="00296E4D"/>
    <w:rsid w:val="00296EC9"/>
    <w:rsid w:val="002973A2"/>
    <w:rsid w:val="0029748E"/>
    <w:rsid w:val="002975AF"/>
    <w:rsid w:val="00297A11"/>
    <w:rsid w:val="00297EE9"/>
    <w:rsid w:val="002A0AAC"/>
    <w:rsid w:val="002A0E55"/>
    <w:rsid w:val="002A1614"/>
    <w:rsid w:val="002A186E"/>
    <w:rsid w:val="002A1CD4"/>
    <w:rsid w:val="002A2821"/>
    <w:rsid w:val="002A2BF8"/>
    <w:rsid w:val="002A2FD9"/>
    <w:rsid w:val="002A3691"/>
    <w:rsid w:val="002A3D42"/>
    <w:rsid w:val="002A3D4D"/>
    <w:rsid w:val="002A40FC"/>
    <w:rsid w:val="002A4AF2"/>
    <w:rsid w:val="002A504E"/>
    <w:rsid w:val="002A5110"/>
    <w:rsid w:val="002A541B"/>
    <w:rsid w:val="002A59E7"/>
    <w:rsid w:val="002A5C16"/>
    <w:rsid w:val="002A6B6E"/>
    <w:rsid w:val="002A7385"/>
    <w:rsid w:val="002A77ED"/>
    <w:rsid w:val="002B0156"/>
    <w:rsid w:val="002B037D"/>
    <w:rsid w:val="002B0785"/>
    <w:rsid w:val="002B099D"/>
    <w:rsid w:val="002B0B0E"/>
    <w:rsid w:val="002B0EE5"/>
    <w:rsid w:val="002B100D"/>
    <w:rsid w:val="002B1230"/>
    <w:rsid w:val="002B14AC"/>
    <w:rsid w:val="002B16A1"/>
    <w:rsid w:val="002B210F"/>
    <w:rsid w:val="002B231F"/>
    <w:rsid w:val="002B2A35"/>
    <w:rsid w:val="002B362D"/>
    <w:rsid w:val="002B3EE1"/>
    <w:rsid w:val="002B4211"/>
    <w:rsid w:val="002B4AC5"/>
    <w:rsid w:val="002B53A1"/>
    <w:rsid w:val="002B56F8"/>
    <w:rsid w:val="002B58D5"/>
    <w:rsid w:val="002B5AD4"/>
    <w:rsid w:val="002B632E"/>
    <w:rsid w:val="002B66CE"/>
    <w:rsid w:val="002B6DC5"/>
    <w:rsid w:val="002B6F80"/>
    <w:rsid w:val="002B7291"/>
    <w:rsid w:val="002B72F9"/>
    <w:rsid w:val="002C03B3"/>
    <w:rsid w:val="002C16FF"/>
    <w:rsid w:val="002C2298"/>
    <w:rsid w:val="002C3158"/>
    <w:rsid w:val="002C3197"/>
    <w:rsid w:val="002C3334"/>
    <w:rsid w:val="002C336F"/>
    <w:rsid w:val="002C36E0"/>
    <w:rsid w:val="002C37ED"/>
    <w:rsid w:val="002C3B79"/>
    <w:rsid w:val="002C412F"/>
    <w:rsid w:val="002C4963"/>
    <w:rsid w:val="002C50DA"/>
    <w:rsid w:val="002C5364"/>
    <w:rsid w:val="002C5D18"/>
    <w:rsid w:val="002C64BF"/>
    <w:rsid w:val="002C6E46"/>
    <w:rsid w:val="002C6E7F"/>
    <w:rsid w:val="002C72F9"/>
    <w:rsid w:val="002C7E1E"/>
    <w:rsid w:val="002D06C4"/>
    <w:rsid w:val="002D1113"/>
    <w:rsid w:val="002D2678"/>
    <w:rsid w:val="002D26EC"/>
    <w:rsid w:val="002D320D"/>
    <w:rsid w:val="002D3602"/>
    <w:rsid w:val="002D3AE2"/>
    <w:rsid w:val="002D3D53"/>
    <w:rsid w:val="002D3D67"/>
    <w:rsid w:val="002D3E1C"/>
    <w:rsid w:val="002D431F"/>
    <w:rsid w:val="002D4962"/>
    <w:rsid w:val="002D4C8C"/>
    <w:rsid w:val="002D4F78"/>
    <w:rsid w:val="002D5641"/>
    <w:rsid w:val="002D5C00"/>
    <w:rsid w:val="002D5C31"/>
    <w:rsid w:val="002D62A8"/>
    <w:rsid w:val="002D62F3"/>
    <w:rsid w:val="002D6DEB"/>
    <w:rsid w:val="002E00DA"/>
    <w:rsid w:val="002E0545"/>
    <w:rsid w:val="002E12E6"/>
    <w:rsid w:val="002E22FF"/>
    <w:rsid w:val="002E2A06"/>
    <w:rsid w:val="002E3360"/>
    <w:rsid w:val="002E348D"/>
    <w:rsid w:val="002E36F3"/>
    <w:rsid w:val="002E3AC9"/>
    <w:rsid w:val="002E4105"/>
    <w:rsid w:val="002E461D"/>
    <w:rsid w:val="002E46C2"/>
    <w:rsid w:val="002E4A48"/>
    <w:rsid w:val="002E4D65"/>
    <w:rsid w:val="002E4EA4"/>
    <w:rsid w:val="002E50E1"/>
    <w:rsid w:val="002E518F"/>
    <w:rsid w:val="002E597F"/>
    <w:rsid w:val="002E5C97"/>
    <w:rsid w:val="002E5CEC"/>
    <w:rsid w:val="002E6177"/>
    <w:rsid w:val="002E6290"/>
    <w:rsid w:val="002E6BB6"/>
    <w:rsid w:val="002E70AF"/>
    <w:rsid w:val="002F0490"/>
    <w:rsid w:val="002F0B8E"/>
    <w:rsid w:val="002F251A"/>
    <w:rsid w:val="002F26D8"/>
    <w:rsid w:val="002F2876"/>
    <w:rsid w:val="002F3368"/>
    <w:rsid w:val="002F3419"/>
    <w:rsid w:val="002F3743"/>
    <w:rsid w:val="002F39D0"/>
    <w:rsid w:val="002F435C"/>
    <w:rsid w:val="002F477C"/>
    <w:rsid w:val="002F4896"/>
    <w:rsid w:val="002F4E96"/>
    <w:rsid w:val="002F5747"/>
    <w:rsid w:val="002F5843"/>
    <w:rsid w:val="002F5FA6"/>
    <w:rsid w:val="002F61C4"/>
    <w:rsid w:val="002F62B8"/>
    <w:rsid w:val="002F6E71"/>
    <w:rsid w:val="002F6F26"/>
    <w:rsid w:val="002F7A6F"/>
    <w:rsid w:val="00300133"/>
    <w:rsid w:val="00300445"/>
    <w:rsid w:val="00300756"/>
    <w:rsid w:val="003009A4"/>
    <w:rsid w:val="00300C9D"/>
    <w:rsid w:val="00300F12"/>
    <w:rsid w:val="003010D8"/>
    <w:rsid w:val="00301785"/>
    <w:rsid w:val="003019AF"/>
    <w:rsid w:val="00301BCD"/>
    <w:rsid w:val="00302487"/>
    <w:rsid w:val="0030262A"/>
    <w:rsid w:val="00302A73"/>
    <w:rsid w:val="00302F28"/>
    <w:rsid w:val="003033B1"/>
    <w:rsid w:val="0030358E"/>
    <w:rsid w:val="0030379A"/>
    <w:rsid w:val="00303EF5"/>
    <w:rsid w:val="00304001"/>
    <w:rsid w:val="00304E4C"/>
    <w:rsid w:val="003059FE"/>
    <w:rsid w:val="00306F14"/>
    <w:rsid w:val="00307375"/>
    <w:rsid w:val="00307B8B"/>
    <w:rsid w:val="00307E9D"/>
    <w:rsid w:val="003109EF"/>
    <w:rsid w:val="00310ACB"/>
    <w:rsid w:val="00310C21"/>
    <w:rsid w:val="003110AE"/>
    <w:rsid w:val="0031140C"/>
    <w:rsid w:val="003117E4"/>
    <w:rsid w:val="00311974"/>
    <w:rsid w:val="00311ACB"/>
    <w:rsid w:val="003123CD"/>
    <w:rsid w:val="0031264E"/>
    <w:rsid w:val="003127D7"/>
    <w:rsid w:val="0031333A"/>
    <w:rsid w:val="003133E3"/>
    <w:rsid w:val="00313B2C"/>
    <w:rsid w:val="00313C52"/>
    <w:rsid w:val="00313E30"/>
    <w:rsid w:val="0031407E"/>
    <w:rsid w:val="003146CE"/>
    <w:rsid w:val="00314FED"/>
    <w:rsid w:val="00315BCC"/>
    <w:rsid w:val="00315C1E"/>
    <w:rsid w:val="00315C57"/>
    <w:rsid w:val="00316CE6"/>
    <w:rsid w:val="00317261"/>
    <w:rsid w:val="00317670"/>
    <w:rsid w:val="00320CE1"/>
    <w:rsid w:val="0032107E"/>
    <w:rsid w:val="00321115"/>
    <w:rsid w:val="00321409"/>
    <w:rsid w:val="0032168C"/>
    <w:rsid w:val="00321CCE"/>
    <w:rsid w:val="00321DE1"/>
    <w:rsid w:val="003228C9"/>
    <w:rsid w:val="00323B03"/>
    <w:rsid w:val="0032449E"/>
    <w:rsid w:val="003246E7"/>
    <w:rsid w:val="003247D0"/>
    <w:rsid w:val="00324CF1"/>
    <w:rsid w:val="00324F03"/>
    <w:rsid w:val="00325348"/>
    <w:rsid w:val="003259DC"/>
    <w:rsid w:val="00325B07"/>
    <w:rsid w:val="00325EA2"/>
    <w:rsid w:val="00325EB5"/>
    <w:rsid w:val="00325F51"/>
    <w:rsid w:val="003263A1"/>
    <w:rsid w:val="00326910"/>
    <w:rsid w:val="00326DFC"/>
    <w:rsid w:val="00326EF3"/>
    <w:rsid w:val="00326FEA"/>
    <w:rsid w:val="00327437"/>
    <w:rsid w:val="00327999"/>
    <w:rsid w:val="00327A3A"/>
    <w:rsid w:val="00327DE8"/>
    <w:rsid w:val="0033093B"/>
    <w:rsid w:val="00330A63"/>
    <w:rsid w:val="00331522"/>
    <w:rsid w:val="00331A9A"/>
    <w:rsid w:val="00331C4E"/>
    <w:rsid w:val="003322EF"/>
    <w:rsid w:val="0033256F"/>
    <w:rsid w:val="003330B1"/>
    <w:rsid w:val="003333E9"/>
    <w:rsid w:val="003334CF"/>
    <w:rsid w:val="003335F3"/>
    <w:rsid w:val="003339FC"/>
    <w:rsid w:val="00333A33"/>
    <w:rsid w:val="0033454D"/>
    <w:rsid w:val="003352A7"/>
    <w:rsid w:val="003358B2"/>
    <w:rsid w:val="00336B84"/>
    <w:rsid w:val="00336BAE"/>
    <w:rsid w:val="00336C9D"/>
    <w:rsid w:val="00337294"/>
    <w:rsid w:val="00337792"/>
    <w:rsid w:val="00337A7C"/>
    <w:rsid w:val="0034027F"/>
    <w:rsid w:val="0034085B"/>
    <w:rsid w:val="003412D3"/>
    <w:rsid w:val="003423E5"/>
    <w:rsid w:val="0034274C"/>
    <w:rsid w:val="00342FDE"/>
    <w:rsid w:val="00344179"/>
    <w:rsid w:val="003442C1"/>
    <w:rsid w:val="00345168"/>
    <w:rsid w:val="0034595D"/>
    <w:rsid w:val="00345AD5"/>
    <w:rsid w:val="00345C95"/>
    <w:rsid w:val="0034660D"/>
    <w:rsid w:val="00346A2D"/>
    <w:rsid w:val="003473AA"/>
    <w:rsid w:val="00347B23"/>
    <w:rsid w:val="00347E86"/>
    <w:rsid w:val="003500B5"/>
    <w:rsid w:val="00352882"/>
    <w:rsid w:val="0035292F"/>
    <w:rsid w:val="00352F29"/>
    <w:rsid w:val="00353050"/>
    <w:rsid w:val="00353721"/>
    <w:rsid w:val="00353E99"/>
    <w:rsid w:val="0035417C"/>
    <w:rsid w:val="00354F21"/>
    <w:rsid w:val="00355059"/>
    <w:rsid w:val="003552DC"/>
    <w:rsid w:val="00355505"/>
    <w:rsid w:val="00355E07"/>
    <w:rsid w:val="00356972"/>
    <w:rsid w:val="00356998"/>
    <w:rsid w:val="0035707A"/>
    <w:rsid w:val="0035769F"/>
    <w:rsid w:val="003577BB"/>
    <w:rsid w:val="00357F9F"/>
    <w:rsid w:val="0036054C"/>
    <w:rsid w:val="00360719"/>
    <w:rsid w:val="00360ABC"/>
    <w:rsid w:val="00361D1C"/>
    <w:rsid w:val="00362138"/>
    <w:rsid w:val="00362F82"/>
    <w:rsid w:val="00363404"/>
    <w:rsid w:val="00363A76"/>
    <w:rsid w:val="00363FFB"/>
    <w:rsid w:val="00364617"/>
    <w:rsid w:val="00364B74"/>
    <w:rsid w:val="0036602C"/>
    <w:rsid w:val="0036641D"/>
    <w:rsid w:val="003664E2"/>
    <w:rsid w:val="00366731"/>
    <w:rsid w:val="00366F60"/>
    <w:rsid w:val="00367166"/>
    <w:rsid w:val="003674A5"/>
    <w:rsid w:val="00367930"/>
    <w:rsid w:val="00367C21"/>
    <w:rsid w:val="00367CFF"/>
    <w:rsid w:val="003707C7"/>
    <w:rsid w:val="00370CB1"/>
    <w:rsid w:val="00371486"/>
    <w:rsid w:val="003718BF"/>
    <w:rsid w:val="00372832"/>
    <w:rsid w:val="00372F6C"/>
    <w:rsid w:val="003736F4"/>
    <w:rsid w:val="00373A2F"/>
    <w:rsid w:val="00373A6D"/>
    <w:rsid w:val="003743F6"/>
    <w:rsid w:val="00374A0D"/>
    <w:rsid w:val="00374DDB"/>
    <w:rsid w:val="003755B5"/>
    <w:rsid w:val="003757F5"/>
    <w:rsid w:val="00375B7C"/>
    <w:rsid w:val="00376019"/>
    <w:rsid w:val="00377F4F"/>
    <w:rsid w:val="00380E30"/>
    <w:rsid w:val="00380F3F"/>
    <w:rsid w:val="00381583"/>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06FD"/>
    <w:rsid w:val="00391450"/>
    <w:rsid w:val="00391DC5"/>
    <w:rsid w:val="003921F1"/>
    <w:rsid w:val="003923CB"/>
    <w:rsid w:val="00392828"/>
    <w:rsid w:val="003935C9"/>
    <w:rsid w:val="00393ACE"/>
    <w:rsid w:val="00393FD1"/>
    <w:rsid w:val="00394B88"/>
    <w:rsid w:val="0039516F"/>
    <w:rsid w:val="00395263"/>
    <w:rsid w:val="0039532B"/>
    <w:rsid w:val="003959B7"/>
    <w:rsid w:val="00395E36"/>
    <w:rsid w:val="00396085"/>
    <w:rsid w:val="003961BC"/>
    <w:rsid w:val="00396243"/>
    <w:rsid w:val="0039645A"/>
    <w:rsid w:val="0039653E"/>
    <w:rsid w:val="00396873"/>
    <w:rsid w:val="00396C13"/>
    <w:rsid w:val="00397366"/>
    <w:rsid w:val="0039771C"/>
    <w:rsid w:val="003A0102"/>
    <w:rsid w:val="003A088C"/>
    <w:rsid w:val="003A0C72"/>
    <w:rsid w:val="003A0DAB"/>
    <w:rsid w:val="003A0DF9"/>
    <w:rsid w:val="003A1741"/>
    <w:rsid w:val="003A1BC2"/>
    <w:rsid w:val="003A1DE3"/>
    <w:rsid w:val="003A1F31"/>
    <w:rsid w:val="003A260C"/>
    <w:rsid w:val="003A34FB"/>
    <w:rsid w:val="003A37D7"/>
    <w:rsid w:val="003A3B62"/>
    <w:rsid w:val="003A3DF5"/>
    <w:rsid w:val="003A41E5"/>
    <w:rsid w:val="003A4D7A"/>
    <w:rsid w:val="003A4EA1"/>
    <w:rsid w:val="003A5115"/>
    <w:rsid w:val="003A558F"/>
    <w:rsid w:val="003A5629"/>
    <w:rsid w:val="003A5C15"/>
    <w:rsid w:val="003A5DBC"/>
    <w:rsid w:val="003A659A"/>
    <w:rsid w:val="003A6DF9"/>
    <w:rsid w:val="003A6F1E"/>
    <w:rsid w:val="003B0D5F"/>
    <w:rsid w:val="003B1763"/>
    <w:rsid w:val="003B179C"/>
    <w:rsid w:val="003B1B4B"/>
    <w:rsid w:val="003B1E8A"/>
    <w:rsid w:val="003B20F0"/>
    <w:rsid w:val="003B22D9"/>
    <w:rsid w:val="003B27A1"/>
    <w:rsid w:val="003B2C2A"/>
    <w:rsid w:val="003B2D8E"/>
    <w:rsid w:val="003B31B6"/>
    <w:rsid w:val="003B3B24"/>
    <w:rsid w:val="003B4EF3"/>
    <w:rsid w:val="003B5611"/>
    <w:rsid w:val="003B56F8"/>
    <w:rsid w:val="003B5B75"/>
    <w:rsid w:val="003B5EDB"/>
    <w:rsid w:val="003B6637"/>
    <w:rsid w:val="003B6738"/>
    <w:rsid w:val="003B6AE3"/>
    <w:rsid w:val="003B6E7E"/>
    <w:rsid w:val="003B73D8"/>
    <w:rsid w:val="003C0C91"/>
    <w:rsid w:val="003C1001"/>
    <w:rsid w:val="003C118B"/>
    <w:rsid w:val="003C1203"/>
    <w:rsid w:val="003C16D7"/>
    <w:rsid w:val="003C22F6"/>
    <w:rsid w:val="003C2769"/>
    <w:rsid w:val="003C287B"/>
    <w:rsid w:val="003C3090"/>
    <w:rsid w:val="003C3268"/>
    <w:rsid w:val="003C3302"/>
    <w:rsid w:val="003C37DC"/>
    <w:rsid w:val="003C37FD"/>
    <w:rsid w:val="003C414E"/>
    <w:rsid w:val="003C448D"/>
    <w:rsid w:val="003C53AF"/>
    <w:rsid w:val="003C6139"/>
    <w:rsid w:val="003C6251"/>
    <w:rsid w:val="003C64A6"/>
    <w:rsid w:val="003C6E83"/>
    <w:rsid w:val="003C71B7"/>
    <w:rsid w:val="003C7685"/>
    <w:rsid w:val="003C76AC"/>
    <w:rsid w:val="003C7AF0"/>
    <w:rsid w:val="003D0045"/>
    <w:rsid w:val="003D006F"/>
    <w:rsid w:val="003D05F0"/>
    <w:rsid w:val="003D06D3"/>
    <w:rsid w:val="003D0779"/>
    <w:rsid w:val="003D0801"/>
    <w:rsid w:val="003D0B47"/>
    <w:rsid w:val="003D1700"/>
    <w:rsid w:val="003D20E5"/>
    <w:rsid w:val="003D2C6F"/>
    <w:rsid w:val="003D3189"/>
    <w:rsid w:val="003D3CE8"/>
    <w:rsid w:val="003D3F4D"/>
    <w:rsid w:val="003D4BFE"/>
    <w:rsid w:val="003D587E"/>
    <w:rsid w:val="003D5EAD"/>
    <w:rsid w:val="003D635F"/>
    <w:rsid w:val="003D636B"/>
    <w:rsid w:val="003D6E55"/>
    <w:rsid w:val="003D7794"/>
    <w:rsid w:val="003E0149"/>
    <w:rsid w:val="003E019B"/>
    <w:rsid w:val="003E0507"/>
    <w:rsid w:val="003E05F7"/>
    <w:rsid w:val="003E0853"/>
    <w:rsid w:val="003E08F7"/>
    <w:rsid w:val="003E0E64"/>
    <w:rsid w:val="003E1F83"/>
    <w:rsid w:val="003E2986"/>
    <w:rsid w:val="003E2E57"/>
    <w:rsid w:val="003E32CB"/>
    <w:rsid w:val="003E36DD"/>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9E7"/>
    <w:rsid w:val="003E7C7D"/>
    <w:rsid w:val="003F03C8"/>
    <w:rsid w:val="003F05AA"/>
    <w:rsid w:val="003F0893"/>
    <w:rsid w:val="003F09C4"/>
    <w:rsid w:val="003F0DE1"/>
    <w:rsid w:val="003F0FA8"/>
    <w:rsid w:val="003F11DF"/>
    <w:rsid w:val="003F1364"/>
    <w:rsid w:val="003F1610"/>
    <w:rsid w:val="003F18C9"/>
    <w:rsid w:val="003F19AB"/>
    <w:rsid w:val="003F1F66"/>
    <w:rsid w:val="003F2552"/>
    <w:rsid w:val="003F2AC5"/>
    <w:rsid w:val="003F2F6A"/>
    <w:rsid w:val="003F3253"/>
    <w:rsid w:val="003F35AD"/>
    <w:rsid w:val="003F44D2"/>
    <w:rsid w:val="003F44EA"/>
    <w:rsid w:val="003F45FD"/>
    <w:rsid w:val="003F488C"/>
    <w:rsid w:val="003F48FD"/>
    <w:rsid w:val="003F49C7"/>
    <w:rsid w:val="003F5B74"/>
    <w:rsid w:val="003F5CCE"/>
    <w:rsid w:val="003F6EE0"/>
    <w:rsid w:val="003F70D0"/>
    <w:rsid w:val="003F7EAF"/>
    <w:rsid w:val="0040040E"/>
    <w:rsid w:val="004006C0"/>
    <w:rsid w:val="004013C6"/>
    <w:rsid w:val="00401E39"/>
    <w:rsid w:val="00401E53"/>
    <w:rsid w:val="00402123"/>
    <w:rsid w:val="00402B72"/>
    <w:rsid w:val="00402C1D"/>
    <w:rsid w:val="00402F20"/>
    <w:rsid w:val="00403955"/>
    <w:rsid w:val="00403FC7"/>
    <w:rsid w:val="0040421A"/>
    <w:rsid w:val="0040429A"/>
    <w:rsid w:val="0040467D"/>
    <w:rsid w:val="0040487D"/>
    <w:rsid w:val="00404A74"/>
    <w:rsid w:val="004056C1"/>
    <w:rsid w:val="004056EB"/>
    <w:rsid w:val="00405855"/>
    <w:rsid w:val="004058E0"/>
    <w:rsid w:val="004061F0"/>
    <w:rsid w:val="004065E8"/>
    <w:rsid w:val="00407854"/>
    <w:rsid w:val="004079CF"/>
    <w:rsid w:val="00407BC2"/>
    <w:rsid w:val="004106E4"/>
    <w:rsid w:val="00410D8C"/>
    <w:rsid w:val="0041113A"/>
    <w:rsid w:val="00411262"/>
    <w:rsid w:val="00411542"/>
    <w:rsid w:val="00411766"/>
    <w:rsid w:val="0041206B"/>
    <w:rsid w:val="004120D9"/>
    <w:rsid w:val="004126E8"/>
    <w:rsid w:val="0041335E"/>
    <w:rsid w:val="00413545"/>
    <w:rsid w:val="00413577"/>
    <w:rsid w:val="00413750"/>
    <w:rsid w:val="0041385F"/>
    <w:rsid w:val="00415800"/>
    <w:rsid w:val="00415B9B"/>
    <w:rsid w:val="00415CB0"/>
    <w:rsid w:val="00415CBB"/>
    <w:rsid w:val="00415D24"/>
    <w:rsid w:val="00415F2B"/>
    <w:rsid w:val="004164DB"/>
    <w:rsid w:val="004178F5"/>
    <w:rsid w:val="00417B47"/>
    <w:rsid w:val="0042000F"/>
    <w:rsid w:val="00420A99"/>
    <w:rsid w:val="00420FEE"/>
    <w:rsid w:val="00421837"/>
    <w:rsid w:val="00421B18"/>
    <w:rsid w:val="00422278"/>
    <w:rsid w:val="0042245E"/>
    <w:rsid w:val="00422587"/>
    <w:rsid w:val="00422752"/>
    <w:rsid w:val="00422968"/>
    <w:rsid w:val="00422AF4"/>
    <w:rsid w:val="004230FA"/>
    <w:rsid w:val="00423714"/>
    <w:rsid w:val="004237BF"/>
    <w:rsid w:val="004237C2"/>
    <w:rsid w:val="00423F2C"/>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3D57"/>
    <w:rsid w:val="00434B87"/>
    <w:rsid w:val="00435358"/>
    <w:rsid w:val="004357FF"/>
    <w:rsid w:val="004359AC"/>
    <w:rsid w:val="00435A94"/>
    <w:rsid w:val="00435D45"/>
    <w:rsid w:val="00435FF5"/>
    <w:rsid w:val="0043632B"/>
    <w:rsid w:val="00436FED"/>
    <w:rsid w:val="00437965"/>
    <w:rsid w:val="004400B6"/>
    <w:rsid w:val="00440233"/>
    <w:rsid w:val="004403C6"/>
    <w:rsid w:val="0044058C"/>
    <w:rsid w:val="0044151D"/>
    <w:rsid w:val="004417EA"/>
    <w:rsid w:val="00441DC5"/>
    <w:rsid w:val="00441E2C"/>
    <w:rsid w:val="00442B0E"/>
    <w:rsid w:val="00442D64"/>
    <w:rsid w:val="00443D1B"/>
    <w:rsid w:val="00443F7E"/>
    <w:rsid w:val="00444519"/>
    <w:rsid w:val="00444BB8"/>
    <w:rsid w:val="00444C9C"/>
    <w:rsid w:val="00445240"/>
    <w:rsid w:val="00445335"/>
    <w:rsid w:val="004465A3"/>
    <w:rsid w:val="00446868"/>
    <w:rsid w:val="00446D09"/>
    <w:rsid w:val="00447E8B"/>
    <w:rsid w:val="00450C74"/>
    <w:rsid w:val="00451305"/>
    <w:rsid w:val="00451AC3"/>
    <w:rsid w:val="004523E1"/>
    <w:rsid w:val="00452C65"/>
    <w:rsid w:val="00453862"/>
    <w:rsid w:val="00453AF3"/>
    <w:rsid w:val="00453D63"/>
    <w:rsid w:val="00454D1F"/>
    <w:rsid w:val="00454FA0"/>
    <w:rsid w:val="00455C14"/>
    <w:rsid w:val="00455C24"/>
    <w:rsid w:val="00455D66"/>
    <w:rsid w:val="00456396"/>
    <w:rsid w:val="00456775"/>
    <w:rsid w:val="00456D2C"/>
    <w:rsid w:val="0045758B"/>
    <w:rsid w:val="00457A04"/>
    <w:rsid w:val="0046009C"/>
    <w:rsid w:val="004602EC"/>
    <w:rsid w:val="00460500"/>
    <w:rsid w:val="00460AC6"/>
    <w:rsid w:val="00461456"/>
    <w:rsid w:val="0046156C"/>
    <w:rsid w:val="00461CF8"/>
    <w:rsid w:val="00461E99"/>
    <w:rsid w:val="00462581"/>
    <w:rsid w:val="00462BF9"/>
    <w:rsid w:val="00463A83"/>
    <w:rsid w:val="00463CCD"/>
    <w:rsid w:val="00464D04"/>
    <w:rsid w:val="00464FBE"/>
    <w:rsid w:val="004656FB"/>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DE7"/>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941"/>
    <w:rsid w:val="00481B81"/>
    <w:rsid w:val="00481C9D"/>
    <w:rsid w:val="00481F10"/>
    <w:rsid w:val="0048233C"/>
    <w:rsid w:val="0048247C"/>
    <w:rsid w:val="00482FA7"/>
    <w:rsid w:val="004834B6"/>
    <w:rsid w:val="00483C01"/>
    <w:rsid w:val="00483C93"/>
    <w:rsid w:val="00483D61"/>
    <w:rsid w:val="004850F2"/>
    <w:rsid w:val="004857A3"/>
    <w:rsid w:val="00485E34"/>
    <w:rsid w:val="004860C7"/>
    <w:rsid w:val="0048644A"/>
    <w:rsid w:val="00486549"/>
    <w:rsid w:val="0048668B"/>
    <w:rsid w:val="00486A9C"/>
    <w:rsid w:val="00487426"/>
    <w:rsid w:val="00490169"/>
    <w:rsid w:val="004903A5"/>
    <w:rsid w:val="0049043D"/>
    <w:rsid w:val="00490A7F"/>
    <w:rsid w:val="00490C08"/>
    <w:rsid w:val="00490E59"/>
    <w:rsid w:val="0049114E"/>
    <w:rsid w:val="0049199D"/>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46C"/>
    <w:rsid w:val="004A0A15"/>
    <w:rsid w:val="004A17A4"/>
    <w:rsid w:val="004A1B27"/>
    <w:rsid w:val="004A1CF9"/>
    <w:rsid w:val="004A1F39"/>
    <w:rsid w:val="004A229A"/>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205"/>
    <w:rsid w:val="004A6DC0"/>
    <w:rsid w:val="004A7880"/>
    <w:rsid w:val="004B058B"/>
    <w:rsid w:val="004B070F"/>
    <w:rsid w:val="004B0D03"/>
    <w:rsid w:val="004B2109"/>
    <w:rsid w:val="004B24FA"/>
    <w:rsid w:val="004B2C93"/>
    <w:rsid w:val="004B317A"/>
    <w:rsid w:val="004B32B1"/>
    <w:rsid w:val="004B3766"/>
    <w:rsid w:val="004B3A4A"/>
    <w:rsid w:val="004B3E0A"/>
    <w:rsid w:val="004B3E45"/>
    <w:rsid w:val="004B42E6"/>
    <w:rsid w:val="004B4BC4"/>
    <w:rsid w:val="004B4E5B"/>
    <w:rsid w:val="004B51DF"/>
    <w:rsid w:val="004B53C0"/>
    <w:rsid w:val="004B54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12C"/>
    <w:rsid w:val="004C2345"/>
    <w:rsid w:val="004C2426"/>
    <w:rsid w:val="004C2524"/>
    <w:rsid w:val="004C2BED"/>
    <w:rsid w:val="004C2C87"/>
    <w:rsid w:val="004C3388"/>
    <w:rsid w:val="004C3435"/>
    <w:rsid w:val="004C3FF2"/>
    <w:rsid w:val="004C4185"/>
    <w:rsid w:val="004C4F50"/>
    <w:rsid w:val="004C54E3"/>
    <w:rsid w:val="004C5546"/>
    <w:rsid w:val="004C5877"/>
    <w:rsid w:val="004C5C48"/>
    <w:rsid w:val="004C5EBD"/>
    <w:rsid w:val="004C5F69"/>
    <w:rsid w:val="004C6937"/>
    <w:rsid w:val="004C6A44"/>
    <w:rsid w:val="004C6CC0"/>
    <w:rsid w:val="004C6E24"/>
    <w:rsid w:val="004C7149"/>
    <w:rsid w:val="004C72E6"/>
    <w:rsid w:val="004C765E"/>
    <w:rsid w:val="004C7762"/>
    <w:rsid w:val="004C7BB6"/>
    <w:rsid w:val="004C7BEC"/>
    <w:rsid w:val="004C7CC0"/>
    <w:rsid w:val="004C7D82"/>
    <w:rsid w:val="004D014C"/>
    <w:rsid w:val="004D0691"/>
    <w:rsid w:val="004D0A68"/>
    <w:rsid w:val="004D0B62"/>
    <w:rsid w:val="004D1224"/>
    <w:rsid w:val="004D171C"/>
    <w:rsid w:val="004D1B95"/>
    <w:rsid w:val="004D1CF2"/>
    <w:rsid w:val="004D1E98"/>
    <w:rsid w:val="004D2588"/>
    <w:rsid w:val="004D2759"/>
    <w:rsid w:val="004D2B85"/>
    <w:rsid w:val="004D3111"/>
    <w:rsid w:val="004D4250"/>
    <w:rsid w:val="004D4489"/>
    <w:rsid w:val="004D4770"/>
    <w:rsid w:val="004D4C72"/>
    <w:rsid w:val="004D4CF5"/>
    <w:rsid w:val="004D5B86"/>
    <w:rsid w:val="004D6785"/>
    <w:rsid w:val="004D67BF"/>
    <w:rsid w:val="004D67E9"/>
    <w:rsid w:val="004D68DB"/>
    <w:rsid w:val="004D6AB7"/>
    <w:rsid w:val="004D6AE1"/>
    <w:rsid w:val="004D7518"/>
    <w:rsid w:val="004D7603"/>
    <w:rsid w:val="004D7CBF"/>
    <w:rsid w:val="004E0D3D"/>
    <w:rsid w:val="004E17F5"/>
    <w:rsid w:val="004E1938"/>
    <w:rsid w:val="004E1B35"/>
    <w:rsid w:val="004E2362"/>
    <w:rsid w:val="004E266B"/>
    <w:rsid w:val="004E281C"/>
    <w:rsid w:val="004E286A"/>
    <w:rsid w:val="004E33A0"/>
    <w:rsid w:val="004E34A7"/>
    <w:rsid w:val="004E35E8"/>
    <w:rsid w:val="004E3936"/>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541"/>
    <w:rsid w:val="004F7AB2"/>
    <w:rsid w:val="004F7F39"/>
    <w:rsid w:val="005000AF"/>
    <w:rsid w:val="0050059F"/>
    <w:rsid w:val="00500A12"/>
    <w:rsid w:val="00500F97"/>
    <w:rsid w:val="00501084"/>
    <w:rsid w:val="00501F83"/>
    <w:rsid w:val="005023B4"/>
    <w:rsid w:val="005034BF"/>
    <w:rsid w:val="005035BF"/>
    <w:rsid w:val="005038C3"/>
    <w:rsid w:val="0050426D"/>
    <w:rsid w:val="005048FA"/>
    <w:rsid w:val="005054A6"/>
    <w:rsid w:val="00507560"/>
    <w:rsid w:val="00510666"/>
    <w:rsid w:val="005108FE"/>
    <w:rsid w:val="00510984"/>
    <w:rsid w:val="00511CB0"/>
    <w:rsid w:val="00512637"/>
    <w:rsid w:val="005129EC"/>
    <w:rsid w:val="00512BB8"/>
    <w:rsid w:val="00512EA6"/>
    <w:rsid w:val="00512FC4"/>
    <w:rsid w:val="00513069"/>
    <w:rsid w:val="00513077"/>
    <w:rsid w:val="0051381C"/>
    <w:rsid w:val="00513C60"/>
    <w:rsid w:val="0051425C"/>
    <w:rsid w:val="005144AA"/>
    <w:rsid w:val="00514E6F"/>
    <w:rsid w:val="005151F3"/>
    <w:rsid w:val="005161DB"/>
    <w:rsid w:val="00517189"/>
    <w:rsid w:val="005173B5"/>
    <w:rsid w:val="00517653"/>
    <w:rsid w:val="005200F3"/>
    <w:rsid w:val="005203B3"/>
    <w:rsid w:val="00520414"/>
    <w:rsid w:val="0052078C"/>
    <w:rsid w:val="00520A44"/>
    <w:rsid w:val="005213D9"/>
    <w:rsid w:val="005215AF"/>
    <w:rsid w:val="00521A99"/>
    <w:rsid w:val="00521CB2"/>
    <w:rsid w:val="00522645"/>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D4D"/>
    <w:rsid w:val="00541F23"/>
    <w:rsid w:val="00542060"/>
    <w:rsid w:val="005422DF"/>
    <w:rsid w:val="00542774"/>
    <w:rsid w:val="00542D92"/>
    <w:rsid w:val="005430E7"/>
    <w:rsid w:val="005431A9"/>
    <w:rsid w:val="00543F1B"/>
    <w:rsid w:val="00543FEB"/>
    <w:rsid w:val="005444D2"/>
    <w:rsid w:val="00544524"/>
    <w:rsid w:val="00544569"/>
    <w:rsid w:val="00545115"/>
    <w:rsid w:val="00545736"/>
    <w:rsid w:val="00545E83"/>
    <w:rsid w:val="00546FCA"/>
    <w:rsid w:val="005471D1"/>
    <w:rsid w:val="005474A4"/>
    <w:rsid w:val="00547D5B"/>
    <w:rsid w:val="005504C6"/>
    <w:rsid w:val="00551202"/>
    <w:rsid w:val="00551B22"/>
    <w:rsid w:val="00552226"/>
    <w:rsid w:val="00552386"/>
    <w:rsid w:val="0055260D"/>
    <w:rsid w:val="0055298C"/>
    <w:rsid w:val="00553904"/>
    <w:rsid w:val="00553E9F"/>
    <w:rsid w:val="00554120"/>
    <w:rsid w:val="0055439D"/>
    <w:rsid w:val="00554B8F"/>
    <w:rsid w:val="00554DE9"/>
    <w:rsid w:val="00555387"/>
    <w:rsid w:val="005564FE"/>
    <w:rsid w:val="005567D1"/>
    <w:rsid w:val="00556B5E"/>
    <w:rsid w:val="00557188"/>
    <w:rsid w:val="00557786"/>
    <w:rsid w:val="005605F6"/>
    <w:rsid w:val="00560DB9"/>
    <w:rsid w:val="00562099"/>
    <w:rsid w:val="0056227E"/>
    <w:rsid w:val="00563204"/>
    <w:rsid w:val="00563BA8"/>
    <w:rsid w:val="00564163"/>
    <w:rsid w:val="00564272"/>
    <w:rsid w:val="005644BF"/>
    <w:rsid w:val="005649BE"/>
    <w:rsid w:val="00565BE7"/>
    <w:rsid w:val="00565F82"/>
    <w:rsid w:val="005662BF"/>
    <w:rsid w:val="00566445"/>
    <w:rsid w:val="00566D1F"/>
    <w:rsid w:val="00567672"/>
    <w:rsid w:val="005679F6"/>
    <w:rsid w:val="005711A4"/>
    <w:rsid w:val="00571FE5"/>
    <w:rsid w:val="00572983"/>
    <w:rsid w:val="00572B21"/>
    <w:rsid w:val="005732B3"/>
    <w:rsid w:val="00573539"/>
    <w:rsid w:val="00573BFA"/>
    <w:rsid w:val="00574896"/>
    <w:rsid w:val="00574DF7"/>
    <w:rsid w:val="005754F0"/>
    <w:rsid w:val="00575811"/>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4DC"/>
    <w:rsid w:val="005825D9"/>
    <w:rsid w:val="00582670"/>
    <w:rsid w:val="00583822"/>
    <w:rsid w:val="00583BD1"/>
    <w:rsid w:val="00583CD7"/>
    <w:rsid w:val="005844D7"/>
    <w:rsid w:val="00584677"/>
    <w:rsid w:val="00585334"/>
    <w:rsid w:val="0058609D"/>
    <w:rsid w:val="00586804"/>
    <w:rsid w:val="00586B08"/>
    <w:rsid w:val="00586C3D"/>
    <w:rsid w:val="00586DC3"/>
    <w:rsid w:val="00586E0A"/>
    <w:rsid w:val="00587192"/>
    <w:rsid w:val="005878DC"/>
    <w:rsid w:val="00587A44"/>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B85"/>
    <w:rsid w:val="005A0D99"/>
    <w:rsid w:val="005A0FF2"/>
    <w:rsid w:val="005A11EB"/>
    <w:rsid w:val="005A139A"/>
    <w:rsid w:val="005A170B"/>
    <w:rsid w:val="005A25A5"/>
    <w:rsid w:val="005A25B1"/>
    <w:rsid w:val="005A288D"/>
    <w:rsid w:val="005A37EE"/>
    <w:rsid w:val="005A39BF"/>
    <w:rsid w:val="005A3FED"/>
    <w:rsid w:val="005A4C5F"/>
    <w:rsid w:val="005A52CF"/>
    <w:rsid w:val="005A572F"/>
    <w:rsid w:val="005A59A4"/>
    <w:rsid w:val="005A5A2C"/>
    <w:rsid w:val="005A7620"/>
    <w:rsid w:val="005A7F97"/>
    <w:rsid w:val="005B0430"/>
    <w:rsid w:val="005B04DE"/>
    <w:rsid w:val="005B0624"/>
    <w:rsid w:val="005B07ED"/>
    <w:rsid w:val="005B0CDC"/>
    <w:rsid w:val="005B1202"/>
    <w:rsid w:val="005B152B"/>
    <w:rsid w:val="005B155A"/>
    <w:rsid w:val="005B220F"/>
    <w:rsid w:val="005B22C6"/>
    <w:rsid w:val="005B24AB"/>
    <w:rsid w:val="005B265D"/>
    <w:rsid w:val="005B27E8"/>
    <w:rsid w:val="005B29F7"/>
    <w:rsid w:val="005B3267"/>
    <w:rsid w:val="005B36AF"/>
    <w:rsid w:val="005B3BE5"/>
    <w:rsid w:val="005B3C86"/>
    <w:rsid w:val="005B3FEA"/>
    <w:rsid w:val="005B404B"/>
    <w:rsid w:val="005B4052"/>
    <w:rsid w:val="005B4495"/>
    <w:rsid w:val="005B457F"/>
    <w:rsid w:val="005B4EB7"/>
    <w:rsid w:val="005B5BCD"/>
    <w:rsid w:val="005B6E9B"/>
    <w:rsid w:val="005B71E6"/>
    <w:rsid w:val="005B7285"/>
    <w:rsid w:val="005B745E"/>
    <w:rsid w:val="005C099F"/>
    <w:rsid w:val="005C0FEE"/>
    <w:rsid w:val="005C1285"/>
    <w:rsid w:val="005C12CE"/>
    <w:rsid w:val="005C21E9"/>
    <w:rsid w:val="005C223F"/>
    <w:rsid w:val="005C2261"/>
    <w:rsid w:val="005C2C59"/>
    <w:rsid w:val="005C2D94"/>
    <w:rsid w:val="005C3970"/>
    <w:rsid w:val="005C403B"/>
    <w:rsid w:val="005C41CF"/>
    <w:rsid w:val="005C4A2E"/>
    <w:rsid w:val="005C4DCA"/>
    <w:rsid w:val="005C5737"/>
    <w:rsid w:val="005C5979"/>
    <w:rsid w:val="005C63BC"/>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0B5"/>
    <w:rsid w:val="005D7475"/>
    <w:rsid w:val="005D783E"/>
    <w:rsid w:val="005E01AD"/>
    <w:rsid w:val="005E066E"/>
    <w:rsid w:val="005E0EC2"/>
    <w:rsid w:val="005E1AFD"/>
    <w:rsid w:val="005E1D92"/>
    <w:rsid w:val="005E24EE"/>
    <w:rsid w:val="005E29FF"/>
    <w:rsid w:val="005E2A22"/>
    <w:rsid w:val="005E2C96"/>
    <w:rsid w:val="005E32EC"/>
    <w:rsid w:val="005E3831"/>
    <w:rsid w:val="005E3B3D"/>
    <w:rsid w:val="005E3FC0"/>
    <w:rsid w:val="005E40C4"/>
    <w:rsid w:val="005E40D5"/>
    <w:rsid w:val="005E43CB"/>
    <w:rsid w:val="005E45D1"/>
    <w:rsid w:val="005E45D5"/>
    <w:rsid w:val="005E45F0"/>
    <w:rsid w:val="005E46F7"/>
    <w:rsid w:val="005E50C2"/>
    <w:rsid w:val="005E54FD"/>
    <w:rsid w:val="005E57B8"/>
    <w:rsid w:val="005E5F89"/>
    <w:rsid w:val="005E602D"/>
    <w:rsid w:val="005E687F"/>
    <w:rsid w:val="005E7107"/>
    <w:rsid w:val="005E7374"/>
    <w:rsid w:val="005E7CF9"/>
    <w:rsid w:val="005E7F1C"/>
    <w:rsid w:val="005F00C5"/>
    <w:rsid w:val="005F08ED"/>
    <w:rsid w:val="005F0E8D"/>
    <w:rsid w:val="005F12D4"/>
    <w:rsid w:val="005F1F53"/>
    <w:rsid w:val="005F2013"/>
    <w:rsid w:val="005F21AA"/>
    <w:rsid w:val="005F2955"/>
    <w:rsid w:val="005F2C92"/>
    <w:rsid w:val="005F2DD9"/>
    <w:rsid w:val="005F3219"/>
    <w:rsid w:val="005F3266"/>
    <w:rsid w:val="005F38A6"/>
    <w:rsid w:val="005F3B3A"/>
    <w:rsid w:val="005F3F23"/>
    <w:rsid w:val="005F4C2C"/>
    <w:rsid w:val="005F56EB"/>
    <w:rsid w:val="005F5732"/>
    <w:rsid w:val="005F5D61"/>
    <w:rsid w:val="005F5E30"/>
    <w:rsid w:val="005F659E"/>
    <w:rsid w:val="005F697F"/>
    <w:rsid w:val="005F6B01"/>
    <w:rsid w:val="005F717B"/>
    <w:rsid w:val="005F74CD"/>
    <w:rsid w:val="00600C72"/>
    <w:rsid w:val="006014D8"/>
    <w:rsid w:val="006017F0"/>
    <w:rsid w:val="00601C3C"/>
    <w:rsid w:val="00602DB4"/>
    <w:rsid w:val="00603EA5"/>
    <w:rsid w:val="00604202"/>
    <w:rsid w:val="00605A75"/>
    <w:rsid w:val="00605D74"/>
    <w:rsid w:val="0060694A"/>
    <w:rsid w:val="006069AB"/>
    <w:rsid w:val="006070B4"/>
    <w:rsid w:val="006071A2"/>
    <w:rsid w:val="00607447"/>
    <w:rsid w:val="00607577"/>
    <w:rsid w:val="006100EA"/>
    <w:rsid w:val="00610367"/>
    <w:rsid w:val="006104E4"/>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A7D"/>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601"/>
    <w:rsid w:val="00622774"/>
    <w:rsid w:val="00623643"/>
    <w:rsid w:val="00623AE2"/>
    <w:rsid w:val="00623C0E"/>
    <w:rsid w:val="00623D24"/>
    <w:rsid w:val="0062468D"/>
    <w:rsid w:val="0062495D"/>
    <w:rsid w:val="00624CE8"/>
    <w:rsid w:val="00625A05"/>
    <w:rsid w:val="00625AD4"/>
    <w:rsid w:val="00626072"/>
    <w:rsid w:val="00626C66"/>
    <w:rsid w:val="0062749D"/>
    <w:rsid w:val="006275CD"/>
    <w:rsid w:val="00627820"/>
    <w:rsid w:val="0062793B"/>
    <w:rsid w:val="0063115B"/>
    <w:rsid w:val="00631707"/>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086"/>
    <w:rsid w:val="00640D6E"/>
    <w:rsid w:val="006410B4"/>
    <w:rsid w:val="006410FA"/>
    <w:rsid w:val="0064139A"/>
    <w:rsid w:val="00641484"/>
    <w:rsid w:val="006417FA"/>
    <w:rsid w:val="00642349"/>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55B"/>
    <w:rsid w:val="00647858"/>
    <w:rsid w:val="006479B0"/>
    <w:rsid w:val="00647BE6"/>
    <w:rsid w:val="00650321"/>
    <w:rsid w:val="00650A24"/>
    <w:rsid w:val="0065180C"/>
    <w:rsid w:val="00652BCA"/>
    <w:rsid w:val="00652E75"/>
    <w:rsid w:val="00653290"/>
    <w:rsid w:val="00653390"/>
    <w:rsid w:val="00653F53"/>
    <w:rsid w:val="006542FA"/>
    <w:rsid w:val="00654630"/>
    <w:rsid w:val="00654B69"/>
    <w:rsid w:val="00654F68"/>
    <w:rsid w:val="00655374"/>
    <w:rsid w:val="006554A6"/>
    <w:rsid w:val="00656CC8"/>
    <w:rsid w:val="00656F55"/>
    <w:rsid w:val="0065712C"/>
    <w:rsid w:val="00657CEA"/>
    <w:rsid w:val="00657DB0"/>
    <w:rsid w:val="006601E8"/>
    <w:rsid w:val="006603E3"/>
    <w:rsid w:val="00660AE4"/>
    <w:rsid w:val="00660EB9"/>
    <w:rsid w:val="00661222"/>
    <w:rsid w:val="00661418"/>
    <w:rsid w:val="0066163A"/>
    <w:rsid w:val="006616CC"/>
    <w:rsid w:val="00661EB7"/>
    <w:rsid w:val="00662FAB"/>
    <w:rsid w:val="0066389F"/>
    <w:rsid w:val="006639DD"/>
    <w:rsid w:val="00663EE5"/>
    <w:rsid w:val="00664278"/>
    <w:rsid w:val="006645F0"/>
    <w:rsid w:val="00664EB4"/>
    <w:rsid w:val="006650EB"/>
    <w:rsid w:val="00665223"/>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4C6"/>
    <w:rsid w:val="00676806"/>
    <w:rsid w:val="006776C5"/>
    <w:rsid w:val="0067795D"/>
    <w:rsid w:val="00677B66"/>
    <w:rsid w:val="00677C41"/>
    <w:rsid w:val="00680119"/>
    <w:rsid w:val="00680145"/>
    <w:rsid w:val="00680A6D"/>
    <w:rsid w:val="00680C94"/>
    <w:rsid w:val="006815D7"/>
    <w:rsid w:val="00681F1A"/>
    <w:rsid w:val="00682507"/>
    <w:rsid w:val="006828CF"/>
    <w:rsid w:val="00682982"/>
    <w:rsid w:val="00682A5C"/>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BC0"/>
    <w:rsid w:val="00690D98"/>
    <w:rsid w:val="00691426"/>
    <w:rsid w:val="00691B07"/>
    <w:rsid w:val="006927AA"/>
    <w:rsid w:val="006927BC"/>
    <w:rsid w:val="00692B22"/>
    <w:rsid w:val="0069329A"/>
    <w:rsid w:val="0069345E"/>
    <w:rsid w:val="0069384A"/>
    <w:rsid w:val="00694411"/>
    <w:rsid w:val="006947EE"/>
    <w:rsid w:val="0069568D"/>
    <w:rsid w:val="00695A96"/>
    <w:rsid w:val="00695AC3"/>
    <w:rsid w:val="00695B2B"/>
    <w:rsid w:val="00696A8B"/>
    <w:rsid w:val="00696BAF"/>
    <w:rsid w:val="00696E59"/>
    <w:rsid w:val="00696E90"/>
    <w:rsid w:val="00697B0F"/>
    <w:rsid w:val="00697F14"/>
    <w:rsid w:val="006A0C8E"/>
    <w:rsid w:val="006A0D6A"/>
    <w:rsid w:val="006A13AE"/>
    <w:rsid w:val="006A1D3D"/>
    <w:rsid w:val="006A2512"/>
    <w:rsid w:val="006A289A"/>
    <w:rsid w:val="006A333E"/>
    <w:rsid w:val="006A3626"/>
    <w:rsid w:val="006A3804"/>
    <w:rsid w:val="006A3F24"/>
    <w:rsid w:val="006A438B"/>
    <w:rsid w:val="006A4570"/>
    <w:rsid w:val="006A4E28"/>
    <w:rsid w:val="006A520A"/>
    <w:rsid w:val="006A5977"/>
    <w:rsid w:val="006A62A7"/>
    <w:rsid w:val="006A66E0"/>
    <w:rsid w:val="006A70C3"/>
    <w:rsid w:val="006B0187"/>
    <w:rsid w:val="006B0294"/>
    <w:rsid w:val="006B0810"/>
    <w:rsid w:val="006B0835"/>
    <w:rsid w:val="006B1270"/>
    <w:rsid w:val="006B21D6"/>
    <w:rsid w:val="006B24AC"/>
    <w:rsid w:val="006B2949"/>
    <w:rsid w:val="006B3333"/>
    <w:rsid w:val="006B34A7"/>
    <w:rsid w:val="006B36AB"/>
    <w:rsid w:val="006B36C6"/>
    <w:rsid w:val="006B3A2D"/>
    <w:rsid w:val="006B3BAA"/>
    <w:rsid w:val="006B3F8A"/>
    <w:rsid w:val="006B4151"/>
    <w:rsid w:val="006B4B15"/>
    <w:rsid w:val="006B4B48"/>
    <w:rsid w:val="006B593E"/>
    <w:rsid w:val="006B5B10"/>
    <w:rsid w:val="006B5B34"/>
    <w:rsid w:val="006B5C23"/>
    <w:rsid w:val="006B5FB1"/>
    <w:rsid w:val="006B65CA"/>
    <w:rsid w:val="006B68A3"/>
    <w:rsid w:val="006B6B24"/>
    <w:rsid w:val="006B6BA1"/>
    <w:rsid w:val="006B6DF3"/>
    <w:rsid w:val="006B6E40"/>
    <w:rsid w:val="006B7321"/>
    <w:rsid w:val="006B7D1C"/>
    <w:rsid w:val="006C0881"/>
    <w:rsid w:val="006C13C0"/>
    <w:rsid w:val="006C1CBB"/>
    <w:rsid w:val="006C20D8"/>
    <w:rsid w:val="006C264E"/>
    <w:rsid w:val="006C2ABE"/>
    <w:rsid w:val="006C3146"/>
    <w:rsid w:val="006C3301"/>
    <w:rsid w:val="006C391A"/>
    <w:rsid w:val="006C3B09"/>
    <w:rsid w:val="006C3DFC"/>
    <w:rsid w:val="006C4375"/>
    <w:rsid w:val="006C5FCD"/>
    <w:rsid w:val="006C6282"/>
    <w:rsid w:val="006C6411"/>
    <w:rsid w:val="006C6480"/>
    <w:rsid w:val="006C6823"/>
    <w:rsid w:val="006C69B0"/>
    <w:rsid w:val="006C6F5A"/>
    <w:rsid w:val="006C7AF2"/>
    <w:rsid w:val="006D028B"/>
    <w:rsid w:val="006D0612"/>
    <w:rsid w:val="006D0D6F"/>
    <w:rsid w:val="006D0D7E"/>
    <w:rsid w:val="006D1163"/>
    <w:rsid w:val="006D13D6"/>
    <w:rsid w:val="006D1B86"/>
    <w:rsid w:val="006D1FE2"/>
    <w:rsid w:val="006D200F"/>
    <w:rsid w:val="006D2616"/>
    <w:rsid w:val="006D2D1B"/>
    <w:rsid w:val="006D381D"/>
    <w:rsid w:val="006D3992"/>
    <w:rsid w:val="006D3AD1"/>
    <w:rsid w:val="006D43AB"/>
    <w:rsid w:val="006D4DD2"/>
    <w:rsid w:val="006D5003"/>
    <w:rsid w:val="006D5324"/>
    <w:rsid w:val="006D5C9A"/>
    <w:rsid w:val="006D67A8"/>
    <w:rsid w:val="006D7F27"/>
    <w:rsid w:val="006E04A5"/>
    <w:rsid w:val="006E087A"/>
    <w:rsid w:val="006E0923"/>
    <w:rsid w:val="006E0CF6"/>
    <w:rsid w:val="006E0D08"/>
    <w:rsid w:val="006E1670"/>
    <w:rsid w:val="006E1E7D"/>
    <w:rsid w:val="006E203B"/>
    <w:rsid w:val="006E20FA"/>
    <w:rsid w:val="006E2724"/>
    <w:rsid w:val="006E286C"/>
    <w:rsid w:val="006E2FAE"/>
    <w:rsid w:val="006E309B"/>
    <w:rsid w:val="006E33D6"/>
    <w:rsid w:val="006E354D"/>
    <w:rsid w:val="006E3648"/>
    <w:rsid w:val="006E374E"/>
    <w:rsid w:val="006E3CBD"/>
    <w:rsid w:val="006E3FF5"/>
    <w:rsid w:val="006E4088"/>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6F74BB"/>
    <w:rsid w:val="007007CB"/>
    <w:rsid w:val="00700F63"/>
    <w:rsid w:val="00701173"/>
    <w:rsid w:val="007016DE"/>
    <w:rsid w:val="00702197"/>
    <w:rsid w:val="00702351"/>
    <w:rsid w:val="00702536"/>
    <w:rsid w:val="00702823"/>
    <w:rsid w:val="00702956"/>
    <w:rsid w:val="00702DA1"/>
    <w:rsid w:val="00702E0B"/>
    <w:rsid w:val="00702EA4"/>
    <w:rsid w:val="007034A9"/>
    <w:rsid w:val="00703F40"/>
    <w:rsid w:val="007042DA"/>
    <w:rsid w:val="0070460A"/>
    <w:rsid w:val="00704A93"/>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0B8"/>
    <w:rsid w:val="00711B85"/>
    <w:rsid w:val="00711CF2"/>
    <w:rsid w:val="00711E69"/>
    <w:rsid w:val="00712782"/>
    <w:rsid w:val="00712851"/>
    <w:rsid w:val="0071287B"/>
    <w:rsid w:val="00712E6D"/>
    <w:rsid w:val="00713090"/>
    <w:rsid w:val="0071310B"/>
    <w:rsid w:val="00713600"/>
    <w:rsid w:val="0071436C"/>
    <w:rsid w:val="00714571"/>
    <w:rsid w:val="007145E9"/>
    <w:rsid w:val="00715A44"/>
    <w:rsid w:val="00715A88"/>
    <w:rsid w:val="00715E57"/>
    <w:rsid w:val="00715EEC"/>
    <w:rsid w:val="007161DB"/>
    <w:rsid w:val="007166A0"/>
    <w:rsid w:val="00716C00"/>
    <w:rsid w:val="00717063"/>
    <w:rsid w:val="0071776F"/>
    <w:rsid w:val="0071795C"/>
    <w:rsid w:val="007200E6"/>
    <w:rsid w:val="00720A13"/>
    <w:rsid w:val="00720B9E"/>
    <w:rsid w:val="00721006"/>
    <w:rsid w:val="0072111B"/>
    <w:rsid w:val="0072131F"/>
    <w:rsid w:val="0072141B"/>
    <w:rsid w:val="007218F4"/>
    <w:rsid w:val="0072242C"/>
    <w:rsid w:val="0072244F"/>
    <w:rsid w:val="00722944"/>
    <w:rsid w:val="007235E8"/>
    <w:rsid w:val="007236A6"/>
    <w:rsid w:val="00723DA7"/>
    <w:rsid w:val="007243AC"/>
    <w:rsid w:val="00726650"/>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3981"/>
    <w:rsid w:val="007348F1"/>
    <w:rsid w:val="007349E6"/>
    <w:rsid w:val="00735C51"/>
    <w:rsid w:val="00736009"/>
    <w:rsid w:val="00736BA7"/>
    <w:rsid w:val="00737456"/>
    <w:rsid w:val="00737BC2"/>
    <w:rsid w:val="00737E63"/>
    <w:rsid w:val="00740351"/>
    <w:rsid w:val="00740360"/>
    <w:rsid w:val="00741870"/>
    <w:rsid w:val="00741BAB"/>
    <w:rsid w:val="007435A6"/>
    <w:rsid w:val="00743F06"/>
    <w:rsid w:val="00744473"/>
    <w:rsid w:val="00744C31"/>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DD1"/>
    <w:rsid w:val="00752FEC"/>
    <w:rsid w:val="00753202"/>
    <w:rsid w:val="0075352A"/>
    <w:rsid w:val="0075361A"/>
    <w:rsid w:val="0075414D"/>
    <w:rsid w:val="0075453D"/>
    <w:rsid w:val="00754633"/>
    <w:rsid w:val="0075474E"/>
    <w:rsid w:val="0075477D"/>
    <w:rsid w:val="0075484F"/>
    <w:rsid w:val="00754BE3"/>
    <w:rsid w:val="00755F54"/>
    <w:rsid w:val="00755FFE"/>
    <w:rsid w:val="00757102"/>
    <w:rsid w:val="007571B4"/>
    <w:rsid w:val="007575F8"/>
    <w:rsid w:val="00757B24"/>
    <w:rsid w:val="00757E53"/>
    <w:rsid w:val="00757E60"/>
    <w:rsid w:val="00760650"/>
    <w:rsid w:val="00760A48"/>
    <w:rsid w:val="007631DD"/>
    <w:rsid w:val="007635C6"/>
    <w:rsid w:val="00763A7D"/>
    <w:rsid w:val="007647BB"/>
    <w:rsid w:val="007649E4"/>
    <w:rsid w:val="00764AAC"/>
    <w:rsid w:val="00765715"/>
    <w:rsid w:val="00765813"/>
    <w:rsid w:val="007661C4"/>
    <w:rsid w:val="00766549"/>
    <w:rsid w:val="007665BA"/>
    <w:rsid w:val="007666B3"/>
    <w:rsid w:val="00766929"/>
    <w:rsid w:val="0076700E"/>
    <w:rsid w:val="00767B92"/>
    <w:rsid w:val="00770606"/>
    <w:rsid w:val="00771724"/>
    <w:rsid w:val="007721FF"/>
    <w:rsid w:val="00773677"/>
    <w:rsid w:val="00773CEB"/>
    <w:rsid w:val="00774152"/>
    <w:rsid w:val="00774745"/>
    <w:rsid w:val="00774ED2"/>
    <w:rsid w:val="0077578D"/>
    <w:rsid w:val="0077594C"/>
    <w:rsid w:val="00776209"/>
    <w:rsid w:val="007765A3"/>
    <w:rsid w:val="00776D60"/>
    <w:rsid w:val="00776E22"/>
    <w:rsid w:val="00780B07"/>
    <w:rsid w:val="00780F10"/>
    <w:rsid w:val="00781524"/>
    <w:rsid w:val="00781796"/>
    <w:rsid w:val="0078187F"/>
    <w:rsid w:val="007818E0"/>
    <w:rsid w:val="00781AAA"/>
    <w:rsid w:val="00781AFB"/>
    <w:rsid w:val="00781F46"/>
    <w:rsid w:val="0078236A"/>
    <w:rsid w:val="007826F7"/>
    <w:rsid w:val="00782B2A"/>
    <w:rsid w:val="007831C5"/>
    <w:rsid w:val="00783954"/>
    <w:rsid w:val="00783C15"/>
    <w:rsid w:val="00783CE8"/>
    <w:rsid w:val="00783D72"/>
    <w:rsid w:val="00784B32"/>
    <w:rsid w:val="00784B9A"/>
    <w:rsid w:val="00785BDF"/>
    <w:rsid w:val="00786437"/>
    <w:rsid w:val="00786637"/>
    <w:rsid w:val="0078764E"/>
    <w:rsid w:val="0078791D"/>
    <w:rsid w:val="00790014"/>
    <w:rsid w:val="007903BF"/>
    <w:rsid w:val="007909EF"/>
    <w:rsid w:val="00790DEF"/>
    <w:rsid w:val="007910D5"/>
    <w:rsid w:val="0079181F"/>
    <w:rsid w:val="00791C5F"/>
    <w:rsid w:val="00792324"/>
    <w:rsid w:val="00792B1B"/>
    <w:rsid w:val="00793540"/>
    <w:rsid w:val="00793BF8"/>
    <w:rsid w:val="007940E5"/>
    <w:rsid w:val="00794362"/>
    <w:rsid w:val="0079441B"/>
    <w:rsid w:val="00794471"/>
    <w:rsid w:val="00794905"/>
    <w:rsid w:val="00794BDA"/>
    <w:rsid w:val="007956F2"/>
    <w:rsid w:val="0079615D"/>
    <w:rsid w:val="007961A1"/>
    <w:rsid w:val="00796302"/>
    <w:rsid w:val="00796F0B"/>
    <w:rsid w:val="007970AB"/>
    <w:rsid w:val="00797216"/>
    <w:rsid w:val="007978CF"/>
    <w:rsid w:val="007A0268"/>
    <w:rsid w:val="007A0295"/>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B7CBB"/>
    <w:rsid w:val="007C002F"/>
    <w:rsid w:val="007C00F6"/>
    <w:rsid w:val="007C0F7B"/>
    <w:rsid w:val="007C0F82"/>
    <w:rsid w:val="007C1621"/>
    <w:rsid w:val="007C1662"/>
    <w:rsid w:val="007C21AF"/>
    <w:rsid w:val="007C21EE"/>
    <w:rsid w:val="007C24FB"/>
    <w:rsid w:val="007C26B2"/>
    <w:rsid w:val="007C28E0"/>
    <w:rsid w:val="007C29D2"/>
    <w:rsid w:val="007C2E5A"/>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4BC"/>
    <w:rsid w:val="007D06BD"/>
    <w:rsid w:val="007D06FF"/>
    <w:rsid w:val="007D0AFF"/>
    <w:rsid w:val="007D0EF1"/>
    <w:rsid w:val="007D1FEB"/>
    <w:rsid w:val="007D26D7"/>
    <w:rsid w:val="007D27B2"/>
    <w:rsid w:val="007D2AF2"/>
    <w:rsid w:val="007D2EF4"/>
    <w:rsid w:val="007D3011"/>
    <w:rsid w:val="007D3ECE"/>
    <w:rsid w:val="007D444F"/>
    <w:rsid w:val="007D4F06"/>
    <w:rsid w:val="007D4F63"/>
    <w:rsid w:val="007D508E"/>
    <w:rsid w:val="007D5302"/>
    <w:rsid w:val="007D589A"/>
    <w:rsid w:val="007D7E25"/>
    <w:rsid w:val="007E02B9"/>
    <w:rsid w:val="007E09D5"/>
    <w:rsid w:val="007E0A7C"/>
    <w:rsid w:val="007E1CC7"/>
    <w:rsid w:val="007E1E04"/>
    <w:rsid w:val="007E2028"/>
    <w:rsid w:val="007E20E7"/>
    <w:rsid w:val="007E2F47"/>
    <w:rsid w:val="007E36E4"/>
    <w:rsid w:val="007E37A5"/>
    <w:rsid w:val="007E3817"/>
    <w:rsid w:val="007E42D9"/>
    <w:rsid w:val="007E48E6"/>
    <w:rsid w:val="007E4FBC"/>
    <w:rsid w:val="007E5B5D"/>
    <w:rsid w:val="007E5DD8"/>
    <w:rsid w:val="007E62DB"/>
    <w:rsid w:val="007E691B"/>
    <w:rsid w:val="007E7339"/>
    <w:rsid w:val="007E7FDC"/>
    <w:rsid w:val="007F04EE"/>
    <w:rsid w:val="007F0E25"/>
    <w:rsid w:val="007F0EE2"/>
    <w:rsid w:val="007F12DA"/>
    <w:rsid w:val="007F1B62"/>
    <w:rsid w:val="007F1DBB"/>
    <w:rsid w:val="007F212E"/>
    <w:rsid w:val="007F31DF"/>
    <w:rsid w:val="007F3259"/>
    <w:rsid w:val="007F33CC"/>
    <w:rsid w:val="007F353A"/>
    <w:rsid w:val="007F37C2"/>
    <w:rsid w:val="007F3D3D"/>
    <w:rsid w:val="007F4144"/>
    <w:rsid w:val="007F4208"/>
    <w:rsid w:val="007F42DC"/>
    <w:rsid w:val="007F4438"/>
    <w:rsid w:val="007F4924"/>
    <w:rsid w:val="007F4A62"/>
    <w:rsid w:val="007F4C2D"/>
    <w:rsid w:val="007F6013"/>
    <w:rsid w:val="007F663D"/>
    <w:rsid w:val="007F670E"/>
    <w:rsid w:val="007F6F4D"/>
    <w:rsid w:val="007F72D6"/>
    <w:rsid w:val="007F75DB"/>
    <w:rsid w:val="008008A4"/>
    <w:rsid w:val="0080287F"/>
    <w:rsid w:val="008045CA"/>
    <w:rsid w:val="00804B05"/>
    <w:rsid w:val="00804BDB"/>
    <w:rsid w:val="008053A7"/>
    <w:rsid w:val="00805CC0"/>
    <w:rsid w:val="00806595"/>
    <w:rsid w:val="00806746"/>
    <w:rsid w:val="00806931"/>
    <w:rsid w:val="00806AFA"/>
    <w:rsid w:val="008070D9"/>
    <w:rsid w:val="0080719A"/>
    <w:rsid w:val="008072DC"/>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313D"/>
    <w:rsid w:val="00813483"/>
    <w:rsid w:val="0081487B"/>
    <w:rsid w:val="00814917"/>
    <w:rsid w:val="00814AE7"/>
    <w:rsid w:val="00814FFC"/>
    <w:rsid w:val="008163D6"/>
    <w:rsid w:val="008166B5"/>
    <w:rsid w:val="00816A74"/>
    <w:rsid w:val="00816C3F"/>
    <w:rsid w:val="00817075"/>
    <w:rsid w:val="00817159"/>
    <w:rsid w:val="00817268"/>
    <w:rsid w:val="0081726C"/>
    <w:rsid w:val="00817586"/>
    <w:rsid w:val="00820099"/>
    <w:rsid w:val="008200F8"/>
    <w:rsid w:val="0082025D"/>
    <w:rsid w:val="008205B6"/>
    <w:rsid w:val="00820A53"/>
    <w:rsid w:val="00820D98"/>
    <w:rsid w:val="00820DD9"/>
    <w:rsid w:val="00820E6B"/>
    <w:rsid w:val="0082105D"/>
    <w:rsid w:val="0082124F"/>
    <w:rsid w:val="00821C01"/>
    <w:rsid w:val="008220EA"/>
    <w:rsid w:val="00822254"/>
    <w:rsid w:val="008223EC"/>
    <w:rsid w:val="00822BA0"/>
    <w:rsid w:val="00822BA9"/>
    <w:rsid w:val="008231A5"/>
    <w:rsid w:val="00823492"/>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718"/>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73"/>
    <w:rsid w:val="008426DC"/>
    <w:rsid w:val="00843661"/>
    <w:rsid w:val="00843CC4"/>
    <w:rsid w:val="00843E93"/>
    <w:rsid w:val="00844472"/>
    <w:rsid w:val="00844712"/>
    <w:rsid w:val="00844AFD"/>
    <w:rsid w:val="008457D2"/>
    <w:rsid w:val="00845A60"/>
    <w:rsid w:val="00845ED2"/>
    <w:rsid w:val="00846203"/>
    <w:rsid w:val="00847584"/>
    <w:rsid w:val="00847CA8"/>
    <w:rsid w:val="00850331"/>
    <w:rsid w:val="00851035"/>
    <w:rsid w:val="008517EA"/>
    <w:rsid w:val="008517F5"/>
    <w:rsid w:val="00851A13"/>
    <w:rsid w:val="00852595"/>
    <w:rsid w:val="00852750"/>
    <w:rsid w:val="0085293F"/>
    <w:rsid w:val="00852EA3"/>
    <w:rsid w:val="0085349C"/>
    <w:rsid w:val="00853BCA"/>
    <w:rsid w:val="00853E2F"/>
    <w:rsid w:val="008546C3"/>
    <w:rsid w:val="00854B9A"/>
    <w:rsid w:val="00854CA1"/>
    <w:rsid w:val="00855215"/>
    <w:rsid w:val="00855443"/>
    <w:rsid w:val="00855667"/>
    <w:rsid w:val="00855708"/>
    <w:rsid w:val="00855B66"/>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758"/>
    <w:rsid w:val="00864823"/>
    <w:rsid w:val="00864911"/>
    <w:rsid w:val="00864D4B"/>
    <w:rsid w:val="00865071"/>
    <w:rsid w:val="0086568E"/>
    <w:rsid w:val="00865E16"/>
    <w:rsid w:val="008660E3"/>
    <w:rsid w:val="0086643B"/>
    <w:rsid w:val="00866DA1"/>
    <w:rsid w:val="0086732F"/>
    <w:rsid w:val="0086757C"/>
    <w:rsid w:val="008679C3"/>
    <w:rsid w:val="00867A4C"/>
    <w:rsid w:val="00867AC4"/>
    <w:rsid w:val="00870363"/>
    <w:rsid w:val="008704EA"/>
    <w:rsid w:val="0087080E"/>
    <w:rsid w:val="008712C2"/>
    <w:rsid w:val="0087159A"/>
    <w:rsid w:val="00871A65"/>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3D83"/>
    <w:rsid w:val="00884781"/>
    <w:rsid w:val="0088486E"/>
    <w:rsid w:val="008848B7"/>
    <w:rsid w:val="00884E3F"/>
    <w:rsid w:val="00885534"/>
    <w:rsid w:val="008901F1"/>
    <w:rsid w:val="008902B6"/>
    <w:rsid w:val="00890B92"/>
    <w:rsid w:val="00890F5A"/>
    <w:rsid w:val="00891D17"/>
    <w:rsid w:val="008921B0"/>
    <w:rsid w:val="008927A5"/>
    <w:rsid w:val="00892927"/>
    <w:rsid w:val="00892C87"/>
    <w:rsid w:val="00892E9C"/>
    <w:rsid w:val="0089369A"/>
    <w:rsid w:val="0089390A"/>
    <w:rsid w:val="00893A80"/>
    <w:rsid w:val="00893E65"/>
    <w:rsid w:val="00894111"/>
    <w:rsid w:val="00895C51"/>
    <w:rsid w:val="00895CA8"/>
    <w:rsid w:val="00895F01"/>
    <w:rsid w:val="00895F82"/>
    <w:rsid w:val="008967BF"/>
    <w:rsid w:val="00896A4C"/>
    <w:rsid w:val="00896A82"/>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241"/>
    <w:rsid w:val="008A4603"/>
    <w:rsid w:val="008A5ABA"/>
    <w:rsid w:val="008A5B65"/>
    <w:rsid w:val="008A5BAF"/>
    <w:rsid w:val="008A5E1F"/>
    <w:rsid w:val="008A5F6C"/>
    <w:rsid w:val="008A6191"/>
    <w:rsid w:val="008A672C"/>
    <w:rsid w:val="008A6786"/>
    <w:rsid w:val="008A694C"/>
    <w:rsid w:val="008A6B1E"/>
    <w:rsid w:val="008A6BC9"/>
    <w:rsid w:val="008A6F81"/>
    <w:rsid w:val="008A760F"/>
    <w:rsid w:val="008A76E9"/>
    <w:rsid w:val="008A79A6"/>
    <w:rsid w:val="008A7FFD"/>
    <w:rsid w:val="008B0BD9"/>
    <w:rsid w:val="008B0D55"/>
    <w:rsid w:val="008B0F80"/>
    <w:rsid w:val="008B13EC"/>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3B73"/>
    <w:rsid w:val="008C40F1"/>
    <w:rsid w:val="008C4562"/>
    <w:rsid w:val="008C4E30"/>
    <w:rsid w:val="008C5582"/>
    <w:rsid w:val="008C58A7"/>
    <w:rsid w:val="008C6124"/>
    <w:rsid w:val="008C67C9"/>
    <w:rsid w:val="008C687C"/>
    <w:rsid w:val="008C7BE5"/>
    <w:rsid w:val="008D02AA"/>
    <w:rsid w:val="008D037E"/>
    <w:rsid w:val="008D0A6E"/>
    <w:rsid w:val="008D0B73"/>
    <w:rsid w:val="008D0CCF"/>
    <w:rsid w:val="008D1684"/>
    <w:rsid w:val="008D1791"/>
    <w:rsid w:val="008D1FAF"/>
    <w:rsid w:val="008D22D5"/>
    <w:rsid w:val="008D2485"/>
    <w:rsid w:val="008D2A0A"/>
    <w:rsid w:val="008D2D94"/>
    <w:rsid w:val="008D2E96"/>
    <w:rsid w:val="008D3193"/>
    <w:rsid w:val="008D3202"/>
    <w:rsid w:val="008D3448"/>
    <w:rsid w:val="008D3AB4"/>
    <w:rsid w:val="008D437A"/>
    <w:rsid w:val="008D569F"/>
    <w:rsid w:val="008D6663"/>
    <w:rsid w:val="008D6956"/>
    <w:rsid w:val="008D6B68"/>
    <w:rsid w:val="008D6D0D"/>
    <w:rsid w:val="008D7C9D"/>
    <w:rsid w:val="008E03B0"/>
    <w:rsid w:val="008E0F21"/>
    <w:rsid w:val="008E1301"/>
    <w:rsid w:val="008E1EC7"/>
    <w:rsid w:val="008E24DC"/>
    <w:rsid w:val="008E26C0"/>
    <w:rsid w:val="008E2D92"/>
    <w:rsid w:val="008E2EF7"/>
    <w:rsid w:val="008E357B"/>
    <w:rsid w:val="008E3672"/>
    <w:rsid w:val="008E39ED"/>
    <w:rsid w:val="008E3EFF"/>
    <w:rsid w:val="008E4215"/>
    <w:rsid w:val="008E46DC"/>
    <w:rsid w:val="008E4D06"/>
    <w:rsid w:val="008E534D"/>
    <w:rsid w:val="008E5DC5"/>
    <w:rsid w:val="008E7951"/>
    <w:rsid w:val="008F02D5"/>
    <w:rsid w:val="008F11FB"/>
    <w:rsid w:val="008F1999"/>
    <w:rsid w:val="008F1A52"/>
    <w:rsid w:val="008F2CD1"/>
    <w:rsid w:val="008F2EFF"/>
    <w:rsid w:val="008F39D1"/>
    <w:rsid w:val="008F3B48"/>
    <w:rsid w:val="008F3D40"/>
    <w:rsid w:val="008F438A"/>
    <w:rsid w:val="008F4700"/>
    <w:rsid w:val="008F4C55"/>
    <w:rsid w:val="008F511B"/>
    <w:rsid w:val="008F55E3"/>
    <w:rsid w:val="008F56F2"/>
    <w:rsid w:val="008F5723"/>
    <w:rsid w:val="008F582D"/>
    <w:rsid w:val="008F5918"/>
    <w:rsid w:val="008F6892"/>
    <w:rsid w:val="008F6D67"/>
    <w:rsid w:val="008F6E64"/>
    <w:rsid w:val="008F70A7"/>
    <w:rsid w:val="008F7116"/>
    <w:rsid w:val="008F789A"/>
    <w:rsid w:val="008F78A9"/>
    <w:rsid w:val="008F7F55"/>
    <w:rsid w:val="00900DF6"/>
    <w:rsid w:val="00900F94"/>
    <w:rsid w:val="00901654"/>
    <w:rsid w:val="0090277B"/>
    <w:rsid w:val="00902B9D"/>
    <w:rsid w:val="00902F5B"/>
    <w:rsid w:val="00904302"/>
    <w:rsid w:val="00904809"/>
    <w:rsid w:val="009048A6"/>
    <w:rsid w:val="00904BB6"/>
    <w:rsid w:val="00905274"/>
    <w:rsid w:val="0090559A"/>
    <w:rsid w:val="0090590B"/>
    <w:rsid w:val="00905B8C"/>
    <w:rsid w:val="00906216"/>
    <w:rsid w:val="009063FE"/>
    <w:rsid w:val="00907658"/>
    <w:rsid w:val="0090778A"/>
    <w:rsid w:val="009079DC"/>
    <w:rsid w:val="00910A9E"/>
    <w:rsid w:val="00910C4A"/>
    <w:rsid w:val="009110BD"/>
    <w:rsid w:val="009112C1"/>
    <w:rsid w:val="009116D5"/>
    <w:rsid w:val="0091295B"/>
    <w:rsid w:val="00913097"/>
    <w:rsid w:val="00913225"/>
    <w:rsid w:val="0091393A"/>
    <w:rsid w:val="00913D46"/>
    <w:rsid w:val="009141A5"/>
    <w:rsid w:val="00914786"/>
    <w:rsid w:val="00914AED"/>
    <w:rsid w:val="00915362"/>
    <w:rsid w:val="00915846"/>
    <w:rsid w:val="00915EFD"/>
    <w:rsid w:val="0091686C"/>
    <w:rsid w:val="009168E2"/>
    <w:rsid w:val="009174C7"/>
    <w:rsid w:val="009201FF"/>
    <w:rsid w:val="00920669"/>
    <w:rsid w:val="00921750"/>
    <w:rsid w:val="009220E6"/>
    <w:rsid w:val="00922365"/>
    <w:rsid w:val="009223BB"/>
    <w:rsid w:val="009225A5"/>
    <w:rsid w:val="00922B74"/>
    <w:rsid w:val="00922CB0"/>
    <w:rsid w:val="00923340"/>
    <w:rsid w:val="00923497"/>
    <w:rsid w:val="009236B8"/>
    <w:rsid w:val="00923A05"/>
    <w:rsid w:val="00923C22"/>
    <w:rsid w:val="00923D87"/>
    <w:rsid w:val="0092444F"/>
    <w:rsid w:val="00924455"/>
    <w:rsid w:val="0092459F"/>
    <w:rsid w:val="00925731"/>
    <w:rsid w:val="00925894"/>
    <w:rsid w:val="00925E4D"/>
    <w:rsid w:val="00926042"/>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64B"/>
    <w:rsid w:val="0094379E"/>
    <w:rsid w:val="0094397F"/>
    <w:rsid w:val="00943BD1"/>
    <w:rsid w:val="0094419A"/>
    <w:rsid w:val="009441D7"/>
    <w:rsid w:val="009442CF"/>
    <w:rsid w:val="009443C8"/>
    <w:rsid w:val="00944829"/>
    <w:rsid w:val="00944A3B"/>
    <w:rsid w:val="00944A78"/>
    <w:rsid w:val="00944BB6"/>
    <w:rsid w:val="00944D2D"/>
    <w:rsid w:val="00945EDC"/>
    <w:rsid w:val="00946031"/>
    <w:rsid w:val="009462B6"/>
    <w:rsid w:val="00946BB9"/>
    <w:rsid w:val="00947121"/>
    <w:rsid w:val="00947E53"/>
    <w:rsid w:val="00947E63"/>
    <w:rsid w:val="00950192"/>
    <w:rsid w:val="0095047D"/>
    <w:rsid w:val="00950531"/>
    <w:rsid w:val="00950ADA"/>
    <w:rsid w:val="00951C03"/>
    <w:rsid w:val="00951D43"/>
    <w:rsid w:val="009523D7"/>
    <w:rsid w:val="0095301D"/>
    <w:rsid w:val="00953108"/>
    <w:rsid w:val="00953C22"/>
    <w:rsid w:val="00953C63"/>
    <w:rsid w:val="00953E7C"/>
    <w:rsid w:val="00953F66"/>
    <w:rsid w:val="0095401D"/>
    <w:rsid w:val="0095426E"/>
    <w:rsid w:val="00954523"/>
    <w:rsid w:val="00954751"/>
    <w:rsid w:val="00954D39"/>
    <w:rsid w:val="00954D4B"/>
    <w:rsid w:val="0095533E"/>
    <w:rsid w:val="00955755"/>
    <w:rsid w:val="00955991"/>
    <w:rsid w:val="009559EB"/>
    <w:rsid w:val="00955B41"/>
    <w:rsid w:val="00955C8F"/>
    <w:rsid w:val="009562C9"/>
    <w:rsid w:val="009569FD"/>
    <w:rsid w:val="00956C61"/>
    <w:rsid w:val="00957101"/>
    <w:rsid w:val="009602A7"/>
    <w:rsid w:val="009606EA"/>
    <w:rsid w:val="0096159D"/>
    <w:rsid w:val="0096213C"/>
    <w:rsid w:val="00962792"/>
    <w:rsid w:val="00962ACA"/>
    <w:rsid w:val="0096315D"/>
    <w:rsid w:val="00963BBB"/>
    <w:rsid w:val="00963CDD"/>
    <w:rsid w:val="009640D0"/>
    <w:rsid w:val="00964761"/>
    <w:rsid w:val="00965116"/>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083"/>
    <w:rsid w:val="00974166"/>
    <w:rsid w:val="009743A1"/>
    <w:rsid w:val="00974653"/>
    <w:rsid w:val="0097494D"/>
    <w:rsid w:val="00974AD3"/>
    <w:rsid w:val="00974C55"/>
    <w:rsid w:val="00974DDB"/>
    <w:rsid w:val="00974F76"/>
    <w:rsid w:val="00975736"/>
    <w:rsid w:val="009759D4"/>
    <w:rsid w:val="009765A3"/>
    <w:rsid w:val="0097678E"/>
    <w:rsid w:val="0097696C"/>
    <w:rsid w:val="0097710A"/>
    <w:rsid w:val="009773A5"/>
    <w:rsid w:val="009775A7"/>
    <w:rsid w:val="00977A3F"/>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6C5"/>
    <w:rsid w:val="0098381B"/>
    <w:rsid w:val="00983CB8"/>
    <w:rsid w:val="009844BD"/>
    <w:rsid w:val="00984C56"/>
    <w:rsid w:val="00985147"/>
    <w:rsid w:val="0098519A"/>
    <w:rsid w:val="00985921"/>
    <w:rsid w:val="00985BF9"/>
    <w:rsid w:val="00986369"/>
    <w:rsid w:val="009863CA"/>
    <w:rsid w:val="009863F2"/>
    <w:rsid w:val="00986B5E"/>
    <w:rsid w:val="00987997"/>
    <w:rsid w:val="0099014E"/>
    <w:rsid w:val="009909E5"/>
    <w:rsid w:val="00990D76"/>
    <w:rsid w:val="00990DAF"/>
    <w:rsid w:val="00991818"/>
    <w:rsid w:val="00991ACB"/>
    <w:rsid w:val="00991B86"/>
    <w:rsid w:val="0099250F"/>
    <w:rsid w:val="00992575"/>
    <w:rsid w:val="009926A6"/>
    <w:rsid w:val="00993005"/>
    <w:rsid w:val="00993ED9"/>
    <w:rsid w:val="0099420E"/>
    <w:rsid w:val="00994AA0"/>
    <w:rsid w:val="00994C15"/>
    <w:rsid w:val="00995C23"/>
    <w:rsid w:val="00996285"/>
    <w:rsid w:val="00996559"/>
    <w:rsid w:val="00996901"/>
    <w:rsid w:val="009A151C"/>
    <w:rsid w:val="009A1A20"/>
    <w:rsid w:val="009A215A"/>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A764D"/>
    <w:rsid w:val="009B0C05"/>
    <w:rsid w:val="009B0C48"/>
    <w:rsid w:val="009B0C80"/>
    <w:rsid w:val="009B1497"/>
    <w:rsid w:val="009B1774"/>
    <w:rsid w:val="009B293A"/>
    <w:rsid w:val="009B29F0"/>
    <w:rsid w:val="009B2A38"/>
    <w:rsid w:val="009B3024"/>
    <w:rsid w:val="009B31CB"/>
    <w:rsid w:val="009B361D"/>
    <w:rsid w:val="009B393E"/>
    <w:rsid w:val="009B395F"/>
    <w:rsid w:val="009B55FC"/>
    <w:rsid w:val="009B56D7"/>
    <w:rsid w:val="009B57F1"/>
    <w:rsid w:val="009B635F"/>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20B0"/>
    <w:rsid w:val="009C31F1"/>
    <w:rsid w:val="009C3800"/>
    <w:rsid w:val="009C38D3"/>
    <w:rsid w:val="009C3AF5"/>
    <w:rsid w:val="009C3B1F"/>
    <w:rsid w:val="009C3CBF"/>
    <w:rsid w:val="009C3EC4"/>
    <w:rsid w:val="009C40E6"/>
    <w:rsid w:val="009C42C5"/>
    <w:rsid w:val="009C4422"/>
    <w:rsid w:val="009C4E67"/>
    <w:rsid w:val="009C5121"/>
    <w:rsid w:val="009C559B"/>
    <w:rsid w:val="009C56C6"/>
    <w:rsid w:val="009C58BE"/>
    <w:rsid w:val="009C595E"/>
    <w:rsid w:val="009C6EC8"/>
    <w:rsid w:val="009C730D"/>
    <w:rsid w:val="009D0302"/>
    <w:rsid w:val="009D052D"/>
    <w:rsid w:val="009D0626"/>
    <w:rsid w:val="009D0677"/>
    <w:rsid w:val="009D0C2F"/>
    <w:rsid w:val="009D1C8F"/>
    <w:rsid w:val="009D2065"/>
    <w:rsid w:val="009D208A"/>
    <w:rsid w:val="009D20A4"/>
    <w:rsid w:val="009D2A93"/>
    <w:rsid w:val="009D337D"/>
    <w:rsid w:val="009D33AA"/>
    <w:rsid w:val="009D39BC"/>
    <w:rsid w:val="009D4205"/>
    <w:rsid w:val="009D44DF"/>
    <w:rsid w:val="009D45BC"/>
    <w:rsid w:val="009D4939"/>
    <w:rsid w:val="009D4FB0"/>
    <w:rsid w:val="009D5000"/>
    <w:rsid w:val="009D5546"/>
    <w:rsid w:val="009D5847"/>
    <w:rsid w:val="009D5D92"/>
    <w:rsid w:val="009D6022"/>
    <w:rsid w:val="009D69F7"/>
    <w:rsid w:val="009D6AB0"/>
    <w:rsid w:val="009D6C11"/>
    <w:rsid w:val="009D705A"/>
    <w:rsid w:val="009D7192"/>
    <w:rsid w:val="009D72D7"/>
    <w:rsid w:val="009D73EC"/>
    <w:rsid w:val="009D77ED"/>
    <w:rsid w:val="009D7D59"/>
    <w:rsid w:val="009E03CC"/>
    <w:rsid w:val="009E0489"/>
    <w:rsid w:val="009E089B"/>
    <w:rsid w:val="009E1581"/>
    <w:rsid w:val="009E15E8"/>
    <w:rsid w:val="009E173A"/>
    <w:rsid w:val="009E1BAA"/>
    <w:rsid w:val="009E1DC0"/>
    <w:rsid w:val="009E200E"/>
    <w:rsid w:val="009E347E"/>
    <w:rsid w:val="009E3627"/>
    <w:rsid w:val="009E3C6A"/>
    <w:rsid w:val="009E3D93"/>
    <w:rsid w:val="009E3DA1"/>
    <w:rsid w:val="009E3E1F"/>
    <w:rsid w:val="009E40C4"/>
    <w:rsid w:val="009E417C"/>
    <w:rsid w:val="009E496A"/>
    <w:rsid w:val="009E4F83"/>
    <w:rsid w:val="009E5678"/>
    <w:rsid w:val="009E609A"/>
    <w:rsid w:val="009E60E3"/>
    <w:rsid w:val="009E64E7"/>
    <w:rsid w:val="009E6526"/>
    <w:rsid w:val="009E66EC"/>
    <w:rsid w:val="009E75B4"/>
    <w:rsid w:val="009E77C9"/>
    <w:rsid w:val="009E77DB"/>
    <w:rsid w:val="009E78F0"/>
    <w:rsid w:val="009E7A83"/>
    <w:rsid w:val="009E7BBF"/>
    <w:rsid w:val="009E7BD3"/>
    <w:rsid w:val="009F064F"/>
    <w:rsid w:val="009F0C9A"/>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48FA"/>
    <w:rsid w:val="009F5558"/>
    <w:rsid w:val="009F5966"/>
    <w:rsid w:val="009F5CED"/>
    <w:rsid w:val="009F5E3F"/>
    <w:rsid w:val="009F601C"/>
    <w:rsid w:val="009F613D"/>
    <w:rsid w:val="009F66A0"/>
    <w:rsid w:val="009F6728"/>
    <w:rsid w:val="009F6B0D"/>
    <w:rsid w:val="00A00007"/>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142"/>
    <w:rsid w:val="00A05995"/>
    <w:rsid w:val="00A05EA8"/>
    <w:rsid w:val="00A063D2"/>
    <w:rsid w:val="00A06CBE"/>
    <w:rsid w:val="00A06FB5"/>
    <w:rsid w:val="00A074FF"/>
    <w:rsid w:val="00A07553"/>
    <w:rsid w:val="00A076D3"/>
    <w:rsid w:val="00A10084"/>
    <w:rsid w:val="00A100DA"/>
    <w:rsid w:val="00A1017D"/>
    <w:rsid w:val="00A1055D"/>
    <w:rsid w:val="00A10587"/>
    <w:rsid w:val="00A1076E"/>
    <w:rsid w:val="00A10CC6"/>
    <w:rsid w:val="00A119A2"/>
    <w:rsid w:val="00A11BA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7B4"/>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6593"/>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45F4"/>
    <w:rsid w:val="00A35AB2"/>
    <w:rsid w:val="00A35B64"/>
    <w:rsid w:val="00A36754"/>
    <w:rsid w:val="00A36A32"/>
    <w:rsid w:val="00A36A4B"/>
    <w:rsid w:val="00A36A91"/>
    <w:rsid w:val="00A36A95"/>
    <w:rsid w:val="00A37173"/>
    <w:rsid w:val="00A3758D"/>
    <w:rsid w:val="00A3774D"/>
    <w:rsid w:val="00A37C1F"/>
    <w:rsid w:val="00A40064"/>
    <w:rsid w:val="00A4021D"/>
    <w:rsid w:val="00A41108"/>
    <w:rsid w:val="00A4120E"/>
    <w:rsid w:val="00A41487"/>
    <w:rsid w:val="00A41BA5"/>
    <w:rsid w:val="00A41CBA"/>
    <w:rsid w:val="00A42164"/>
    <w:rsid w:val="00A42951"/>
    <w:rsid w:val="00A42B42"/>
    <w:rsid w:val="00A42C4F"/>
    <w:rsid w:val="00A43184"/>
    <w:rsid w:val="00A431AC"/>
    <w:rsid w:val="00A43543"/>
    <w:rsid w:val="00A4459D"/>
    <w:rsid w:val="00A44FDD"/>
    <w:rsid w:val="00A455D7"/>
    <w:rsid w:val="00A4576A"/>
    <w:rsid w:val="00A457E5"/>
    <w:rsid w:val="00A45D74"/>
    <w:rsid w:val="00A4667A"/>
    <w:rsid w:val="00A46B8A"/>
    <w:rsid w:val="00A46F7D"/>
    <w:rsid w:val="00A46FA4"/>
    <w:rsid w:val="00A473F3"/>
    <w:rsid w:val="00A474A3"/>
    <w:rsid w:val="00A477E2"/>
    <w:rsid w:val="00A47A6C"/>
    <w:rsid w:val="00A50386"/>
    <w:rsid w:val="00A504BB"/>
    <w:rsid w:val="00A50ECA"/>
    <w:rsid w:val="00A51215"/>
    <w:rsid w:val="00A51307"/>
    <w:rsid w:val="00A5132A"/>
    <w:rsid w:val="00A513E2"/>
    <w:rsid w:val="00A516DE"/>
    <w:rsid w:val="00A52FDB"/>
    <w:rsid w:val="00A53193"/>
    <w:rsid w:val="00A53782"/>
    <w:rsid w:val="00A53D2F"/>
    <w:rsid w:val="00A53D99"/>
    <w:rsid w:val="00A540F9"/>
    <w:rsid w:val="00A54215"/>
    <w:rsid w:val="00A5442C"/>
    <w:rsid w:val="00A54EE1"/>
    <w:rsid w:val="00A55155"/>
    <w:rsid w:val="00A55743"/>
    <w:rsid w:val="00A559A3"/>
    <w:rsid w:val="00A564B1"/>
    <w:rsid w:val="00A56700"/>
    <w:rsid w:val="00A5701C"/>
    <w:rsid w:val="00A57B75"/>
    <w:rsid w:val="00A600C4"/>
    <w:rsid w:val="00A602A1"/>
    <w:rsid w:val="00A60366"/>
    <w:rsid w:val="00A608A6"/>
    <w:rsid w:val="00A60E35"/>
    <w:rsid w:val="00A610CB"/>
    <w:rsid w:val="00A61888"/>
    <w:rsid w:val="00A61FAC"/>
    <w:rsid w:val="00A623A8"/>
    <w:rsid w:val="00A62448"/>
    <w:rsid w:val="00A62688"/>
    <w:rsid w:val="00A62A34"/>
    <w:rsid w:val="00A62C6A"/>
    <w:rsid w:val="00A6326A"/>
    <w:rsid w:val="00A6341B"/>
    <w:rsid w:val="00A63806"/>
    <w:rsid w:val="00A648BA"/>
    <w:rsid w:val="00A64CB0"/>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0F2"/>
    <w:rsid w:val="00A715D0"/>
    <w:rsid w:val="00A71B3D"/>
    <w:rsid w:val="00A71BEB"/>
    <w:rsid w:val="00A72356"/>
    <w:rsid w:val="00A7244F"/>
    <w:rsid w:val="00A726B0"/>
    <w:rsid w:val="00A72DB4"/>
    <w:rsid w:val="00A7379A"/>
    <w:rsid w:val="00A738B1"/>
    <w:rsid w:val="00A74C7B"/>
    <w:rsid w:val="00A75F87"/>
    <w:rsid w:val="00A76C9C"/>
    <w:rsid w:val="00A77010"/>
    <w:rsid w:val="00A77E08"/>
    <w:rsid w:val="00A77FDC"/>
    <w:rsid w:val="00A80407"/>
    <w:rsid w:val="00A80E0C"/>
    <w:rsid w:val="00A81776"/>
    <w:rsid w:val="00A819B1"/>
    <w:rsid w:val="00A81B85"/>
    <w:rsid w:val="00A81D4B"/>
    <w:rsid w:val="00A82352"/>
    <w:rsid w:val="00A82358"/>
    <w:rsid w:val="00A82522"/>
    <w:rsid w:val="00A82635"/>
    <w:rsid w:val="00A82834"/>
    <w:rsid w:val="00A82E5A"/>
    <w:rsid w:val="00A83133"/>
    <w:rsid w:val="00A8324C"/>
    <w:rsid w:val="00A8324F"/>
    <w:rsid w:val="00A83630"/>
    <w:rsid w:val="00A84B26"/>
    <w:rsid w:val="00A855F7"/>
    <w:rsid w:val="00A858B2"/>
    <w:rsid w:val="00A860B9"/>
    <w:rsid w:val="00A86A8C"/>
    <w:rsid w:val="00A86B31"/>
    <w:rsid w:val="00A86F67"/>
    <w:rsid w:val="00A8722D"/>
    <w:rsid w:val="00A873CF"/>
    <w:rsid w:val="00A87400"/>
    <w:rsid w:val="00A878D3"/>
    <w:rsid w:val="00A87B60"/>
    <w:rsid w:val="00A9014B"/>
    <w:rsid w:val="00A901AF"/>
    <w:rsid w:val="00A915F6"/>
    <w:rsid w:val="00A91979"/>
    <w:rsid w:val="00A91EF0"/>
    <w:rsid w:val="00A9251A"/>
    <w:rsid w:val="00A92EB3"/>
    <w:rsid w:val="00A931A6"/>
    <w:rsid w:val="00A93DE8"/>
    <w:rsid w:val="00A9401B"/>
    <w:rsid w:val="00A942C5"/>
    <w:rsid w:val="00A94C1D"/>
    <w:rsid w:val="00A95D2F"/>
    <w:rsid w:val="00A95D3D"/>
    <w:rsid w:val="00A961E8"/>
    <w:rsid w:val="00A96445"/>
    <w:rsid w:val="00A96FE5"/>
    <w:rsid w:val="00A97473"/>
    <w:rsid w:val="00A97C33"/>
    <w:rsid w:val="00A97E01"/>
    <w:rsid w:val="00AA017D"/>
    <w:rsid w:val="00AA0530"/>
    <w:rsid w:val="00AA0B92"/>
    <w:rsid w:val="00AA0C84"/>
    <w:rsid w:val="00AA13F6"/>
    <w:rsid w:val="00AA1EB7"/>
    <w:rsid w:val="00AA2C1A"/>
    <w:rsid w:val="00AA2D55"/>
    <w:rsid w:val="00AA2E5F"/>
    <w:rsid w:val="00AA3537"/>
    <w:rsid w:val="00AA4F27"/>
    <w:rsid w:val="00AA5078"/>
    <w:rsid w:val="00AA5C12"/>
    <w:rsid w:val="00AA5CDC"/>
    <w:rsid w:val="00AA651A"/>
    <w:rsid w:val="00AA6805"/>
    <w:rsid w:val="00AA719D"/>
    <w:rsid w:val="00AA73EE"/>
    <w:rsid w:val="00AA7F26"/>
    <w:rsid w:val="00AB00AE"/>
    <w:rsid w:val="00AB0531"/>
    <w:rsid w:val="00AB0653"/>
    <w:rsid w:val="00AB09D9"/>
    <w:rsid w:val="00AB0A6A"/>
    <w:rsid w:val="00AB0B55"/>
    <w:rsid w:val="00AB0E0F"/>
    <w:rsid w:val="00AB0E76"/>
    <w:rsid w:val="00AB1B36"/>
    <w:rsid w:val="00AB2013"/>
    <w:rsid w:val="00AB33D0"/>
    <w:rsid w:val="00AB3A3D"/>
    <w:rsid w:val="00AB41E9"/>
    <w:rsid w:val="00AB471B"/>
    <w:rsid w:val="00AB4890"/>
    <w:rsid w:val="00AB4BC7"/>
    <w:rsid w:val="00AB4E28"/>
    <w:rsid w:val="00AB514F"/>
    <w:rsid w:val="00AB5303"/>
    <w:rsid w:val="00AB58F1"/>
    <w:rsid w:val="00AB5BC5"/>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46F5"/>
    <w:rsid w:val="00AC5340"/>
    <w:rsid w:val="00AC552E"/>
    <w:rsid w:val="00AC56FC"/>
    <w:rsid w:val="00AC588C"/>
    <w:rsid w:val="00AC60FA"/>
    <w:rsid w:val="00AC6638"/>
    <w:rsid w:val="00AC694F"/>
    <w:rsid w:val="00AC69B1"/>
    <w:rsid w:val="00AC71DE"/>
    <w:rsid w:val="00AC74A2"/>
    <w:rsid w:val="00AD08F1"/>
    <w:rsid w:val="00AD113D"/>
    <w:rsid w:val="00AD12BC"/>
    <w:rsid w:val="00AD15CB"/>
    <w:rsid w:val="00AD199C"/>
    <w:rsid w:val="00AD1D8D"/>
    <w:rsid w:val="00AD26FE"/>
    <w:rsid w:val="00AD2CB4"/>
    <w:rsid w:val="00AD376C"/>
    <w:rsid w:val="00AD4ECF"/>
    <w:rsid w:val="00AD506E"/>
    <w:rsid w:val="00AD5383"/>
    <w:rsid w:val="00AD57A3"/>
    <w:rsid w:val="00AD5EED"/>
    <w:rsid w:val="00AD7CF9"/>
    <w:rsid w:val="00AE00ED"/>
    <w:rsid w:val="00AE0286"/>
    <w:rsid w:val="00AE0624"/>
    <w:rsid w:val="00AE0D33"/>
    <w:rsid w:val="00AE0EBD"/>
    <w:rsid w:val="00AE1115"/>
    <w:rsid w:val="00AE1463"/>
    <w:rsid w:val="00AE14B8"/>
    <w:rsid w:val="00AE15A1"/>
    <w:rsid w:val="00AE1AEA"/>
    <w:rsid w:val="00AE1B46"/>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BA8"/>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3B"/>
    <w:rsid w:val="00AF58AD"/>
    <w:rsid w:val="00AF59D3"/>
    <w:rsid w:val="00AF5D13"/>
    <w:rsid w:val="00AF61CE"/>
    <w:rsid w:val="00AF6D05"/>
    <w:rsid w:val="00AF7800"/>
    <w:rsid w:val="00AF7E7B"/>
    <w:rsid w:val="00B00379"/>
    <w:rsid w:val="00B00C60"/>
    <w:rsid w:val="00B00CCA"/>
    <w:rsid w:val="00B0105A"/>
    <w:rsid w:val="00B01722"/>
    <w:rsid w:val="00B01BD5"/>
    <w:rsid w:val="00B01F81"/>
    <w:rsid w:val="00B02184"/>
    <w:rsid w:val="00B02A67"/>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120"/>
    <w:rsid w:val="00B1013B"/>
    <w:rsid w:val="00B1021B"/>
    <w:rsid w:val="00B1054E"/>
    <w:rsid w:val="00B108FB"/>
    <w:rsid w:val="00B10C8A"/>
    <w:rsid w:val="00B1238C"/>
    <w:rsid w:val="00B12A0C"/>
    <w:rsid w:val="00B12D21"/>
    <w:rsid w:val="00B12FC8"/>
    <w:rsid w:val="00B13341"/>
    <w:rsid w:val="00B1387E"/>
    <w:rsid w:val="00B140F2"/>
    <w:rsid w:val="00B14829"/>
    <w:rsid w:val="00B152F1"/>
    <w:rsid w:val="00B156B4"/>
    <w:rsid w:val="00B15B23"/>
    <w:rsid w:val="00B15B6D"/>
    <w:rsid w:val="00B1614B"/>
    <w:rsid w:val="00B161A3"/>
    <w:rsid w:val="00B167F6"/>
    <w:rsid w:val="00B169CA"/>
    <w:rsid w:val="00B173A1"/>
    <w:rsid w:val="00B17440"/>
    <w:rsid w:val="00B1799C"/>
    <w:rsid w:val="00B202AB"/>
    <w:rsid w:val="00B2065B"/>
    <w:rsid w:val="00B20987"/>
    <w:rsid w:val="00B21108"/>
    <w:rsid w:val="00B212BD"/>
    <w:rsid w:val="00B21AC1"/>
    <w:rsid w:val="00B21BFE"/>
    <w:rsid w:val="00B21DD0"/>
    <w:rsid w:val="00B22159"/>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962"/>
    <w:rsid w:val="00B26ABD"/>
    <w:rsid w:val="00B26C35"/>
    <w:rsid w:val="00B26FDB"/>
    <w:rsid w:val="00B27545"/>
    <w:rsid w:val="00B27C70"/>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5F45"/>
    <w:rsid w:val="00B361C5"/>
    <w:rsid w:val="00B361E5"/>
    <w:rsid w:val="00B36E2C"/>
    <w:rsid w:val="00B37029"/>
    <w:rsid w:val="00B374D6"/>
    <w:rsid w:val="00B375B3"/>
    <w:rsid w:val="00B37852"/>
    <w:rsid w:val="00B40828"/>
    <w:rsid w:val="00B40BDE"/>
    <w:rsid w:val="00B4249C"/>
    <w:rsid w:val="00B42E56"/>
    <w:rsid w:val="00B42E8C"/>
    <w:rsid w:val="00B42E8D"/>
    <w:rsid w:val="00B431D4"/>
    <w:rsid w:val="00B4401A"/>
    <w:rsid w:val="00B444F7"/>
    <w:rsid w:val="00B44CE5"/>
    <w:rsid w:val="00B453C2"/>
    <w:rsid w:val="00B456D6"/>
    <w:rsid w:val="00B4646B"/>
    <w:rsid w:val="00B46475"/>
    <w:rsid w:val="00B466DA"/>
    <w:rsid w:val="00B46D48"/>
    <w:rsid w:val="00B47220"/>
    <w:rsid w:val="00B47460"/>
    <w:rsid w:val="00B50D7C"/>
    <w:rsid w:val="00B511BD"/>
    <w:rsid w:val="00B51609"/>
    <w:rsid w:val="00B51794"/>
    <w:rsid w:val="00B51A9B"/>
    <w:rsid w:val="00B51C65"/>
    <w:rsid w:val="00B520E3"/>
    <w:rsid w:val="00B522D2"/>
    <w:rsid w:val="00B52B88"/>
    <w:rsid w:val="00B52FA2"/>
    <w:rsid w:val="00B5314E"/>
    <w:rsid w:val="00B53243"/>
    <w:rsid w:val="00B53821"/>
    <w:rsid w:val="00B5386F"/>
    <w:rsid w:val="00B53E3B"/>
    <w:rsid w:val="00B5692D"/>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B3D"/>
    <w:rsid w:val="00B66E9B"/>
    <w:rsid w:val="00B66F75"/>
    <w:rsid w:val="00B67814"/>
    <w:rsid w:val="00B67C9E"/>
    <w:rsid w:val="00B70216"/>
    <w:rsid w:val="00B70288"/>
    <w:rsid w:val="00B702D4"/>
    <w:rsid w:val="00B70C63"/>
    <w:rsid w:val="00B711BE"/>
    <w:rsid w:val="00B71DD0"/>
    <w:rsid w:val="00B724E0"/>
    <w:rsid w:val="00B727BA"/>
    <w:rsid w:val="00B728D5"/>
    <w:rsid w:val="00B72C20"/>
    <w:rsid w:val="00B72D77"/>
    <w:rsid w:val="00B72F84"/>
    <w:rsid w:val="00B734C3"/>
    <w:rsid w:val="00B73A81"/>
    <w:rsid w:val="00B73C56"/>
    <w:rsid w:val="00B73D15"/>
    <w:rsid w:val="00B75160"/>
    <w:rsid w:val="00B7535D"/>
    <w:rsid w:val="00B75E8F"/>
    <w:rsid w:val="00B76CD0"/>
    <w:rsid w:val="00B77FCA"/>
    <w:rsid w:val="00B80176"/>
    <w:rsid w:val="00B802E6"/>
    <w:rsid w:val="00B8090D"/>
    <w:rsid w:val="00B80B97"/>
    <w:rsid w:val="00B80E71"/>
    <w:rsid w:val="00B80EE8"/>
    <w:rsid w:val="00B81934"/>
    <w:rsid w:val="00B81A6E"/>
    <w:rsid w:val="00B823F7"/>
    <w:rsid w:val="00B82F99"/>
    <w:rsid w:val="00B83351"/>
    <w:rsid w:val="00B8353B"/>
    <w:rsid w:val="00B835DF"/>
    <w:rsid w:val="00B846A7"/>
    <w:rsid w:val="00B84F7D"/>
    <w:rsid w:val="00B85433"/>
    <w:rsid w:val="00B859B9"/>
    <w:rsid w:val="00B85BAE"/>
    <w:rsid w:val="00B85CFD"/>
    <w:rsid w:val="00B85DF2"/>
    <w:rsid w:val="00B85E5F"/>
    <w:rsid w:val="00B8617F"/>
    <w:rsid w:val="00B862F1"/>
    <w:rsid w:val="00B869DE"/>
    <w:rsid w:val="00B86E52"/>
    <w:rsid w:val="00B87415"/>
    <w:rsid w:val="00B90406"/>
    <w:rsid w:val="00B90CC5"/>
    <w:rsid w:val="00B912D1"/>
    <w:rsid w:val="00B91520"/>
    <w:rsid w:val="00B91766"/>
    <w:rsid w:val="00B9181E"/>
    <w:rsid w:val="00B919EA"/>
    <w:rsid w:val="00B91BA9"/>
    <w:rsid w:val="00B91EA7"/>
    <w:rsid w:val="00B92057"/>
    <w:rsid w:val="00B92BBF"/>
    <w:rsid w:val="00B92BC7"/>
    <w:rsid w:val="00B92CA1"/>
    <w:rsid w:val="00B92F40"/>
    <w:rsid w:val="00B93041"/>
    <w:rsid w:val="00B931C6"/>
    <w:rsid w:val="00B93A19"/>
    <w:rsid w:val="00B93D28"/>
    <w:rsid w:val="00B93F67"/>
    <w:rsid w:val="00B94131"/>
    <w:rsid w:val="00B94182"/>
    <w:rsid w:val="00B943EB"/>
    <w:rsid w:val="00B953E5"/>
    <w:rsid w:val="00B96603"/>
    <w:rsid w:val="00B969D4"/>
    <w:rsid w:val="00B96B43"/>
    <w:rsid w:val="00B973A6"/>
    <w:rsid w:val="00B97493"/>
    <w:rsid w:val="00B979DB"/>
    <w:rsid w:val="00B97BF8"/>
    <w:rsid w:val="00B97CE6"/>
    <w:rsid w:val="00BA0304"/>
    <w:rsid w:val="00BA0363"/>
    <w:rsid w:val="00BA08DF"/>
    <w:rsid w:val="00BA139D"/>
    <w:rsid w:val="00BA13E8"/>
    <w:rsid w:val="00BA1FEC"/>
    <w:rsid w:val="00BA2141"/>
    <w:rsid w:val="00BA34AB"/>
    <w:rsid w:val="00BA3F85"/>
    <w:rsid w:val="00BA4B45"/>
    <w:rsid w:val="00BA500B"/>
    <w:rsid w:val="00BA51FF"/>
    <w:rsid w:val="00BA5662"/>
    <w:rsid w:val="00BA5830"/>
    <w:rsid w:val="00BA6906"/>
    <w:rsid w:val="00BA6A7A"/>
    <w:rsid w:val="00BA71F7"/>
    <w:rsid w:val="00BA7403"/>
    <w:rsid w:val="00BA7954"/>
    <w:rsid w:val="00BA7984"/>
    <w:rsid w:val="00BA7E1D"/>
    <w:rsid w:val="00BB0158"/>
    <w:rsid w:val="00BB089C"/>
    <w:rsid w:val="00BB1002"/>
    <w:rsid w:val="00BB1508"/>
    <w:rsid w:val="00BB162D"/>
    <w:rsid w:val="00BB1826"/>
    <w:rsid w:val="00BB1BB9"/>
    <w:rsid w:val="00BB1D1C"/>
    <w:rsid w:val="00BB256B"/>
    <w:rsid w:val="00BB2663"/>
    <w:rsid w:val="00BB402D"/>
    <w:rsid w:val="00BB50FC"/>
    <w:rsid w:val="00BB59D0"/>
    <w:rsid w:val="00BB6627"/>
    <w:rsid w:val="00BB6AE6"/>
    <w:rsid w:val="00BB70C5"/>
    <w:rsid w:val="00BB71DC"/>
    <w:rsid w:val="00BB748E"/>
    <w:rsid w:val="00BB7668"/>
    <w:rsid w:val="00BB7EF0"/>
    <w:rsid w:val="00BC0026"/>
    <w:rsid w:val="00BC0566"/>
    <w:rsid w:val="00BC110E"/>
    <w:rsid w:val="00BC14AB"/>
    <w:rsid w:val="00BC2357"/>
    <w:rsid w:val="00BC245E"/>
    <w:rsid w:val="00BC2842"/>
    <w:rsid w:val="00BC2890"/>
    <w:rsid w:val="00BC2C23"/>
    <w:rsid w:val="00BC2D9D"/>
    <w:rsid w:val="00BC3147"/>
    <w:rsid w:val="00BC35D6"/>
    <w:rsid w:val="00BC3C9C"/>
    <w:rsid w:val="00BC3E11"/>
    <w:rsid w:val="00BC3E5F"/>
    <w:rsid w:val="00BC4077"/>
    <w:rsid w:val="00BC41EA"/>
    <w:rsid w:val="00BC4463"/>
    <w:rsid w:val="00BC47E7"/>
    <w:rsid w:val="00BC4BF5"/>
    <w:rsid w:val="00BC4EA7"/>
    <w:rsid w:val="00BC4FC9"/>
    <w:rsid w:val="00BC5290"/>
    <w:rsid w:val="00BC54A7"/>
    <w:rsid w:val="00BC5568"/>
    <w:rsid w:val="00BC594F"/>
    <w:rsid w:val="00BC5C43"/>
    <w:rsid w:val="00BC5FB8"/>
    <w:rsid w:val="00BC6F20"/>
    <w:rsid w:val="00BC6F7C"/>
    <w:rsid w:val="00BC7057"/>
    <w:rsid w:val="00BC735B"/>
    <w:rsid w:val="00BD01EF"/>
    <w:rsid w:val="00BD0488"/>
    <w:rsid w:val="00BD0A3B"/>
    <w:rsid w:val="00BD0C3D"/>
    <w:rsid w:val="00BD0FF5"/>
    <w:rsid w:val="00BD16E0"/>
    <w:rsid w:val="00BD17B7"/>
    <w:rsid w:val="00BD1ABE"/>
    <w:rsid w:val="00BD1CB8"/>
    <w:rsid w:val="00BD1DED"/>
    <w:rsid w:val="00BD23D7"/>
    <w:rsid w:val="00BD248B"/>
    <w:rsid w:val="00BD27B5"/>
    <w:rsid w:val="00BD2E66"/>
    <w:rsid w:val="00BD2F6F"/>
    <w:rsid w:val="00BD387A"/>
    <w:rsid w:val="00BD3964"/>
    <w:rsid w:val="00BD3B26"/>
    <w:rsid w:val="00BD3F35"/>
    <w:rsid w:val="00BD4788"/>
    <w:rsid w:val="00BD47AD"/>
    <w:rsid w:val="00BD5314"/>
    <w:rsid w:val="00BD57E0"/>
    <w:rsid w:val="00BD5E31"/>
    <w:rsid w:val="00BD6704"/>
    <w:rsid w:val="00BD701C"/>
    <w:rsid w:val="00BD7221"/>
    <w:rsid w:val="00BD7264"/>
    <w:rsid w:val="00BD7977"/>
    <w:rsid w:val="00BD7A03"/>
    <w:rsid w:val="00BE07B2"/>
    <w:rsid w:val="00BE0C77"/>
    <w:rsid w:val="00BE0EE4"/>
    <w:rsid w:val="00BE10CB"/>
    <w:rsid w:val="00BE1322"/>
    <w:rsid w:val="00BE1542"/>
    <w:rsid w:val="00BE48F2"/>
    <w:rsid w:val="00BE7561"/>
    <w:rsid w:val="00BE7AD4"/>
    <w:rsid w:val="00BE7BCF"/>
    <w:rsid w:val="00BF01B2"/>
    <w:rsid w:val="00BF05AF"/>
    <w:rsid w:val="00BF0A48"/>
    <w:rsid w:val="00BF0DF3"/>
    <w:rsid w:val="00BF0F29"/>
    <w:rsid w:val="00BF0F3C"/>
    <w:rsid w:val="00BF1064"/>
    <w:rsid w:val="00BF1432"/>
    <w:rsid w:val="00BF168E"/>
    <w:rsid w:val="00BF1C00"/>
    <w:rsid w:val="00BF1DAE"/>
    <w:rsid w:val="00BF21C2"/>
    <w:rsid w:val="00BF222A"/>
    <w:rsid w:val="00BF26E7"/>
    <w:rsid w:val="00BF2E69"/>
    <w:rsid w:val="00BF3486"/>
    <w:rsid w:val="00BF3A4F"/>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4C1"/>
    <w:rsid w:val="00C00845"/>
    <w:rsid w:val="00C00D15"/>
    <w:rsid w:val="00C01357"/>
    <w:rsid w:val="00C016C8"/>
    <w:rsid w:val="00C01AF4"/>
    <w:rsid w:val="00C01B11"/>
    <w:rsid w:val="00C02F6A"/>
    <w:rsid w:val="00C034C3"/>
    <w:rsid w:val="00C03E00"/>
    <w:rsid w:val="00C0422F"/>
    <w:rsid w:val="00C042F6"/>
    <w:rsid w:val="00C04322"/>
    <w:rsid w:val="00C0467B"/>
    <w:rsid w:val="00C04696"/>
    <w:rsid w:val="00C049C9"/>
    <w:rsid w:val="00C053B4"/>
    <w:rsid w:val="00C05478"/>
    <w:rsid w:val="00C05AD1"/>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D52"/>
    <w:rsid w:val="00C16FAF"/>
    <w:rsid w:val="00C17449"/>
    <w:rsid w:val="00C177DF"/>
    <w:rsid w:val="00C178CA"/>
    <w:rsid w:val="00C17928"/>
    <w:rsid w:val="00C20A82"/>
    <w:rsid w:val="00C20C5A"/>
    <w:rsid w:val="00C20EBE"/>
    <w:rsid w:val="00C22272"/>
    <w:rsid w:val="00C2245C"/>
    <w:rsid w:val="00C229C6"/>
    <w:rsid w:val="00C23122"/>
    <w:rsid w:val="00C23574"/>
    <w:rsid w:val="00C24B5C"/>
    <w:rsid w:val="00C24D13"/>
    <w:rsid w:val="00C24EB5"/>
    <w:rsid w:val="00C2533D"/>
    <w:rsid w:val="00C256BC"/>
    <w:rsid w:val="00C259F1"/>
    <w:rsid w:val="00C2613B"/>
    <w:rsid w:val="00C26279"/>
    <w:rsid w:val="00C268AD"/>
    <w:rsid w:val="00C27102"/>
    <w:rsid w:val="00C2748A"/>
    <w:rsid w:val="00C27749"/>
    <w:rsid w:val="00C305DB"/>
    <w:rsid w:val="00C3095D"/>
    <w:rsid w:val="00C30DDA"/>
    <w:rsid w:val="00C314B4"/>
    <w:rsid w:val="00C31D2D"/>
    <w:rsid w:val="00C342C3"/>
    <w:rsid w:val="00C34850"/>
    <w:rsid w:val="00C34CB0"/>
    <w:rsid w:val="00C35300"/>
    <w:rsid w:val="00C357B5"/>
    <w:rsid w:val="00C358DC"/>
    <w:rsid w:val="00C35A17"/>
    <w:rsid w:val="00C35CD8"/>
    <w:rsid w:val="00C35D92"/>
    <w:rsid w:val="00C360B1"/>
    <w:rsid w:val="00C36703"/>
    <w:rsid w:val="00C36984"/>
    <w:rsid w:val="00C36D42"/>
    <w:rsid w:val="00C36F5F"/>
    <w:rsid w:val="00C37123"/>
    <w:rsid w:val="00C37FB3"/>
    <w:rsid w:val="00C4020A"/>
    <w:rsid w:val="00C40717"/>
    <w:rsid w:val="00C4083F"/>
    <w:rsid w:val="00C40B9D"/>
    <w:rsid w:val="00C40F71"/>
    <w:rsid w:val="00C411DE"/>
    <w:rsid w:val="00C4120A"/>
    <w:rsid w:val="00C421C9"/>
    <w:rsid w:val="00C4239D"/>
    <w:rsid w:val="00C42D75"/>
    <w:rsid w:val="00C4386D"/>
    <w:rsid w:val="00C439D6"/>
    <w:rsid w:val="00C43C40"/>
    <w:rsid w:val="00C440DF"/>
    <w:rsid w:val="00C4481B"/>
    <w:rsid w:val="00C44AD1"/>
    <w:rsid w:val="00C45004"/>
    <w:rsid w:val="00C450CC"/>
    <w:rsid w:val="00C45462"/>
    <w:rsid w:val="00C45F8B"/>
    <w:rsid w:val="00C46466"/>
    <w:rsid w:val="00C465A7"/>
    <w:rsid w:val="00C4676A"/>
    <w:rsid w:val="00C46A3B"/>
    <w:rsid w:val="00C46DD2"/>
    <w:rsid w:val="00C47282"/>
    <w:rsid w:val="00C472D7"/>
    <w:rsid w:val="00C47397"/>
    <w:rsid w:val="00C474EB"/>
    <w:rsid w:val="00C502CA"/>
    <w:rsid w:val="00C503BC"/>
    <w:rsid w:val="00C50FAB"/>
    <w:rsid w:val="00C513AA"/>
    <w:rsid w:val="00C5186E"/>
    <w:rsid w:val="00C52FA2"/>
    <w:rsid w:val="00C5311C"/>
    <w:rsid w:val="00C53464"/>
    <w:rsid w:val="00C537D9"/>
    <w:rsid w:val="00C53AFE"/>
    <w:rsid w:val="00C5414B"/>
    <w:rsid w:val="00C54172"/>
    <w:rsid w:val="00C542F2"/>
    <w:rsid w:val="00C544BD"/>
    <w:rsid w:val="00C549BE"/>
    <w:rsid w:val="00C54FE2"/>
    <w:rsid w:val="00C551CF"/>
    <w:rsid w:val="00C5522B"/>
    <w:rsid w:val="00C55812"/>
    <w:rsid w:val="00C5705E"/>
    <w:rsid w:val="00C57336"/>
    <w:rsid w:val="00C57E48"/>
    <w:rsid w:val="00C601A2"/>
    <w:rsid w:val="00C60A72"/>
    <w:rsid w:val="00C60D95"/>
    <w:rsid w:val="00C610AB"/>
    <w:rsid w:val="00C615F3"/>
    <w:rsid w:val="00C61720"/>
    <w:rsid w:val="00C61D4F"/>
    <w:rsid w:val="00C61FCC"/>
    <w:rsid w:val="00C62125"/>
    <w:rsid w:val="00C62373"/>
    <w:rsid w:val="00C62E36"/>
    <w:rsid w:val="00C63753"/>
    <w:rsid w:val="00C63901"/>
    <w:rsid w:val="00C63AF5"/>
    <w:rsid w:val="00C63B16"/>
    <w:rsid w:val="00C63D8C"/>
    <w:rsid w:val="00C63DBE"/>
    <w:rsid w:val="00C64162"/>
    <w:rsid w:val="00C64904"/>
    <w:rsid w:val="00C64A43"/>
    <w:rsid w:val="00C64BFF"/>
    <w:rsid w:val="00C659CF"/>
    <w:rsid w:val="00C65B4A"/>
    <w:rsid w:val="00C65F20"/>
    <w:rsid w:val="00C6685B"/>
    <w:rsid w:val="00C6771D"/>
    <w:rsid w:val="00C70007"/>
    <w:rsid w:val="00C705D7"/>
    <w:rsid w:val="00C70B67"/>
    <w:rsid w:val="00C71362"/>
    <w:rsid w:val="00C71552"/>
    <w:rsid w:val="00C71627"/>
    <w:rsid w:val="00C71DDA"/>
    <w:rsid w:val="00C71FD4"/>
    <w:rsid w:val="00C72705"/>
    <w:rsid w:val="00C72C3C"/>
    <w:rsid w:val="00C72E1D"/>
    <w:rsid w:val="00C7302F"/>
    <w:rsid w:val="00C73560"/>
    <w:rsid w:val="00C7368D"/>
    <w:rsid w:val="00C73ABA"/>
    <w:rsid w:val="00C73CFE"/>
    <w:rsid w:val="00C73FB2"/>
    <w:rsid w:val="00C74186"/>
    <w:rsid w:val="00C7498A"/>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618"/>
    <w:rsid w:val="00C81749"/>
    <w:rsid w:val="00C81C1D"/>
    <w:rsid w:val="00C81F6E"/>
    <w:rsid w:val="00C822DC"/>
    <w:rsid w:val="00C82679"/>
    <w:rsid w:val="00C826C9"/>
    <w:rsid w:val="00C834A5"/>
    <w:rsid w:val="00C835AA"/>
    <w:rsid w:val="00C83681"/>
    <w:rsid w:val="00C839F5"/>
    <w:rsid w:val="00C84311"/>
    <w:rsid w:val="00C84420"/>
    <w:rsid w:val="00C8574A"/>
    <w:rsid w:val="00C863C1"/>
    <w:rsid w:val="00C87039"/>
    <w:rsid w:val="00C87F3E"/>
    <w:rsid w:val="00C90862"/>
    <w:rsid w:val="00C90E47"/>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40C"/>
    <w:rsid w:val="00CA5D0D"/>
    <w:rsid w:val="00CA60C1"/>
    <w:rsid w:val="00CA721B"/>
    <w:rsid w:val="00CA7C67"/>
    <w:rsid w:val="00CB0113"/>
    <w:rsid w:val="00CB03D1"/>
    <w:rsid w:val="00CB0423"/>
    <w:rsid w:val="00CB0609"/>
    <w:rsid w:val="00CB0872"/>
    <w:rsid w:val="00CB25A9"/>
    <w:rsid w:val="00CB32EA"/>
    <w:rsid w:val="00CB3A9F"/>
    <w:rsid w:val="00CB3CA5"/>
    <w:rsid w:val="00CB3E17"/>
    <w:rsid w:val="00CB416A"/>
    <w:rsid w:val="00CB432A"/>
    <w:rsid w:val="00CB4B4D"/>
    <w:rsid w:val="00CB4C4D"/>
    <w:rsid w:val="00CB5608"/>
    <w:rsid w:val="00CB5872"/>
    <w:rsid w:val="00CB66E0"/>
    <w:rsid w:val="00CB6AE0"/>
    <w:rsid w:val="00CB6B9D"/>
    <w:rsid w:val="00CB6C57"/>
    <w:rsid w:val="00CC01AB"/>
    <w:rsid w:val="00CC0656"/>
    <w:rsid w:val="00CC1219"/>
    <w:rsid w:val="00CC19EB"/>
    <w:rsid w:val="00CC1FE5"/>
    <w:rsid w:val="00CC1FE7"/>
    <w:rsid w:val="00CC2245"/>
    <w:rsid w:val="00CC2B56"/>
    <w:rsid w:val="00CC2E55"/>
    <w:rsid w:val="00CC3B3A"/>
    <w:rsid w:val="00CC4E03"/>
    <w:rsid w:val="00CC55F6"/>
    <w:rsid w:val="00CC65FE"/>
    <w:rsid w:val="00CC68D1"/>
    <w:rsid w:val="00CC6AF7"/>
    <w:rsid w:val="00CC6D14"/>
    <w:rsid w:val="00CC6D61"/>
    <w:rsid w:val="00CC772D"/>
    <w:rsid w:val="00CC773A"/>
    <w:rsid w:val="00CC7926"/>
    <w:rsid w:val="00CC7F6F"/>
    <w:rsid w:val="00CD027E"/>
    <w:rsid w:val="00CD05F6"/>
    <w:rsid w:val="00CD129A"/>
    <w:rsid w:val="00CD1666"/>
    <w:rsid w:val="00CD194F"/>
    <w:rsid w:val="00CD1E5B"/>
    <w:rsid w:val="00CD278A"/>
    <w:rsid w:val="00CD38DD"/>
    <w:rsid w:val="00CD3E0F"/>
    <w:rsid w:val="00CD3E20"/>
    <w:rsid w:val="00CD3E22"/>
    <w:rsid w:val="00CD3EF5"/>
    <w:rsid w:val="00CD4DE2"/>
    <w:rsid w:val="00CD5060"/>
    <w:rsid w:val="00CD5667"/>
    <w:rsid w:val="00CD5790"/>
    <w:rsid w:val="00CD5D34"/>
    <w:rsid w:val="00CD5D82"/>
    <w:rsid w:val="00CD6151"/>
    <w:rsid w:val="00CD7123"/>
    <w:rsid w:val="00CD7230"/>
    <w:rsid w:val="00CD7596"/>
    <w:rsid w:val="00CD7D7D"/>
    <w:rsid w:val="00CE02AE"/>
    <w:rsid w:val="00CE0B96"/>
    <w:rsid w:val="00CE0E10"/>
    <w:rsid w:val="00CE1376"/>
    <w:rsid w:val="00CE16FA"/>
    <w:rsid w:val="00CE257D"/>
    <w:rsid w:val="00CE2775"/>
    <w:rsid w:val="00CE40F9"/>
    <w:rsid w:val="00CE410B"/>
    <w:rsid w:val="00CE4715"/>
    <w:rsid w:val="00CE4942"/>
    <w:rsid w:val="00CE5BF4"/>
    <w:rsid w:val="00CE6491"/>
    <w:rsid w:val="00CE6AE6"/>
    <w:rsid w:val="00CE6D63"/>
    <w:rsid w:val="00CE71A6"/>
    <w:rsid w:val="00CE7D77"/>
    <w:rsid w:val="00CF0B9B"/>
    <w:rsid w:val="00CF0EF7"/>
    <w:rsid w:val="00CF1155"/>
    <w:rsid w:val="00CF1341"/>
    <w:rsid w:val="00CF14CF"/>
    <w:rsid w:val="00CF1687"/>
    <w:rsid w:val="00CF2580"/>
    <w:rsid w:val="00CF2673"/>
    <w:rsid w:val="00CF33C2"/>
    <w:rsid w:val="00CF3503"/>
    <w:rsid w:val="00CF3B07"/>
    <w:rsid w:val="00CF41C3"/>
    <w:rsid w:val="00CF46F8"/>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0E70"/>
    <w:rsid w:val="00D0104F"/>
    <w:rsid w:val="00D01F8F"/>
    <w:rsid w:val="00D0200B"/>
    <w:rsid w:val="00D0212E"/>
    <w:rsid w:val="00D02381"/>
    <w:rsid w:val="00D0245B"/>
    <w:rsid w:val="00D02CB6"/>
    <w:rsid w:val="00D033BC"/>
    <w:rsid w:val="00D0496B"/>
    <w:rsid w:val="00D049AF"/>
    <w:rsid w:val="00D04F51"/>
    <w:rsid w:val="00D04FAF"/>
    <w:rsid w:val="00D051C0"/>
    <w:rsid w:val="00D052CA"/>
    <w:rsid w:val="00D054DD"/>
    <w:rsid w:val="00D06167"/>
    <w:rsid w:val="00D062A1"/>
    <w:rsid w:val="00D06577"/>
    <w:rsid w:val="00D10405"/>
    <w:rsid w:val="00D10627"/>
    <w:rsid w:val="00D107C6"/>
    <w:rsid w:val="00D10F0D"/>
    <w:rsid w:val="00D112BF"/>
    <w:rsid w:val="00D11514"/>
    <w:rsid w:val="00D11FED"/>
    <w:rsid w:val="00D1240B"/>
    <w:rsid w:val="00D12703"/>
    <w:rsid w:val="00D12A48"/>
    <w:rsid w:val="00D1337D"/>
    <w:rsid w:val="00D13676"/>
    <w:rsid w:val="00D1387C"/>
    <w:rsid w:val="00D13B0C"/>
    <w:rsid w:val="00D13E9A"/>
    <w:rsid w:val="00D140E7"/>
    <w:rsid w:val="00D14472"/>
    <w:rsid w:val="00D14714"/>
    <w:rsid w:val="00D14B64"/>
    <w:rsid w:val="00D14C06"/>
    <w:rsid w:val="00D154BB"/>
    <w:rsid w:val="00D15707"/>
    <w:rsid w:val="00D16534"/>
    <w:rsid w:val="00D1680F"/>
    <w:rsid w:val="00D17012"/>
    <w:rsid w:val="00D1714B"/>
    <w:rsid w:val="00D17539"/>
    <w:rsid w:val="00D17582"/>
    <w:rsid w:val="00D179F1"/>
    <w:rsid w:val="00D2076D"/>
    <w:rsid w:val="00D20B9A"/>
    <w:rsid w:val="00D20C02"/>
    <w:rsid w:val="00D21196"/>
    <w:rsid w:val="00D211D7"/>
    <w:rsid w:val="00D21A75"/>
    <w:rsid w:val="00D21D35"/>
    <w:rsid w:val="00D21D73"/>
    <w:rsid w:val="00D22194"/>
    <w:rsid w:val="00D22546"/>
    <w:rsid w:val="00D22AD6"/>
    <w:rsid w:val="00D230FF"/>
    <w:rsid w:val="00D23289"/>
    <w:rsid w:val="00D23A6E"/>
    <w:rsid w:val="00D23F34"/>
    <w:rsid w:val="00D246BB"/>
    <w:rsid w:val="00D25542"/>
    <w:rsid w:val="00D257A7"/>
    <w:rsid w:val="00D261EA"/>
    <w:rsid w:val="00D261F5"/>
    <w:rsid w:val="00D27F12"/>
    <w:rsid w:val="00D302EB"/>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30EB"/>
    <w:rsid w:val="00D436BE"/>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1A58"/>
    <w:rsid w:val="00D53355"/>
    <w:rsid w:val="00D53412"/>
    <w:rsid w:val="00D53AB0"/>
    <w:rsid w:val="00D53E0C"/>
    <w:rsid w:val="00D54119"/>
    <w:rsid w:val="00D543DE"/>
    <w:rsid w:val="00D547E8"/>
    <w:rsid w:val="00D549BD"/>
    <w:rsid w:val="00D54C3F"/>
    <w:rsid w:val="00D55B19"/>
    <w:rsid w:val="00D55BE0"/>
    <w:rsid w:val="00D55D95"/>
    <w:rsid w:val="00D563DE"/>
    <w:rsid w:val="00D566FA"/>
    <w:rsid w:val="00D57692"/>
    <w:rsid w:val="00D60299"/>
    <w:rsid w:val="00D6056F"/>
    <w:rsid w:val="00D605F6"/>
    <w:rsid w:val="00D60835"/>
    <w:rsid w:val="00D609AC"/>
    <w:rsid w:val="00D61274"/>
    <w:rsid w:val="00D61474"/>
    <w:rsid w:val="00D61B7A"/>
    <w:rsid w:val="00D61EFD"/>
    <w:rsid w:val="00D6221D"/>
    <w:rsid w:val="00D623AB"/>
    <w:rsid w:val="00D62718"/>
    <w:rsid w:val="00D627FE"/>
    <w:rsid w:val="00D629E2"/>
    <w:rsid w:val="00D62C91"/>
    <w:rsid w:val="00D63406"/>
    <w:rsid w:val="00D6349F"/>
    <w:rsid w:val="00D63574"/>
    <w:rsid w:val="00D6376F"/>
    <w:rsid w:val="00D63DCE"/>
    <w:rsid w:val="00D6431F"/>
    <w:rsid w:val="00D64D53"/>
    <w:rsid w:val="00D64FD9"/>
    <w:rsid w:val="00D65204"/>
    <w:rsid w:val="00D663A2"/>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195D"/>
    <w:rsid w:val="00D72198"/>
    <w:rsid w:val="00D72296"/>
    <w:rsid w:val="00D7252E"/>
    <w:rsid w:val="00D72681"/>
    <w:rsid w:val="00D72C9D"/>
    <w:rsid w:val="00D72F51"/>
    <w:rsid w:val="00D73A38"/>
    <w:rsid w:val="00D73FCE"/>
    <w:rsid w:val="00D7449B"/>
    <w:rsid w:val="00D74626"/>
    <w:rsid w:val="00D74906"/>
    <w:rsid w:val="00D74DC1"/>
    <w:rsid w:val="00D750B0"/>
    <w:rsid w:val="00D750E2"/>
    <w:rsid w:val="00D75706"/>
    <w:rsid w:val="00D75DF9"/>
    <w:rsid w:val="00D75E15"/>
    <w:rsid w:val="00D76AAC"/>
    <w:rsid w:val="00D80673"/>
    <w:rsid w:val="00D80AA9"/>
    <w:rsid w:val="00D80E1F"/>
    <w:rsid w:val="00D8161E"/>
    <w:rsid w:val="00D81A40"/>
    <w:rsid w:val="00D81DBF"/>
    <w:rsid w:val="00D8227C"/>
    <w:rsid w:val="00D82657"/>
    <w:rsid w:val="00D8290D"/>
    <w:rsid w:val="00D829AC"/>
    <w:rsid w:val="00D82C14"/>
    <w:rsid w:val="00D82CD7"/>
    <w:rsid w:val="00D836B6"/>
    <w:rsid w:val="00D83913"/>
    <w:rsid w:val="00D84793"/>
    <w:rsid w:val="00D849A6"/>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360"/>
    <w:rsid w:val="00D929B6"/>
    <w:rsid w:val="00D92D57"/>
    <w:rsid w:val="00D93CB2"/>
    <w:rsid w:val="00D94992"/>
    <w:rsid w:val="00D95600"/>
    <w:rsid w:val="00D95D66"/>
    <w:rsid w:val="00D9616B"/>
    <w:rsid w:val="00D9654F"/>
    <w:rsid w:val="00D967CE"/>
    <w:rsid w:val="00D96B46"/>
    <w:rsid w:val="00D96C61"/>
    <w:rsid w:val="00D96E35"/>
    <w:rsid w:val="00D97428"/>
    <w:rsid w:val="00D97583"/>
    <w:rsid w:val="00D979EB"/>
    <w:rsid w:val="00DA02D0"/>
    <w:rsid w:val="00DA039B"/>
    <w:rsid w:val="00DA174C"/>
    <w:rsid w:val="00DA27A4"/>
    <w:rsid w:val="00DA2924"/>
    <w:rsid w:val="00DA2B2F"/>
    <w:rsid w:val="00DA2BF5"/>
    <w:rsid w:val="00DA30A4"/>
    <w:rsid w:val="00DA3552"/>
    <w:rsid w:val="00DA3CAC"/>
    <w:rsid w:val="00DA42E7"/>
    <w:rsid w:val="00DA43C0"/>
    <w:rsid w:val="00DA43CC"/>
    <w:rsid w:val="00DA4754"/>
    <w:rsid w:val="00DA4821"/>
    <w:rsid w:val="00DA49B9"/>
    <w:rsid w:val="00DA4FA7"/>
    <w:rsid w:val="00DA5ABA"/>
    <w:rsid w:val="00DA68AC"/>
    <w:rsid w:val="00DA69C1"/>
    <w:rsid w:val="00DA7369"/>
    <w:rsid w:val="00DA737C"/>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2"/>
    <w:rsid w:val="00DB7F04"/>
    <w:rsid w:val="00DC121C"/>
    <w:rsid w:val="00DC1CF1"/>
    <w:rsid w:val="00DC1D82"/>
    <w:rsid w:val="00DC20CD"/>
    <w:rsid w:val="00DC2183"/>
    <w:rsid w:val="00DC2F3D"/>
    <w:rsid w:val="00DC3879"/>
    <w:rsid w:val="00DC3D28"/>
    <w:rsid w:val="00DC3F37"/>
    <w:rsid w:val="00DC42F9"/>
    <w:rsid w:val="00DC42FA"/>
    <w:rsid w:val="00DC44A1"/>
    <w:rsid w:val="00DC44F5"/>
    <w:rsid w:val="00DC450E"/>
    <w:rsid w:val="00DC4AB1"/>
    <w:rsid w:val="00DC4B63"/>
    <w:rsid w:val="00DC5220"/>
    <w:rsid w:val="00DC546E"/>
    <w:rsid w:val="00DC654D"/>
    <w:rsid w:val="00DC6630"/>
    <w:rsid w:val="00DC7391"/>
    <w:rsid w:val="00DC787A"/>
    <w:rsid w:val="00DC7A43"/>
    <w:rsid w:val="00DC7D6D"/>
    <w:rsid w:val="00DD01C4"/>
    <w:rsid w:val="00DD0553"/>
    <w:rsid w:val="00DD0B20"/>
    <w:rsid w:val="00DD0BBF"/>
    <w:rsid w:val="00DD0CC4"/>
    <w:rsid w:val="00DD0F5F"/>
    <w:rsid w:val="00DD10D3"/>
    <w:rsid w:val="00DD15C7"/>
    <w:rsid w:val="00DD1DF0"/>
    <w:rsid w:val="00DD27BF"/>
    <w:rsid w:val="00DD306F"/>
    <w:rsid w:val="00DD322D"/>
    <w:rsid w:val="00DD33FE"/>
    <w:rsid w:val="00DD3487"/>
    <w:rsid w:val="00DD4022"/>
    <w:rsid w:val="00DD4A77"/>
    <w:rsid w:val="00DD5638"/>
    <w:rsid w:val="00DD596D"/>
    <w:rsid w:val="00DD5C98"/>
    <w:rsid w:val="00DD6906"/>
    <w:rsid w:val="00DD7661"/>
    <w:rsid w:val="00DD7BB7"/>
    <w:rsid w:val="00DD7D6D"/>
    <w:rsid w:val="00DD7F62"/>
    <w:rsid w:val="00DE035B"/>
    <w:rsid w:val="00DE05C3"/>
    <w:rsid w:val="00DE1138"/>
    <w:rsid w:val="00DE1141"/>
    <w:rsid w:val="00DE153E"/>
    <w:rsid w:val="00DE1C95"/>
    <w:rsid w:val="00DE20B1"/>
    <w:rsid w:val="00DE2812"/>
    <w:rsid w:val="00DE29EC"/>
    <w:rsid w:val="00DE325A"/>
    <w:rsid w:val="00DE3A1E"/>
    <w:rsid w:val="00DE3C75"/>
    <w:rsid w:val="00DE3E14"/>
    <w:rsid w:val="00DE3E94"/>
    <w:rsid w:val="00DE4155"/>
    <w:rsid w:val="00DE490E"/>
    <w:rsid w:val="00DE4D71"/>
    <w:rsid w:val="00DE567F"/>
    <w:rsid w:val="00DE5B0E"/>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2F95"/>
    <w:rsid w:val="00DF31A4"/>
    <w:rsid w:val="00DF3393"/>
    <w:rsid w:val="00DF36ED"/>
    <w:rsid w:val="00DF41A5"/>
    <w:rsid w:val="00DF4D8F"/>
    <w:rsid w:val="00DF5ADB"/>
    <w:rsid w:val="00DF5BF3"/>
    <w:rsid w:val="00DF6002"/>
    <w:rsid w:val="00DF64A5"/>
    <w:rsid w:val="00DF6579"/>
    <w:rsid w:val="00DF6887"/>
    <w:rsid w:val="00DF6A03"/>
    <w:rsid w:val="00DF6C8B"/>
    <w:rsid w:val="00DF6FCC"/>
    <w:rsid w:val="00DF786E"/>
    <w:rsid w:val="00E0098F"/>
    <w:rsid w:val="00E01068"/>
    <w:rsid w:val="00E010AA"/>
    <w:rsid w:val="00E0183B"/>
    <w:rsid w:val="00E019C0"/>
    <w:rsid w:val="00E01D9F"/>
    <w:rsid w:val="00E0212B"/>
    <w:rsid w:val="00E03389"/>
    <w:rsid w:val="00E03465"/>
    <w:rsid w:val="00E03741"/>
    <w:rsid w:val="00E03A88"/>
    <w:rsid w:val="00E03AD6"/>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37B9"/>
    <w:rsid w:val="00E14E92"/>
    <w:rsid w:val="00E1528C"/>
    <w:rsid w:val="00E15544"/>
    <w:rsid w:val="00E1582A"/>
    <w:rsid w:val="00E1595A"/>
    <w:rsid w:val="00E159D5"/>
    <w:rsid w:val="00E165F0"/>
    <w:rsid w:val="00E16991"/>
    <w:rsid w:val="00E173C0"/>
    <w:rsid w:val="00E17F72"/>
    <w:rsid w:val="00E205CE"/>
    <w:rsid w:val="00E20702"/>
    <w:rsid w:val="00E20861"/>
    <w:rsid w:val="00E208B0"/>
    <w:rsid w:val="00E20F5A"/>
    <w:rsid w:val="00E211D2"/>
    <w:rsid w:val="00E2162A"/>
    <w:rsid w:val="00E21D60"/>
    <w:rsid w:val="00E21FFC"/>
    <w:rsid w:val="00E22567"/>
    <w:rsid w:val="00E22ED8"/>
    <w:rsid w:val="00E22F9B"/>
    <w:rsid w:val="00E23E9C"/>
    <w:rsid w:val="00E243B9"/>
    <w:rsid w:val="00E24785"/>
    <w:rsid w:val="00E25536"/>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073"/>
    <w:rsid w:val="00E314F5"/>
    <w:rsid w:val="00E31F08"/>
    <w:rsid w:val="00E32593"/>
    <w:rsid w:val="00E329AE"/>
    <w:rsid w:val="00E331B9"/>
    <w:rsid w:val="00E331E1"/>
    <w:rsid w:val="00E33D05"/>
    <w:rsid w:val="00E33D4E"/>
    <w:rsid w:val="00E34039"/>
    <w:rsid w:val="00E342C1"/>
    <w:rsid w:val="00E34946"/>
    <w:rsid w:val="00E34C13"/>
    <w:rsid w:val="00E3591D"/>
    <w:rsid w:val="00E35BE3"/>
    <w:rsid w:val="00E35DE1"/>
    <w:rsid w:val="00E36211"/>
    <w:rsid w:val="00E3623A"/>
    <w:rsid w:val="00E3691A"/>
    <w:rsid w:val="00E36FF7"/>
    <w:rsid w:val="00E370C3"/>
    <w:rsid w:val="00E371C0"/>
    <w:rsid w:val="00E373BE"/>
    <w:rsid w:val="00E37838"/>
    <w:rsid w:val="00E37E20"/>
    <w:rsid w:val="00E41066"/>
    <w:rsid w:val="00E419B5"/>
    <w:rsid w:val="00E419C4"/>
    <w:rsid w:val="00E41EA4"/>
    <w:rsid w:val="00E4211F"/>
    <w:rsid w:val="00E425A8"/>
    <w:rsid w:val="00E42C05"/>
    <w:rsid w:val="00E42DBF"/>
    <w:rsid w:val="00E42E07"/>
    <w:rsid w:val="00E4385C"/>
    <w:rsid w:val="00E43B35"/>
    <w:rsid w:val="00E43DD0"/>
    <w:rsid w:val="00E43FA5"/>
    <w:rsid w:val="00E4421D"/>
    <w:rsid w:val="00E4501C"/>
    <w:rsid w:val="00E45108"/>
    <w:rsid w:val="00E45685"/>
    <w:rsid w:val="00E459F4"/>
    <w:rsid w:val="00E45CF0"/>
    <w:rsid w:val="00E45E33"/>
    <w:rsid w:val="00E45FCD"/>
    <w:rsid w:val="00E46576"/>
    <w:rsid w:val="00E470F9"/>
    <w:rsid w:val="00E47E5F"/>
    <w:rsid w:val="00E505EE"/>
    <w:rsid w:val="00E50759"/>
    <w:rsid w:val="00E510B3"/>
    <w:rsid w:val="00E5119A"/>
    <w:rsid w:val="00E52547"/>
    <w:rsid w:val="00E52C51"/>
    <w:rsid w:val="00E52D09"/>
    <w:rsid w:val="00E53A5D"/>
    <w:rsid w:val="00E55901"/>
    <w:rsid w:val="00E56137"/>
    <w:rsid w:val="00E56627"/>
    <w:rsid w:val="00E56982"/>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709"/>
    <w:rsid w:val="00E6799E"/>
    <w:rsid w:val="00E67AFB"/>
    <w:rsid w:val="00E67B09"/>
    <w:rsid w:val="00E67B3C"/>
    <w:rsid w:val="00E67EE6"/>
    <w:rsid w:val="00E67FD3"/>
    <w:rsid w:val="00E702DE"/>
    <w:rsid w:val="00E70C24"/>
    <w:rsid w:val="00E7151F"/>
    <w:rsid w:val="00E71913"/>
    <w:rsid w:val="00E72A20"/>
    <w:rsid w:val="00E72AB7"/>
    <w:rsid w:val="00E72C26"/>
    <w:rsid w:val="00E739E4"/>
    <w:rsid w:val="00E73DE4"/>
    <w:rsid w:val="00E73F26"/>
    <w:rsid w:val="00E7432F"/>
    <w:rsid w:val="00E749C1"/>
    <w:rsid w:val="00E74D14"/>
    <w:rsid w:val="00E75177"/>
    <w:rsid w:val="00E75317"/>
    <w:rsid w:val="00E75762"/>
    <w:rsid w:val="00E75963"/>
    <w:rsid w:val="00E75F4D"/>
    <w:rsid w:val="00E763C1"/>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74"/>
    <w:rsid w:val="00E82DCD"/>
    <w:rsid w:val="00E83B06"/>
    <w:rsid w:val="00E83BFC"/>
    <w:rsid w:val="00E83DE8"/>
    <w:rsid w:val="00E83FA2"/>
    <w:rsid w:val="00E84567"/>
    <w:rsid w:val="00E84FB1"/>
    <w:rsid w:val="00E865B2"/>
    <w:rsid w:val="00E866CB"/>
    <w:rsid w:val="00E866E6"/>
    <w:rsid w:val="00E86FCD"/>
    <w:rsid w:val="00E87012"/>
    <w:rsid w:val="00E87A0B"/>
    <w:rsid w:val="00E87A20"/>
    <w:rsid w:val="00E87A59"/>
    <w:rsid w:val="00E87BF6"/>
    <w:rsid w:val="00E87D72"/>
    <w:rsid w:val="00E87EBE"/>
    <w:rsid w:val="00E90839"/>
    <w:rsid w:val="00E913A1"/>
    <w:rsid w:val="00E92400"/>
    <w:rsid w:val="00E925A3"/>
    <w:rsid w:val="00E925E6"/>
    <w:rsid w:val="00E926D5"/>
    <w:rsid w:val="00E92827"/>
    <w:rsid w:val="00E9286B"/>
    <w:rsid w:val="00E93083"/>
    <w:rsid w:val="00E93437"/>
    <w:rsid w:val="00E938D9"/>
    <w:rsid w:val="00E942BC"/>
    <w:rsid w:val="00E945AD"/>
    <w:rsid w:val="00E9480F"/>
    <w:rsid w:val="00E94E47"/>
    <w:rsid w:val="00E9515E"/>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7FA"/>
    <w:rsid w:val="00EA4BC8"/>
    <w:rsid w:val="00EA4C58"/>
    <w:rsid w:val="00EA4DA1"/>
    <w:rsid w:val="00EA54BC"/>
    <w:rsid w:val="00EA6BD8"/>
    <w:rsid w:val="00EA73C3"/>
    <w:rsid w:val="00EA74EB"/>
    <w:rsid w:val="00EA760C"/>
    <w:rsid w:val="00EA7768"/>
    <w:rsid w:val="00EA7FD8"/>
    <w:rsid w:val="00EB04BD"/>
    <w:rsid w:val="00EB09BB"/>
    <w:rsid w:val="00EB0AFF"/>
    <w:rsid w:val="00EB141B"/>
    <w:rsid w:val="00EB164A"/>
    <w:rsid w:val="00EB1823"/>
    <w:rsid w:val="00EB1F4B"/>
    <w:rsid w:val="00EB2194"/>
    <w:rsid w:val="00EB2338"/>
    <w:rsid w:val="00EB2640"/>
    <w:rsid w:val="00EB2850"/>
    <w:rsid w:val="00EB327C"/>
    <w:rsid w:val="00EB361A"/>
    <w:rsid w:val="00EB3FF4"/>
    <w:rsid w:val="00EB5E6B"/>
    <w:rsid w:val="00EB6394"/>
    <w:rsid w:val="00EB65CC"/>
    <w:rsid w:val="00EB691A"/>
    <w:rsid w:val="00EB7562"/>
    <w:rsid w:val="00EC00C9"/>
    <w:rsid w:val="00EC03D0"/>
    <w:rsid w:val="00EC0730"/>
    <w:rsid w:val="00EC0F13"/>
    <w:rsid w:val="00EC1185"/>
    <w:rsid w:val="00EC18D0"/>
    <w:rsid w:val="00EC1D9B"/>
    <w:rsid w:val="00EC1F15"/>
    <w:rsid w:val="00EC1FF3"/>
    <w:rsid w:val="00EC20A5"/>
    <w:rsid w:val="00EC260E"/>
    <w:rsid w:val="00EC26CA"/>
    <w:rsid w:val="00EC2A29"/>
    <w:rsid w:val="00EC2A77"/>
    <w:rsid w:val="00EC2D6F"/>
    <w:rsid w:val="00EC2DAE"/>
    <w:rsid w:val="00EC2E10"/>
    <w:rsid w:val="00EC2F95"/>
    <w:rsid w:val="00EC43B7"/>
    <w:rsid w:val="00EC44B4"/>
    <w:rsid w:val="00EC4608"/>
    <w:rsid w:val="00EC4AA8"/>
    <w:rsid w:val="00EC502E"/>
    <w:rsid w:val="00EC514B"/>
    <w:rsid w:val="00EC5479"/>
    <w:rsid w:val="00EC547E"/>
    <w:rsid w:val="00EC55F3"/>
    <w:rsid w:val="00EC6278"/>
    <w:rsid w:val="00EC6492"/>
    <w:rsid w:val="00EC65B1"/>
    <w:rsid w:val="00EC6AE1"/>
    <w:rsid w:val="00EC6E55"/>
    <w:rsid w:val="00EC6FD6"/>
    <w:rsid w:val="00EC7138"/>
    <w:rsid w:val="00EC7573"/>
    <w:rsid w:val="00EC798B"/>
    <w:rsid w:val="00EC7B75"/>
    <w:rsid w:val="00ED01C3"/>
    <w:rsid w:val="00ED03B7"/>
    <w:rsid w:val="00ED0B0F"/>
    <w:rsid w:val="00ED1312"/>
    <w:rsid w:val="00ED184C"/>
    <w:rsid w:val="00ED19B0"/>
    <w:rsid w:val="00ED2055"/>
    <w:rsid w:val="00ED35D7"/>
    <w:rsid w:val="00ED3BFA"/>
    <w:rsid w:val="00ED3E76"/>
    <w:rsid w:val="00ED4C3C"/>
    <w:rsid w:val="00ED4DFA"/>
    <w:rsid w:val="00ED4FCB"/>
    <w:rsid w:val="00ED5182"/>
    <w:rsid w:val="00ED589A"/>
    <w:rsid w:val="00ED7139"/>
    <w:rsid w:val="00ED73DE"/>
    <w:rsid w:val="00ED772B"/>
    <w:rsid w:val="00ED7D3E"/>
    <w:rsid w:val="00EE05A9"/>
    <w:rsid w:val="00EE09C8"/>
    <w:rsid w:val="00EE0E9F"/>
    <w:rsid w:val="00EE1389"/>
    <w:rsid w:val="00EE14EC"/>
    <w:rsid w:val="00EE2DE0"/>
    <w:rsid w:val="00EE2FCD"/>
    <w:rsid w:val="00EE35F9"/>
    <w:rsid w:val="00EE36F8"/>
    <w:rsid w:val="00EE3AF2"/>
    <w:rsid w:val="00EE3E28"/>
    <w:rsid w:val="00EE3F61"/>
    <w:rsid w:val="00EE4FF9"/>
    <w:rsid w:val="00EE5179"/>
    <w:rsid w:val="00EE5318"/>
    <w:rsid w:val="00EE543C"/>
    <w:rsid w:val="00EE5D5A"/>
    <w:rsid w:val="00EE5D96"/>
    <w:rsid w:val="00EE6297"/>
    <w:rsid w:val="00EE6CA7"/>
    <w:rsid w:val="00EE6D8B"/>
    <w:rsid w:val="00EE7105"/>
    <w:rsid w:val="00EE7235"/>
    <w:rsid w:val="00EE738E"/>
    <w:rsid w:val="00EF03E5"/>
    <w:rsid w:val="00EF1124"/>
    <w:rsid w:val="00EF1A91"/>
    <w:rsid w:val="00EF1AD9"/>
    <w:rsid w:val="00EF1DBD"/>
    <w:rsid w:val="00EF2E5C"/>
    <w:rsid w:val="00EF31A5"/>
    <w:rsid w:val="00EF389F"/>
    <w:rsid w:val="00EF39C6"/>
    <w:rsid w:val="00EF39CC"/>
    <w:rsid w:val="00EF3A11"/>
    <w:rsid w:val="00EF3C44"/>
    <w:rsid w:val="00EF4004"/>
    <w:rsid w:val="00EF4638"/>
    <w:rsid w:val="00EF4D27"/>
    <w:rsid w:val="00EF5D98"/>
    <w:rsid w:val="00EF5E83"/>
    <w:rsid w:val="00EF5EFE"/>
    <w:rsid w:val="00EF60A3"/>
    <w:rsid w:val="00EF63C6"/>
    <w:rsid w:val="00EF6766"/>
    <w:rsid w:val="00EF6A77"/>
    <w:rsid w:val="00EF706F"/>
    <w:rsid w:val="00EF70AB"/>
    <w:rsid w:val="00EF7136"/>
    <w:rsid w:val="00EF75CB"/>
    <w:rsid w:val="00EF7A3C"/>
    <w:rsid w:val="00EF7B48"/>
    <w:rsid w:val="00F0011F"/>
    <w:rsid w:val="00F00A63"/>
    <w:rsid w:val="00F00ACC"/>
    <w:rsid w:val="00F00D9F"/>
    <w:rsid w:val="00F01752"/>
    <w:rsid w:val="00F017AB"/>
    <w:rsid w:val="00F01849"/>
    <w:rsid w:val="00F01968"/>
    <w:rsid w:val="00F01B3A"/>
    <w:rsid w:val="00F01C69"/>
    <w:rsid w:val="00F01C79"/>
    <w:rsid w:val="00F02C72"/>
    <w:rsid w:val="00F03076"/>
    <w:rsid w:val="00F03175"/>
    <w:rsid w:val="00F034EC"/>
    <w:rsid w:val="00F037B3"/>
    <w:rsid w:val="00F03886"/>
    <w:rsid w:val="00F03ECF"/>
    <w:rsid w:val="00F04CEC"/>
    <w:rsid w:val="00F050F9"/>
    <w:rsid w:val="00F051CF"/>
    <w:rsid w:val="00F058EC"/>
    <w:rsid w:val="00F05F84"/>
    <w:rsid w:val="00F06684"/>
    <w:rsid w:val="00F067C2"/>
    <w:rsid w:val="00F06997"/>
    <w:rsid w:val="00F06B8F"/>
    <w:rsid w:val="00F0706D"/>
    <w:rsid w:val="00F07EB4"/>
    <w:rsid w:val="00F104C1"/>
    <w:rsid w:val="00F10674"/>
    <w:rsid w:val="00F10DC3"/>
    <w:rsid w:val="00F11421"/>
    <w:rsid w:val="00F1188C"/>
    <w:rsid w:val="00F1257C"/>
    <w:rsid w:val="00F126C2"/>
    <w:rsid w:val="00F139AA"/>
    <w:rsid w:val="00F13CC2"/>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4F9"/>
    <w:rsid w:val="00F16721"/>
    <w:rsid w:val="00F16854"/>
    <w:rsid w:val="00F16D28"/>
    <w:rsid w:val="00F16DCF"/>
    <w:rsid w:val="00F1720F"/>
    <w:rsid w:val="00F17494"/>
    <w:rsid w:val="00F17978"/>
    <w:rsid w:val="00F179A7"/>
    <w:rsid w:val="00F17A4F"/>
    <w:rsid w:val="00F17F57"/>
    <w:rsid w:val="00F208FA"/>
    <w:rsid w:val="00F20ADB"/>
    <w:rsid w:val="00F20F34"/>
    <w:rsid w:val="00F215B3"/>
    <w:rsid w:val="00F215CF"/>
    <w:rsid w:val="00F21A43"/>
    <w:rsid w:val="00F21EE4"/>
    <w:rsid w:val="00F21FC4"/>
    <w:rsid w:val="00F22C75"/>
    <w:rsid w:val="00F23A84"/>
    <w:rsid w:val="00F23B19"/>
    <w:rsid w:val="00F23B2C"/>
    <w:rsid w:val="00F23CCE"/>
    <w:rsid w:val="00F24127"/>
    <w:rsid w:val="00F245B2"/>
    <w:rsid w:val="00F246BF"/>
    <w:rsid w:val="00F24717"/>
    <w:rsid w:val="00F24860"/>
    <w:rsid w:val="00F2486C"/>
    <w:rsid w:val="00F24A5F"/>
    <w:rsid w:val="00F24BB7"/>
    <w:rsid w:val="00F251FF"/>
    <w:rsid w:val="00F25449"/>
    <w:rsid w:val="00F2557F"/>
    <w:rsid w:val="00F2611E"/>
    <w:rsid w:val="00F26152"/>
    <w:rsid w:val="00F267DC"/>
    <w:rsid w:val="00F26ACB"/>
    <w:rsid w:val="00F27205"/>
    <w:rsid w:val="00F27853"/>
    <w:rsid w:val="00F2785B"/>
    <w:rsid w:val="00F27950"/>
    <w:rsid w:val="00F27C8A"/>
    <w:rsid w:val="00F301E5"/>
    <w:rsid w:val="00F30759"/>
    <w:rsid w:val="00F307E0"/>
    <w:rsid w:val="00F30F4A"/>
    <w:rsid w:val="00F31102"/>
    <w:rsid w:val="00F31273"/>
    <w:rsid w:val="00F313B2"/>
    <w:rsid w:val="00F32172"/>
    <w:rsid w:val="00F32A41"/>
    <w:rsid w:val="00F32AC6"/>
    <w:rsid w:val="00F32EB0"/>
    <w:rsid w:val="00F3414B"/>
    <w:rsid w:val="00F348EC"/>
    <w:rsid w:val="00F34C06"/>
    <w:rsid w:val="00F3510D"/>
    <w:rsid w:val="00F35197"/>
    <w:rsid w:val="00F35225"/>
    <w:rsid w:val="00F35C34"/>
    <w:rsid w:val="00F36850"/>
    <w:rsid w:val="00F36BFF"/>
    <w:rsid w:val="00F37C85"/>
    <w:rsid w:val="00F37DD0"/>
    <w:rsid w:val="00F40216"/>
    <w:rsid w:val="00F402D8"/>
    <w:rsid w:val="00F40900"/>
    <w:rsid w:val="00F40D25"/>
    <w:rsid w:val="00F41427"/>
    <w:rsid w:val="00F41DD8"/>
    <w:rsid w:val="00F4308A"/>
    <w:rsid w:val="00F43522"/>
    <w:rsid w:val="00F437B4"/>
    <w:rsid w:val="00F444CC"/>
    <w:rsid w:val="00F44592"/>
    <w:rsid w:val="00F45A09"/>
    <w:rsid w:val="00F460E9"/>
    <w:rsid w:val="00F460ED"/>
    <w:rsid w:val="00F4627C"/>
    <w:rsid w:val="00F4637A"/>
    <w:rsid w:val="00F4769F"/>
    <w:rsid w:val="00F47C4A"/>
    <w:rsid w:val="00F50302"/>
    <w:rsid w:val="00F50799"/>
    <w:rsid w:val="00F50C8F"/>
    <w:rsid w:val="00F514ED"/>
    <w:rsid w:val="00F51614"/>
    <w:rsid w:val="00F51B69"/>
    <w:rsid w:val="00F520EF"/>
    <w:rsid w:val="00F52121"/>
    <w:rsid w:val="00F538F7"/>
    <w:rsid w:val="00F539B9"/>
    <w:rsid w:val="00F53C26"/>
    <w:rsid w:val="00F54294"/>
    <w:rsid w:val="00F543EA"/>
    <w:rsid w:val="00F54AC1"/>
    <w:rsid w:val="00F54D20"/>
    <w:rsid w:val="00F55196"/>
    <w:rsid w:val="00F55967"/>
    <w:rsid w:val="00F55B11"/>
    <w:rsid w:val="00F56579"/>
    <w:rsid w:val="00F56C82"/>
    <w:rsid w:val="00F56DAF"/>
    <w:rsid w:val="00F5729C"/>
    <w:rsid w:val="00F57975"/>
    <w:rsid w:val="00F579CF"/>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67FFD"/>
    <w:rsid w:val="00F70FB4"/>
    <w:rsid w:val="00F71B80"/>
    <w:rsid w:val="00F72008"/>
    <w:rsid w:val="00F72024"/>
    <w:rsid w:val="00F72761"/>
    <w:rsid w:val="00F72887"/>
    <w:rsid w:val="00F736DA"/>
    <w:rsid w:val="00F73D51"/>
    <w:rsid w:val="00F751FD"/>
    <w:rsid w:val="00F75523"/>
    <w:rsid w:val="00F7552D"/>
    <w:rsid w:val="00F75DB6"/>
    <w:rsid w:val="00F7609C"/>
    <w:rsid w:val="00F76C5E"/>
    <w:rsid w:val="00F7702C"/>
    <w:rsid w:val="00F77300"/>
    <w:rsid w:val="00F7734E"/>
    <w:rsid w:val="00F777D4"/>
    <w:rsid w:val="00F779CA"/>
    <w:rsid w:val="00F77E9E"/>
    <w:rsid w:val="00F803A4"/>
    <w:rsid w:val="00F80AC2"/>
    <w:rsid w:val="00F80BEE"/>
    <w:rsid w:val="00F80DD8"/>
    <w:rsid w:val="00F80F52"/>
    <w:rsid w:val="00F81A77"/>
    <w:rsid w:val="00F81B8F"/>
    <w:rsid w:val="00F82504"/>
    <w:rsid w:val="00F82544"/>
    <w:rsid w:val="00F83106"/>
    <w:rsid w:val="00F84792"/>
    <w:rsid w:val="00F84B07"/>
    <w:rsid w:val="00F863CD"/>
    <w:rsid w:val="00F866DD"/>
    <w:rsid w:val="00F8743A"/>
    <w:rsid w:val="00F87561"/>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4CF5"/>
    <w:rsid w:val="00F965F6"/>
    <w:rsid w:val="00F96A76"/>
    <w:rsid w:val="00F97A84"/>
    <w:rsid w:val="00F97CB7"/>
    <w:rsid w:val="00F97D73"/>
    <w:rsid w:val="00FA0CC6"/>
    <w:rsid w:val="00FA1001"/>
    <w:rsid w:val="00FA11D4"/>
    <w:rsid w:val="00FA123B"/>
    <w:rsid w:val="00FA1BAC"/>
    <w:rsid w:val="00FA2217"/>
    <w:rsid w:val="00FA2FF7"/>
    <w:rsid w:val="00FA3227"/>
    <w:rsid w:val="00FA34B4"/>
    <w:rsid w:val="00FA3A86"/>
    <w:rsid w:val="00FA3BC6"/>
    <w:rsid w:val="00FA4197"/>
    <w:rsid w:val="00FA4287"/>
    <w:rsid w:val="00FA4300"/>
    <w:rsid w:val="00FA4679"/>
    <w:rsid w:val="00FA50ED"/>
    <w:rsid w:val="00FA544B"/>
    <w:rsid w:val="00FA54B1"/>
    <w:rsid w:val="00FA5BBD"/>
    <w:rsid w:val="00FA5BE2"/>
    <w:rsid w:val="00FA5D0A"/>
    <w:rsid w:val="00FA60AC"/>
    <w:rsid w:val="00FA6358"/>
    <w:rsid w:val="00FA641B"/>
    <w:rsid w:val="00FA66D4"/>
    <w:rsid w:val="00FA6717"/>
    <w:rsid w:val="00FA6905"/>
    <w:rsid w:val="00FA6BF9"/>
    <w:rsid w:val="00FA6D32"/>
    <w:rsid w:val="00FA776D"/>
    <w:rsid w:val="00FB0B49"/>
    <w:rsid w:val="00FB12CC"/>
    <w:rsid w:val="00FB1DBC"/>
    <w:rsid w:val="00FB1FA9"/>
    <w:rsid w:val="00FB2524"/>
    <w:rsid w:val="00FB28A5"/>
    <w:rsid w:val="00FB2905"/>
    <w:rsid w:val="00FB2974"/>
    <w:rsid w:val="00FB305F"/>
    <w:rsid w:val="00FB43EB"/>
    <w:rsid w:val="00FB4C83"/>
    <w:rsid w:val="00FB5A0D"/>
    <w:rsid w:val="00FB5A18"/>
    <w:rsid w:val="00FB5BCC"/>
    <w:rsid w:val="00FB5DF4"/>
    <w:rsid w:val="00FB6785"/>
    <w:rsid w:val="00FB67BC"/>
    <w:rsid w:val="00FB6CF6"/>
    <w:rsid w:val="00FB7044"/>
    <w:rsid w:val="00FB7A86"/>
    <w:rsid w:val="00FB7B1C"/>
    <w:rsid w:val="00FB7F29"/>
    <w:rsid w:val="00FC0C24"/>
    <w:rsid w:val="00FC0CBD"/>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484"/>
    <w:rsid w:val="00FC78D6"/>
    <w:rsid w:val="00FC7952"/>
    <w:rsid w:val="00FC7F80"/>
    <w:rsid w:val="00FD059F"/>
    <w:rsid w:val="00FD060E"/>
    <w:rsid w:val="00FD0A11"/>
    <w:rsid w:val="00FD0A4E"/>
    <w:rsid w:val="00FD12B9"/>
    <w:rsid w:val="00FD1804"/>
    <w:rsid w:val="00FD1B79"/>
    <w:rsid w:val="00FD1CD6"/>
    <w:rsid w:val="00FD258E"/>
    <w:rsid w:val="00FD2B4A"/>
    <w:rsid w:val="00FD3762"/>
    <w:rsid w:val="00FD38E6"/>
    <w:rsid w:val="00FD3AE9"/>
    <w:rsid w:val="00FD3EF0"/>
    <w:rsid w:val="00FD3F71"/>
    <w:rsid w:val="00FD3F9C"/>
    <w:rsid w:val="00FD479F"/>
    <w:rsid w:val="00FD47A4"/>
    <w:rsid w:val="00FD496C"/>
    <w:rsid w:val="00FD4E4F"/>
    <w:rsid w:val="00FD534F"/>
    <w:rsid w:val="00FD5C74"/>
    <w:rsid w:val="00FD603D"/>
    <w:rsid w:val="00FD70B9"/>
    <w:rsid w:val="00FD7287"/>
    <w:rsid w:val="00FE0427"/>
    <w:rsid w:val="00FE0580"/>
    <w:rsid w:val="00FE1CBC"/>
    <w:rsid w:val="00FE266D"/>
    <w:rsid w:val="00FE2937"/>
    <w:rsid w:val="00FE3386"/>
    <w:rsid w:val="00FE3554"/>
    <w:rsid w:val="00FE4691"/>
    <w:rsid w:val="00FE4D8A"/>
    <w:rsid w:val="00FE5608"/>
    <w:rsid w:val="00FE5868"/>
    <w:rsid w:val="00FE5AEC"/>
    <w:rsid w:val="00FE623D"/>
    <w:rsid w:val="00FE67FC"/>
    <w:rsid w:val="00FE6BA4"/>
    <w:rsid w:val="00FE6BFA"/>
    <w:rsid w:val="00FE6D6D"/>
    <w:rsid w:val="00FE7655"/>
    <w:rsid w:val="00FE7C05"/>
    <w:rsid w:val="00FE7FCA"/>
    <w:rsid w:val="00FF08A6"/>
    <w:rsid w:val="00FF124F"/>
    <w:rsid w:val="00FF1294"/>
    <w:rsid w:val="00FF12D8"/>
    <w:rsid w:val="00FF14AE"/>
    <w:rsid w:val="00FF16D6"/>
    <w:rsid w:val="00FF1B19"/>
    <w:rsid w:val="00FF1E4E"/>
    <w:rsid w:val="00FF1F3C"/>
    <w:rsid w:val="00FF265A"/>
    <w:rsid w:val="00FF27E3"/>
    <w:rsid w:val="00FF3225"/>
    <w:rsid w:val="00FF51A7"/>
    <w:rsid w:val="00FF5B2B"/>
    <w:rsid w:val="00FF60C8"/>
    <w:rsid w:val="00FF629B"/>
    <w:rsid w:val="00FF6404"/>
    <w:rsid w:val="00FF6D2E"/>
    <w:rsid w:val="00FF7186"/>
    <w:rsid w:val="00FF79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 w:type="character" w:styleId="af8">
    <w:name w:val="Subtle Reference"/>
    <w:basedOn w:val="a0"/>
    <w:uiPriority w:val="31"/>
    <w:qFormat/>
    <w:rsid w:val="00E459F4"/>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641423735">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AF13-E557-4C74-962E-31553F4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林斐嬋</cp:lastModifiedBy>
  <cp:revision>55</cp:revision>
  <cp:lastPrinted>2022-11-16T12:14:00Z</cp:lastPrinted>
  <dcterms:created xsi:type="dcterms:W3CDTF">2022-10-20T08:20:00Z</dcterms:created>
  <dcterms:modified xsi:type="dcterms:W3CDTF">2022-11-17T06:33:00Z</dcterms:modified>
</cp:coreProperties>
</file>