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15" w:rsidRDefault="00D70F72">
      <w:pPr>
        <w:spacing w:before="360" w:line="48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sz w:val="40"/>
          <w:szCs w:val="36"/>
        </w:rPr>
        <w:t>政府服務躍升方案</w:t>
      </w:r>
    </w:p>
    <w:p w:rsidR="00E90815" w:rsidRDefault="00E90815">
      <w:pPr>
        <w:snapToGrid w:val="0"/>
        <w:spacing w:line="360" w:lineRule="exact"/>
        <w:ind w:right="28"/>
        <w:jc w:val="right"/>
        <w:rPr>
          <w:rFonts w:eastAsia="標楷體"/>
          <w:color w:val="000000"/>
        </w:rPr>
      </w:pPr>
    </w:p>
    <w:p w:rsidR="00E90815" w:rsidRDefault="00D70F72">
      <w:pPr>
        <w:snapToGrid w:val="0"/>
        <w:spacing w:line="360" w:lineRule="exact"/>
        <w:ind w:right="28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106年1月9日行政院院授發社字第1061300008號函頒</w:t>
      </w:r>
    </w:p>
    <w:p w:rsidR="00E90815" w:rsidRDefault="00D70F72">
      <w:pPr>
        <w:numPr>
          <w:ilvl w:val="0"/>
          <w:numId w:val="1"/>
        </w:numPr>
        <w:spacing w:before="180"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緣起</w:t>
      </w:r>
    </w:p>
    <w:p w:rsidR="00E90815" w:rsidRDefault="00D70F72">
      <w:pPr>
        <w:spacing w:before="180" w:line="480" w:lineRule="exact"/>
        <w:ind w:right="-113" w:firstLine="64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為提升政府服務品質，行政院於民國85年開始推動「全面提升服務品質方案」，以「新公共管理」（New Public Management）中「全面品質管理」及「顧客導向」之理念，帶領機關建立標準服務模式與品質基準；並於96年推動「政府服務創新精進方案」，導入歐美國家「優質治理（good governance）」課責及效率等理念，鼓勵各機關運用多元創新策略，提供民眾便捷服務。經過多年的執行，已獲得具體成果，例如，營造政府親和友善的形象、提升廉潔度及效率等，此外，更帶動各機關導入資通訊科技改善服務作為，漸進提升政府服務品質。</w:t>
      </w:r>
    </w:p>
    <w:p w:rsidR="00E90815" w:rsidRDefault="00D70F72">
      <w:pPr>
        <w:spacing w:before="180" w:line="480" w:lineRule="exact"/>
        <w:ind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近年來隨著資通訊科技應用環境成熟及民間參與公共事務量能提升，民眾對公共服務提供的效率及品質有更高的期待，需求亦更多元。此外，在全球環境持續轉變下，各國政府在公共服務推動上，面臨社經結構改變及公共議題漸趨複合具跨域性等挑戰，如何整合現有資源，推動政府服務的再升級已刻不容緩。</w:t>
      </w:r>
    </w:p>
    <w:p w:rsidR="00E90815" w:rsidRDefault="00D70F72">
      <w:pPr>
        <w:spacing w:before="180" w:line="480" w:lineRule="exact"/>
        <w:ind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面臨治理環境的轉變，各國推動公共服務多強調體現民主精神，以民眾為中心，關注社會公平及開放參與等價值，此和我國當前強調務實、公平、開放及參與等施政理念相符合。因此，本方案作為引導各機關提升服務效能之上位計畫，將以「新公共服務」（New Public Service）的理念為核心，在既有重視效率、品質及創新之基礎上，再納入「公平共享」、「參與合作」及「開放透明」的精神，引導各機關推動以民為本的全方位服務，並期許在過去數年建立的水準上，持續精進，追求政府服務效能全面躍升。</w:t>
      </w:r>
    </w:p>
    <w:p w:rsidR="00E90815" w:rsidRDefault="00D70F72">
      <w:pPr>
        <w:numPr>
          <w:ilvl w:val="0"/>
          <w:numId w:val="1"/>
        </w:numPr>
        <w:spacing w:before="180"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方案目標</w:t>
      </w:r>
    </w:p>
    <w:p w:rsidR="00E90815" w:rsidRDefault="00D70F72">
      <w:pPr>
        <w:numPr>
          <w:ilvl w:val="0"/>
          <w:numId w:val="2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便捷服務遞送，確保效能與公平並重，發展適性的正確服務。</w:t>
      </w:r>
    </w:p>
    <w:p w:rsidR="00E90815" w:rsidRDefault="00D70F72">
      <w:pPr>
        <w:numPr>
          <w:ilvl w:val="0"/>
          <w:numId w:val="2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擴大社會參與，重視服務對象意見回饋，提供有感的優質服務。</w:t>
      </w:r>
    </w:p>
    <w:p w:rsidR="00E90815" w:rsidRDefault="00D70F72">
      <w:pPr>
        <w:numPr>
          <w:ilvl w:val="0"/>
          <w:numId w:val="2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開放政府治理，建立透明互信的合作環境，帶動創新的加值服務。</w:t>
      </w:r>
    </w:p>
    <w:p w:rsidR="00E90815" w:rsidRDefault="00D70F72">
      <w:pPr>
        <w:numPr>
          <w:ilvl w:val="0"/>
          <w:numId w:val="1"/>
        </w:numPr>
        <w:spacing w:before="180"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實施對象</w:t>
      </w:r>
    </w:p>
    <w:p w:rsidR="00E90815" w:rsidRDefault="00D70F72">
      <w:pPr>
        <w:numPr>
          <w:ilvl w:val="0"/>
          <w:numId w:val="3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行政院所屬各級機關（構）、國營事業、學校、直轄市、縣（市）政府暨所屬及鄉（鎮、市、區）公所等。</w:t>
      </w:r>
    </w:p>
    <w:p w:rsidR="00E90815" w:rsidRDefault="00D70F72">
      <w:pPr>
        <w:numPr>
          <w:ilvl w:val="0"/>
          <w:numId w:val="3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機關服務重點依業務屬性及服務目標，區分為整體服務及專案規劃二類，各機關得依實務推動情形，發展多元服務角色。</w:t>
      </w:r>
    </w:p>
    <w:p w:rsidR="00E90815" w:rsidRDefault="00D70F72">
      <w:pPr>
        <w:numPr>
          <w:ilvl w:val="0"/>
          <w:numId w:val="1"/>
        </w:numPr>
        <w:spacing w:before="180"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具體措施</w:t>
      </w:r>
    </w:p>
    <w:p w:rsidR="00E90815" w:rsidRDefault="00D70F72">
      <w:pPr>
        <w:numPr>
          <w:ilvl w:val="0"/>
          <w:numId w:val="4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完備基礎服務項目，注重服務特性差異化</w:t>
      </w:r>
    </w:p>
    <w:p w:rsidR="00E90815" w:rsidRDefault="00D70F72">
      <w:pPr>
        <w:numPr>
          <w:ilvl w:val="1"/>
          <w:numId w:val="5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建立業務標準作業流程，維持服務措施處理一致性；確保資訊提供、問題回應或申辦案件處理的正確性，並適時檢討改進流程與作業方式。</w:t>
      </w:r>
    </w:p>
    <w:p w:rsidR="00E90815" w:rsidRDefault="00D70F72">
      <w:pPr>
        <w:numPr>
          <w:ilvl w:val="1"/>
          <w:numId w:val="5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提供民眾易讀、易懂、易用的服務申辦資訊及進度查詢管道，提升服務流程透明度。</w:t>
      </w:r>
    </w:p>
    <w:p w:rsidR="00E90815" w:rsidRDefault="00D70F72">
      <w:pPr>
        <w:numPr>
          <w:ilvl w:val="1"/>
          <w:numId w:val="5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注重服務人員的禮貌態度，提高民眾臨櫃洽公或網站使用的便利性，建置合宜的服務環境。</w:t>
      </w:r>
    </w:p>
    <w:p w:rsidR="00E90815" w:rsidRDefault="00D70F72">
      <w:pPr>
        <w:numPr>
          <w:ilvl w:val="1"/>
          <w:numId w:val="5"/>
        </w:numPr>
        <w:spacing w:before="180"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因應業務屬性及服務特性差異，汲取創新趨勢，投入品質改善，發展優質服務。</w:t>
      </w:r>
    </w:p>
    <w:p w:rsidR="00E90815" w:rsidRDefault="00E90815">
      <w:pPr>
        <w:spacing w:before="180" w:line="480" w:lineRule="exact"/>
        <w:ind w:left="156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E90815" w:rsidRDefault="00D70F72">
      <w:pPr>
        <w:numPr>
          <w:ilvl w:val="0"/>
          <w:numId w:val="4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重視全程意見回饋及參與，力求服務切合民眾需求</w:t>
      </w:r>
    </w:p>
    <w:p w:rsidR="00E90815" w:rsidRDefault="00D70F72">
      <w:pPr>
        <w:numPr>
          <w:ilvl w:val="0"/>
          <w:numId w:val="6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納入民眾參與服務設計或邀請民間協力合作，提供符合民眾需求的服務。</w:t>
      </w:r>
    </w:p>
    <w:p w:rsidR="00E90815" w:rsidRDefault="00D70F72">
      <w:pPr>
        <w:numPr>
          <w:ilvl w:val="0"/>
          <w:numId w:val="6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善用各類意見調查工具與機制，蒐集民眾對服務的需求或建議，適予調整服務措施。</w:t>
      </w:r>
    </w:p>
    <w:p w:rsidR="00E90815" w:rsidRDefault="00D70F72">
      <w:pPr>
        <w:numPr>
          <w:ilvl w:val="0"/>
          <w:numId w:val="6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依據服務特性辦理滿意度調查，瞭解民眾對服務的看法，並據以檢討改善既有措施。</w:t>
      </w:r>
    </w:p>
    <w:p w:rsidR="00E90815" w:rsidRDefault="00D70F72">
      <w:pPr>
        <w:numPr>
          <w:ilvl w:val="0"/>
          <w:numId w:val="6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傾聽民眾意見，積極回應，有效協助民眾解決問題。</w:t>
      </w:r>
    </w:p>
    <w:p w:rsidR="00E90815" w:rsidRDefault="00D70F72">
      <w:pPr>
        <w:numPr>
          <w:ilvl w:val="0"/>
          <w:numId w:val="4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便捷服務遞送過程與方式，提升民眾生活便利度</w:t>
      </w:r>
    </w:p>
    <w:p w:rsidR="00E90815" w:rsidRDefault="00D70F72">
      <w:pPr>
        <w:numPr>
          <w:ilvl w:val="0"/>
          <w:numId w:val="7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擴大單一窗口業務涵蓋範疇，減除申辦案件所需檢附之書表謄本，提高業務申辦便捷度。 </w:t>
      </w:r>
    </w:p>
    <w:p w:rsidR="00E90815" w:rsidRDefault="00D70F72">
      <w:pPr>
        <w:numPr>
          <w:ilvl w:val="0"/>
          <w:numId w:val="7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衡酌實際需求，開發線上申辦及跨平台通用服務，增加民眾使用意願。 </w:t>
      </w:r>
    </w:p>
    <w:p w:rsidR="00E90815" w:rsidRDefault="00D70F72">
      <w:pPr>
        <w:numPr>
          <w:ilvl w:val="0"/>
          <w:numId w:val="7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推動跨單位、跨機關服務流程整合及政府資訊資源共用共享，提供全程整合服務。</w:t>
      </w:r>
    </w:p>
    <w:p w:rsidR="00E90815" w:rsidRDefault="00D70F72">
      <w:pPr>
        <w:numPr>
          <w:ilvl w:val="0"/>
          <w:numId w:val="7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關注社經發展新趨勢，運用創新策略，持續精進服務遞送過程及作法，提升服務效能。</w:t>
      </w:r>
    </w:p>
    <w:p w:rsidR="00E90815" w:rsidRDefault="00D70F72">
      <w:pPr>
        <w:numPr>
          <w:ilvl w:val="0"/>
          <w:numId w:val="4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關懷多元對象及城鄉差距，促進社會資源公平使用</w:t>
      </w:r>
    </w:p>
    <w:p w:rsidR="00E90815" w:rsidRDefault="00D70F72">
      <w:pPr>
        <w:numPr>
          <w:ilvl w:val="0"/>
          <w:numId w:val="8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體認服務對象屬性差異，對特殊或弱勢族群提供適性服務，降低其取得服務的成本。</w:t>
      </w:r>
    </w:p>
    <w:p w:rsidR="00E90815" w:rsidRDefault="00D70F72">
      <w:pPr>
        <w:numPr>
          <w:ilvl w:val="0"/>
          <w:numId w:val="8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搭配複合策略，延伸服務據點，提高偏遠或交通不便地區民眾的服務可近性。</w:t>
      </w:r>
    </w:p>
    <w:p w:rsidR="00E90815" w:rsidRDefault="00D70F72">
      <w:pPr>
        <w:numPr>
          <w:ilvl w:val="0"/>
          <w:numId w:val="8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考量服務對象數位落差，發展網路服務或輔以其他方式，提供可替代的服務管道。</w:t>
      </w:r>
    </w:p>
    <w:p w:rsidR="00E90815" w:rsidRDefault="00D70F72">
      <w:pPr>
        <w:numPr>
          <w:ilvl w:val="0"/>
          <w:numId w:val="4"/>
        </w:numPr>
        <w:spacing w:before="180"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開放政府透明治理，優化機關管理創新</w:t>
      </w:r>
    </w:p>
    <w:p w:rsidR="00E90815" w:rsidRDefault="00D70F72">
      <w:pPr>
        <w:numPr>
          <w:ilvl w:val="0"/>
          <w:numId w:val="9"/>
        </w:numPr>
        <w:spacing w:before="180"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建構友善安全資料開放環境，落實資料公開透明，便利共享創新應用。</w:t>
      </w:r>
    </w:p>
    <w:p w:rsidR="00E90815" w:rsidRDefault="00D70F72">
      <w:pPr>
        <w:numPr>
          <w:ilvl w:val="0"/>
          <w:numId w:val="9"/>
        </w:numPr>
        <w:spacing w:before="180"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促進民眾運用實體或網路等多方管道參與決策制定，強化政策溝通及對話交流。</w:t>
      </w:r>
    </w:p>
    <w:p w:rsidR="00E90815" w:rsidRDefault="00D70F72">
      <w:pPr>
        <w:numPr>
          <w:ilvl w:val="0"/>
          <w:numId w:val="9"/>
        </w:numPr>
        <w:spacing w:before="180"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檢討機關內部作業，減省不必要的審核及行政作業，聚焦核心業務，推動服務創新。</w:t>
      </w:r>
    </w:p>
    <w:p w:rsidR="00E90815" w:rsidRDefault="00D70F72">
      <w:pPr>
        <w:numPr>
          <w:ilvl w:val="0"/>
          <w:numId w:val="4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掌握社經發展趨勢，專案規劃前瞻服務</w:t>
      </w:r>
    </w:p>
    <w:p w:rsidR="00E90815" w:rsidRDefault="00D70F72">
      <w:pPr>
        <w:numPr>
          <w:ilvl w:val="0"/>
          <w:numId w:val="10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主動發掘關鍵議題，前瞻規劃服務策略預為因應。</w:t>
      </w:r>
    </w:p>
    <w:p w:rsidR="00E90815" w:rsidRDefault="00D70F72">
      <w:pPr>
        <w:numPr>
          <w:ilvl w:val="0"/>
          <w:numId w:val="10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善用法規調適、資通訊技術應用及流程簡化，擴大本機關或第一線機關服務措施的運作彈性。</w:t>
      </w:r>
    </w:p>
    <w:p w:rsidR="00E90815" w:rsidRDefault="00D70F72">
      <w:pPr>
        <w:numPr>
          <w:ilvl w:val="0"/>
          <w:numId w:val="10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結合跨域整合、引進民間資源、社會創新及開放社群協作等策略，務實解決服務或公共問題。</w:t>
      </w:r>
    </w:p>
    <w:p w:rsidR="00E90815" w:rsidRDefault="00D70F72">
      <w:pPr>
        <w:numPr>
          <w:ilvl w:val="0"/>
          <w:numId w:val="10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權衡服務措施的必要性，以及投入成本與產出效益間的合理性，重視服務的制度化及持續性。</w:t>
      </w:r>
    </w:p>
    <w:p w:rsidR="00E90815" w:rsidRDefault="00D70F72">
      <w:pPr>
        <w:numPr>
          <w:ilvl w:val="0"/>
          <w:numId w:val="1"/>
        </w:numPr>
        <w:tabs>
          <w:tab w:val="left" w:pos="-2160"/>
        </w:tabs>
        <w:spacing w:before="180"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推動作法及權責分工</w:t>
      </w:r>
    </w:p>
    <w:p w:rsidR="00E90815" w:rsidRDefault="00D70F72">
      <w:pPr>
        <w:numPr>
          <w:ilvl w:val="0"/>
          <w:numId w:val="11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主管機關：規劃及推動所屬機關落實本方案</w:t>
      </w:r>
    </w:p>
    <w:p w:rsidR="00E90815" w:rsidRDefault="00D70F72">
      <w:pPr>
        <w:numPr>
          <w:ilvl w:val="0"/>
          <w:numId w:val="12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針對本方案具體措施，依組織服務目標及民眾需求，參酌業務特性、服務量能及資源配置情形，提出未來服務發展重點及優先順序，訂定相關執行計畫，據以推動落實。</w:t>
      </w:r>
    </w:p>
    <w:p w:rsidR="00E90815" w:rsidRDefault="00D70F72">
      <w:pPr>
        <w:numPr>
          <w:ilvl w:val="0"/>
          <w:numId w:val="12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依據執行計畫規定，加強對所屬機關的督導與輔導，並依辦理情形及績效成果進行執行計畫之滾動檢討及修正。</w:t>
      </w:r>
    </w:p>
    <w:p w:rsidR="00E90815" w:rsidRDefault="00E90815">
      <w:pPr>
        <w:spacing w:before="180" w:line="480" w:lineRule="exact"/>
        <w:ind w:left="1560"/>
        <w:jc w:val="both"/>
        <w:rPr>
          <w:rFonts w:ascii="標楷體" w:eastAsia="標楷體" w:hAnsi="標楷體"/>
          <w:sz w:val="32"/>
          <w:szCs w:val="32"/>
        </w:rPr>
      </w:pPr>
    </w:p>
    <w:p w:rsidR="00E90815" w:rsidRDefault="00D70F72">
      <w:pPr>
        <w:numPr>
          <w:ilvl w:val="0"/>
          <w:numId w:val="11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國家發展委員會：協調及整合推動</w:t>
      </w:r>
    </w:p>
    <w:p w:rsidR="00E90815" w:rsidRDefault="00D70F72">
      <w:pPr>
        <w:numPr>
          <w:ilvl w:val="0"/>
          <w:numId w:val="13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為整合跨機關資源，提升整體服務效能，由國家發展委員會檢視民眾關切議題及未來社經發展趨勢，適時邀集相關主管機關進行資源整合、法規調適及前瞻服務規劃。</w:t>
      </w:r>
    </w:p>
    <w:p w:rsidR="00E90815" w:rsidRDefault="00D70F72">
      <w:pPr>
        <w:numPr>
          <w:ilvl w:val="0"/>
          <w:numId w:val="13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為提升政府機關整體服務水準，解決機關間品質落差問題，國家發展委員會本例外管理原則，會同主管機關協助輔導。</w:t>
      </w:r>
    </w:p>
    <w:p w:rsidR="00E90815" w:rsidRDefault="00D70F72">
      <w:pPr>
        <w:numPr>
          <w:ilvl w:val="0"/>
          <w:numId w:val="11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設立「政府服務獎」 </w:t>
      </w:r>
    </w:p>
    <w:p w:rsidR="00E90815" w:rsidRDefault="00D70F72">
      <w:pPr>
        <w:numPr>
          <w:ilvl w:val="0"/>
          <w:numId w:val="14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設立「政府服務獎」，以評獎競爭機制引導各機關將本方案具體措施落實於為民服務工作。</w:t>
      </w:r>
    </w:p>
    <w:p w:rsidR="00E90815" w:rsidRDefault="00D70F72">
      <w:pPr>
        <w:numPr>
          <w:ilvl w:val="0"/>
          <w:numId w:val="14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本獎項獲獎名額以不超過30個機關為原則，獲獎機關由行政院頒發獎座及團體獎金新臺幣8萬元為上限。</w:t>
      </w:r>
    </w:p>
    <w:p w:rsidR="00E90815" w:rsidRDefault="00D70F72">
      <w:pPr>
        <w:numPr>
          <w:ilvl w:val="0"/>
          <w:numId w:val="14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本獎項由國家發展委員會負責評獎事務，並訂定相關獎項類別、評獎作業及標竿學習等規定。</w:t>
      </w:r>
    </w:p>
    <w:p w:rsidR="00E90815" w:rsidRDefault="00D70F72">
      <w:pPr>
        <w:numPr>
          <w:ilvl w:val="0"/>
          <w:numId w:val="1"/>
        </w:numPr>
        <w:tabs>
          <w:tab w:val="left" w:pos="-2160"/>
        </w:tabs>
        <w:spacing w:before="180"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預期效益</w:t>
      </w:r>
    </w:p>
    <w:p w:rsidR="00E90815" w:rsidRDefault="00D70F72">
      <w:pPr>
        <w:numPr>
          <w:ilvl w:val="0"/>
          <w:numId w:val="15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帶動政府服務轉型，促進服務機會均等，重視弱勢族群及城鄉差距，落實社會資源公平共享。</w:t>
      </w:r>
    </w:p>
    <w:p w:rsidR="00E90815" w:rsidRDefault="00D70F72">
      <w:pPr>
        <w:numPr>
          <w:ilvl w:val="0"/>
          <w:numId w:val="15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推動機關從服務設計到實施導入民眾參與，增進政府與民間互動合作，協力共創有感的公共服務。</w:t>
      </w:r>
    </w:p>
    <w:p w:rsidR="00E90815" w:rsidRDefault="00D70F72">
      <w:pPr>
        <w:numPr>
          <w:ilvl w:val="0"/>
          <w:numId w:val="15"/>
        </w:numPr>
        <w:spacing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促進政府開放，提高施政透明，提升民眾對政府滿意度及信任。</w:t>
      </w:r>
    </w:p>
    <w:p w:rsidR="00E90815" w:rsidRDefault="00D70F72">
      <w:pPr>
        <w:numPr>
          <w:ilvl w:val="0"/>
          <w:numId w:val="15"/>
        </w:numPr>
        <w:spacing w:before="180" w:line="480" w:lineRule="exact"/>
        <w:jc w:val="both"/>
      </w:pPr>
      <w:r>
        <w:rPr>
          <w:rFonts w:ascii="標楷體" w:eastAsia="標楷體" w:hAnsi="標楷體"/>
          <w:sz w:val="32"/>
          <w:szCs w:val="32"/>
        </w:rPr>
        <w:t>引導機關主動發掘關鍵議題，</w:t>
      </w:r>
      <w:r>
        <w:rPr>
          <w:rFonts w:ascii="標楷體" w:eastAsia="標楷體" w:hAnsi="標楷體"/>
          <w:color w:val="000000"/>
          <w:sz w:val="32"/>
          <w:szCs w:val="32"/>
        </w:rPr>
        <w:t>規劃前瞻服務，</w:t>
      </w:r>
      <w:r>
        <w:rPr>
          <w:rFonts w:ascii="標楷體" w:eastAsia="標楷體" w:hAnsi="標楷體"/>
          <w:sz w:val="32"/>
          <w:szCs w:val="32"/>
        </w:rPr>
        <w:t>回應社會需求。</w:t>
      </w:r>
    </w:p>
    <w:sectPr w:rsidR="00E90815">
      <w:footerReference w:type="default" r:id="rId8"/>
      <w:pgSz w:w="11906" w:h="16838"/>
      <w:pgMar w:top="1247" w:right="1474" w:bottom="1134" w:left="1474" w:header="851" w:footer="851" w:gutter="0"/>
      <w:pgNumType w:start="1"/>
      <w:cols w:space="720"/>
      <w:docGrid w:type="lines" w:linePitch="4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EB" w:rsidRDefault="00B111EB">
      <w:r>
        <w:separator/>
      </w:r>
    </w:p>
  </w:endnote>
  <w:endnote w:type="continuationSeparator" w:id="0">
    <w:p w:rsidR="00B111EB" w:rsidRDefault="00B1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e　.">
    <w:charset w:val="00"/>
    <w:family w:val="swiss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E8A" w:rsidRDefault="00D70F7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14E8A" w:rsidRDefault="00D70F72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EC7359"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A14E8A" w:rsidRDefault="00D70F72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EC7359">
                      <w:rPr>
                        <w:rStyle w:val="a4"/>
                        <w:noProof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EB" w:rsidRDefault="00B111EB">
      <w:r>
        <w:rPr>
          <w:color w:val="000000"/>
        </w:rPr>
        <w:separator/>
      </w:r>
    </w:p>
  </w:footnote>
  <w:footnote w:type="continuationSeparator" w:id="0">
    <w:p w:rsidR="00B111EB" w:rsidRDefault="00B11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706"/>
    <w:multiLevelType w:val="multilevel"/>
    <w:tmpl w:val="360E078A"/>
    <w:lvl w:ilvl="0">
      <w:start w:val="1"/>
      <w:numFmt w:val="taiwaneseCountingThousand"/>
      <w:lvlText w:val="%1、"/>
      <w:lvlJc w:val="left"/>
      <w:pPr>
        <w:ind w:left="1004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186E71DE"/>
    <w:multiLevelType w:val="multilevel"/>
    <w:tmpl w:val="676865D6"/>
    <w:lvl w:ilvl="0">
      <w:start w:val="1"/>
      <w:numFmt w:val="taiwaneseCountingThousand"/>
      <w:lvlText w:val="%1、"/>
      <w:lvlJc w:val="left"/>
      <w:pPr>
        <w:ind w:left="1004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A2E7E8D"/>
    <w:multiLevelType w:val="multilevel"/>
    <w:tmpl w:val="781C2510"/>
    <w:lvl w:ilvl="0">
      <w:start w:val="1"/>
      <w:numFmt w:val="taiwaneseCountingThousand"/>
      <w:lvlText w:val="（%1）"/>
      <w:lvlJc w:val="left"/>
      <w:pPr>
        <w:ind w:left="802" w:hanging="480"/>
      </w:pPr>
    </w:lvl>
    <w:lvl w:ilvl="1">
      <w:start w:val="1"/>
      <w:numFmt w:val="taiwaneseCountingThousand"/>
      <w:lvlText w:val="（%2）"/>
      <w:lvlJc w:val="left"/>
      <w:pPr>
        <w:ind w:left="1560" w:hanging="10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2CD35784"/>
    <w:multiLevelType w:val="multilevel"/>
    <w:tmpl w:val="725A5532"/>
    <w:lvl w:ilvl="0">
      <w:start w:val="1"/>
      <w:numFmt w:val="taiwaneseCountingThousand"/>
      <w:lvlText w:val="（%1）"/>
      <w:lvlJc w:val="left"/>
      <w:pPr>
        <w:ind w:left="156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35254F"/>
    <w:multiLevelType w:val="multilevel"/>
    <w:tmpl w:val="04EE9A9C"/>
    <w:lvl w:ilvl="0">
      <w:start w:val="1"/>
      <w:numFmt w:val="taiwaneseCountingThousand"/>
      <w:lvlText w:val="（%1）"/>
      <w:lvlJc w:val="left"/>
      <w:pPr>
        <w:ind w:left="1560" w:hanging="10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390070E0"/>
    <w:multiLevelType w:val="multilevel"/>
    <w:tmpl w:val="102846A0"/>
    <w:lvl w:ilvl="0">
      <w:start w:val="1"/>
      <w:numFmt w:val="taiwaneseCountingThousand"/>
      <w:lvlText w:val="（%1）"/>
      <w:lvlJc w:val="left"/>
      <w:pPr>
        <w:ind w:left="156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ED49FE"/>
    <w:multiLevelType w:val="multilevel"/>
    <w:tmpl w:val="92D2084C"/>
    <w:lvl w:ilvl="0">
      <w:start w:val="1"/>
      <w:numFmt w:val="taiwaneseCountingThousand"/>
      <w:lvlText w:val="（%1）"/>
      <w:lvlJc w:val="left"/>
      <w:pPr>
        <w:ind w:left="1560" w:hanging="10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E6C3C3B"/>
    <w:multiLevelType w:val="multilevel"/>
    <w:tmpl w:val="DEAAB740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1BE39F2"/>
    <w:multiLevelType w:val="multilevel"/>
    <w:tmpl w:val="74CC3860"/>
    <w:lvl w:ilvl="0">
      <w:start w:val="1"/>
      <w:numFmt w:val="taiwaneseCountingThousand"/>
      <w:lvlText w:val="（%1）"/>
      <w:lvlJc w:val="left"/>
      <w:pPr>
        <w:ind w:left="1506" w:hanging="1080"/>
      </w:pPr>
    </w:lvl>
    <w:lvl w:ilvl="1">
      <w:start w:val="1"/>
      <w:numFmt w:val="ideographTraditional"/>
      <w:lvlText w:val="%2、"/>
      <w:lvlJc w:val="left"/>
      <w:pPr>
        <w:ind w:left="906" w:hanging="480"/>
      </w:pPr>
    </w:lvl>
    <w:lvl w:ilvl="2">
      <w:start w:val="1"/>
      <w:numFmt w:val="lowerRoman"/>
      <w:lvlText w:val="%3."/>
      <w:lvlJc w:val="right"/>
      <w:pPr>
        <w:ind w:left="1386" w:hanging="480"/>
      </w:pPr>
    </w:lvl>
    <w:lvl w:ilvl="3">
      <w:start w:val="1"/>
      <w:numFmt w:val="decimal"/>
      <w:lvlText w:val="%4."/>
      <w:lvlJc w:val="left"/>
      <w:pPr>
        <w:ind w:left="1866" w:hanging="480"/>
      </w:pPr>
    </w:lvl>
    <w:lvl w:ilvl="4">
      <w:start w:val="1"/>
      <w:numFmt w:val="ideographTraditional"/>
      <w:lvlText w:val="%5、"/>
      <w:lvlJc w:val="left"/>
      <w:pPr>
        <w:ind w:left="2346" w:hanging="480"/>
      </w:pPr>
    </w:lvl>
    <w:lvl w:ilvl="5">
      <w:start w:val="1"/>
      <w:numFmt w:val="lowerRoman"/>
      <w:lvlText w:val="%6."/>
      <w:lvlJc w:val="right"/>
      <w:pPr>
        <w:ind w:left="2826" w:hanging="480"/>
      </w:pPr>
    </w:lvl>
    <w:lvl w:ilvl="6">
      <w:start w:val="1"/>
      <w:numFmt w:val="decimal"/>
      <w:lvlText w:val="%7."/>
      <w:lvlJc w:val="left"/>
      <w:pPr>
        <w:ind w:left="3306" w:hanging="480"/>
      </w:pPr>
    </w:lvl>
    <w:lvl w:ilvl="7">
      <w:start w:val="1"/>
      <w:numFmt w:val="ideographTraditional"/>
      <w:lvlText w:val="%8、"/>
      <w:lvlJc w:val="left"/>
      <w:pPr>
        <w:ind w:left="3786" w:hanging="480"/>
      </w:pPr>
    </w:lvl>
    <w:lvl w:ilvl="8">
      <w:start w:val="1"/>
      <w:numFmt w:val="lowerRoman"/>
      <w:lvlText w:val="%9."/>
      <w:lvlJc w:val="right"/>
      <w:pPr>
        <w:ind w:left="4266" w:hanging="480"/>
      </w:pPr>
    </w:lvl>
  </w:abstractNum>
  <w:abstractNum w:abstractNumId="9">
    <w:nsid w:val="525B24E2"/>
    <w:multiLevelType w:val="multilevel"/>
    <w:tmpl w:val="7012EF18"/>
    <w:lvl w:ilvl="0">
      <w:start w:val="1"/>
      <w:numFmt w:val="taiwaneseCountingThousand"/>
      <w:lvlText w:val="%1、"/>
      <w:lvlJc w:val="left"/>
      <w:pPr>
        <w:ind w:left="1004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5A2E5EE6"/>
    <w:multiLevelType w:val="multilevel"/>
    <w:tmpl w:val="D50A62C6"/>
    <w:lvl w:ilvl="0">
      <w:start w:val="1"/>
      <w:numFmt w:val="taiwaneseCountingThousand"/>
      <w:lvlText w:val="（%1）"/>
      <w:lvlJc w:val="left"/>
      <w:pPr>
        <w:ind w:left="156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B243F7C"/>
    <w:multiLevelType w:val="multilevel"/>
    <w:tmpl w:val="644E738E"/>
    <w:lvl w:ilvl="0">
      <w:start w:val="1"/>
      <w:numFmt w:val="taiwaneseCountingThousand"/>
      <w:lvlText w:val="（%1）"/>
      <w:lvlJc w:val="left"/>
      <w:pPr>
        <w:ind w:left="156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CD52A22"/>
    <w:multiLevelType w:val="multilevel"/>
    <w:tmpl w:val="2B8A9D30"/>
    <w:lvl w:ilvl="0">
      <w:start w:val="1"/>
      <w:numFmt w:val="taiwaneseCountingThousand"/>
      <w:lvlText w:val="%1、"/>
      <w:lvlJc w:val="left"/>
      <w:pPr>
        <w:ind w:left="1004" w:hanging="720"/>
      </w:pPr>
      <w:rPr>
        <w:rFonts w:ascii="標楷體" w:eastAsia="標楷體" w:hAnsi="標楷體"/>
        <w:color w:val="000000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3">
    <w:nsid w:val="61D734E6"/>
    <w:multiLevelType w:val="multilevel"/>
    <w:tmpl w:val="386E539E"/>
    <w:lvl w:ilvl="0">
      <w:start w:val="1"/>
      <w:numFmt w:val="taiwaneseCountingThousand"/>
      <w:lvlText w:val="（%1）"/>
      <w:lvlJc w:val="left"/>
      <w:pPr>
        <w:ind w:left="156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D5A4CA8"/>
    <w:multiLevelType w:val="multilevel"/>
    <w:tmpl w:val="194616E6"/>
    <w:lvl w:ilvl="0">
      <w:start w:val="1"/>
      <w:numFmt w:val="taiwaneseCountingThousand"/>
      <w:lvlText w:val="%1、"/>
      <w:lvlJc w:val="left"/>
      <w:pPr>
        <w:ind w:left="1004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5"/>
  </w:num>
  <w:num w:numId="9">
    <w:abstractNumId w:val="13"/>
  </w:num>
  <w:num w:numId="10">
    <w:abstractNumId w:val="10"/>
  </w:num>
  <w:num w:numId="11">
    <w:abstractNumId w:val="0"/>
  </w:num>
  <w:num w:numId="12">
    <w:abstractNumId w:val="4"/>
  </w:num>
  <w:num w:numId="13">
    <w:abstractNumId w:val="6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90815"/>
    <w:rsid w:val="00B111EB"/>
    <w:rsid w:val="00BC70C2"/>
    <w:rsid w:val="00D70F72"/>
    <w:rsid w:val="00E90815"/>
    <w:rsid w:val="00E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before="100" w:line="580" w:lineRule="exact"/>
      <w:ind w:left="1490" w:hanging="950"/>
      <w:jc w:val="both"/>
    </w:pPr>
    <w:rPr>
      <w:rFonts w:ascii="標楷體" w:eastAsia="標楷體" w:hAnsi="標楷體"/>
      <w:color w:val="000000"/>
      <w:sz w:val="32"/>
      <w:szCs w:val="32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character" w:styleId="a5">
    <w:name w:val="Hyperlink"/>
    <w:rPr>
      <w:color w:val="0000FF"/>
      <w:u w:val="single"/>
    </w:rPr>
  </w:style>
  <w:style w:type="character" w:customStyle="1" w:styleId="comshowdata">
    <w:name w:val="com_show_data"/>
    <w:basedOn w:val="a0"/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kern w:val="3"/>
      <w:sz w:val="24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kern w:val="3"/>
      <w:sz w:val="24"/>
      <w:szCs w:val="24"/>
    </w:rPr>
  </w:style>
  <w:style w:type="paragraph" w:styleId="af">
    <w:name w:val="Revision"/>
    <w:pPr>
      <w:suppressAutoHyphens/>
    </w:pPr>
    <w:rPr>
      <w:kern w:val="3"/>
      <w:sz w:val="24"/>
      <w:szCs w:val="24"/>
    </w:rPr>
  </w:style>
  <w:style w:type="paragraph" w:styleId="af0">
    <w:name w:val="footnote text"/>
    <w:basedOn w:val="a"/>
    <w:pPr>
      <w:snapToGrid w:val="0"/>
    </w:pPr>
    <w:rPr>
      <w:sz w:val="20"/>
      <w:szCs w:val="20"/>
    </w:rPr>
  </w:style>
  <w:style w:type="character" w:customStyle="1" w:styleId="af1">
    <w:name w:val="註腳文字 字元"/>
    <w:rPr>
      <w:kern w:val="3"/>
    </w:rPr>
  </w:style>
  <w:style w:type="character" w:styleId="af2">
    <w:name w:val="footnote reference"/>
    <w:rPr>
      <w:position w:val="0"/>
      <w:vertAlign w:val="superscript"/>
    </w:rPr>
  </w:style>
  <w:style w:type="paragraph" w:customStyle="1" w:styleId="af3">
    <w:name w:val="新節"/>
    <w:basedOn w:val="a"/>
    <w:pPr>
      <w:snapToGrid w:val="0"/>
      <w:spacing w:line="360" w:lineRule="auto"/>
      <w:ind w:right="-23"/>
      <w:jc w:val="center"/>
      <w:outlineLvl w:val="0"/>
    </w:pPr>
    <w:rPr>
      <w:rFonts w:ascii="標楷體" w:eastAsia="標楷體" w:hAnsi="標楷體"/>
      <w:b/>
      <w:bCs/>
      <w:kern w:val="0"/>
      <w:sz w:val="36"/>
      <w:szCs w:val="32"/>
    </w:rPr>
  </w:style>
  <w:style w:type="paragraph" w:customStyle="1" w:styleId="af4">
    <w:name w:val="一下"/>
    <w:basedOn w:val="a"/>
    <w:pPr>
      <w:widowControl/>
      <w:spacing w:line="500" w:lineRule="exact"/>
      <w:ind w:left="540" w:firstLine="538"/>
      <w:jc w:val="both"/>
    </w:pPr>
    <w:rPr>
      <w:rFonts w:ascii="標楷體" w:eastAsia="標楷體" w:hAnsi="標楷體"/>
      <w:sz w:val="28"/>
    </w:rPr>
  </w:style>
  <w:style w:type="paragraph" w:styleId="af5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e　." w:eastAsia="微軟正黑體e　." w:hAnsi="微軟正黑體e　." w:cs="微軟正黑體e　."/>
      <w:color w:val="000000"/>
      <w:sz w:val="24"/>
      <w:szCs w:val="24"/>
    </w:rPr>
  </w:style>
  <w:style w:type="character" w:customStyle="1" w:styleId="16">
    <w:name w:val="樣式 (中文) 標楷體 16 點"/>
    <w:rPr>
      <w:rFonts w:eastAsia="標楷體"/>
      <w:sz w:val="32"/>
    </w:rPr>
  </w:style>
  <w:style w:type="paragraph" w:styleId="af6">
    <w:name w:val="Plain Text"/>
    <w:basedOn w:val="a"/>
    <w:rPr>
      <w:rFonts w:ascii="細明體" w:eastAsia="細明體" w:hAnsi="細明體"/>
      <w:sz w:val="18"/>
      <w:szCs w:val="18"/>
    </w:rPr>
  </w:style>
  <w:style w:type="character" w:customStyle="1" w:styleId="af7">
    <w:name w:val="純文字 字元"/>
    <w:basedOn w:val="a0"/>
    <w:rPr>
      <w:rFonts w:ascii="細明體" w:eastAsia="細明體" w:hAnsi="細明體" w:cs="Times New Roman"/>
      <w:kern w:val="3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before="100" w:line="580" w:lineRule="exact"/>
      <w:ind w:left="1490" w:hanging="950"/>
      <w:jc w:val="both"/>
    </w:pPr>
    <w:rPr>
      <w:rFonts w:ascii="標楷體" w:eastAsia="標楷體" w:hAnsi="標楷體"/>
      <w:color w:val="000000"/>
      <w:sz w:val="32"/>
      <w:szCs w:val="32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character" w:styleId="a5">
    <w:name w:val="Hyperlink"/>
    <w:rPr>
      <w:color w:val="0000FF"/>
      <w:u w:val="single"/>
    </w:rPr>
  </w:style>
  <w:style w:type="character" w:customStyle="1" w:styleId="comshowdata">
    <w:name w:val="com_show_data"/>
    <w:basedOn w:val="a0"/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kern w:val="3"/>
      <w:sz w:val="24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kern w:val="3"/>
      <w:sz w:val="24"/>
      <w:szCs w:val="24"/>
    </w:rPr>
  </w:style>
  <w:style w:type="paragraph" w:styleId="af">
    <w:name w:val="Revision"/>
    <w:pPr>
      <w:suppressAutoHyphens/>
    </w:pPr>
    <w:rPr>
      <w:kern w:val="3"/>
      <w:sz w:val="24"/>
      <w:szCs w:val="24"/>
    </w:rPr>
  </w:style>
  <w:style w:type="paragraph" w:styleId="af0">
    <w:name w:val="footnote text"/>
    <w:basedOn w:val="a"/>
    <w:pPr>
      <w:snapToGrid w:val="0"/>
    </w:pPr>
    <w:rPr>
      <w:sz w:val="20"/>
      <w:szCs w:val="20"/>
    </w:rPr>
  </w:style>
  <w:style w:type="character" w:customStyle="1" w:styleId="af1">
    <w:name w:val="註腳文字 字元"/>
    <w:rPr>
      <w:kern w:val="3"/>
    </w:rPr>
  </w:style>
  <w:style w:type="character" w:styleId="af2">
    <w:name w:val="footnote reference"/>
    <w:rPr>
      <w:position w:val="0"/>
      <w:vertAlign w:val="superscript"/>
    </w:rPr>
  </w:style>
  <w:style w:type="paragraph" w:customStyle="1" w:styleId="af3">
    <w:name w:val="新節"/>
    <w:basedOn w:val="a"/>
    <w:pPr>
      <w:snapToGrid w:val="0"/>
      <w:spacing w:line="360" w:lineRule="auto"/>
      <w:ind w:right="-23"/>
      <w:jc w:val="center"/>
      <w:outlineLvl w:val="0"/>
    </w:pPr>
    <w:rPr>
      <w:rFonts w:ascii="標楷體" w:eastAsia="標楷體" w:hAnsi="標楷體"/>
      <w:b/>
      <w:bCs/>
      <w:kern w:val="0"/>
      <w:sz w:val="36"/>
      <w:szCs w:val="32"/>
    </w:rPr>
  </w:style>
  <w:style w:type="paragraph" w:customStyle="1" w:styleId="af4">
    <w:name w:val="一下"/>
    <w:basedOn w:val="a"/>
    <w:pPr>
      <w:widowControl/>
      <w:spacing w:line="500" w:lineRule="exact"/>
      <w:ind w:left="540" w:firstLine="538"/>
      <w:jc w:val="both"/>
    </w:pPr>
    <w:rPr>
      <w:rFonts w:ascii="標楷體" w:eastAsia="標楷體" w:hAnsi="標楷體"/>
      <w:sz w:val="28"/>
    </w:rPr>
  </w:style>
  <w:style w:type="paragraph" w:styleId="af5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e　." w:eastAsia="微軟正黑體e　." w:hAnsi="微軟正黑體e　." w:cs="微軟正黑體e　."/>
      <w:color w:val="000000"/>
      <w:sz w:val="24"/>
      <w:szCs w:val="24"/>
    </w:rPr>
  </w:style>
  <w:style w:type="character" w:customStyle="1" w:styleId="16">
    <w:name w:val="樣式 (中文) 標楷體 16 點"/>
    <w:rPr>
      <w:rFonts w:eastAsia="標楷體"/>
      <w:sz w:val="32"/>
    </w:rPr>
  </w:style>
  <w:style w:type="paragraph" w:styleId="af6">
    <w:name w:val="Plain Text"/>
    <w:basedOn w:val="a"/>
    <w:rPr>
      <w:rFonts w:ascii="細明體" w:eastAsia="細明體" w:hAnsi="細明體"/>
      <w:sz w:val="18"/>
      <w:szCs w:val="18"/>
    </w:rPr>
  </w:style>
  <w:style w:type="character" w:customStyle="1" w:styleId="af7">
    <w:name w:val="純文字 字元"/>
    <w:basedOn w:val="a0"/>
    <w:rPr>
      <w:rFonts w:ascii="細明體" w:eastAsia="細明體" w:hAnsi="細明體" w:cs="Times New Roman"/>
      <w:kern w:val="3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361</Words>
  <Characters>2060</Characters>
  <Application>Microsoft Office Word</Application>
  <DocSecurity>0</DocSecurity>
  <Lines>17</Lines>
  <Paragraphs>4</Paragraphs>
  <ScaleCrop>false</ScaleCrop>
  <Company>RDEC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本會及所屬97年1月至98年6月人民陳情案件辦理情形分析報告</dc:title>
  <dc:creator>rdec</dc:creator>
  <cp:lastModifiedBy>許惠鈞</cp:lastModifiedBy>
  <cp:revision>2</cp:revision>
  <cp:lastPrinted>2016-12-13T07:45:00Z</cp:lastPrinted>
  <dcterms:created xsi:type="dcterms:W3CDTF">2017-01-12T01:19:00Z</dcterms:created>
  <dcterms:modified xsi:type="dcterms:W3CDTF">2017-01-12T01:19:00Z</dcterms:modified>
</cp:coreProperties>
</file>