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3111E1" w:rsidRDefault="00062DA7" w:rsidP="006E37F7">
      <w:pPr>
        <w:pStyle w:val="k00t17"/>
        <w:spacing w:afterLines="50" w:after="180" w:line="520" w:lineRule="exact"/>
        <w:jc w:val="left"/>
        <w:outlineLvl w:val="9"/>
        <w:rPr>
          <w:color w:val="FF0000"/>
          <w:sz w:val="36"/>
        </w:rPr>
      </w:pPr>
      <w:r w:rsidRPr="003111E1">
        <w:rPr>
          <w:noProof/>
          <w:color w:val="FF0000"/>
          <w:sz w:val="20"/>
        </w:rPr>
        <mc:AlternateContent>
          <mc:Choice Requires="wpg">
            <w:drawing>
              <wp:anchor distT="0" distB="0" distL="114300" distR="114300" simplePos="0" relativeHeight="251645440" behindDoc="0" locked="0" layoutInCell="1" allowOverlap="1" wp14:anchorId="2DE868C8" wp14:editId="48087960">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EBE" w:rsidRPr="007C21DC" w:rsidRDefault="003D7EBE"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D7EBE" w:rsidRPr="007C21DC" w:rsidRDefault="003D7EBE"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3111E1" w:rsidRDefault="000F332D" w:rsidP="006E37F7">
      <w:pPr>
        <w:jc w:val="right"/>
        <w:rPr>
          <w:rFonts w:eastAsia="標楷體"/>
          <w:sz w:val="40"/>
        </w:rPr>
      </w:pPr>
      <w:r w:rsidRPr="003111E1">
        <w:rPr>
          <w:rFonts w:eastAsia="標楷體"/>
          <w:b/>
          <w:spacing w:val="20"/>
          <w:sz w:val="40"/>
        </w:rPr>
        <w:t>10</w:t>
      </w:r>
      <w:r w:rsidR="00024A9E" w:rsidRPr="003111E1">
        <w:rPr>
          <w:rFonts w:eastAsia="標楷體"/>
          <w:b/>
          <w:spacing w:val="20"/>
          <w:sz w:val="40"/>
        </w:rPr>
        <w:t>2</w:t>
      </w:r>
      <w:r w:rsidRPr="003111E1">
        <w:rPr>
          <w:rFonts w:eastAsia="標楷體"/>
          <w:b/>
          <w:spacing w:val="20"/>
          <w:sz w:val="40"/>
        </w:rPr>
        <w:t>年</w:t>
      </w:r>
      <w:r w:rsidR="00DD538E" w:rsidRPr="003111E1">
        <w:rPr>
          <w:rFonts w:eastAsia="標楷體"/>
          <w:b/>
          <w:spacing w:val="20"/>
          <w:sz w:val="40"/>
        </w:rPr>
        <w:t>6</w:t>
      </w:r>
      <w:r w:rsidRPr="003111E1">
        <w:rPr>
          <w:rFonts w:eastAsia="標楷體"/>
          <w:b/>
          <w:spacing w:val="20"/>
          <w:sz w:val="40"/>
        </w:rPr>
        <w:t>月號</w:t>
      </w: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snapToGrid w:val="0"/>
        <w:jc w:val="center"/>
        <w:rPr>
          <w:rFonts w:eastAsia="標楷體"/>
          <w:b/>
          <w:spacing w:val="20"/>
          <w:sz w:val="72"/>
        </w:rPr>
      </w:pPr>
      <w:r w:rsidRPr="003111E1">
        <w:rPr>
          <w:rFonts w:eastAsia="標楷體"/>
          <w:b/>
          <w:spacing w:val="20"/>
          <w:sz w:val="72"/>
        </w:rPr>
        <w:t>國內外經濟情勢分析</w:t>
      </w: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sz w:val="56"/>
        </w:rPr>
      </w:pPr>
      <w:r w:rsidRPr="003111E1">
        <w:rPr>
          <w:rFonts w:eastAsia="標楷體"/>
          <w:b/>
          <w:sz w:val="56"/>
        </w:rPr>
        <w:t>經濟部研究發展委員會</w:t>
      </w:r>
    </w:p>
    <w:p w:rsidR="000F332D" w:rsidRPr="003111E1" w:rsidRDefault="000F332D" w:rsidP="006E37F7">
      <w:pPr>
        <w:spacing w:before="100" w:beforeAutospacing="1" w:after="100" w:afterAutospacing="1"/>
        <w:jc w:val="center"/>
        <w:rPr>
          <w:rFonts w:eastAsia="標楷體"/>
          <w:b/>
          <w:sz w:val="48"/>
        </w:rPr>
        <w:sectPr w:rsidR="000F332D" w:rsidRPr="003111E1"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3111E1">
        <w:rPr>
          <w:rFonts w:eastAsia="標楷體"/>
          <w:b/>
          <w:kern w:val="0"/>
          <w:sz w:val="52"/>
          <w:szCs w:val="20"/>
        </w:rPr>
        <w:t>中華民國</w:t>
      </w:r>
      <w:r w:rsidRPr="003111E1">
        <w:rPr>
          <w:rFonts w:eastAsia="標楷體"/>
          <w:b/>
          <w:kern w:val="0"/>
          <w:sz w:val="52"/>
          <w:szCs w:val="20"/>
        </w:rPr>
        <w:t>10</w:t>
      </w:r>
      <w:r w:rsidR="00024A9E" w:rsidRPr="003111E1">
        <w:rPr>
          <w:rFonts w:eastAsia="標楷體"/>
          <w:b/>
          <w:kern w:val="0"/>
          <w:sz w:val="52"/>
          <w:szCs w:val="20"/>
        </w:rPr>
        <w:t>2</w:t>
      </w:r>
      <w:r w:rsidRPr="003111E1">
        <w:rPr>
          <w:rFonts w:eastAsia="標楷體"/>
          <w:b/>
          <w:kern w:val="0"/>
          <w:sz w:val="52"/>
          <w:szCs w:val="20"/>
        </w:rPr>
        <w:t>年</w:t>
      </w:r>
      <w:r w:rsidR="00DD538E" w:rsidRPr="003111E1">
        <w:rPr>
          <w:rFonts w:eastAsia="標楷體"/>
          <w:b/>
          <w:kern w:val="0"/>
          <w:sz w:val="52"/>
          <w:szCs w:val="20"/>
        </w:rPr>
        <w:t>7</w:t>
      </w:r>
      <w:r w:rsidRPr="003111E1">
        <w:rPr>
          <w:rFonts w:eastAsia="標楷體"/>
          <w:b/>
          <w:kern w:val="0"/>
          <w:sz w:val="52"/>
          <w:szCs w:val="20"/>
        </w:rPr>
        <w:t>月</w:t>
      </w:r>
      <w:r w:rsidR="00DD538E" w:rsidRPr="003111E1">
        <w:rPr>
          <w:rFonts w:eastAsia="標楷體"/>
          <w:b/>
          <w:kern w:val="0"/>
          <w:sz w:val="52"/>
          <w:szCs w:val="20"/>
        </w:rPr>
        <w:t>31</w:t>
      </w:r>
      <w:r w:rsidR="005155C2" w:rsidRPr="003111E1">
        <w:rPr>
          <w:rFonts w:eastAsia="標楷體"/>
          <w:b/>
          <w:kern w:val="0"/>
          <w:sz w:val="52"/>
          <w:szCs w:val="20"/>
        </w:rPr>
        <w:t>日</w:t>
      </w:r>
    </w:p>
    <w:p w:rsidR="000F332D" w:rsidRPr="003111E1" w:rsidRDefault="000F332D" w:rsidP="002C6CB3">
      <w:pPr>
        <w:spacing w:before="100" w:beforeAutospacing="1" w:after="100" w:afterAutospacing="1"/>
        <w:jc w:val="center"/>
        <w:rPr>
          <w:rFonts w:eastAsia="標楷體"/>
          <w:b/>
          <w:sz w:val="48"/>
        </w:rPr>
      </w:pPr>
      <w:r w:rsidRPr="003111E1">
        <w:rPr>
          <w:rFonts w:eastAsia="標楷體"/>
          <w:b/>
          <w:sz w:val="48"/>
        </w:rPr>
        <w:lastRenderedPageBreak/>
        <w:t>大</w:t>
      </w:r>
      <w:r w:rsidRPr="003111E1">
        <w:rPr>
          <w:rFonts w:eastAsia="標楷體"/>
          <w:b/>
          <w:sz w:val="48"/>
        </w:rPr>
        <w:t xml:space="preserve">  </w:t>
      </w:r>
      <w:r w:rsidRPr="003111E1">
        <w:rPr>
          <w:rFonts w:eastAsia="標楷體"/>
          <w:b/>
          <w:sz w:val="48"/>
        </w:rPr>
        <w:t>綱</w:t>
      </w:r>
    </w:p>
    <w:sdt>
      <w:sdtPr>
        <w:rPr>
          <w:rFonts w:ascii="Times New Roman" w:eastAsia="新細明體" w:hAnsi="Times New Roman"/>
          <w:b w:val="0"/>
          <w:bCs w:val="0"/>
          <w:caps w:val="0"/>
          <w:noProof w:val="0"/>
          <w:sz w:val="24"/>
          <w:szCs w:val="24"/>
          <w:lang w:val="zh-TW"/>
        </w:rPr>
        <w:id w:val="1959609224"/>
        <w:docPartObj>
          <w:docPartGallery w:val="Table of Contents"/>
          <w:docPartUnique/>
        </w:docPartObj>
      </w:sdtPr>
      <w:sdtEndPr>
        <w:rPr>
          <w:color w:val="FF0000"/>
        </w:rPr>
      </w:sdtEndPr>
      <w:sdtContent>
        <w:p w:rsidR="00010E5C" w:rsidRPr="003111E1" w:rsidRDefault="00010E5C" w:rsidP="00382155">
          <w:pPr>
            <w:pStyle w:val="18"/>
            <w:rPr>
              <w:rFonts w:ascii="Times New Roman" w:eastAsiaTheme="minorEastAsia" w:hAnsi="Times New Roman"/>
              <w:sz w:val="24"/>
              <w:szCs w:val="22"/>
            </w:rPr>
          </w:pPr>
          <w:r w:rsidRPr="003111E1">
            <w:rPr>
              <w:rFonts w:ascii="Times New Roman" w:hAnsi="Times New Roman"/>
            </w:rPr>
            <w:fldChar w:fldCharType="begin"/>
          </w:r>
          <w:r w:rsidRPr="003111E1">
            <w:rPr>
              <w:rFonts w:ascii="Times New Roman" w:hAnsi="Times New Roman"/>
            </w:rPr>
            <w:instrText xml:space="preserve"> TOC \o "1-3" \h \z \u </w:instrText>
          </w:r>
          <w:r w:rsidRPr="003111E1">
            <w:rPr>
              <w:rFonts w:ascii="Times New Roman" w:hAnsi="Times New Roman"/>
            </w:rPr>
            <w:fldChar w:fldCharType="separate"/>
          </w:r>
          <w:hyperlink w:anchor="_Toc358042560" w:history="1">
            <w:r w:rsidRPr="003111E1">
              <w:rPr>
                <w:rStyle w:val="aff5"/>
                <w:rFonts w:ascii="Times New Roman" w:hAnsi="Times New Roman"/>
                <w:color w:val="auto"/>
              </w:rPr>
              <w:t>壹、當前經濟情勢概要</w:t>
            </w:r>
            <w:r w:rsidRPr="003111E1">
              <w:rPr>
                <w:rFonts w:ascii="Times New Roman" w:hAnsi="Times New Roman"/>
                <w:webHidden/>
              </w:rPr>
              <w:tab/>
            </w:r>
            <w:r w:rsidRPr="003111E1">
              <w:rPr>
                <w:rFonts w:ascii="Times New Roman" w:hAnsi="Times New Roman"/>
                <w:webHidden/>
              </w:rPr>
              <w:fldChar w:fldCharType="begin"/>
            </w:r>
            <w:r w:rsidRPr="003111E1">
              <w:rPr>
                <w:rFonts w:ascii="Times New Roman" w:hAnsi="Times New Roman"/>
                <w:webHidden/>
              </w:rPr>
              <w:instrText xml:space="preserve"> PAGEREF _Toc358042560 \h </w:instrText>
            </w:r>
            <w:r w:rsidRPr="003111E1">
              <w:rPr>
                <w:rFonts w:ascii="Times New Roman" w:hAnsi="Times New Roman"/>
                <w:webHidden/>
              </w:rPr>
            </w:r>
            <w:r w:rsidRPr="003111E1">
              <w:rPr>
                <w:rFonts w:ascii="Times New Roman" w:hAnsi="Times New Roman"/>
                <w:webHidden/>
              </w:rPr>
              <w:fldChar w:fldCharType="separate"/>
            </w:r>
            <w:r w:rsidR="00121C75">
              <w:rPr>
                <w:rFonts w:ascii="Times New Roman" w:hAnsi="Times New Roman"/>
                <w:webHidden/>
              </w:rPr>
              <w:t>1</w:t>
            </w:r>
            <w:r w:rsidRPr="003111E1">
              <w:rPr>
                <w:rFonts w:ascii="Times New Roman" w:hAnsi="Times New Roman"/>
                <w:webHidden/>
              </w:rPr>
              <w:fldChar w:fldCharType="end"/>
            </w:r>
          </w:hyperlink>
        </w:p>
        <w:p w:rsidR="00010E5C" w:rsidRPr="003111E1" w:rsidRDefault="00EC4A60">
          <w:pPr>
            <w:pStyle w:val="25"/>
            <w:ind w:left="0"/>
            <w:rPr>
              <w:rFonts w:eastAsiaTheme="minorEastAsia"/>
              <w:b w:val="0"/>
              <w:bCs w:val="0"/>
              <w:smallCaps w:val="0"/>
              <w:sz w:val="24"/>
            </w:rPr>
          </w:pPr>
          <w:hyperlink w:anchor="_Toc358042561" w:history="1">
            <w:r w:rsidR="00010E5C" w:rsidRPr="003111E1">
              <w:rPr>
                <w:rStyle w:val="aff5"/>
                <w:color w:val="auto"/>
              </w:rPr>
              <w:t>一、國際經濟</w:t>
            </w:r>
            <w:r w:rsidR="00010E5C" w:rsidRPr="003111E1">
              <w:rPr>
                <w:webHidden/>
              </w:rPr>
              <w:tab/>
            </w:r>
            <w:r w:rsidR="00010E5C" w:rsidRPr="003111E1">
              <w:rPr>
                <w:webHidden/>
              </w:rPr>
              <w:fldChar w:fldCharType="begin"/>
            </w:r>
            <w:r w:rsidR="00010E5C" w:rsidRPr="003111E1">
              <w:rPr>
                <w:webHidden/>
              </w:rPr>
              <w:instrText xml:space="preserve"> PAGEREF _Toc358042561 \h </w:instrText>
            </w:r>
            <w:r w:rsidR="00010E5C" w:rsidRPr="003111E1">
              <w:rPr>
                <w:webHidden/>
              </w:rPr>
            </w:r>
            <w:r w:rsidR="00010E5C" w:rsidRPr="003111E1">
              <w:rPr>
                <w:webHidden/>
              </w:rPr>
              <w:fldChar w:fldCharType="separate"/>
            </w:r>
            <w:r w:rsidR="00121C75">
              <w:rPr>
                <w:webHidden/>
              </w:rPr>
              <w:t>1</w:t>
            </w:r>
            <w:r w:rsidR="00010E5C" w:rsidRPr="003111E1">
              <w:rPr>
                <w:webHidden/>
              </w:rPr>
              <w:fldChar w:fldCharType="end"/>
            </w:r>
          </w:hyperlink>
        </w:p>
        <w:p w:rsidR="00010E5C" w:rsidRPr="003111E1" w:rsidRDefault="00EC4A60">
          <w:pPr>
            <w:pStyle w:val="25"/>
            <w:ind w:left="0"/>
            <w:rPr>
              <w:rFonts w:eastAsiaTheme="minorEastAsia"/>
              <w:b w:val="0"/>
              <w:bCs w:val="0"/>
              <w:smallCaps w:val="0"/>
              <w:sz w:val="24"/>
            </w:rPr>
          </w:pPr>
          <w:hyperlink w:anchor="_Toc358042562" w:history="1">
            <w:r w:rsidR="00010E5C" w:rsidRPr="003111E1">
              <w:rPr>
                <w:rStyle w:val="aff5"/>
                <w:color w:val="auto"/>
              </w:rPr>
              <w:t>二、國內經濟</w:t>
            </w:r>
            <w:r w:rsidR="00010E5C" w:rsidRPr="003111E1">
              <w:rPr>
                <w:webHidden/>
              </w:rPr>
              <w:tab/>
            </w:r>
            <w:r w:rsidR="00010E5C" w:rsidRPr="003111E1">
              <w:rPr>
                <w:webHidden/>
              </w:rPr>
              <w:fldChar w:fldCharType="begin"/>
            </w:r>
            <w:r w:rsidR="00010E5C" w:rsidRPr="003111E1">
              <w:rPr>
                <w:webHidden/>
              </w:rPr>
              <w:instrText xml:space="preserve"> PAGEREF _Toc358042562 \h </w:instrText>
            </w:r>
            <w:r w:rsidR="00010E5C" w:rsidRPr="003111E1">
              <w:rPr>
                <w:webHidden/>
              </w:rPr>
            </w:r>
            <w:r w:rsidR="00010E5C" w:rsidRPr="003111E1">
              <w:rPr>
                <w:webHidden/>
              </w:rPr>
              <w:fldChar w:fldCharType="separate"/>
            </w:r>
            <w:r w:rsidR="00121C75">
              <w:rPr>
                <w:webHidden/>
              </w:rPr>
              <w:t>1</w:t>
            </w:r>
            <w:r w:rsidR="00010E5C" w:rsidRPr="003111E1">
              <w:rPr>
                <w:webHidden/>
              </w:rPr>
              <w:fldChar w:fldCharType="end"/>
            </w:r>
          </w:hyperlink>
        </w:p>
        <w:p w:rsidR="00010E5C" w:rsidRPr="003111E1" w:rsidRDefault="00EC4A60">
          <w:pPr>
            <w:pStyle w:val="25"/>
            <w:ind w:left="0"/>
            <w:rPr>
              <w:rFonts w:eastAsiaTheme="minorEastAsia"/>
              <w:b w:val="0"/>
              <w:bCs w:val="0"/>
              <w:smallCaps w:val="0"/>
              <w:sz w:val="24"/>
            </w:rPr>
          </w:pPr>
          <w:hyperlink w:anchor="_Toc358042563" w:history="1">
            <w:r w:rsidR="00010E5C" w:rsidRPr="003111E1">
              <w:rPr>
                <w:rStyle w:val="aff5"/>
                <w:color w:val="auto"/>
              </w:rPr>
              <w:t>三、中國大陸經濟</w:t>
            </w:r>
            <w:r w:rsidR="00010E5C" w:rsidRPr="003111E1">
              <w:rPr>
                <w:webHidden/>
              </w:rPr>
              <w:tab/>
            </w:r>
            <w:r w:rsidR="00010E5C" w:rsidRPr="003111E1">
              <w:rPr>
                <w:webHidden/>
              </w:rPr>
              <w:fldChar w:fldCharType="begin"/>
            </w:r>
            <w:r w:rsidR="00010E5C" w:rsidRPr="003111E1">
              <w:rPr>
                <w:webHidden/>
              </w:rPr>
              <w:instrText xml:space="preserve"> PAGEREF _Toc358042563 \h </w:instrText>
            </w:r>
            <w:r w:rsidR="00010E5C" w:rsidRPr="003111E1">
              <w:rPr>
                <w:webHidden/>
              </w:rPr>
            </w:r>
            <w:r w:rsidR="00010E5C" w:rsidRPr="003111E1">
              <w:rPr>
                <w:webHidden/>
              </w:rPr>
              <w:fldChar w:fldCharType="separate"/>
            </w:r>
            <w:r w:rsidR="00121C75">
              <w:rPr>
                <w:webHidden/>
              </w:rPr>
              <w:t>2</w:t>
            </w:r>
            <w:r w:rsidR="00010E5C" w:rsidRPr="003111E1">
              <w:rPr>
                <w:webHidden/>
              </w:rPr>
              <w:fldChar w:fldCharType="end"/>
            </w:r>
          </w:hyperlink>
        </w:p>
        <w:p w:rsidR="00010E5C" w:rsidRPr="003111E1" w:rsidRDefault="00EC4A60" w:rsidP="00382155">
          <w:pPr>
            <w:pStyle w:val="18"/>
            <w:rPr>
              <w:rFonts w:ascii="Times New Roman" w:eastAsiaTheme="minorEastAsia" w:hAnsi="Times New Roman"/>
              <w:sz w:val="24"/>
              <w:szCs w:val="22"/>
            </w:rPr>
          </w:pPr>
          <w:hyperlink w:anchor="_Toc358042564" w:history="1">
            <w:r w:rsidR="00010E5C" w:rsidRPr="003111E1">
              <w:rPr>
                <w:rStyle w:val="aff5"/>
                <w:rFonts w:ascii="Times New Roman" w:hAnsi="Times New Roman"/>
                <w:color w:val="auto"/>
              </w:rPr>
              <w:t>貳、國內外經濟指標</w:t>
            </w:r>
            <w:r w:rsidR="00010E5C" w:rsidRPr="003111E1">
              <w:rPr>
                <w:rFonts w:ascii="Times New Roman" w:hAnsi="Times New Roman"/>
                <w:webHidden/>
              </w:rPr>
              <w:tab/>
            </w:r>
            <w:r w:rsidR="00010E5C" w:rsidRPr="003111E1">
              <w:rPr>
                <w:rFonts w:ascii="Times New Roman" w:hAnsi="Times New Roman"/>
                <w:webHidden/>
              </w:rPr>
              <w:fldChar w:fldCharType="begin"/>
            </w:r>
            <w:r w:rsidR="00010E5C" w:rsidRPr="003111E1">
              <w:rPr>
                <w:rFonts w:ascii="Times New Roman" w:hAnsi="Times New Roman"/>
                <w:webHidden/>
              </w:rPr>
              <w:instrText xml:space="preserve"> PAGEREF _Toc358042564 \h </w:instrText>
            </w:r>
            <w:r w:rsidR="00010E5C" w:rsidRPr="003111E1">
              <w:rPr>
                <w:rFonts w:ascii="Times New Roman" w:hAnsi="Times New Roman"/>
                <w:webHidden/>
              </w:rPr>
            </w:r>
            <w:r w:rsidR="00010E5C" w:rsidRPr="003111E1">
              <w:rPr>
                <w:rFonts w:ascii="Times New Roman" w:hAnsi="Times New Roman"/>
                <w:webHidden/>
              </w:rPr>
              <w:fldChar w:fldCharType="separate"/>
            </w:r>
            <w:r w:rsidR="00121C75">
              <w:rPr>
                <w:rFonts w:ascii="Times New Roman" w:hAnsi="Times New Roman"/>
                <w:webHidden/>
              </w:rPr>
              <w:t>3</w:t>
            </w:r>
            <w:r w:rsidR="00010E5C" w:rsidRPr="003111E1">
              <w:rPr>
                <w:rFonts w:ascii="Times New Roman" w:hAnsi="Times New Roman"/>
                <w:webHidden/>
              </w:rPr>
              <w:fldChar w:fldCharType="end"/>
            </w:r>
          </w:hyperlink>
        </w:p>
        <w:p w:rsidR="00010E5C" w:rsidRPr="003111E1" w:rsidRDefault="00EC4A60">
          <w:pPr>
            <w:pStyle w:val="25"/>
            <w:ind w:left="0"/>
            <w:rPr>
              <w:rFonts w:eastAsiaTheme="minorEastAsia"/>
              <w:b w:val="0"/>
              <w:bCs w:val="0"/>
              <w:smallCaps w:val="0"/>
              <w:sz w:val="24"/>
            </w:rPr>
          </w:pPr>
          <w:hyperlink w:anchor="_Toc358042565" w:history="1">
            <w:r w:rsidR="00010E5C" w:rsidRPr="003111E1">
              <w:rPr>
                <w:rStyle w:val="aff5"/>
                <w:b w:val="0"/>
                <w:color w:val="auto"/>
                <w:lang w:val="zh-TW"/>
              </w:rPr>
              <w:t>表</w:t>
            </w:r>
            <w:r w:rsidR="00010E5C" w:rsidRPr="003111E1">
              <w:rPr>
                <w:rStyle w:val="aff5"/>
                <w:b w:val="0"/>
                <w:color w:val="auto"/>
                <w:lang w:val="zh-TW"/>
              </w:rPr>
              <w:t xml:space="preserve">1  </w:t>
            </w:r>
            <w:r w:rsidR="00010E5C" w:rsidRPr="003111E1">
              <w:rPr>
                <w:rStyle w:val="aff5"/>
                <w:b w:val="0"/>
                <w:color w:val="auto"/>
                <w:lang w:val="zh-TW"/>
              </w:rPr>
              <w:t>世界經濟成長率及物價上漲率</w:t>
            </w:r>
            <w:r w:rsidR="00010E5C" w:rsidRPr="003111E1">
              <w:rPr>
                <w:b w:val="0"/>
                <w:webHidden/>
              </w:rPr>
              <w:tab/>
            </w:r>
            <w:r w:rsidR="00010E5C" w:rsidRPr="003111E1">
              <w:rPr>
                <w:b w:val="0"/>
                <w:webHidden/>
              </w:rPr>
              <w:fldChar w:fldCharType="begin"/>
            </w:r>
            <w:r w:rsidR="00010E5C" w:rsidRPr="003111E1">
              <w:rPr>
                <w:b w:val="0"/>
                <w:webHidden/>
              </w:rPr>
              <w:instrText xml:space="preserve"> PAGEREF _Toc358042565 \h </w:instrText>
            </w:r>
            <w:r w:rsidR="00010E5C" w:rsidRPr="003111E1">
              <w:rPr>
                <w:b w:val="0"/>
                <w:webHidden/>
              </w:rPr>
            </w:r>
            <w:r w:rsidR="00010E5C" w:rsidRPr="003111E1">
              <w:rPr>
                <w:b w:val="0"/>
                <w:webHidden/>
              </w:rPr>
              <w:fldChar w:fldCharType="separate"/>
            </w:r>
            <w:r w:rsidR="00121C75">
              <w:rPr>
                <w:b w:val="0"/>
                <w:webHidden/>
              </w:rPr>
              <w:t>3</w:t>
            </w:r>
            <w:r w:rsidR="00010E5C" w:rsidRPr="003111E1">
              <w:rPr>
                <w:b w:val="0"/>
                <w:webHidden/>
              </w:rPr>
              <w:fldChar w:fldCharType="end"/>
            </w:r>
          </w:hyperlink>
        </w:p>
        <w:p w:rsidR="00010E5C" w:rsidRPr="003111E1" w:rsidRDefault="00EC4A60">
          <w:pPr>
            <w:pStyle w:val="25"/>
            <w:ind w:left="0"/>
            <w:rPr>
              <w:rFonts w:eastAsiaTheme="minorEastAsia"/>
              <w:b w:val="0"/>
              <w:bCs w:val="0"/>
              <w:smallCaps w:val="0"/>
              <w:sz w:val="24"/>
            </w:rPr>
          </w:pPr>
          <w:hyperlink w:anchor="_Toc358042566" w:history="1">
            <w:r w:rsidR="00010E5C" w:rsidRPr="003111E1">
              <w:rPr>
                <w:rStyle w:val="aff5"/>
                <w:b w:val="0"/>
                <w:color w:val="auto"/>
                <w:lang w:val="zh-TW"/>
              </w:rPr>
              <w:t>表</w:t>
            </w:r>
            <w:r w:rsidR="00010E5C" w:rsidRPr="003111E1">
              <w:rPr>
                <w:rStyle w:val="aff5"/>
                <w:b w:val="0"/>
                <w:color w:val="auto"/>
                <w:lang w:val="zh-TW"/>
              </w:rPr>
              <w:t xml:space="preserve">2  </w:t>
            </w:r>
            <w:r w:rsidR="00010E5C" w:rsidRPr="003111E1">
              <w:rPr>
                <w:rStyle w:val="aff5"/>
                <w:b w:val="0"/>
                <w:color w:val="auto"/>
                <w:lang w:val="zh-TW"/>
              </w:rPr>
              <w:t>世界貿易量成長率</w:t>
            </w:r>
            <w:r w:rsidR="00010E5C" w:rsidRPr="003111E1">
              <w:rPr>
                <w:b w:val="0"/>
                <w:webHidden/>
              </w:rPr>
              <w:tab/>
            </w:r>
            <w:r w:rsidR="00010E5C" w:rsidRPr="003111E1">
              <w:rPr>
                <w:b w:val="0"/>
                <w:webHidden/>
              </w:rPr>
              <w:fldChar w:fldCharType="begin"/>
            </w:r>
            <w:r w:rsidR="00010E5C" w:rsidRPr="003111E1">
              <w:rPr>
                <w:b w:val="0"/>
                <w:webHidden/>
              </w:rPr>
              <w:instrText xml:space="preserve"> PAGEREF _Toc358042566 \h </w:instrText>
            </w:r>
            <w:r w:rsidR="00010E5C" w:rsidRPr="003111E1">
              <w:rPr>
                <w:b w:val="0"/>
                <w:webHidden/>
              </w:rPr>
            </w:r>
            <w:r w:rsidR="00010E5C" w:rsidRPr="003111E1">
              <w:rPr>
                <w:b w:val="0"/>
                <w:webHidden/>
              </w:rPr>
              <w:fldChar w:fldCharType="separate"/>
            </w:r>
            <w:r w:rsidR="00121C75">
              <w:rPr>
                <w:b w:val="0"/>
                <w:webHidden/>
              </w:rPr>
              <w:t>3</w:t>
            </w:r>
            <w:r w:rsidR="00010E5C" w:rsidRPr="003111E1">
              <w:rPr>
                <w:b w:val="0"/>
                <w:webHidden/>
              </w:rPr>
              <w:fldChar w:fldCharType="end"/>
            </w:r>
          </w:hyperlink>
        </w:p>
        <w:p w:rsidR="00010E5C" w:rsidRPr="003111E1" w:rsidRDefault="00EC4A60">
          <w:pPr>
            <w:pStyle w:val="25"/>
            <w:ind w:left="0"/>
            <w:rPr>
              <w:rFonts w:eastAsiaTheme="minorEastAsia"/>
              <w:b w:val="0"/>
              <w:bCs w:val="0"/>
              <w:smallCaps w:val="0"/>
              <w:sz w:val="24"/>
            </w:rPr>
          </w:pPr>
          <w:hyperlink w:anchor="_Toc358042567" w:history="1">
            <w:r w:rsidR="00010E5C" w:rsidRPr="003111E1">
              <w:rPr>
                <w:rStyle w:val="aff5"/>
                <w:b w:val="0"/>
                <w:color w:val="auto"/>
              </w:rPr>
              <w:t>表</w:t>
            </w:r>
            <w:r w:rsidR="00010E5C" w:rsidRPr="003111E1">
              <w:rPr>
                <w:rStyle w:val="aff5"/>
                <w:b w:val="0"/>
                <w:color w:val="auto"/>
              </w:rPr>
              <w:t xml:space="preserve">3  </w:t>
            </w:r>
            <w:r w:rsidR="00010E5C" w:rsidRPr="003111E1">
              <w:rPr>
                <w:rStyle w:val="aff5"/>
                <w:b w:val="0"/>
                <w:color w:val="auto"/>
              </w:rPr>
              <w:t>國內主要經濟指標</w:t>
            </w:r>
            <w:r w:rsidR="00010E5C" w:rsidRPr="003111E1">
              <w:rPr>
                <w:b w:val="0"/>
                <w:webHidden/>
              </w:rPr>
              <w:tab/>
            </w:r>
            <w:r w:rsidR="00010E5C" w:rsidRPr="003111E1">
              <w:rPr>
                <w:b w:val="0"/>
                <w:webHidden/>
              </w:rPr>
              <w:fldChar w:fldCharType="begin"/>
            </w:r>
            <w:r w:rsidR="00010E5C" w:rsidRPr="003111E1">
              <w:rPr>
                <w:b w:val="0"/>
                <w:webHidden/>
              </w:rPr>
              <w:instrText xml:space="preserve"> PAGEREF _Toc358042567 \h </w:instrText>
            </w:r>
            <w:r w:rsidR="00010E5C" w:rsidRPr="003111E1">
              <w:rPr>
                <w:b w:val="0"/>
                <w:webHidden/>
              </w:rPr>
            </w:r>
            <w:r w:rsidR="00010E5C" w:rsidRPr="003111E1">
              <w:rPr>
                <w:b w:val="0"/>
                <w:webHidden/>
              </w:rPr>
              <w:fldChar w:fldCharType="separate"/>
            </w:r>
            <w:r w:rsidR="00121C75">
              <w:rPr>
                <w:b w:val="0"/>
                <w:webHidden/>
              </w:rPr>
              <w:t>3</w:t>
            </w:r>
            <w:r w:rsidR="00010E5C" w:rsidRPr="003111E1">
              <w:rPr>
                <w:b w:val="0"/>
                <w:webHidden/>
              </w:rPr>
              <w:fldChar w:fldCharType="end"/>
            </w:r>
          </w:hyperlink>
        </w:p>
        <w:p w:rsidR="00010E5C" w:rsidRPr="003111E1" w:rsidRDefault="00EC4A60">
          <w:pPr>
            <w:pStyle w:val="25"/>
            <w:ind w:left="0"/>
            <w:rPr>
              <w:rFonts w:eastAsiaTheme="minorEastAsia"/>
              <w:b w:val="0"/>
              <w:bCs w:val="0"/>
              <w:smallCaps w:val="0"/>
              <w:sz w:val="24"/>
            </w:rPr>
          </w:pPr>
          <w:hyperlink w:anchor="_Toc358042568" w:history="1">
            <w:r w:rsidR="00010E5C" w:rsidRPr="003111E1">
              <w:rPr>
                <w:rStyle w:val="aff5"/>
                <w:b w:val="0"/>
                <w:color w:val="auto"/>
              </w:rPr>
              <w:t>表</w:t>
            </w:r>
            <w:r w:rsidR="00010E5C" w:rsidRPr="003111E1">
              <w:rPr>
                <w:rStyle w:val="aff5"/>
                <w:b w:val="0"/>
                <w:color w:val="auto"/>
              </w:rPr>
              <w:t xml:space="preserve">4  </w:t>
            </w:r>
            <w:r w:rsidR="00010E5C" w:rsidRPr="003111E1">
              <w:rPr>
                <w:rStyle w:val="aff5"/>
                <w:b w:val="0"/>
                <w:color w:val="auto"/>
              </w:rPr>
              <w:t>中國大陸主要經濟指標</w:t>
            </w:r>
            <w:r w:rsidR="00010E5C" w:rsidRPr="003111E1">
              <w:rPr>
                <w:b w:val="0"/>
                <w:webHidden/>
              </w:rPr>
              <w:tab/>
            </w:r>
            <w:r w:rsidR="00010E5C" w:rsidRPr="003111E1">
              <w:rPr>
                <w:b w:val="0"/>
                <w:webHidden/>
              </w:rPr>
              <w:fldChar w:fldCharType="begin"/>
            </w:r>
            <w:r w:rsidR="00010E5C" w:rsidRPr="003111E1">
              <w:rPr>
                <w:b w:val="0"/>
                <w:webHidden/>
              </w:rPr>
              <w:instrText xml:space="preserve"> PAGEREF _Toc358042568 \h </w:instrText>
            </w:r>
            <w:r w:rsidR="00010E5C" w:rsidRPr="003111E1">
              <w:rPr>
                <w:b w:val="0"/>
                <w:webHidden/>
              </w:rPr>
            </w:r>
            <w:r w:rsidR="00010E5C" w:rsidRPr="003111E1">
              <w:rPr>
                <w:b w:val="0"/>
                <w:webHidden/>
              </w:rPr>
              <w:fldChar w:fldCharType="separate"/>
            </w:r>
            <w:r w:rsidR="00121C75">
              <w:rPr>
                <w:b w:val="0"/>
                <w:webHidden/>
              </w:rPr>
              <w:t>5</w:t>
            </w:r>
            <w:r w:rsidR="00010E5C" w:rsidRPr="003111E1">
              <w:rPr>
                <w:b w:val="0"/>
                <w:webHidden/>
              </w:rPr>
              <w:fldChar w:fldCharType="end"/>
            </w:r>
          </w:hyperlink>
        </w:p>
        <w:p w:rsidR="00010E5C" w:rsidRPr="003111E1" w:rsidRDefault="00EC4A60">
          <w:pPr>
            <w:pStyle w:val="25"/>
            <w:ind w:left="0"/>
            <w:rPr>
              <w:rFonts w:eastAsiaTheme="minorEastAsia"/>
              <w:b w:val="0"/>
              <w:bCs w:val="0"/>
              <w:smallCaps w:val="0"/>
              <w:sz w:val="24"/>
            </w:rPr>
          </w:pPr>
          <w:hyperlink w:anchor="_Toc358042569" w:history="1">
            <w:r w:rsidR="00010E5C" w:rsidRPr="003111E1">
              <w:rPr>
                <w:rStyle w:val="aff5"/>
                <w:b w:val="0"/>
                <w:color w:val="auto"/>
              </w:rPr>
              <w:t>表</w:t>
            </w:r>
            <w:r w:rsidR="00010E5C" w:rsidRPr="003111E1">
              <w:rPr>
                <w:rStyle w:val="aff5"/>
                <w:b w:val="0"/>
                <w:color w:val="auto"/>
              </w:rPr>
              <w:t xml:space="preserve">5  </w:t>
            </w:r>
            <w:r w:rsidR="00010E5C" w:rsidRPr="003111E1">
              <w:rPr>
                <w:rStyle w:val="aff5"/>
                <w:b w:val="0"/>
                <w:color w:val="auto"/>
              </w:rPr>
              <w:t>兩岸經貿統計</w:t>
            </w:r>
            <w:r w:rsidR="00010E5C" w:rsidRPr="003111E1">
              <w:rPr>
                <w:b w:val="0"/>
                <w:webHidden/>
              </w:rPr>
              <w:tab/>
            </w:r>
            <w:r w:rsidR="00010E5C" w:rsidRPr="003111E1">
              <w:rPr>
                <w:b w:val="0"/>
                <w:webHidden/>
              </w:rPr>
              <w:fldChar w:fldCharType="begin"/>
            </w:r>
            <w:r w:rsidR="00010E5C" w:rsidRPr="003111E1">
              <w:rPr>
                <w:b w:val="0"/>
                <w:webHidden/>
              </w:rPr>
              <w:instrText xml:space="preserve"> PAGEREF _Toc358042569 \h </w:instrText>
            </w:r>
            <w:r w:rsidR="00010E5C" w:rsidRPr="003111E1">
              <w:rPr>
                <w:b w:val="0"/>
                <w:webHidden/>
              </w:rPr>
            </w:r>
            <w:r w:rsidR="00010E5C" w:rsidRPr="003111E1">
              <w:rPr>
                <w:b w:val="0"/>
                <w:webHidden/>
              </w:rPr>
              <w:fldChar w:fldCharType="separate"/>
            </w:r>
            <w:r w:rsidR="00121C75">
              <w:rPr>
                <w:b w:val="0"/>
                <w:webHidden/>
              </w:rPr>
              <w:t>6</w:t>
            </w:r>
            <w:r w:rsidR="00010E5C" w:rsidRPr="003111E1">
              <w:rPr>
                <w:b w:val="0"/>
                <w:webHidden/>
              </w:rPr>
              <w:fldChar w:fldCharType="end"/>
            </w:r>
          </w:hyperlink>
        </w:p>
        <w:p w:rsidR="00010E5C" w:rsidRPr="003111E1" w:rsidRDefault="00EC4A60" w:rsidP="00382155">
          <w:pPr>
            <w:pStyle w:val="18"/>
            <w:rPr>
              <w:rFonts w:ascii="Times New Roman" w:eastAsiaTheme="minorEastAsia" w:hAnsi="Times New Roman"/>
              <w:sz w:val="24"/>
              <w:szCs w:val="22"/>
            </w:rPr>
          </w:pPr>
          <w:hyperlink w:anchor="_Toc358042570" w:history="1">
            <w:r w:rsidR="00010E5C" w:rsidRPr="003111E1">
              <w:rPr>
                <w:rStyle w:val="aff5"/>
                <w:rFonts w:ascii="Times New Roman" w:hAnsi="Times New Roman"/>
                <w:color w:val="auto"/>
              </w:rPr>
              <w:t>參、經濟情勢分析</w:t>
            </w:r>
            <w:r w:rsidR="00010E5C" w:rsidRPr="003111E1">
              <w:rPr>
                <w:rFonts w:ascii="Times New Roman" w:hAnsi="Times New Roman"/>
                <w:webHidden/>
              </w:rPr>
              <w:tab/>
            </w:r>
            <w:r w:rsidR="00010E5C" w:rsidRPr="003111E1">
              <w:rPr>
                <w:rFonts w:ascii="Times New Roman" w:hAnsi="Times New Roman"/>
                <w:webHidden/>
              </w:rPr>
              <w:fldChar w:fldCharType="begin"/>
            </w:r>
            <w:r w:rsidR="00010E5C" w:rsidRPr="003111E1">
              <w:rPr>
                <w:rFonts w:ascii="Times New Roman" w:hAnsi="Times New Roman"/>
                <w:webHidden/>
              </w:rPr>
              <w:instrText xml:space="preserve"> PAGEREF _Toc358042570 \h </w:instrText>
            </w:r>
            <w:r w:rsidR="00010E5C" w:rsidRPr="003111E1">
              <w:rPr>
                <w:rFonts w:ascii="Times New Roman" w:hAnsi="Times New Roman"/>
                <w:webHidden/>
              </w:rPr>
            </w:r>
            <w:r w:rsidR="00010E5C" w:rsidRPr="003111E1">
              <w:rPr>
                <w:rFonts w:ascii="Times New Roman" w:hAnsi="Times New Roman"/>
                <w:webHidden/>
              </w:rPr>
              <w:fldChar w:fldCharType="separate"/>
            </w:r>
            <w:r w:rsidR="00121C75">
              <w:rPr>
                <w:rFonts w:ascii="Times New Roman" w:hAnsi="Times New Roman"/>
                <w:webHidden/>
              </w:rPr>
              <w:t>7</w:t>
            </w:r>
            <w:r w:rsidR="00010E5C" w:rsidRPr="003111E1">
              <w:rPr>
                <w:rFonts w:ascii="Times New Roman" w:hAnsi="Times New Roman"/>
                <w:webHidden/>
              </w:rPr>
              <w:fldChar w:fldCharType="end"/>
            </w:r>
          </w:hyperlink>
        </w:p>
        <w:p w:rsidR="00010E5C" w:rsidRPr="003111E1" w:rsidRDefault="00EC4A60">
          <w:pPr>
            <w:pStyle w:val="25"/>
            <w:ind w:left="0"/>
            <w:rPr>
              <w:rFonts w:eastAsiaTheme="minorEastAsia"/>
              <w:b w:val="0"/>
              <w:bCs w:val="0"/>
              <w:smallCaps w:val="0"/>
              <w:sz w:val="24"/>
            </w:rPr>
          </w:pPr>
          <w:hyperlink w:anchor="_Toc358042571" w:history="1">
            <w:r w:rsidR="00010E5C" w:rsidRPr="003111E1">
              <w:rPr>
                <w:rStyle w:val="aff5"/>
                <w:color w:val="auto"/>
              </w:rPr>
              <w:t>一、國際經濟</w:t>
            </w:r>
            <w:r w:rsidR="00010E5C" w:rsidRPr="003111E1">
              <w:rPr>
                <w:webHidden/>
              </w:rPr>
              <w:tab/>
            </w:r>
            <w:r w:rsidR="00010E5C" w:rsidRPr="003111E1">
              <w:rPr>
                <w:webHidden/>
              </w:rPr>
              <w:fldChar w:fldCharType="begin"/>
            </w:r>
            <w:r w:rsidR="00010E5C" w:rsidRPr="003111E1">
              <w:rPr>
                <w:webHidden/>
              </w:rPr>
              <w:instrText xml:space="preserve"> PAGEREF _Toc358042571 \h </w:instrText>
            </w:r>
            <w:r w:rsidR="00010E5C" w:rsidRPr="003111E1">
              <w:rPr>
                <w:webHidden/>
              </w:rPr>
            </w:r>
            <w:r w:rsidR="00010E5C" w:rsidRPr="003111E1">
              <w:rPr>
                <w:webHidden/>
              </w:rPr>
              <w:fldChar w:fldCharType="separate"/>
            </w:r>
            <w:r w:rsidR="00121C75">
              <w:rPr>
                <w:webHidden/>
              </w:rPr>
              <w:t>7</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2" w:history="1">
            <w:r w:rsidR="00010E5C" w:rsidRPr="003111E1">
              <w:rPr>
                <w:rStyle w:val="aff5"/>
                <w:color w:val="auto"/>
              </w:rPr>
              <w:t>（一）美國</w:t>
            </w:r>
            <w:r w:rsidR="00010E5C" w:rsidRPr="003111E1">
              <w:rPr>
                <w:webHidden/>
              </w:rPr>
              <w:tab/>
            </w:r>
            <w:r w:rsidR="00010E5C" w:rsidRPr="003111E1">
              <w:rPr>
                <w:webHidden/>
              </w:rPr>
              <w:fldChar w:fldCharType="begin"/>
            </w:r>
            <w:r w:rsidR="00010E5C" w:rsidRPr="003111E1">
              <w:rPr>
                <w:webHidden/>
              </w:rPr>
              <w:instrText xml:space="preserve"> PAGEREF _Toc358042572 \h </w:instrText>
            </w:r>
            <w:r w:rsidR="00010E5C" w:rsidRPr="003111E1">
              <w:rPr>
                <w:webHidden/>
              </w:rPr>
            </w:r>
            <w:r w:rsidR="00010E5C" w:rsidRPr="003111E1">
              <w:rPr>
                <w:webHidden/>
              </w:rPr>
              <w:fldChar w:fldCharType="separate"/>
            </w:r>
            <w:r w:rsidR="00121C75">
              <w:rPr>
                <w:webHidden/>
              </w:rPr>
              <w:t>7</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3" w:history="1">
            <w:r w:rsidR="00010E5C" w:rsidRPr="003111E1">
              <w:rPr>
                <w:rStyle w:val="aff5"/>
                <w:color w:val="auto"/>
              </w:rPr>
              <w:t>（二）歐元區</w:t>
            </w:r>
            <w:r w:rsidR="00010E5C" w:rsidRPr="003111E1">
              <w:rPr>
                <w:webHidden/>
              </w:rPr>
              <w:tab/>
            </w:r>
            <w:r w:rsidR="00010E5C" w:rsidRPr="003111E1">
              <w:rPr>
                <w:webHidden/>
              </w:rPr>
              <w:fldChar w:fldCharType="begin"/>
            </w:r>
            <w:r w:rsidR="00010E5C" w:rsidRPr="003111E1">
              <w:rPr>
                <w:webHidden/>
              </w:rPr>
              <w:instrText xml:space="preserve"> PAGEREF _Toc358042573 \h </w:instrText>
            </w:r>
            <w:r w:rsidR="00010E5C" w:rsidRPr="003111E1">
              <w:rPr>
                <w:webHidden/>
              </w:rPr>
            </w:r>
            <w:r w:rsidR="00010E5C" w:rsidRPr="003111E1">
              <w:rPr>
                <w:webHidden/>
              </w:rPr>
              <w:fldChar w:fldCharType="separate"/>
            </w:r>
            <w:r w:rsidR="00121C75">
              <w:rPr>
                <w:webHidden/>
              </w:rPr>
              <w:t>8</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4" w:history="1">
            <w:r w:rsidR="00010E5C" w:rsidRPr="003111E1">
              <w:rPr>
                <w:rStyle w:val="aff5"/>
                <w:color w:val="auto"/>
              </w:rPr>
              <w:t>（三）亞太地區</w:t>
            </w:r>
            <w:r w:rsidR="00010E5C" w:rsidRPr="003111E1">
              <w:rPr>
                <w:webHidden/>
              </w:rPr>
              <w:tab/>
            </w:r>
            <w:r w:rsidR="00010E5C" w:rsidRPr="003111E1">
              <w:rPr>
                <w:webHidden/>
              </w:rPr>
              <w:fldChar w:fldCharType="begin"/>
            </w:r>
            <w:r w:rsidR="00010E5C" w:rsidRPr="003111E1">
              <w:rPr>
                <w:webHidden/>
              </w:rPr>
              <w:instrText xml:space="preserve"> PAGEREF _Toc358042574 \h </w:instrText>
            </w:r>
            <w:r w:rsidR="00010E5C" w:rsidRPr="003111E1">
              <w:rPr>
                <w:webHidden/>
              </w:rPr>
            </w:r>
            <w:r w:rsidR="00010E5C" w:rsidRPr="003111E1">
              <w:rPr>
                <w:webHidden/>
              </w:rPr>
              <w:fldChar w:fldCharType="separate"/>
            </w:r>
            <w:r w:rsidR="00121C75">
              <w:rPr>
                <w:webHidden/>
              </w:rPr>
              <w:t>10</w:t>
            </w:r>
            <w:r w:rsidR="00010E5C" w:rsidRPr="003111E1">
              <w:rPr>
                <w:webHidden/>
              </w:rPr>
              <w:fldChar w:fldCharType="end"/>
            </w:r>
          </w:hyperlink>
        </w:p>
        <w:p w:rsidR="00010E5C" w:rsidRPr="003111E1" w:rsidRDefault="00EC4A60">
          <w:pPr>
            <w:pStyle w:val="25"/>
            <w:ind w:left="0"/>
            <w:rPr>
              <w:rFonts w:eastAsiaTheme="minorEastAsia"/>
              <w:b w:val="0"/>
              <w:bCs w:val="0"/>
              <w:smallCaps w:val="0"/>
              <w:sz w:val="24"/>
            </w:rPr>
          </w:pPr>
          <w:hyperlink w:anchor="_Toc358042575" w:history="1">
            <w:r w:rsidR="00010E5C" w:rsidRPr="003111E1">
              <w:rPr>
                <w:rStyle w:val="aff5"/>
                <w:color w:val="auto"/>
              </w:rPr>
              <w:t>二、國內經濟</w:t>
            </w:r>
            <w:r w:rsidR="00010E5C" w:rsidRPr="003111E1">
              <w:rPr>
                <w:webHidden/>
              </w:rPr>
              <w:tab/>
            </w:r>
            <w:r w:rsidR="00010E5C" w:rsidRPr="003111E1">
              <w:rPr>
                <w:webHidden/>
              </w:rPr>
              <w:fldChar w:fldCharType="begin"/>
            </w:r>
            <w:r w:rsidR="00010E5C" w:rsidRPr="003111E1">
              <w:rPr>
                <w:webHidden/>
              </w:rPr>
              <w:instrText xml:space="preserve"> PAGEREF _Toc358042575 \h </w:instrText>
            </w:r>
            <w:r w:rsidR="00010E5C" w:rsidRPr="003111E1">
              <w:rPr>
                <w:webHidden/>
              </w:rPr>
            </w:r>
            <w:r w:rsidR="00010E5C" w:rsidRPr="003111E1">
              <w:rPr>
                <w:webHidden/>
              </w:rPr>
              <w:fldChar w:fldCharType="separate"/>
            </w:r>
            <w:r w:rsidR="00121C75">
              <w:rPr>
                <w:webHidden/>
              </w:rPr>
              <w:t>17</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6" w:history="1">
            <w:r w:rsidR="00010E5C" w:rsidRPr="003111E1">
              <w:rPr>
                <w:rStyle w:val="aff5"/>
                <w:color w:val="auto"/>
              </w:rPr>
              <w:t>（一）總體情勢</w:t>
            </w:r>
            <w:r w:rsidR="00010E5C" w:rsidRPr="003111E1">
              <w:rPr>
                <w:webHidden/>
              </w:rPr>
              <w:tab/>
            </w:r>
            <w:r w:rsidR="00010E5C" w:rsidRPr="003111E1">
              <w:rPr>
                <w:webHidden/>
              </w:rPr>
              <w:fldChar w:fldCharType="begin"/>
            </w:r>
            <w:r w:rsidR="00010E5C" w:rsidRPr="003111E1">
              <w:rPr>
                <w:webHidden/>
              </w:rPr>
              <w:instrText xml:space="preserve"> PAGEREF _Toc358042576 \h </w:instrText>
            </w:r>
            <w:r w:rsidR="00010E5C" w:rsidRPr="003111E1">
              <w:rPr>
                <w:webHidden/>
              </w:rPr>
            </w:r>
            <w:r w:rsidR="00010E5C" w:rsidRPr="003111E1">
              <w:rPr>
                <w:webHidden/>
              </w:rPr>
              <w:fldChar w:fldCharType="separate"/>
            </w:r>
            <w:r w:rsidR="00121C75">
              <w:rPr>
                <w:webHidden/>
              </w:rPr>
              <w:t>17</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7" w:history="1">
            <w:r w:rsidR="00010E5C" w:rsidRPr="003111E1">
              <w:rPr>
                <w:rStyle w:val="aff5"/>
                <w:color w:val="auto"/>
              </w:rPr>
              <w:t>（二）工業生產</w:t>
            </w:r>
            <w:r w:rsidR="00010E5C" w:rsidRPr="003111E1">
              <w:rPr>
                <w:webHidden/>
              </w:rPr>
              <w:tab/>
            </w:r>
            <w:r w:rsidR="00010E5C" w:rsidRPr="003111E1">
              <w:rPr>
                <w:webHidden/>
              </w:rPr>
              <w:fldChar w:fldCharType="begin"/>
            </w:r>
            <w:r w:rsidR="00010E5C" w:rsidRPr="003111E1">
              <w:rPr>
                <w:webHidden/>
              </w:rPr>
              <w:instrText xml:space="preserve"> PAGEREF _Toc358042577 \h </w:instrText>
            </w:r>
            <w:r w:rsidR="00010E5C" w:rsidRPr="003111E1">
              <w:rPr>
                <w:webHidden/>
              </w:rPr>
            </w:r>
            <w:r w:rsidR="00010E5C" w:rsidRPr="003111E1">
              <w:rPr>
                <w:webHidden/>
              </w:rPr>
              <w:fldChar w:fldCharType="separate"/>
            </w:r>
            <w:r w:rsidR="00121C75">
              <w:rPr>
                <w:webHidden/>
              </w:rPr>
              <w:t>20</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8" w:history="1">
            <w:r w:rsidR="00010E5C" w:rsidRPr="003111E1">
              <w:rPr>
                <w:rStyle w:val="aff5"/>
                <w:color w:val="auto"/>
              </w:rPr>
              <w:t>（三）商業</w:t>
            </w:r>
            <w:r w:rsidR="00010E5C" w:rsidRPr="003111E1">
              <w:rPr>
                <w:webHidden/>
              </w:rPr>
              <w:tab/>
            </w:r>
            <w:r w:rsidR="00010E5C" w:rsidRPr="003111E1">
              <w:rPr>
                <w:webHidden/>
              </w:rPr>
              <w:fldChar w:fldCharType="begin"/>
            </w:r>
            <w:r w:rsidR="00010E5C" w:rsidRPr="003111E1">
              <w:rPr>
                <w:webHidden/>
              </w:rPr>
              <w:instrText xml:space="preserve"> PAGEREF _Toc358042578 \h </w:instrText>
            </w:r>
            <w:r w:rsidR="00010E5C" w:rsidRPr="003111E1">
              <w:rPr>
                <w:webHidden/>
              </w:rPr>
            </w:r>
            <w:r w:rsidR="00010E5C" w:rsidRPr="003111E1">
              <w:rPr>
                <w:webHidden/>
              </w:rPr>
              <w:fldChar w:fldCharType="separate"/>
            </w:r>
            <w:r w:rsidR="00121C75">
              <w:rPr>
                <w:webHidden/>
              </w:rPr>
              <w:t>24</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79" w:history="1">
            <w:r w:rsidR="00010E5C" w:rsidRPr="003111E1">
              <w:rPr>
                <w:rStyle w:val="aff5"/>
                <w:color w:val="auto"/>
              </w:rPr>
              <w:t>（四）貿易</w:t>
            </w:r>
            <w:r w:rsidR="00010E5C" w:rsidRPr="003111E1">
              <w:rPr>
                <w:webHidden/>
              </w:rPr>
              <w:tab/>
            </w:r>
            <w:r w:rsidR="00010E5C" w:rsidRPr="003111E1">
              <w:rPr>
                <w:webHidden/>
              </w:rPr>
              <w:fldChar w:fldCharType="begin"/>
            </w:r>
            <w:r w:rsidR="00010E5C" w:rsidRPr="003111E1">
              <w:rPr>
                <w:webHidden/>
              </w:rPr>
              <w:instrText xml:space="preserve"> PAGEREF _Toc358042579 \h </w:instrText>
            </w:r>
            <w:r w:rsidR="00010E5C" w:rsidRPr="003111E1">
              <w:rPr>
                <w:webHidden/>
              </w:rPr>
            </w:r>
            <w:r w:rsidR="00010E5C" w:rsidRPr="003111E1">
              <w:rPr>
                <w:webHidden/>
              </w:rPr>
              <w:fldChar w:fldCharType="separate"/>
            </w:r>
            <w:r w:rsidR="00121C75">
              <w:rPr>
                <w:webHidden/>
              </w:rPr>
              <w:t>28</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0" w:history="1">
            <w:r w:rsidR="00010E5C" w:rsidRPr="003111E1">
              <w:rPr>
                <w:rStyle w:val="aff5"/>
                <w:color w:val="auto"/>
              </w:rPr>
              <w:t>（五）外銷訂單</w:t>
            </w:r>
            <w:r w:rsidR="00010E5C" w:rsidRPr="003111E1">
              <w:rPr>
                <w:webHidden/>
              </w:rPr>
              <w:tab/>
            </w:r>
            <w:r w:rsidR="00010E5C" w:rsidRPr="003111E1">
              <w:rPr>
                <w:webHidden/>
              </w:rPr>
              <w:fldChar w:fldCharType="begin"/>
            </w:r>
            <w:r w:rsidR="00010E5C" w:rsidRPr="003111E1">
              <w:rPr>
                <w:webHidden/>
              </w:rPr>
              <w:instrText xml:space="preserve"> PAGEREF _Toc358042580 \h </w:instrText>
            </w:r>
            <w:r w:rsidR="00010E5C" w:rsidRPr="003111E1">
              <w:rPr>
                <w:webHidden/>
              </w:rPr>
            </w:r>
            <w:r w:rsidR="00010E5C" w:rsidRPr="003111E1">
              <w:rPr>
                <w:webHidden/>
              </w:rPr>
              <w:fldChar w:fldCharType="separate"/>
            </w:r>
            <w:r w:rsidR="00121C75">
              <w:rPr>
                <w:webHidden/>
              </w:rPr>
              <w:t>31</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1" w:history="1">
            <w:r w:rsidR="00010E5C" w:rsidRPr="003111E1">
              <w:rPr>
                <w:rStyle w:val="aff5"/>
                <w:color w:val="auto"/>
              </w:rPr>
              <w:t>（六）投資</w:t>
            </w:r>
            <w:r w:rsidR="00010E5C" w:rsidRPr="003111E1">
              <w:rPr>
                <w:webHidden/>
              </w:rPr>
              <w:tab/>
            </w:r>
            <w:r w:rsidR="00010E5C" w:rsidRPr="003111E1">
              <w:rPr>
                <w:webHidden/>
              </w:rPr>
              <w:fldChar w:fldCharType="begin"/>
            </w:r>
            <w:r w:rsidR="00010E5C" w:rsidRPr="003111E1">
              <w:rPr>
                <w:webHidden/>
              </w:rPr>
              <w:instrText xml:space="preserve"> PAGEREF _Toc358042581 \h </w:instrText>
            </w:r>
            <w:r w:rsidR="00010E5C" w:rsidRPr="003111E1">
              <w:rPr>
                <w:webHidden/>
              </w:rPr>
            </w:r>
            <w:r w:rsidR="00010E5C" w:rsidRPr="003111E1">
              <w:rPr>
                <w:webHidden/>
              </w:rPr>
              <w:fldChar w:fldCharType="separate"/>
            </w:r>
            <w:r w:rsidR="00121C75">
              <w:rPr>
                <w:webHidden/>
              </w:rPr>
              <w:t>34</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2" w:history="1">
            <w:r w:rsidR="00010E5C" w:rsidRPr="003111E1">
              <w:rPr>
                <w:rStyle w:val="aff5"/>
                <w:color w:val="auto"/>
              </w:rPr>
              <w:t>（七）物價</w:t>
            </w:r>
            <w:r w:rsidR="00010E5C" w:rsidRPr="003111E1">
              <w:rPr>
                <w:webHidden/>
              </w:rPr>
              <w:tab/>
            </w:r>
            <w:r w:rsidR="00010E5C" w:rsidRPr="003111E1">
              <w:rPr>
                <w:webHidden/>
              </w:rPr>
              <w:fldChar w:fldCharType="begin"/>
            </w:r>
            <w:r w:rsidR="00010E5C" w:rsidRPr="003111E1">
              <w:rPr>
                <w:webHidden/>
              </w:rPr>
              <w:instrText xml:space="preserve"> PAGEREF _Toc358042582 \h </w:instrText>
            </w:r>
            <w:r w:rsidR="00010E5C" w:rsidRPr="003111E1">
              <w:rPr>
                <w:webHidden/>
              </w:rPr>
            </w:r>
            <w:r w:rsidR="00010E5C" w:rsidRPr="003111E1">
              <w:rPr>
                <w:webHidden/>
              </w:rPr>
              <w:fldChar w:fldCharType="separate"/>
            </w:r>
            <w:r w:rsidR="00121C75">
              <w:rPr>
                <w:webHidden/>
              </w:rPr>
              <w:t>37</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3" w:history="1">
            <w:r w:rsidR="00010E5C" w:rsidRPr="003111E1">
              <w:rPr>
                <w:rStyle w:val="aff5"/>
                <w:color w:val="auto"/>
              </w:rPr>
              <w:t>（八）金融</w:t>
            </w:r>
            <w:r w:rsidR="00010E5C" w:rsidRPr="003111E1">
              <w:rPr>
                <w:webHidden/>
              </w:rPr>
              <w:tab/>
            </w:r>
            <w:r w:rsidR="00010E5C" w:rsidRPr="003111E1">
              <w:rPr>
                <w:webHidden/>
              </w:rPr>
              <w:fldChar w:fldCharType="begin"/>
            </w:r>
            <w:r w:rsidR="00010E5C" w:rsidRPr="003111E1">
              <w:rPr>
                <w:webHidden/>
              </w:rPr>
              <w:instrText xml:space="preserve"> PAGEREF _Toc358042583 \h </w:instrText>
            </w:r>
            <w:r w:rsidR="00010E5C" w:rsidRPr="003111E1">
              <w:rPr>
                <w:webHidden/>
              </w:rPr>
            </w:r>
            <w:r w:rsidR="00010E5C" w:rsidRPr="003111E1">
              <w:rPr>
                <w:webHidden/>
              </w:rPr>
              <w:fldChar w:fldCharType="separate"/>
            </w:r>
            <w:r w:rsidR="00121C75">
              <w:rPr>
                <w:webHidden/>
              </w:rPr>
              <w:t>42</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4" w:history="1">
            <w:r w:rsidR="00010E5C" w:rsidRPr="003111E1">
              <w:rPr>
                <w:rStyle w:val="aff5"/>
                <w:color w:val="auto"/>
              </w:rPr>
              <w:t>（九）就業</w:t>
            </w:r>
            <w:r w:rsidR="00010E5C" w:rsidRPr="003111E1">
              <w:rPr>
                <w:webHidden/>
              </w:rPr>
              <w:tab/>
            </w:r>
            <w:r w:rsidR="00010E5C" w:rsidRPr="003111E1">
              <w:rPr>
                <w:webHidden/>
              </w:rPr>
              <w:fldChar w:fldCharType="begin"/>
            </w:r>
            <w:r w:rsidR="00010E5C" w:rsidRPr="003111E1">
              <w:rPr>
                <w:webHidden/>
              </w:rPr>
              <w:instrText xml:space="preserve"> PAGEREF _Toc358042584 \h </w:instrText>
            </w:r>
            <w:r w:rsidR="00010E5C" w:rsidRPr="003111E1">
              <w:rPr>
                <w:webHidden/>
              </w:rPr>
            </w:r>
            <w:r w:rsidR="00010E5C" w:rsidRPr="003111E1">
              <w:rPr>
                <w:webHidden/>
              </w:rPr>
              <w:fldChar w:fldCharType="separate"/>
            </w:r>
            <w:r w:rsidR="00121C75">
              <w:rPr>
                <w:webHidden/>
              </w:rPr>
              <w:t>45</w:t>
            </w:r>
            <w:r w:rsidR="00010E5C" w:rsidRPr="003111E1">
              <w:rPr>
                <w:webHidden/>
              </w:rPr>
              <w:fldChar w:fldCharType="end"/>
            </w:r>
          </w:hyperlink>
        </w:p>
        <w:p w:rsidR="00010E5C" w:rsidRPr="003111E1" w:rsidRDefault="00EC4A60">
          <w:pPr>
            <w:pStyle w:val="25"/>
            <w:ind w:left="0"/>
            <w:rPr>
              <w:rFonts w:eastAsiaTheme="minorEastAsia"/>
              <w:b w:val="0"/>
              <w:bCs w:val="0"/>
              <w:smallCaps w:val="0"/>
              <w:sz w:val="24"/>
            </w:rPr>
          </w:pPr>
          <w:hyperlink w:anchor="_Toc358042585" w:history="1">
            <w:r w:rsidR="00010E5C" w:rsidRPr="003111E1">
              <w:rPr>
                <w:rStyle w:val="aff5"/>
                <w:color w:val="auto"/>
              </w:rPr>
              <w:t>三、中國大陸經濟</w:t>
            </w:r>
            <w:r w:rsidR="00010E5C" w:rsidRPr="003111E1">
              <w:rPr>
                <w:webHidden/>
              </w:rPr>
              <w:tab/>
            </w:r>
            <w:r w:rsidR="00010E5C" w:rsidRPr="003111E1">
              <w:rPr>
                <w:webHidden/>
              </w:rPr>
              <w:fldChar w:fldCharType="begin"/>
            </w:r>
            <w:r w:rsidR="00010E5C" w:rsidRPr="003111E1">
              <w:rPr>
                <w:webHidden/>
              </w:rPr>
              <w:instrText xml:space="preserve"> PAGEREF _Toc358042585 \h </w:instrText>
            </w:r>
            <w:r w:rsidR="00010E5C" w:rsidRPr="003111E1">
              <w:rPr>
                <w:webHidden/>
              </w:rPr>
            </w:r>
            <w:r w:rsidR="00010E5C" w:rsidRPr="003111E1">
              <w:rPr>
                <w:webHidden/>
              </w:rPr>
              <w:fldChar w:fldCharType="separate"/>
            </w:r>
            <w:r w:rsidR="00121C75">
              <w:rPr>
                <w:webHidden/>
              </w:rPr>
              <w:t>48</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6" w:history="1">
            <w:r w:rsidR="00010E5C" w:rsidRPr="003111E1">
              <w:rPr>
                <w:rStyle w:val="aff5"/>
                <w:color w:val="auto"/>
              </w:rPr>
              <w:t>（一）固定資產投資</w:t>
            </w:r>
            <w:r w:rsidR="00010E5C" w:rsidRPr="003111E1">
              <w:rPr>
                <w:webHidden/>
              </w:rPr>
              <w:tab/>
            </w:r>
            <w:r w:rsidR="00010E5C" w:rsidRPr="003111E1">
              <w:rPr>
                <w:webHidden/>
              </w:rPr>
              <w:fldChar w:fldCharType="begin"/>
            </w:r>
            <w:r w:rsidR="00010E5C" w:rsidRPr="003111E1">
              <w:rPr>
                <w:webHidden/>
              </w:rPr>
              <w:instrText xml:space="preserve"> PAGEREF _Toc358042586 \h </w:instrText>
            </w:r>
            <w:r w:rsidR="00010E5C" w:rsidRPr="003111E1">
              <w:rPr>
                <w:webHidden/>
              </w:rPr>
            </w:r>
            <w:r w:rsidR="00010E5C" w:rsidRPr="003111E1">
              <w:rPr>
                <w:webHidden/>
              </w:rPr>
              <w:fldChar w:fldCharType="separate"/>
            </w:r>
            <w:r w:rsidR="00121C75">
              <w:rPr>
                <w:webHidden/>
              </w:rPr>
              <w:t>48</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7" w:history="1">
            <w:r w:rsidR="00010E5C" w:rsidRPr="003111E1">
              <w:rPr>
                <w:rStyle w:val="aff5"/>
                <w:color w:val="auto"/>
              </w:rPr>
              <w:t>（二）吸引外資</w:t>
            </w:r>
            <w:r w:rsidR="00010E5C" w:rsidRPr="003111E1">
              <w:rPr>
                <w:webHidden/>
              </w:rPr>
              <w:tab/>
            </w:r>
            <w:r w:rsidR="00010E5C" w:rsidRPr="003111E1">
              <w:rPr>
                <w:webHidden/>
              </w:rPr>
              <w:fldChar w:fldCharType="begin"/>
            </w:r>
            <w:r w:rsidR="00010E5C" w:rsidRPr="003111E1">
              <w:rPr>
                <w:webHidden/>
              </w:rPr>
              <w:instrText xml:space="preserve"> PAGEREF _Toc358042587 \h </w:instrText>
            </w:r>
            <w:r w:rsidR="00010E5C" w:rsidRPr="003111E1">
              <w:rPr>
                <w:webHidden/>
              </w:rPr>
            </w:r>
            <w:r w:rsidR="00010E5C" w:rsidRPr="003111E1">
              <w:rPr>
                <w:webHidden/>
              </w:rPr>
              <w:fldChar w:fldCharType="separate"/>
            </w:r>
            <w:r w:rsidR="00121C75">
              <w:rPr>
                <w:webHidden/>
              </w:rPr>
              <w:t>49</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88" w:history="1">
            <w:r w:rsidR="00010E5C" w:rsidRPr="003111E1">
              <w:rPr>
                <w:rStyle w:val="aff5"/>
                <w:color w:val="auto"/>
              </w:rPr>
              <w:t>（三）對外貿易</w:t>
            </w:r>
            <w:r w:rsidR="00010E5C" w:rsidRPr="003111E1">
              <w:rPr>
                <w:webHidden/>
              </w:rPr>
              <w:tab/>
            </w:r>
            <w:r w:rsidR="00010E5C" w:rsidRPr="003111E1">
              <w:rPr>
                <w:webHidden/>
              </w:rPr>
              <w:fldChar w:fldCharType="begin"/>
            </w:r>
            <w:r w:rsidR="00010E5C" w:rsidRPr="003111E1">
              <w:rPr>
                <w:webHidden/>
              </w:rPr>
              <w:instrText xml:space="preserve"> PAGEREF _Toc358042588 \h </w:instrText>
            </w:r>
            <w:r w:rsidR="00010E5C" w:rsidRPr="003111E1">
              <w:rPr>
                <w:webHidden/>
              </w:rPr>
            </w:r>
            <w:r w:rsidR="00010E5C" w:rsidRPr="003111E1">
              <w:rPr>
                <w:webHidden/>
              </w:rPr>
              <w:fldChar w:fldCharType="separate"/>
            </w:r>
            <w:r w:rsidR="00121C75">
              <w:rPr>
                <w:webHidden/>
              </w:rPr>
              <w:t>50</w:t>
            </w:r>
            <w:r w:rsidR="00010E5C" w:rsidRPr="003111E1">
              <w:rPr>
                <w:webHidden/>
              </w:rPr>
              <w:fldChar w:fldCharType="end"/>
            </w:r>
          </w:hyperlink>
        </w:p>
        <w:p w:rsidR="00010E5C" w:rsidRPr="003111E1" w:rsidRDefault="00EC4A60">
          <w:pPr>
            <w:pStyle w:val="25"/>
            <w:ind w:left="0"/>
            <w:rPr>
              <w:rFonts w:eastAsiaTheme="minorEastAsia"/>
              <w:b w:val="0"/>
              <w:bCs w:val="0"/>
              <w:smallCaps w:val="0"/>
              <w:sz w:val="24"/>
            </w:rPr>
          </w:pPr>
          <w:hyperlink w:anchor="_Toc358042589" w:history="1">
            <w:r w:rsidR="00010E5C" w:rsidRPr="003111E1">
              <w:rPr>
                <w:rStyle w:val="aff5"/>
                <w:color w:val="auto"/>
              </w:rPr>
              <w:t>四、兩岸經貿統計</w:t>
            </w:r>
            <w:r w:rsidR="00010E5C" w:rsidRPr="003111E1">
              <w:rPr>
                <w:webHidden/>
              </w:rPr>
              <w:tab/>
            </w:r>
            <w:r w:rsidR="00010E5C" w:rsidRPr="003111E1">
              <w:rPr>
                <w:webHidden/>
              </w:rPr>
              <w:fldChar w:fldCharType="begin"/>
            </w:r>
            <w:r w:rsidR="00010E5C" w:rsidRPr="003111E1">
              <w:rPr>
                <w:webHidden/>
              </w:rPr>
              <w:instrText xml:space="preserve"> PAGEREF _Toc358042589 \h </w:instrText>
            </w:r>
            <w:r w:rsidR="00010E5C" w:rsidRPr="003111E1">
              <w:rPr>
                <w:webHidden/>
              </w:rPr>
            </w:r>
            <w:r w:rsidR="00010E5C" w:rsidRPr="003111E1">
              <w:rPr>
                <w:webHidden/>
              </w:rPr>
              <w:fldChar w:fldCharType="separate"/>
            </w:r>
            <w:r w:rsidR="00121C75">
              <w:rPr>
                <w:webHidden/>
              </w:rPr>
              <w:t>51</w:t>
            </w:r>
            <w:r w:rsidR="00010E5C" w:rsidRPr="003111E1">
              <w:rPr>
                <w:webHidden/>
              </w:rPr>
              <w:fldChar w:fldCharType="end"/>
            </w:r>
          </w:hyperlink>
        </w:p>
        <w:p w:rsidR="00010E5C" w:rsidRPr="003111E1" w:rsidRDefault="00EC4A60" w:rsidP="00152078">
          <w:pPr>
            <w:pStyle w:val="32"/>
            <w:rPr>
              <w:rFonts w:eastAsiaTheme="minorEastAsia"/>
              <w:sz w:val="24"/>
              <w:szCs w:val="22"/>
            </w:rPr>
          </w:pPr>
          <w:hyperlink w:anchor="_Toc358042590" w:history="1">
            <w:r w:rsidR="00010E5C" w:rsidRPr="003111E1">
              <w:rPr>
                <w:rStyle w:val="aff5"/>
                <w:color w:val="auto"/>
              </w:rPr>
              <w:t>（一）兩岸投資</w:t>
            </w:r>
            <w:r w:rsidR="00010E5C" w:rsidRPr="003111E1">
              <w:rPr>
                <w:webHidden/>
              </w:rPr>
              <w:tab/>
            </w:r>
            <w:r w:rsidR="00010E5C" w:rsidRPr="003111E1">
              <w:rPr>
                <w:webHidden/>
              </w:rPr>
              <w:fldChar w:fldCharType="begin"/>
            </w:r>
            <w:r w:rsidR="00010E5C" w:rsidRPr="003111E1">
              <w:rPr>
                <w:webHidden/>
              </w:rPr>
              <w:instrText xml:space="preserve"> PAGEREF _Toc358042590 \h </w:instrText>
            </w:r>
            <w:r w:rsidR="00010E5C" w:rsidRPr="003111E1">
              <w:rPr>
                <w:webHidden/>
              </w:rPr>
            </w:r>
            <w:r w:rsidR="00010E5C" w:rsidRPr="003111E1">
              <w:rPr>
                <w:webHidden/>
              </w:rPr>
              <w:fldChar w:fldCharType="separate"/>
            </w:r>
            <w:r w:rsidR="00121C75">
              <w:rPr>
                <w:webHidden/>
              </w:rPr>
              <w:t>51</w:t>
            </w:r>
            <w:r w:rsidR="00010E5C" w:rsidRPr="003111E1">
              <w:rPr>
                <w:webHidden/>
              </w:rPr>
              <w:fldChar w:fldCharType="end"/>
            </w:r>
          </w:hyperlink>
        </w:p>
        <w:p w:rsidR="00010E5C" w:rsidRPr="00152078" w:rsidRDefault="00EC4A60" w:rsidP="00152078">
          <w:pPr>
            <w:pStyle w:val="32"/>
            <w:rPr>
              <w:rFonts w:eastAsiaTheme="minorEastAsia"/>
              <w:sz w:val="24"/>
              <w:szCs w:val="22"/>
            </w:rPr>
          </w:pPr>
          <w:hyperlink w:anchor="_Toc358042591" w:history="1">
            <w:r w:rsidR="00010E5C" w:rsidRPr="00152078">
              <w:rPr>
                <w:rStyle w:val="aff5"/>
                <w:bCs w:val="0"/>
                <w:color w:val="auto"/>
              </w:rPr>
              <w:t>（二）兩岸貿易</w:t>
            </w:r>
            <w:r w:rsidR="00010E5C" w:rsidRPr="00152078">
              <w:rPr>
                <w:webHidden/>
              </w:rPr>
              <w:tab/>
            </w:r>
            <w:r w:rsidR="00010E5C" w:rsidRPr="00152078">
              <w:rPr>
                <w:webHidden/>
              </w:rPr>
              <w:fldChar w:fldCharType="begin"/>
            </w:r>
            <w:r w:rsidR="00010E5C" w:rsidRPr="00152078">
              <w:rPr>
                <w:webHidden/>
              </w:rPr>
              <w:instrText xml:space="preserve"> PAGEREF _Toc358042591 \h </w:instrText>
            </w:r>
            <w:r w:rsidR="00010E5C" w:rsidRPr="00152078">
              <w:rPr>
                <w:webHidden/>
              </w:rPr>
            </w:r>
            <w:r w:rsidR="00010E5C" w:rsidRPr="00152078">
              <w:rPr>
                <w:webHidden/>
              </w:rPr>
              <w:fldChar w:fldCharType="separate"/>
            </w:r>
            <w:r w:rsidR="00121C75">
              <w:rPr>
                <w:webHidden/>
              </w:rPr>
              <w:t>53</w:t>
            </w:r>
            <w:r w:rsidR="00010E5C" w:rsidRPr="00152078">
              <w:rPr>
                <w:webHidden/>
              </w:rPr>
              <w:fldChar w:fldCharType="end"/>
            </w:r>
          </w:hyperlink>
        </w:p>
        <w:p w:rsidR="00010E5C" w:rsidRPr="003111E1" w:rsidRDefault="00EC4A60" w:rsidP="00382155">
          <w:pPr>
            <w:pStyle w:val="18"/>
            <w:rPr>
              <w:rFonts w:ascii="Times New Roman" w:eastAsiaTheme="minorEastAsia" w:hAnsi="Times New Roman"/>
              <w:sz w:val="24"/>
              <w:szCs w:val="22"/>
            </w:rPr>
          </w:pPr>
          <w:hyperlink w:anchor="_Toc358042592" w:history="1">
            <w:r w:rsidR="00010E5C" w:rsidRPr="003111E1">
              <w:rPr>
                <w:rStyle w:val="aff5"/>
                <w:rFonts w:ascii="Times New Roman" w:hAnsi="Times New Roman"/>
                <w:color w:val="auto"/>
              </w:rPr>
              <w:t>肆、專論：</w:t>
            </w:r>
            <w:r w:rsidR="00AD5B23" w:rsidRPr="003111E1">
              <w:rPr>
                <w:rFonts w:ascii="Times New Roman" w:hAnsi="Times New Roman"/>
                <w:sz w:val="36"/>
                <w:szCs w:val="32"/>
              </w:rPr>
              <w:t>OECD</w:t>
            </w:r>
            <w:r w:rsidR="00AD5B23" w:rsidRPr="003111E1">
              <w:rPr>
                <w:rFonts w:ascii="Times New Roman" w:hAnsi="Times New Roman"/>
                <w:sz w:val="36"/>
                <w:szCs w:val="32"/>
              </w:rPr>
              <w:t>國家失業問題對台灣之啟示</w:t>
            </w:r>
            <w:r w:rsidR="00010E5C" w:rsidRPr="003111E1">
              <w:rPr>
                <w:rFonts w:ascii="Times New Roman" w:hAnsi="Times New Roman"/>
                <w:webHidden/>
              </w:rPr>
              <w:tab/>
            </w:r>
            <w:r w:rsidR="00010E5C" w:rsidRPr="003111E1">
              <w:rPr>
                <w:rFonts w:ascii="Times New Roman" w:hAnsi="Times New Roman"/>
                <w:webHidden/>
              </w:rPr>
              <w:fldChar w:fldCharType="begin"/>
            </w:r>
            <w:r w:rsidR="00010E5C" w:rsidRPr="003111E1">
              <w:rPr>
                <w:rFonts w:ascii="Times New Roman" w:hAnsi="Times New Roman"/>
                <w:webHidden/>
              </w:rPr>
              <w:instrText xml:space="preserve"> PAGEREF _Toc358042592 \h </w:instrText>
            </w:r>
            <w:r w:rsidR="00010E5C" w:rsidRPr="003111E1">
              <w:rPr>
                <w:rFonts w:ascii="Times New Roman" w:hAnsi="Times New Roman"/>
                <w:webHidden/>
              </w:rPr>
            </w:r>
            <w:r w:rsidR="00010E5C" w:rsidRPr="003111E1">
              <w:rPr>
                <w:rFonts w:ascii="Times New Roman" w:hAnsi="Times New Roman"/>
                <w:webHidden/>
              </w:rPr>
              <w:fldChar w:fldCharType="separate"/>
            </w:r>
            <w:r w:rsidR="00121C75">
              <w:rPr>
                <w:rFonts w:ascii="Times New Roman" w:hAnsi="Times New Roman"/>
                <w:webHidden/>
              </w:rPr>
              <w:t>54</w:t>
            </w:r>
            <w:r w:rsidR="00010E5C" w:rsidRPr="003111E1">
              <w:rPr>
                <w:rFonts w:ascii="Times New Roman" w:hAnsi="Times New Roman"/>
                <w:webHidden/>
              </w:rPr>
              <w:fldChar w:fldCharType="end"/>
            </w:r>
          </w:hyperlink>
        </w:p>
        <w:p w:rsidR="0014629B" w:rsidRPr="003111E1" w:rsidRDefault="00010E5C">
          <w:pPr>
            <w:rPr>
              <w:color w:val="FF0000"/>
            </w:rPr>
          </w:pPr>
          <w:r w:rsidRPr="003111E1">
            <w:rPr>
              <w:b/>
              <w:bCs/>
              <w:lang w:val="zh-TW"/>
            </w:rPr>
            <w:fldChar w:fldCharType="end"/>
          </w:r>
        </w:p>
      </w:sdtContent>
    </w:sdt>
    <w:p w:rsidR="0014629B" w:rsidRPr="003111E1" w:rsidRDefault="0014629B" w:rsidP="006E37F7">
      <w:pPr>
        <w:adjustRightInd w:val="0"/>
        <w:snapToGrid w:val="0"/>
        <w:spacing w:line="520" w:lineRule="exact"/>
        <w:jc w:val="both"/>
        <w:rPr>
          <w:rFonts w:eastAsia="標楷體"/>
          <w:b/>
          <w:bCs/>
          <w:color w:val="FF0000"/>
          <w:sz w:val="32"/>
        </w:rPr>
        <w:sectPr w:rsidR="0014629B" w:rsidRPr="003111E1"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3111E1" w:rsidRDefault="00692828" w:rsidP="003F11AE">
      <w:pPr>
        <w:pStyle w:val="t-1"/>
        <w:spacing w:beforeLines="50" w:before="180"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58042560"/>
      <w:bookmarkStart w:id="11" w:name="_Toc279048481"/>
      <w:bookmarkEnd w:id="0"/>
      <w:bookmarkEnd w:id="1"/>
      <w:r w:rsidRPr="003111E1">
        <w:lastRenderedPageBreak/>
        <w:t>壹、當前經濟情勢概要</w:t>
      </w:r>
      <w:bookmarkEnd w:id="2"/>
      <w:bookmarkEnd w:id="3"/>
      <w:bookmarkEnd w:id="4"/>
      <w:bookmarkEnd w:id="5"/>
      <w:bookmarkEnd w:id="6"/>
      <w:bookmarkEnd w:id="7"/>
      <w:bookmarkEnd w:id="8"/>
      <w:bookmarkEnd w:id="9"/>
      <w:bookmarkEnd w:id="10"/>
    </w:p>
    <w:p w:rsidR="00692828" w:rsidRPr="003111E1" w:rsidRDefault="00692828" w:rsidP="00B8587B">
      <w:pPr>
        <w:pStyle w:val="t-2"/>
        <w:spacing w:line="300" w:lineRule="auto"/>
        <w:rPr>
          <w:rFonts w:hAnsi="Times New Roman"/>
        </w:rPr>
      </w:pPr>
      <w:bookmarkStart w:id="12" w:name="_一、國際經濟"/>
      <w:bookmarkStart w:id="13" w:name="_Toc279048461"/>
      <w:bookmarkStart w:id="14" w:name="_Toc349916573"/>
      <w:bookmarkStart w:id="15" w:name="_Toc358042561"/>
      <w:bookmarkStart w:id="16" w:name="_Toc190847404"/>
      <w:bookmarkStart w:id="17" w:name="_Toc201487767"/>
      <w:bookmarkStart w:id="18" w:name="_Toc190847403"/>
      <w:bookmarkStart w:id="19" w:name="_Toc230064818"/>
      <w:bookmarkEnd w:id="12"/>
      <w:r w:rsidRPr="003111E1">
        <w:rPr>
          <w:rFonts w:hAnsi="Times New Roman"/>
        </w:rPr>
        <w:t>一、國際經濟</w:t>
      </w:r>
      <w:bookmarkEnd w:id="13"/>
      <w:bookmarkEnd w:id="14"/>
      <w:bookmarkEnd w:id="15"/>
    </w:p>
    <w:p w:rsidR="008D5B1D" w:rsidRPr="008D5B1D" w:rsidRDefault="008D5B1D" w:rsidP="00B8587B">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8D5B1D">
        <w:rPr>
          <w:rFonts w:eastAsia="標楷體" w:hint="eastAsia"/>
          <w:sz w:val="28"/>
          <w:szCs w:val="28"/>
        </w:rPr>
        <w:t>2013</w:t>
      </w:r>
      <w:r w:rsidRPr="008D5B1D">
        <w:rPr>
          <w:rFonts w:eastAsia="標楷體" w:hint="eastAsia"/>
          <w:sz w:val="28"/>
          <w:szCs w:val="28"/>
        </w:rPr>
        <w:t>年全球經濟延續</w:t>
      </w:r>
      <w:r w:rsidRPr="008D5B1D">
        <w:rPr>
          <w:rFonts w:eastAsia="標楷體" w:hint="eastAsia"/>
          <w:sz w:val="28"/>
          <w:szCs w:val="28"/>
        </w:rPr>
        <w:t>2012</w:t>
      </w:r>
      <w:r w:rsidRPr="008D5B1D">
        <w:rPr>
          <w:rFonts w:eastAsia="標楷體" w:hint="eastAsia"/>
          <w:sz w:val="28"/>
          <w:szCs w:val="28"/>
        </w:rPr>
        <w:t>年先進國家債務問題、就業情勢改善遲</w:t>
      </w:r>
      <w:r w:rsidRPr="008D5B1D">
        <w:rPr>
          <w:rFonts w:eastAsia="標楷體"/>
          <w:sz w:val="28"/>
          <w:szCs w:val="28"/>
        </w:rPr>
        <w:t>緩，整頓財政抑制經濟成長動能，全球經濟成長動能和緩。根據環球透視（</w:t>
      </w:r>
      <w:r w:rsidRPr="008D5B1D">
        <w:rPr>
          <w:rFonts w:eastAsia="標楷體"/>
          <w:sz w:val="28"/>
          <w:szCs w:val="28"/>
        </w:rPr>
        <w:t>Global Insight</w:t>
      </w:r>
      <w:r w:rsidRPr="008D5B1D">
        <w:rPr>
          <w:rFonts w:eastAsia="標楷體"/>
          <w:sz w:val="28"/>
          <w:szCs w:val="28"/>
        </w:rPr>
        <w:t>）</w:t>
      </w:r>
      <w:r w:rsidRPr="008D5B1D">
        <w:rPr>
          <w:rFonts w:eastAsia="標楷體"/>
          <w:sz w:val="28"/>
          <w:szCs w:val="28"/>
        </w:rPr>
        <w:t>2013</w:t>
      </w:r>
      <w:r w:rsidRPr="008D5B1D">
        <w:rPr>
          <w:rFonts w:eastAsia="標楷體"/>
          <w:sz w:val="28"/>
          <w:szCs w:val="28"/>
        </w:rPr>
        <w:t>年</w:t>
      </w:r>
      <w:r w:rsidRPr="008D5B1D">
        <w:rPr>
          <w:rFonts w:eastAsia="標楷體"/>
          <w:sz w:val="28"/>
          <w:szCs w:val="28"/>
        </w:rPr>
        <w:t>7</w:t>
      </w:r>
      <w:r w:rsidRPr="008D5B1D">
        <w:rPr>
          <w:rFonts w:eastAsia="標楷體"/>
          <w:sz w:val="28"/>
          <w:szCs w:val="28"/>
        </w:rPr>
        <w:t>月最新經濟預測，</w:t>
      </w:r>
      <w:r w:rsidRPr="008D5B1D">
        <w:rPr>
          <w:rFonts w:eastAsia="標楷體"/>
          <w:sz w:val="28"/>
          <w:szCs w:val="28"/>
        </w:rPr>
        <w:t>2013</w:t>
      </w:r>
      <w:r w:rsidRPr="008D5B1D">
        <w:rPr>
          <w:rFonts w:eastAsia="標楷體"/>
          <w:sz w:val="28"/>
          <w:szCs w:val="28"/>
        </w:rPr>
        <w:t>年全球經濟成長</w:t>
      </w:r>
      <w:r w:rsidRPr="008D5B1D">
        <w:rPr>
          <w:rFonts w:eastAsia="標楷體"/>
          <w:sz w:val="28"/>
          <w:szCs w:val="28"/>
        </w:rPr>
        <w:t>2.4</w:t>
      </w:r>
      <w:r w:rsidRPr="008D5B1D">
        <w:rPr>
          <w:rFonts w:eastAsia="標楷體"/>
          <w:sz w:val="28"/>
          <w:szCs w:val="28"/>
        </w:rPr>
        <w:t>％，較上月預估下降</w:t>
      </w:r>
      <w:r w:rsidRPr="008D5B1D">
        <w:rPr>
          <w:rFonts w:eastAsia="標楷體"/>
          <w:sz w:val="28"/>
          <w:szCs w:val="28"/>
        </w:rPr>
        <w:t>0.1</w:t>
      </w:r>
      <w:r w:rsidRPr="008D5B1D">
        <w:rPr>
          <w:rFonts w:eastAsia="標楷體"/>
          <w:sz w:val="28"/>
          <w:szCs w:val="28"/>
        </w:rPr>
        <w:t>個百分點，各季表現分別為</w:t>
      </w:r>
      <w:r w:rsidRPr="008D5B1D">
        <w:rPr>
          <w:rFonts w:eastAsia="標楷體"/>
          <w:sz w:val="28"/>
          <w:szCs w:val="28"/>
        </w:rPr>
        <w:t>2.0</w:t>
      </w:r>
      <w:r w:rsidRPr="008D5B1D">
        <w:rPr>
          <w:rFonts w:eastAsia="標楷體"/>
          <w:sz w:val="28"/>
          <w:szCs w:val="28"/>
        </w:rPr>
        <w:t>％、</w:t>
      </w:r>
      <w:r w:rsidRPr="008D5B1D">
        <w:rPr>
          <w:rFonts w:eastAsia="標楷體"/>
          <w:sz w:val="28"/>
          <w:szCs w:val="28"/>
        </w:rPr>
        <w:t>2.3</w:t>
      </w:r>
      <w:r w:rsidRPr="008D5B1D">
        <w:rPr>
          <w:rFonts w:eastAsia="標楷體"/>
          <w:sz w:val="28"/>
          <w:szCs w:val="28"/>
        </w:rPr>
        <w:t>％、</w:t>
      </w:r>
      <w:r w:rsidRPr="008D5B1D">
        <w:rPr>
          <w:rFonts w:eastAsia="標楷體"/>
          <w:sz w:val="28"/>
          <w:szCs w:val="28"/>
        </w:rPr>
        <w:t>2.5</w:t>
      </w:r>
      <w:r w:rsidRPr="008D5B1D">
        <w:rPr>
          <w:rFonts w:eastAsia="標楷體"/>
          <w:sz w:val="28"/>
          <w:szCs w:val="28"/>
        </w:rPr>
        <w:t>％、</w:t>
      </w:r>
      <w:r w:rsidRPr="008D5B1D">
        <w:rPr>
          <w:rFonts w:eastAsia="標楷體"/>
          <w:sz w:val="28"/>
          <w:szCs w:val="28"/>
        </w:rPr>
        <w:t>2.9</w:t>
      </w:r>
      <w:r w:rsidRPr="008D5B1D">
        <w:rPr>
          <w:rFonts w:eastAsia="標楷體"/>
          <w:sz w:val="28"/>
          <w:szCs w:val="28"/>
        </w:rPr>
        <w:t>％。</w:t>
      </w:r>
    </w:p>
    <w:p w:rsidR="008D5B1D" w:rsidRPr="008D5B1D" w:rsidRDefault="008D5B1D" w:rsidP="00B8587B">
      <w:pPr>
        <w:autoSpaceDE w:val="0"/>
        <w:autoSpaceDN w:val="0"/>
        <w:adjustRightInd w:val="0"/>
        <w:snapToGrid w:val="0"/>
        <w:spacing w:before="50" w:line="300" w:lineRule="auto"/>
        <w:ind w:right="-153" w:firstLineChars="202" w:firstLine="566"/>
        <w:jc w:val="both"/>
        <w:rPr>
          <w:rFonts w:eastAsia="標楷體"/>
          <w:sz w:val="28"/>
          <w:szCs w:val="28"/>
        </w:rPr>
      </w:pPr>
      <w:r w:rsidRPr="008D5B1D">
        <w:rPr>
          <w:rFonts w:eastAsia="標楷體"/>
          <w:sz w:val="28"/>
          <w:szCs w:val="28"/>
        </w:rPr>
        <w:t>國際貨幣基金</w:t>
      </w:r>
      <w:r w:rsidR="00DB4F5B">
        <w:rPr>
          <w:rFonts w:eastAsia="標楷體" w:hint="eastAsia"/>
          <w:sz w:val="28"/>
          <w:szCs w:val="28"/>
        </w:rPr>
        <w:t>（</w:t>
      </w:r>
      <w:r w:rsidRPr="008D5B1D">
        <w:rPr>
          <w:rFonts w:eastAsia="標楷體"/>
          <w:sz w:val="28"/>
          <w:szCs w:val="28"/>
        </w:rPr>
        <w:t>IMF</w:t>
      </w:r>
      <w:r w:rsidR="00DB4F5B">
        <w:rPr>
          <w:rFonts w:eastAsia="標楷體" w:hint="eastAsia"/>
          <w:sz w:val="28"/>
          <w:szCs w:val="28"/>
        </w:rPr>
        <w:t>）</w:t>
      </w:r>
      <w:r w:rsidRPr="008D5B1D">
        <w:rPr>
          <w:rFonts w:eastAsia="標楷體"/>
          <w:sz w:val="28"/>
          <w:szCs w:val="28"/>
        </w:rPr>
        <w:t>7</w:t>
      </w:r>
      <w:r w:rsidRPr="008D5B1D">
        <w:rPr>
          <w:rFonts w:eastAsia="標楷體"/>
          <w:sz w:val="28"/>
          <w:szCs w:val="28"/>
        </w:rPr>
        <w:t>月</w:t>
      </w:r>
      <w:r w:rsidRPr="008D5B1D">
        <w:rPr>
          <w:rFonts w:eastAsia="標楷體"/>
          <w:sz w:val="28"/>
          <w:szCs w:val="28"/>
        </w:rPr>
        <w:t>9</w:t>
      </w:r>
      <w:r w:rsidRPr="008D5B1D">
        <w:rPr>
          <w:rFonts w:eastAsia="標楷體"/>
          <w:sz w:val="28"/>
          <w:szCs w:val="28"/>
        </w:rPr>
        <w:t>日發布全球經濟展望更新報告，下修</w:t>
      </w:r>
      <w:r w:rsidRPr="008D5B1D">
        <w:rPr>
          <w:rFonts w:eastAsia="標楷體"/>
          <w:sz w:val="28"/>
          <w:szCs w:val="28"/>
        </w:rPr>
        <w:t>2013</w:t>
      </w:r>
      <w:r w:rsidRPr="008D5B1D">
        <w:rPr>
          <w:rFonts w:eastAsia="標楷體"/>
          <w:sz w:val="28"/>
          <w:szCs w:val="28"/>
        </w:rPr>
        <w:t>年全球經濟成長率至</w:t>
      </w:r>
      <w:r w:rsidRPr="008D5B1D">
        <w:rPr>
          <w:rFonts w:eastAsia="標楷體"/>
          <w:sz w:val="28"/>
          <w:szCs w:val="28"/>
        </w:rPr>
        <w:t>3.1</w:t>
      </w:r>
      <w:r w:rsidRPr="008D5B1D">
        <w:rPr>
          <w:rFonts w:eastAsia="標楷體"/>
          <w:sz w:val="28"/>
          <w:szCs w:val="28"/>
        </w:rPr>
        <w:t>％，較</w:t>
      </w:r>
      <w:r w:rsidRPr="008D5B1D">
        <w:rPr>
          <w:rFonts w:eastAsia="標楷體"/>
          <w:sz w:val="28"/>
          <w:szCs w:val="28"/>
        </w:rPr>
        <w:t>2013</w:t>
      </w:r>
      <w:r w:rsidRPr="008D5B1D">
        <w:rPr>
          <w:rFonts w:eastAsia="標楷體"/>
          <w:sz w:val="28"/>
          <w:szCs w:val="28"/>
        </w:rPr>
        <w:t>年</w:t>
      </w:r>
      <w:r w:rsidRPr="008D5B1D">
        <w:rPr>
          <w:rFonts w:eastAsia="標楷體"/>
          <w:sz w:val="28"/>
          <w:szCs w:val="28"/>
        </w:rPr>
        <w:t>4</w:t>
      </w:r>
      <w:r w:rsidRPr="008D5B1D">
        <w:rPr>
          <w:rFonts w:eastAsia="標楷體"/>
          <w:sz w:val="28"/>
          <w:szCs w:val="28"/>
        </w:rPr>
        <w:t>月預測下調</w:t>
      </w:r>
      <w:r w:rsidRPr="008D5B1D">
        <w:rPr>
          <w:rFonts w:eastAsia="標楷體"/>
          <w:sz w:val="28"/>
          <w:szCs w:val="28"/>
        </w:rPr>
        <w:t>0.2</w:t>
      </w:r>
      <w:r w:rsidRPr="008D5B1D">
        <w:rPr>
          <w:rFonts w:eastAsia="標楷體"/>
          <w:sz w:val="28"/>
          <w:szCs w:val="28"/>
        </w:rPr>
        <w:t>個百分點，主要係新興市場經濟體下修</w:t>
      </w:r>
      <w:r w:rsidRPr="008D5B1D">
        <w:rPr>
          <w:rFonts w:eastAsia="標楷體"/>
          <w:sz w:val="28"/>
          <w:szCs w:val="28"/>
        </w:rPr>
        <w:t>0.3</w:t>
      </w:r>
      <w:r w:rsidRPr="008D5B1D">
        <w:rPr>
          <w:rFonts w:eastAsia="標楷體"/>
          <w:sz w:val="28"/>
          <w:szCs w:val="28"/>
        </w:rPr>
        <w:t>個百分點，成長</w:t>
      </w:r>
      <w:r w:rsidRPr="008D5B1D">
        <w:rPr>
          <w:rFonts w:eastAsia="標楷體"/>
          <w:sz w:val="28"/>
          <w:szCs w:val="28"/>
        </w:rPr>
        <w:t>5</w:t>
      </w:r>
      <w:r w:rsidRPr="008D5B1D">
        <w:rPr>
          <w:rFonts w:eastAsia="標楷體"/>
          <w:sz w:val="28"/>
          <w:szCs w:val="28"/>
        </w:rPr>
        <w:t>％不如預期，歐元區衰退程度加深，由</w:t>
      </w:r>
      <w:r w:rsidRPr="008D5B1D">
        <w:rPr>
          <w:rFonts w:eastAsia="標楷體"/>
          <w:sz w:val="28"/>
          <w:szCs w:val="28"/>
        </w:rPr>
        <w:t>4</w:t>
      </w:r>
      <w:r w:rsidRPr="008D5B1D">
        <w:rPr>
          <w:rFonts w:eastAsia="標楷體"/>
          <w:sz w:val="28"/>
          <w:szCs w:val="28"/>
        </w:rPr>
        <w:t>月預測之</w:t>
      </w:r>
      <w:r w:rsidRPr="008D5B1D">
        <w:rPr>
          <w:rFonts w:eastAsia="標楷體"/>
          <w:sz w:val="28"/>
          <w:szCs w:val="28"/>
        </w:rPr>
        <w:t>-0.3</w:t>
      </w:r>
      <w:r w:rsidRPr="008D5B1D">
        <w:rPr>
          <w:rFonts w:eastAsia="標楷體"/>
          <w:sz w:val="28"/>
          <w:szCs w:val="28"/>
        </w:rPr>
        <w:t>％惡化至</w:t>
      </w:r>
      <w:r w:rsidRPr="008D5B1D">
        <w:rPr>
          <w:rFonts w:eastAsia="標楷體"/>
          <w:sz w:val="28"/>
          <w:szCs w:val="28"/>
        </w:rPr>
        <w:t>-0.6</w:t>
      </w:r>
      <w:r w:rsidRPr="008D5B1D">
        <w:rPr>
          <w:rFonts w:eastAsia="標楷體"/>
          <w:sz w:val="28"/>
          <w:szCs w:val="28"/>
        </w:rPr>
        <w:t>％，以及美國</w:t>
      </w:r>
      <w:proofErr w:type="gramStart"/>
      <w:r w:rsidRPr="008D5B1D">
        <w:rPr>
          <w:rFonts w:eastAsia="標楷體"/>
          <w:sz w:val="28"/>
          <w:szCs w:val="28"/>
        </w:rPr>
        <w:t>自動減支緊縮</w:t>
      </w:r>
      <w:proofErr w:type="gramEnd"/>
      <w:r w:rsidRPr="008D5B1D">
        <w:rPr>
          <w:rFonts w:eastAsia="標楷體"/>
          <w:sz w:val="28"/>
          <w:szCs w:val="28"/>
        </w:rPr>
        <w:t>財政使其經濟活動走弱，經濟成長</w:t>
      </w:r>
      <w:r w:rsidRPr="008D5B1D">
        <w:rPr>
          <w:rFonts w:eastAsia="標楷體"/>
          <w:sz w:val="28"/>
          <w:szCs w:val="28"/>
        </w:rPr>
        <w:t>1.7</w:t>
      </w:r>
      <w:r w:rsidRPr="008D5B1D">
        <w:rPr>
          <w:rFonts w:eastAsia="標楷體"/>
          <w:sz w:val="28"/>
          <w:szCs w:val="28"/>
        </w:rPr>
        <w:t>％。</w:t>
      </w:r>
    </w:p>
    <w:p w:rsidR="002201C5" w:rsidRPr="008D5B1D" w:rsidRDefault="008D5B1D" w:rsidP="00B8587B">
      <w:pPr>
        <w:autoSpaceDE w:val="0"/>
        <w:autoSpaceDN w:val="0"/>
        <w:adjustRightInd w:val="0"/>
        <w:snapToGrid w:val="0"/>
        <w:spacing w:before="50" w:line="300" w:lineRule="auto"/>
        <w:ind w:right="-153" w:firstLineChars="202" w:firstLine="566"/>
        <w:jc w:val="both"/>
        <w:rPr>
          <w:rFonts w:eastAsia="標楷體"/>
          <w:sz w:val="28"/>
          <w:szCs w:val="28"/>
        </w:rPr>
      </w:pPr>
      <w:r w:rsidRPr="008D5B1D">
        <w:rPr>
          <w:rFonts w:eastAsia="標楷體"/>
          <w:sz w:val="28"/>
          <w:szCs w:val="28"/>
        </w:rPr>
        <w:t>當前國際經濟仍面臨諸多風險變數，值得持續關注，</w:t>
      </w:r>
      <w:proofErr w:type="gramStart"/>
      <w:r w:rsidRPr="008D5B1D">
        <w:rPr>
          <w:rFonts w:eastAsia="標楷體"/>
          <w:sz w:val="28"/>
          <w:szCs w:val="28"/>
        </w:rPr>
        <w:t>包括歐債危機</w:t>
      </w:r>
      <w:proofErr w:type="gramEnd"/>
      <w:r w:rsidRPr="008D5B1D">
        <w:rPr>
          <w:rFonts w:eastAsia="標楷體"/>
          <w:sz w:val="28"/>
          <w:szCs w:val="28"/>
        </w:rPr>
        <w:t>風險猶存；美國國債上限問題及</w:t>
      </w:r>
      <w:r w:rsidRPr="008D5B1D">
        <w:rPr>
          <w:rFonts w:eastAsia="標楷體"/>
          <w:sz w:val="28"/>
          <w:szCs w:val="28"/>
        </w:rPr>
        <w:t>QE</w:t>
      </w:r>
      <w:r w:rsidRPr="008D5B1D">
        <w:rPr>
          <w:rFonts w:eastAsia="標楷體"/>
          <w:sz w:val="28"/>
          <w:szCs w:val="28"/>
        </w:rPr>
        <w:t>退場疑慮；先進國家債臺高築，失業改善遲緩，持續干擾市場信心；中國大陸成長力道趨緩；日本擴大量化寬鬆等，皆影響國際經濟前景。</w:t>
      </w:r>
    </w:p>
    <w:p w:rsidR="00692828" w:rsidRPr="003111E1" w:rsidRDefault="000E2A9D" w:rsidP="00B8587B">
      <w:pPr>
        <w:pStyle w:val="t-2"/>
        <w:spacing w:line="300" w:lineRule="auto"/>
        <w:rPr>
          <w:rFonts w:hAnsi="Times New Roman"/>
        </w:rPr>
      </w:pPr>
      <w:bookmarkStart w:id="23" w:name="_Toc358042562"/>
      <w:r w:rsidRPr="003111E1">
        <w:rPr>
          <w:rFonts w:hAnsi="Times New Roman"/>
        </w:rPr>
        <w:t>二、國內經濟</w:t>
      </w:r>
      <w:bookmarkEnd w:id="20"/>
      <w:bookmarkEnd w:id="21"/>
      <w:bookmarkEnd w:id="22"/>
      <w:bookmarkEnd w:id="23"/>
    </w:p>
    <w:p w:rsidR="006315A0" w:rsidRPr="00274BD6" w:rsidRDefault="00205F1A" w:rsidP="00205F1A">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sidRPr="00274BD6">
        <w:rPr>
          <w:rFonts w:eastAsia="標楷體" w:hint="eastAsia"/>
          <w:sz w:val="28"/>
          <w:szCs w:val="28"/>
        </w:rPr>
        <w:t>依據行政院主計總處</w:t>
      </w:r>
      <w:r w:rsidRPr="00274BD6">
        <w:rPr>
          <w:rFonts w:eastAsia="標楷體" w:hint="eastAsia"/>
          <w:sz w:val="28"/>
          <w:szCs w:val="28"/>
        </w:rPr>
        <w:t>102</w:t>
      </w:r>
      <w:r w:rsidRPr="00274BD6">
        <w:rPr>
          <w:rFonts w:eastAsia="標楷體" w:hint="eastAsia"/>
          <w:sz w:val="28"/>
          <w:szCs w:val="28"/>
        </w:rPr>
        <w:t>年</w:t>
      </w:r>
      <w:r w:rsidRPr="00274BD6">
        <w:rPr>
          <w:rFonts w:eastAsia="標楷體" w:hint="eastAsia"/>
          <w:sz w:val="28"/>
          <w:szCs w:val="28"/>
        </w:rPr>
        <w:t>5</w:t>
      </w:r>
      <w:r w:rsidRPr="00274BD6">
        <w:rPr>
          <w:rFonts w:eastAsia="標楷體" w:hint="eastAsia"/>
          <w:sz w:val="28"/>
          <w:szCs w:val="28"/>
        </w:rPr>
        <w:t>月預測，</w:t>
      </w:r>
      <w:r w:rsidRPr="00274BD6">
        <w:rPr>
          <w:rFonts w:eastAsia="標楷體" w:hint="eastAsia"/>
          <w:sz w:val="28"/>
          <w:szCs w:val="28"/>
        </w:rPr>
        <w:t>102</w:t>
      </w:r>
      <w:r w:rsidRPr="00274BD6">
        <w:rPr>
          <w:rFonts w:eastAsia="標楷體" w:hint="eastAsia"/>
          <w:sz w:val="28"/>
          <w:szCs w:val="28"/>
        </w:rPr>
        <w:t>年經濟成長</w:t>
      </w:r>
      <w:r w:rsidRPr="00274BD6">
        <w:rPr>
          <w:rFonts w:eastAsia="標楷體" w:hint="eastAsia"/>
          <w:sz w:val="28"/>
          <w:szCs w:val="28"/>
        </w:rPr>
        <w:t>2.40</w:t>
      </w:r>
      <w:r w:rsidRPr="00274BD6">
        <w:rPr>
          <w:rFonts w:eastAsia="標楷體" w:hint="eastAsia"/>
          <w:sz w:val="28"/>
          <w:szCs w:val="28"/>
        </w:rPr>
        <w:t>％；同年</w:t>
      </w:r>
      <w:r w:rsidRPr="00274BD6">
        <w:rPr>
          <w:rFonts w:eastAsia="標楷體" w:hint="eastAsia"/>
          <w:sz w:val="28"/>
          <w:szCs w:val="28"/>
        </w:rPr>
        <w:t>7</w:t>
      </w:r>
      <w:r w:rsidRPr="00274BD6">
        <w:rPr>
          <w:rFonts w:eastAsia="標楷體" w:hint="eastAsia"/>
          <w:sz w:val="28"/>
          <w:szCs w:val="28"/>
        </w:rPr>
        <w:t>月概估統計，</w:t>
      </w:r>
      <w:r w:rsidRPr="00274BD6">
        <w:rPr>
          <w:rFonts w:eastAsia="標楷體" w:hint="eastAsia"/>
          <w:sz w:val="28"/>
          <w:szCs w:val="28"/>
        </w:rPr>
        <w:t>102</w:t>
      </w:r>
      <w:r w:rsidRPr="00274BD6">
        <w:rPr>
          <w:rFonts w:eastAsia="標楷體" w:hint="eastAsia"/>
          <w:sz w:val="28"/>
          <w:szCs w:val="28"/>
        </w:rPr>
        <w:t>年第</w:t>
      </w:r>
      <w:r w:rsidRPr="00274BD6">
        <w:rPr>
          <w:rFonts w:eastAsia="標楷體" w:hint="eastAsia"/>
          <w:sz w:val="28"/>
          <w:szCs w:val="28"/>
        </w:rPr>
        <w:t>2</w:t>
      </w:r>
      <w:r w:rsidRPr="00274BD6">
        <w:rPr>
          <w:rFonts w:eastAsia="標楷體" w:hint="eastAsia"/>
          <w:sz w:val="28"/>
          <w:szCs w:val="28"/>
        </w:rPr>
        <w:t>季經濟成長率</w:t>
      </w:r>
      <w:r w:rsidRPr="00274BD6">
        <w:rPr>
          <w:rFonts w:eastAsia="標楷體" w:hint="eastAsia"/>
          <w:sz w:val="28"/>
          <w:szCs w:val="28"/>
        </w:rPr>
        <w:t>2.27</w:t>
      </w:r>
      <w:r w:rsidRPr="00274BD6">
        <w:rPr>
          <w:rFonts w:eastAsia="標楷體" w:hint="eastAsia"/>
          <w:sz w:val="28"/>
          <w:szCs w:val="28"/>
        </w:rPr>
        <w:t>％，較前次</w:t>
      </w:r>
      <w:r w:rsidR="002774EE" w:rsidRPr="00274BD6">
        <w:rPr>
          <w:rFonts w:eastAsia="標楷體" w:hint="eastAsia"/>
          <w:sz w:val="28"/>
          <w:szCs w:val="28"/>
        </w:rPr>
        <w:t>預測</w:t>
      </w:r>
      <w:r w:rsidRPr="00274BD6">
        <w:rPr>
          <w:rFonts w:eastAsia="標楷體" w:hint="eastAsia"/>
          <w:sz w:val="28"/>
          <w:szCs w:val="28"/>
        </w:rPr>
        <w:t>（</w:t>
      </w:r>
      <w:r w:rsidRPr="00274BD6">
        <w:rPr>
          <w:rFonts w:eastAsia="標楷體" w:hint="eastAsia"/>
          <w:sz w:val="28"/>
          <w:szCs w:val="28"/>
        </w:rPr>
        <w:t>1.98</w:t>
      </w:r>
      <w:r w:rsidRPr="00274BD6">
        <w:rPr>
          <w:rFonts w:eastAsia="標楷體" w:hint="eastAsia"/>
          <w:sz w:val="28"/>
          <w:szCs w:val="28"/>
        </w:rPr>
        <w:t>％）增加</w:t>
      </w:r>
      <w:r w:rsidRPr="00274BD6">
        <w:rPr>
          <w:rFonts w:eastAsia="標楷體" w:hint="eastAsia"/>
          <w:sz w:val="28"/>
          <w:szCs w:val="28"/>
        </w:rPr>
        <w:t>0.29</w:t>
      </w:r>
      <w:r w:rsidRPr="00274BD6">
        <w:rPr>
          <w:rFonts w:eastAsia="標楷體" w:hint="eastAsia"/>
          <w:sz w:val="28"/>
          <w:szCs w:val="28"/>
        </w:rPr>
        <w:t>個百分點，主因出口</w:t>
      </w:r>
      <w:r w:rsidR="002774EE">
        <w:rPr>
          <w:rFonts w:eastAsia="標楷體" w:hint="eastAsia"/>
          <w:sz w:val="28"/>
          <w:szCs w:val="28"/>
        </w:rPr>
        <w:t>增加</w:t>
      </w:r>
      <w:r w:rsidRPr="00274BD6">
        <w:rPr>
          <w:rFonts w:eastAsia="標楷體" w:hint="eastAsia"/>
          <w:sz w:val="28"/>
          <w:szCs w:val="28"/>
        </w:rPr>
        <w:t>幅度優於預期，加上民間消費緩步回溫。</w:t>
      </w:r>
    </w:p>
    <w:p w:rsidR="006315A0" w:rsidRPr="006315A0" w:rsidRDefault="006315A0" w:rsidP="00B8587B">
      <w:pPr>
        <w:autoSpaceDE w:val="0"/>
        <w:autoSpaceDN w:val="0"/>
        <w:adjustRightInd w:val="0"/>
        <w:snapToGrid w:val="0"/>
        <w:spacing w:before="50" w:line="300" w:lineRule="auto"/>
        <w:ind w:right="-153" w:firstLineChars="202" w:firstLine="566"/>
        <w:jc w:val="both"/>
        <w:rPr>
          <w:rFonts w:eastAsia="標楷體"/>
          <w:sz w:val="28"/>
          <w:szCs w:val="28"/>
        </w:rPr>
      </w:pPr>
      <w:r w:rsidRPr="007844B4">
        <w:rPr>
          <w:rFonts w:eastAsia="標楷體" w:hint="eastAsia"/>
          <w:sz w:val="28"/>
          <w:szCs w:val="28"/>
        </w:rPr>
        <w:t>經濟指標表現方面，</w:t>
      </w:r>
      <w:r w:rsidRPr="007844B4">
        <w:rPr>
          <w:rFonts w:eastAsia="標楷體" w:hint="eastAsia"/>
          <w:sz w:val="28"/>
          <w:szCs w:val="28"/>
        </w:rPr>
        <w:t>102</w:t>
      </w:r>
      <w:r w:rsidRPr="007844B4">
        <w:rPr>
          <w:rFonts w:eastAsia="標楷體" w:hint="eastAsia"/>
          <w:sz w:val="28"/>
          <w:szCs w:val="28"/>
        </w:rPr>
        <w:t>年</w:t>
      </w:r>
      <w:r w:rsidRPr="007844B4">
        <w:rPr>
          <w:rFonts w:eastAsia="標楷體" w:hint="eastAsia"/>
          <w:sz w:val="28"/>
          <w:szCs w:val="28"/>
        </w:rPr>
        <w:t>6</w:t>
      </w:r>
      <w:r w:rsidRPr="007844B4">
        <w:rPr>
          <w:rFonts w:eastAsia="標楷體" w:hint="eastAsia"/>
          <w:sz w:val="28"/>
          <w:szCs w:val="28"/>
        </w:rPr>
        <w:t>月工業生產減少</w:t>
      </w:r>
      <w:r w:rsidRPr="007844B4">
        <w:rPr>
          <w:rFonts w:eastAsia="標楷體" w:hint="eastAsia"/>
          <w:sz w:val="28"/>
          <w:szCs w:val="28"/>
        </w:rPr>
        <w:t>0.43</w:t>
      </w:r>
      <w:r w:rsidRPr="007844B4">
        <w:rPr>
          <w:rFonts w:eastAsia="標楷體" w:hint="eastAsia"/>
          <w:sz w:val="28"/>
          <w:szCs w:val="28"/>
        </w:rPr>
        <w:t>％；商業營業額</w:t>
      </w:r>
      <w:r w:rsidRPr="006315A0">
        <w:rPr>
          <w:rFonts w:eastAsia="標楷體" w:hint="eastAsia"/>
          <w:sz w:val="28"/>
          <w:szCs w:val="28"/>
        </w:rPr>
        <w:t>11,976</w:t>
      </w:r>
      <w:r w:rsidRPr="006315A0">
        <w:rPr>
          <w:rFonts w:eastAsia="標楷體" w:hint="eastAsia"/>
          <w:sz w:val="28"/>
          <w:szCs w:val="28"/>
        </w:rPr>
        <w:t>億元，減少</w:t>
      </w:r>
      <w:r w:rsidRPr="006315A0">
        <w:rPr>
          <w:rFonts w:eastAsia="標楷體" w:hint="eastAsia"/>
          <w:sz w:val="28"/>
          <w:szCs w:val="28"/>
        </w:rPr>
        <w:t>0.3</w:t>
      </w:r>
      <w:r w:rsidRPr="006315A0">
        <w:rPr>
          <w:rFonts w:eastAsia="標楷體" w:hint="eastAsia"/>
          <w:sz w:val="28"/>
          <w:szCs w:val="28"/>
        </w:rPr>
        <w:t>％；外銷訂單金額</w:t>
      </w:r>
      <w:r w:rsidRPr="006315A0">
        <w:rPr>
          <w:rFonts w:eastAsia="標楷體" w:hint="eastAsia"/>
          <w:sz w:val="28"/>
          <w:szCs w:val="28"/>
        </w:rPr>
        <w:t>3</w:t>
      </w:r>
      <w:r w:rsidR="007844B4">
        <w:rPr>
          <w:rFonts w:eastAsia="標楷體" w:hint="eastAsia"/>
          <w:sz w:val="28"/>
          <w:szCs w:val="28"/>
        </w:rPr>
        <w:t>51.0</w:t>
      </w:r>
      <w:r w:rsidRPr="006315A0">
        <w:rPr>
          <w:rFonts w:eastAsia="標楷體" w:hint="eastAsia"/>
          <w:sz w:val="28"/>
          <w:szCs w:val="28"/>
        </w:rPr>
        <w:t>億美元，減少</w:t>
      </w:r>
      <w:r w:rsidR="007844B4">
        <w:rPr>
          <w:rFonts w:eastAsia="標楷體" w:hint="eastAsia"/>
          <w:sz w:val="28"/>
          <w:szCs w:val="28"/>
        </w:rPr>
        <w:t>3.5</w:t>
      </w:r>
      <w:r w:rsidRPr="006315A0">
        <w:rPr>
          <w:rFonts w:eastAsia="標楷體" w:hint="eastAsia"/>
          <w:sz w:val="28"/>
          <w:szCs w:val="28"/>
        </w:rPr>
        <w:t>％；出口值</w:t>
      </w:r>
      <w:r w:rsidRPr="006315A0">
        <w:rPr>
          <w:rFonts w:eastAsia="標楷體" w:hint="eastAsia"/>
          <w:sz w:val="28"/>
          <w:szCs w:val="28"/>
        </w:rPr>
        <w:t>264.8</w:t>
      </w:r>
      <w:r w:rsidRPr="006315A0">
        <w:rPr>
          <w:rFonts w:eastAsia="標楷體" w:hint="eastAsia"/>
          <w:sz w:val="28"/>
          <w:szCs w:val="28"/>
        </w:rPr>
        <w:t>億美元，增加</w:t>
      </w:r>
      <w:r w:rsidRPr="006315A0">
        <w:rPr>
          <w:rFonts w:eastAsia="標楷體" w:hint="eastAsia"/>
          <w:sz w:val="28"/>
          <w:szCs w:val="28"/>
        </w:rPr>
        <w:t>8.6</w:t>
      </w:r>
      <w:r w:rsidRPr="006315A0">
        <w:rPr>
          <w:rFonts w:eastAsia="標楷體" w:hint="eastAsia"/>
          <w:sz w:val="28"/>
          <w:szCs w:val="28"/>
        </w:rPr>
        <w:t>％，進口值</w:t>
      </w:r>
      <w:r w:rsidRPr="006315A0">
        <w:rPr>
          <w:rFonts w:eastAsia="標楷體" w:hint="eastAsia"/>
          <w:sz w:val="28"/>
          <w:szCs w:val="28"/>
        </w:rPr>
        <w:t>232.3</w:t>
      </w:r>
      <w:r w:rsidRPr="006315A0">
        <w:rPr>
          <w:rFonts w:eastAsia="標楷體" w:hint="eastAsia"/>
          <w:sz w:val="28"/>
          <w:szCs w:val="28"/>
        </w:rPr>
        <w:t>億美元，增加</w:t>
      </w:r>
      <w:r w:rsidRPr="006315A0">
        <w:rPr>
          <w:rFonts w:eastAsia="標楷體" w:hint="eastAsia"/>
          <w:sz w:val="28"/>
          <w:szCs w:val="28"/>
        </w:rPr>
        <w:t>6.8</w:t>
      </w:r>
      <w:r w:rsidRPr="006315A0">
        <w:rPr>
          <w:rFonts w:eastAsia="標楷體" w:hint="eastAsia"/>
          <w:sz w:val="28"/>
          <w:szCs w:val="28"/>
        </w:rPr>
        <w:t>％，貿易出超</w:t>
      </w:r>
      <w:r w:rsidRPr="006315A0">
        <w:rPr>
          <w:rFonts w:eastAsia="標楷體" w:hint="eastAsia"/>
          <w:sz w:val="28"/>
          <w:szCs w:val="28"/>
        </w:rPr>
        <w:t>32.5</w:t>
      </w:r>
      <w:r w:rsidRPr="006315A0">
        <w:rPr>
          <w:rFonts w:eastAsia="標楷體" w:hint="eastAsia"/>
          <w:sz w:val="28"/>
          <w:szCs w:val="28"/>
        </w:rPr>
        <w:t>億美元；躉售物價指數（</w:t>
      </w:r>
      <w:r w:rsidRPr="006315A0">
        <w:rPr>
          <w:rFonts w:eastAsia="標楷體" w:hint="eastAsia"/>
          <w:sz w:val="28"/>
          <w:szCs w:val="28"/>
        </w:rPr>
        <w:t>WPI</w:t>
      </w:r>
      <w:r w:rsidRPr="006315A0">
        <w:rPr>
          <w:rFonts w:eastAsia="標楷體" w:hint="eastAsia"/>
          <w:sz w:val="28"/>
          <w:szCs w:val="28"/>
        </w:rPr>
        <w:t>）下跌</w:t>
      </w:r>
      <w:r w:rsidRPr="006315A0">
        <w:rPr>
          <w:rFonts w:eastAsia="標楷體" w:hint="eastAsia"/>
          <w:sz w:val="28"/>
          <w:szCs w:val="28"/>
        </w:rPr>
        <w:t>1.90</w:t>
      </w:r>
      <w:r w:rsidRPr="006315A0">
        <w:rPr>
          <w:rFonts w:eastAsia="標楷體" w:hint="eastAsia"/>
          <w:sz w:val="28"/>
          <w:szCs w:val="28"/>
        </w:rPr>
        <w:t>％，消費者物價指數（</w:t>
      </w:r>
      <w:r w:rsidRPr="006315A0">
        <w:rPr>
          <w:rFonts w:eastAsia="標楷體" w:hint="eastAsia"/>
          <w:sz w:val="28"/>
          <w:szCs w:val="28"/>
        </w:rPr>
        <w:t>CPI</w:t>
      </w:r>
      <w:r w:rsidRPr="006315A0">
        <w:rPr>
          <w:rFonts w:eastAsia="標楷體" w:hint="eastAsia"/>
          <w:sz w:val="28"/>
          <w:szCs w:val="28"/>
        </w:rPr>
        <w:t>）上漲</w:t>
      </w:r>
      <w:r w:rsidRPr="006315A0">
        <w:rPr>
          <w:rFonts w:eastAsia="標楷體" w:hint="eastAsia"/>
          <w:sz w:val="28"/>
          <w:szCs w:val="28"/>
        </w:rPr>
        <w:t>0.60</w:t>
      </w:r>
      <w:r w:rsidRPr="006315A0">
        <w:rPr>
          <w:rFonts w:eastAsia="標楷體" w:hint="eastAsia"/>
          <w:sz w:val="28"/>
          <w:szCs w:val="28"/>
        </w:rPr>
        <w:t>％；失業率</w:t>
      </w:r>
      <w:r w:rsidRPr="006315A0">
        <w:rPr>
          <w:rFonts w:eastAsia="標楷體" w:hint="eastAsia"/>
          <w:sz w:val="28"/>
          <w:szCs w:val="28"/>
        </w:rPr>
        <w:t>4.14</w:t>
      </w:r>
      <w:r w:rsidRPr="006315A0">
        <w:rPr>
          <w:rFonts w:eastAsia="標楷體" w:hint="eastAsia"/>
          <w:sz w:val="28"/>
          <w:szCs w:val="28"/>
        </w:rPr>
        <w:t>％。</w:t>
      </w:r>
    </w:p>
    <w:p w:rsidR="00443F50" w:rsidRPr="003111E1" w:rsidRDefault="006315A0" w:rsidP="00B8587B">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6315A0">
        <w:rPr>
          <w:rFonts w:eastAsia="標楷體" w:hint="eastAsia"/>
          <w:sz w:val="28"/>
          <w:szCs w:val="28"/>
        </w:rPr>
        <w:t>景氣對策信號方面，</w:t>
      </w:r>
      <w:proofErr w:type="gramStart"/>
      <w:r w:rsidRPr="006315A0">
        <w:rPr>
          <w:rFonts w:eastAsia="標楷體" w:hint="eastAsia"/>
          <w:sz w:val="28"/>
          <w:szCs w:val="28"/>
        </w:rPr>
        <w:t>102</w:t>
      </w:r>
      <w:r w:rsidRPr="006315A0">
        <w:rPr>
          <w:rFonts w:eastAsia="標楷體" w:hint="eastAsia"/>
          <w:sz w:val="28"/>
          <w:szCs w:val="28"/>
        </w:rPr>
        <w:t>年</w:t>
      </w:r>
      <w:r w:rsidRPr="006315A0">
        <w:rPr>
          <w:rFonts w:eastAsia="標楷體" w:hint="eastAsia"/>
          <w:sz w:val="28"/>
          <w:szCs w:val="28"/>
        </w:rPr>
        <w:t>6</w:t>
      </w:r>
      <w:r w:rsidRPr="006315A0">
        <w:rPr>
          <w:rFonts w:eastAsia="標楷體" w:hint="eastAsia"/>
          <w:sz w:val="28"/>
          <w:szCs w:val="28"/>
        </w:rPr>
        <w:t>月總燈號</w:t>
      </w:r>
      <w:proofErr w:type="gramEnd"/>
      <w:r w:rsidRPr="006315A0">
        <w:rPr>
          <w:rFonts w:eastAsia="標楷體" w:hint="eastAsia"/>
          <w:sz w:val="28"/>
          <w:szCs w:val="28"/>
        </w:rPr>
        <w:t>由黃藍燈轉呈綠燈，中止連續</w:t>
      </w:r>
      <w:r w:rsidRPr="006315A0">
        <w:rPr>
          <w:rFonts w:eastAsia="標楷體" w:hint="eastAsia"/>
          <w:sz w:val="28"/>
          <w:szCs w:val="28"/>
        </w:rPr>
        <w:t>9</w:t>
      </w:r>
      <w:r w:rsidRPr="006315A0">
        <w:rPr>
          <w:rFonts w:eastAsia="標楷體" w:hint="eastAsia"/>
          <w:sz w:val="28"/>
          <w:szCs w:val="28"/>
        </w:rPr>
        <w:t>個月的黃藍燈，顯示景氣正逐漸步上復甦之路</w:t>
      </w:r>
      <w:r w:rsidR="009E0B50">
        <w:rPr>
          <w:rFonts w:eastAsia="標楷體" w:hint="eastAsia"/>
          <w:sz w:val="28"/>
          <w:szCs w:val="28"/>
        </w:rPr>
        <w:t>，</w:t>
      </w:r>
      <w:r w:rsidRPr="006315A0">
        <w:rPr>
          <w:rFonts w:eastAsia="標楷體" w:hint="eastAsia"/>
          <w:sz w:val="28"/>
          <w:szCs w:val="28"/>
        </w:rPr>
        <w:t>政府將</w:t>
      </w:r>
      <w:proofErr w:type="gramStart"/>
      <w:r w:rsidRPr="006315A0">
        <w:rPr>
          <w:rFonts w:eastAsia="標楷體" w:hint="eastAsia"/>
          <w:sz w:val="28"/>
          <w:szCs w:val="28"/>
        </w:rPr>
        <w:t>賡</w:t>
      </w:r>
      <w:proofErr w:type="gramEnd"/>
      <w:r w:rsidRPr="006315A0">
        <w:rPr>
          <w:rFonts w:eastAsia="標楷體" w:hint="eastAsia"/>
          <w:sz w:val="28"/>
          <w:szCs w:val="28"/>
        </w:rPr>
        <w:t>續執行「經</w:t>
      </w:r>
      <w:r w:rsidRPr="006315A0">
        <w:rPr>
          <w:rFonts w:eastAsia="標楷體" w:hint="eastAsia"/>
          <w:sz w:val="28"/>
          <w:szCs w:val="28"/>
        </w:rPr>
        <w:lastRenderedPageBreak/>
        <w:t>濟動能推升方案」並推動短期振興經濟措施，促進景氣復甦。整體而言，下半年經濟表現預期優於上半年，景氣復甦前景值得審慎期待。</w:t>
      </w:r>
    </w:p>
    <w:p w:rsidR="005B1C10" w:rsidRPr="003111E1" w:rsidRDefault="00443F50" w:rsidP="00DB4F5B">
      <w:pPr>
        <w:pStyle w:val="t-2"/>
        <w:spacing w:line="300" w:lineRule="auto"/>
        <w:rPr>
          <w:rFonts w:hAnsi="Times New Roman"/>
        </w:rPr>
      </w:pPr>
      <w:bookmarkStart w:id="26" w:name="_Toc358042563"/>
      <w:r w:rsidRPr="003111E1">
        <w:rPr>
          <w:rFonts w:hAnsi="Times New Roman"/>
        </w:rPr>
        <w:t>三、中國大陸經濟</w:t>
      </w:r>
      <w:bookmarkEnd w:id="24"/>
      <w:bookmarkEnd w:id="25"/>
      <w:bookmarkEnd w:id="26"/>
    </w:p>
    <w:p w:rsidR="00933CB7" w:rsidRPr="003111E1" w:rsidRDefault="00933CB7" w:rsidP="008833E1">
      <w:pPr>
        <w:autoSpaceDE w:val="0"/>
        <w:autoSpaceDN w:val="0"/>
        <w:adjustRightInd w:val="0"/>
        <w:snapToGrid w:val="0"/>
        <w:spacing w:before="50" w:line="300" w:lineRule="auto"/>
        <w:ind w:right="-153" w:firstLineChars="202" w:firstLine="566"/>
        <w:jc w:val="both"/>
        <w:rPr>
          <w:rFonts w:eastAsia="標楷體"/>
          <w:sz w:val="28"/>
          <w:szCs w:val="28"/>
        </w:rPr>
      </w:pPr>
      <w:r w:rsidRPr="003111E1">
        <w:rPr>
          <w:rFonts w:eastAsia="標楷體"/>
          <w:sz w:val="28"/>
          <w:szCs w:val="28"/>
        </w:rPr>
        <w:t>中國大陸</w:t>
      </w:r>
      <w:r w:rsidRPr="003111E1">
        <w:rPr>
          <w:rFonts w:eastAsia="標楷體"/>
          <w:sz w:val="28"/>
          <w:szCs w:val="28"/>
        </w:rPr>
        <w:t>2013</w:t>
      </w:r>
      <w:r w:rsidRPr="003111E1">
        <w:rPr>
          <w:rFonts w:eastAsia="標楷體"/>
          <w:sz w:val="28"/>
          <w:szCs w:val="28"/>
        </w:rPr>
        <w:t>年上半年國內生產總值</w:t>
      </w:r>
      <w:r w:rsidR="00A10DDB">
        <w:rPr>
          <w:rFonts w:eastAsia="標楷體" w:hint="eastAsia"/>
          <w:sz w:val="28"/>
          <w:szCs w:val="28"/>
        </w:rPr>
        <w:t>（</w:t>
      </w:r>
      <w:r w:rsidR="00A10DDB">
        <w:rPr>
          <w:rFonts w:eastAsia="標楷體" w:hint="eastAsia"/>
          <w:sz w:val="28"/>
          <w:szCs w:val="28"/>
        </w:rPr>
        <w:t>GDP</w:t>
      </w:r>
      <w:r w:rsidR="00A10DDB">
        <w:rPr>
          <w:rFonts w:eastAsia="標楷體" w:hint="eastAsia"/>
          <w:sz w:val="28"/>
          <w:szCs w:val="28"/>
        </w:rPr>
        <w:t>）</w:t>
      </w:r>
      <w:r w:rsidRPr="003111E1">
        <w:rPr>
          <w:rFonts w:eastAsia="標楷體"/>
          <w:sz w:val="28"/>
          <w:szCs w:val="28"/>
        </w:rPr>
        <w:t>248,009</w:t>
      </w:r>
      <w:r w:rsidRPr="003111E1">
        <w:rPr>
          <w:rFonts w:eastAsia="標楷體"/>
          <w:sz w:val="28"/>
          <w:szCs w:val="28"/>
        </w:rPr>
        <w:t>億人民幣，成長</w:t>
      </w:r>
      <w:r w:rsidRPr="003111E1">
        <w:rPr>
          <w:rFonts w:eastAsia="標楷體"/>
          <w:sz w:val="28"/>
          <w:szCs w:val="28"/>
        </w:rPr>
        <w:t>7.6</w:t>
      </w:r>
      <w:r w:rsidRPr="003111E1">
        <w:rPr>
          <w:rFonts w:eastAsia="標楷體"/>
          <w:sz w:val="28"/>
          <w:szCs w:val="28"/>
        </w:rPr>
        <w:t>％。</w:t>
      </w:r>
      <w:r w:rsidRPr="003111E1">
        <w:rPr>
          <w:rFonts w:eastAsia="標楷體"/>
          <w:sz w:val="28"/>
          <w:szCs w:val="28"/>
        </w:rPr>
        <w:t>2013</w:t>
      </w:r>
      <w:r w:rsidRPr="003111E1">
        <w:rPr>
          <w:rFonts w:eastAsia="標楷體"/>
          <w:sz w:val="28"/>
          <w:szCs w:val="28"/>
        </w:rPr>
        <w:t>年</w:t>
      </w:r>
      <w:r w:rsidRPr="003111E1">
        <w:rPr>
          <w:rFonts w:eastAsia="標楷體"/>
          <w:sz w:val="28"/>
          <w:szCs w:val="28"/>
        </w:rPr>
        <w:t>1</w:t>
      </w:r>
      <w:r w:rsidRPr="003111E1">
        <w:rPr>
          <w:rFonts w:eastAsia="標楷體"/>
          <w:sz w:val="28"/>
          <w:szCs w:val="28"/>
        </w:rPr>
        <w:t>至</w:t>
      </w:r>
      <w:r w:rsidRPr="003111E1">
        <w:rPr>
          <w:rFonts w:eastAsia="標楷體"/>
          <w:sz w:val="28"/>
          <w:szCs w:val="28"/>
        </w:rPr>
        <w:t>6</w:t>
      </w:r>
      <w:r w:rsidRPr="003111E1">
        <w:rPr>
          <w:rFonts w:eastAsia="標楷體"/>
          <w:sz w:val="28"/>
          <w:szCs w:val="28"/>
        </w:rPr>
        <w:t>月固定資產投資</w:t>
      </w:r>
      <w:r w:rsidRPr="003111E1">
        <w:rPr>
          <w:rFonts w:eastAsia="標楷體"/>
          <w:sz w:val="28"/>
          <w:szCs w:val="28"/>
        </w:rPr>
        <w:t>(</w:t>
      </w:r>
      <w:r w:rsidRPr="003111E1">
        <w:rPr>
          <w:rFonts w:eastAsia="標楷體"/>
          <w:sz w:val="28"/>
          <w:szCs w:val="28"/>
        </w:rPr>
        <w:t>不含農戶</w:t>
      </w:r>
      <w:r w:rsidRPr="003111E1">
        <w:rPr>
          <w:rFonts w:eastAsia="標楷體"/>
          <w:sz w:val="28"/>
          <w:szCs w:val="28"/>
        </w:rPr>
        <w:t>)</w:t>
      </w:r>
      <w:r w:rsidRPr="003111E1">
        <w:rPr>
          <w:rFonts w:eastAsia="標楷體"/>
          <w:sz w:val="28"/>
          <w:szCs w:val="28"/>
        </w:rPr>
        <w:t>金額為</w:t>
      </w:r>
      <w:r w:rsidRPr="003111E1">
        <w:rPr>
          <w:rFonts w:eastAsia="標楷體"/>
          <w:sz w:val="28"/>
          <w:szCs w:val="28"/>
        </w:rPr>
        <w:t>181,318</w:t>
      </w:r>
      <w:r w:rsidRPr="003111E1">
        <w:rPr>
          <w:rFonts w:eastAsia="標楷體"/>
          <w:sz w:val="28"/>
          <w:szCs w:val="28"/>
        </w:rPr>
        <w:t>億人民幣，較</w:t>
      </w:r>
      <w:r w:rsidR="009E0B50">
        <w:rPr>
          <w:rFonts w:eastAsia="標楷體" w:hint="eastAsia"/>
          <w:sz w:val="28"/>
          <w:szCs w:val="28"/>
        </w:rPr>
        <w:t>上</w:t>
      </w:r>
      <w:r w:rsidRPr="003111E1">
        <w:rPr>
          <w:rFonts w:eastAsia="標楷體"/>
          <w:sz w:val="28"/>
          <w:szCs w:val="28"/>
        </w:rPr>
        <w:t>年同期成長</w:t>
      </w:r>
      <w:r w:rsidRPr="003111E1">
        <w:rPr>
          <w:rFonts w:eastAsia="標楷體"/>
          <w:sz w:val="28"/>
          <w:szCs w:val="28"/>
        </w:rPr>
        <w:t>20.1</w:t>
      </w:r>
      <w:r w:rsidRPr="003111E1">
        <w:rPr>
          <w:rFonts w:eastAsia="標楷體"/>
          <w:sz w:val="28"/>
          <w:szCs w:val="28"/>
        </w:rPr>
        <w:t>％，成長速度比</w:t>
      </w:r>
      <w:r w:rsidRPr="003111E1">
        <w:rPr>
          <w:rFonts w:eastAsia="標楷體"/>
          <w:sz w:val="28"/>
          <w:szCs w:val="28"/>
        </w:rPr>
        <w:t>1</w:t>
      </w:r>
      <w:r w:rsidRPr="003111E1">
        <w:rPr>
          <w:rFonts w:eastAsia="標楷體"/>
          <w:sz w:val="28"/>
          <w:szCs w:val="28"/>
        </w:rPr>
        <w:t>至</w:t>
      </w:r>
      <w:r w:rsidRPr="003111E1">
        <w:rPr>
          <w:rFonts w:eastAsia="標楷體"/>
          <w:sz w:val="28"/>
          <w:szCs w:val="28"/>
        </w:rPr>
        <w:t>5</w:t>
      </w:r>
      <w:r w:rsidRPr="003111E1">
        <w:rPr>
          <w:rFonts w:eastAsia="標楷體"/>
          <w:sz w:val="28"/>
          <w:szCs w:val="28"/>
        </w:rPr>
        <w:t>月回落</w:t>
      </w:r>
      <w:r w:rsidRPr="003111E1">
        <w:rPr>
          <w:rFonts w:eastAsia="標楷體"/>
          <w:sz w:val="28"/>
          <w:szCs w:val="28"/>
        </w:rPr>
        <w:t>0.3</w:t>
      </w:r>
      <w:r w:rsidRPr="003111E1">
        <w:rPr>
          <w:rFonts w:eastAsia="標楷體"/>
          <w:sz w:val="28"/>
          <w:szCs w:val="28"/>
        </w:rPr>
        <w:t>個百分點；對外貿易方面，出口成長</w:t>
      </w:r>
      <w:r w:rsidRPr="003111E1">
        <w:rPr>
          <w:rFonts w:eastAsia="標楷體"/>
          <w:sz w:val="28"/>
          <w:szCs w:val="28"/>
        </w:rPr>
        <w:t>10.4</w:t>
      </w:r>
      <w:r w:rsidRPr="003111E1">
        <w:rPr>
          <w:rFonts w:eastAsia="標楷體"/>
          <w:sz w:val="28"/>
          <w:szCs w:val="28"/>
        </w:rPr>
        <w:t>％，進口成長</w:t>
      </w:r>
      <w:r w:rsidRPr="003111E1">
        <w:rPr>
          <w:rFonts w:eastAsia="標楷體"/>
          <w:sz w:val="28"/>
          <w:szCs w:val="28"/>
        </w:rPr>
        <w:t>6.7</w:t>
      </w:r>
      <w:r w:rsidRPr="003111E1">
        <w:rPr>
          <w:rFonts w:eastAsia="標楷體"/>
          <w:sz w:val="28"/>
          <w:szCs w:val="28"/>
        </w:rPr>
        <w:t>％；非金融領域實際外商投資金額增加</w:t>
      </w:r>
      <w:r w:rsidRPr="003111E1">
        <w:rPr>
          <w:rFonts w:eastAsia="標楷體"/>
          <w:sz w:val="28"/>
          <w:szCs w:val="28"/>
        </w:rPr>
        <w:t>4.9</w:t>
      </w:r>
      <w:r w:rsidRPr="003111E1">
        <w:rPr>
          <w:rFonts w:eastAsia="標楷體"/>
          <w:sz w:val="28"/>
          <w:szCs w:val="28"/>
        </w:rPr>
        <w:t>％，金額為</w:t>
      </w:r>
      <w:r w:rsidRPr="003111E1">
        <w:rPr>
          <w:rFonts w:eastAsia="標楷體"/>
          <w:sz w:val="28"/>
          <w:szCs w:val="28"/>
        </w:rPr>
        <w:t>619.84</w:t>
      </w:r>
      <w:r w:rsidRPr="003111E1">
        <w:rPr>
          <w:rFonts w:eastAsia="標楷體"/>
          <w:sz w:val="28"/>
          <w:szCs w:val="28"/>
        </w:rPr>
        <w:t>億美元；規模以上工業生產成長</w:t>
      </w:r>
      <w:r w:rsidRPr="003111E1">
        <w:rPr>
          <w:rFonts w:eastAsia="標楷體"/>
          <w:sz w:val="28"/>
          <w:szCs w:val="28"/>
        </w:rPr>
        <w:t>9.3</w:t>
      </w:r>
      <w:r w:rsidRPr="003111E1">
        <w:rPr>
          <w:rFonts w:eastAsia="標楷體"/>
          <w:sz w:val="28"/>
          <w:szCs w:val="28"/>
        </w:rPr>
        <w:t>％。</w:t>
      </w:r>
    </w:p>
    <w:p w:rsidR="00933CB7" w:rsidRPr="003111E1" w:rsidRDefault="00933CB7" w:rsidP="00DB4F5B">
      <w:pPr>
        <w:autoSpaceDE w:val="0"/>
        <w:autoSpaceDN w:val="0"/>
        <w:adjustRightInd w:val="0"/>
        <w:snapToGrid w:val="0"/>
        <w:spacing w:before="50" w:line="300" w:lineRule="auto"/>
        <w:ind w:right="-153" w:firstLineChars="202" w:firstLine="566"/>
        <w:jc w:val="both"/>
        <w:rPr>
          <w:rFonts w:eastAsia="標楷體"/>
          <w:sz w:val="28"/>
          <w:szCs w:val="28"/>
        </w:rPr>
      </w:pPr>
      <w:r w:rsidRPr="003111E1">
        <w:rPr>
          <w:rFonts w:eastAsia="標楷體"/>
          <w:sz w:val="28"/>
          <w:szCs w:val="28"/>
        </w:rPr>
        <w:t>金融方面，</w:t>
      </w:r>
      <w:r w:rsidRPr="003111E1">
        <w:rPr>
          <w:rFonts w:eastAsia="標楷體"/>
          <w:sz w:val="28"/>
          <w:szCs w:val="28"/>
        </w:rPr>
        <w:t>2013</w:t>
      </w:r>
      <w:r w:rsidRPr="003111E1">
        <w:rPr>
          <w:rFonts w:eastAsia="標楷體"/>
          <w:sz w:val="28"/>
          <w:szCs w:val="28"/>
        </w:rPr>
        <w:t>年</w:t>
      </w:r>
      <w:r w:rsidRPr="003111E1">
        <w:rPr>
          <w:rFonts w:eastAsia="標楷體"/>
          <w:sz w:val="28"/>
          <w:szCs w:val="28"/>
        </w:rPr>
        <w:t>1</w:t>
      </w:r>
      <w:r w:rsidRPr="003111E1">
        <w:rPr>
          <w:rFonts w:eastAsia="標楷體"/>
          <w:sz w:val="28"/>
          <w:szCs w:val="28"/>
        </w:rPr>
        <w:t>至</w:t>
      </w:r>
      <w:r w:rsidRPr="003111E1">
        <w:rPr>
          <w:rFonts w:eastAsia="標楷體"/>
          <w:sz w:val="28"/>
          <w:szCs w:val="28"/>
        </w:rPr>
        <w:t>6</w:t>
      </w:r>
      <w:r w:rsidRPr="003111E1">
        <w:rPr>
          <w:rFonts w:eastAsia="標楷體"/>
          <w:sz w:val="28"/>
          <w:szCs w:val="28"/>
        </w:rPr>
        <w:t>月</w:t>
      </w:r>
      <w:r w:rsidRPr="003111E1">
        <w:rPr>
          <w:rFonts w:eastAsia="標楷體"/>
          <w:sz w:val="28"/>
          <w:szCs w:val="28"/>
        </w:rPr>
        <w:t>M1</w:t>
      </w:r>
      <w:r w:rsidRPr="003111E1">
        <w:rPr>
          <w:rFonts w:eastAsia="標楷體"/>
          <w:sz w:val="28"/>
          <w:szCs w:val="28"/>
        </w:rPr>
        <w:t>及</w:t>
      </w:r>
      <w:r w:rsidRPr="003111E1">
        <w:rPr>
          <w:rFonts w:eastAsia="標楷體"/>
          <w:sz w:val="28"/>
          <w:szCs w:val="28"/>
        </w:rPr>
        <w:t>M2</w:t>
      </w:r>
      <w:r w:rsidRPr="003111E1">
        <w:rPr>
          <w:rFonts w:eastAsia="標楷體"/>
          <w:sz w:val="28"/>
          <w:szCs w:val="28"/>
        </w:rPr>
        <w:t>分別較</w:t>
      </w:r>
      <w:r w:rsidR="009E0B50">
        <w:rPr>
          <w:rFonts w:eastAsia="標楷體" w:hint="eastAsia"/>
          <w:sz w:val="28"/>
          <w:szCs w:val="28"/>
        </w:rPr>
        <w:t>上</w:t>
      </w:r>
      <w:r w:rsidRPr="003111E1">
        <w:rPr>
          <w:rFonts w:eastAsia="標楷體"/>
          <w:sz w:val="28"/>
          <w:szCs w:val="28"/>
        </w:rPr>
        <w:t>年同期成長</w:t>
      </w:r>
      <w:r w:rsidRPr="003111E1">
        <w:rPr>
          <w:rFonts w:eastAsia="標楷體"/>
          <w:sz w:val="28"/>
          <w:szCs w:val="28"/>
        </w:rPr>
        <w:t>9.1</w:t>
      </w:r>
      <w:r w:rsidRPr="003111E1">
        <w:rPr>
          <w:rFonts w:eastAsia="標楷體"/>
          <w:sz w:val="28"/>
          <w:szCs w:val="28"/>
        </w:rPr>
        <w:t>％、</w:t>
      </w:r>
      <w:r w:rsidRPr="003111E1">
        <w:rPr>
          <w:rFonts w:eastAsia="標楷體"/>
          <w:sz w:val="28"/>
          <w:szCs w:val="28"/>
        </w:rPr>
        <w:t>14.0</w:t>
      </w:r>
      <w:r w:rsidRPr="003111E1">
        <w:rPr>
          <w:rFonts w:eastAsia="標楷體"/>
          <w:sz w:val="28"/>
          <w:szCs w:val="28"/>
        </w:rPr>
        <w:t>％；物價方面，</w:t>
      </w:r>
      <w:r w:rsidR="00A10DDB">
        <w:rPr>
          <w:rFonts w:eastAsia="標楷體" w:hint="eastAsia"/>
          <w:sz w:val="28"/>
          <w:szCs w:val="28"/>
        </w:rPr>
        <w:t>居民消費價</w:t>
      </w:r>
      <w:r w:rsidR="009E0B50">
        <w:rPr>
          <w:rFonts w:eastAsia="標楷體" w:hint="eastAsia"/>
          <w:sz w:val="28"/>
          <w:szCs w:val="28"/>
        </w:rPr>
        <w:t>格</w:t>
      </w:r>
      <w:r w:rsidR="00A10DDB">
        <w:rPr>
          <w:rFonts w:eastAsia="標楷體" w:hint="eastAsia"/>
          <w:sz w:val="28"/>
          <w:szCs w:val="28"/>
        </w:rPr>
        <w:t>指數</w:t>
      </w:r>
      <w:r w:rsidRPr="003111E1">
        <w:rPr>
          <w:rFonts w:eastAsia="標楷體"/>
          <w:sz w:val="28"/>
          <w:szCs w:val="28"/>
        </w:rPr>
        <w:t>較</w:t>
      </w:r>
      <w:r w:rsidR="009E0B50">
        <w:rPr>
          <w:rFonts w:eastAsia="標楷體" w:hint="eastAsia"/>
          <w:sz w:val="28"/>
          <w:szCs w:val="28"/>
        </w:rPr>
        <w:t>上</w:t>
      </w:r>
      <w:r w:rsidRPr="003111E1">
        <w:rPr>
          <w:rFonts w:eastAsia="標楷體"/>
          <w:sz w:val="28"/>
          <w:szCs w:val="28"/>
        </w:rPr>
        <w:t>年同期上漲</w:t>
      </w:r>
      <w:r w:rsidRPr="003111E1">
        <w:rPr>
          <w:rFonts w:eastAsia="標楷體"/>
          <w:sz w:val="28"/>
          <w:szCs w:val="28"/>
        </w:rPr>
        <w:t>2.4</w:t>
      </w:r>
      <w:r w:rsidRPr="003111E1">
        <w:rPr>
          <w:rFonts w:eastAsia="標楷體"/>
          <w:sz w:val="28"/>
          <w:szCs w:val="28"/>
        </w:rPr>
        <w:t>％。</w:t>
      </w:r>
    </w:p>
    <w:p w:rsidR="00933CB7" w:rsidRPr="003111E1" w:rsidRDefault="00933CB7" w:rsidP="00B8587B">
      <w:pPr>
        <w:autoSpaceDE w:val="0"/>
        <w:autoSpaceDN w:val="0"/>
        <w:adjustRightInd w:val="0"/>
        <w:snapToGrid w:val="0"/>
        <w:spacing w:before="50" w:line="300" w:lineRule="auto"/>
        <w:ind w:right="-153" w:firstLineChars="202" w:firstLine="566"/>
        <w:jc w:val="both"/>
        <w:rPr>
          <w:rFonts w:eastAsia="標楷體"/>
          <w:sz w:val="28"/>
          <w:szCs w:val="28"/>
        </w:rPr>
      </w:pPr>
      <w:r w:rsidRPr="003111E1">
        <w:rPr>
          <w:rFonts w:eastAsia="標楷體"/>
          <w:sz w:val="28"/>
          <w:szCs w:val="28"/>
        </w:rPr>
        <w:t>中國大陸</w:t>
      </w:r>
      <w:r w:rsidRPr="003111E1">
        <w:rPr>
          <w:rFonts w:eastAsia="標楷體"/>
          <w:sz w:val="28"/>
          <w:szCs w:val="28"/>
        </w:rPr>
        <w:t>2013</w:t>
      </w:r>
      <w:r w:rsidRPr="003111E1">
        <w:rPr>
          <w:rFonts w:eastAsia="標楷體"/>
          <w:sz w:val="28"/>
          <w:szCs w:val="28"/>
        </w:rPr>
        <w:t>年上半年</w:t>
      </w:r>
      <w:r w:rsidRPr="003111E1">
        <w:rPr>
          <w:rFonts w:eastAsia="標楷體"/>
          <w:sz w:val="28"/>
          <w:szCs w:val="28"/>
        </w:rPr>
        <w:t>GDP</w:t>
      </w:r>
      <w:r w:rsidRPr="003111E1">
        <w:rPr>
          <w:rFonts w:eastAsia="標楷體"/>
          <w:sz w:val="28"/>
          <w:szCs w:val="28"/>
        </w:rPr>
        <w:t>成長</w:t>
      </w:r>
      <w:r w:rsidRPr="003111E1">
        <w:rPr>
          <w:rFonts w:eastAsia="標楷體"/>
          <w:sz w:val="28"/>
          <w:szCs w:val="28"/>
        </w:rPr>
        <w:t>7.6</w:t>
      </w:r>
      <w:r w:rsidR="00A10DDB">
        <w:rPr>
          <w:rFonts w:eastAsia="標楷體"/>
          <w:sz w:val="28"/>
          <w:szCs w:val="28"/>
        </w:rPr>
        <w:t>％</w:t>
      </w:r>
      <w:r w:rsidR="00B8587B">
        <w:rPr>
          <w:rFonts w:eastAsia="標楷體" w:hint="eastAsia"/>
          <w:sz w:val="28"/>
          <w:szCs w:val="28"/>
        </w:rPr>
        <w:t>，</w:t>
      </w:r>
      <w:proofErr w:type="gramStart"/>
      <w:r w:rsidRPr="003111E1">
        <w:rPr>
          <w:rFonts w:eastAsia="標楷體"/>
          <w:sz w:val="28"/>
          <w:szCs w:val="28"/>
        </w:rPr>
        <w:t>其中第</w:t>
      </w:r>
      <w:r w:rsidRPr="003111E1">
        <w:rPr>
          <w:rFonts w:eastAsia="標楷體"/>
          <w:sz w:val="28"/>
          <w:szCs w:val="28"/>
        </w:rPr>
        <w:t>1</w:t>
      </w:r>
      <w:proofErr w:type="gramEnd"/>
      <w:r w:rsidRPr="003111E1">
        <w:rPr>
          <w:rFonts w:eastAsia="標楷體"/>
          <w:sz w:val="28"/>
          <w:szCs w:val="28"/>
        </w:rPr>
        <w:t>季成長</w:t>
      </w:r>
      <w:r w:rsidRPr="003111E1">
        <w:rPr>
          <w:rFonts w:eastAsia="標楷體"/>
          <w:sz w:val="28"/>
          <w:szCs w:val="28"/>
        </w:rPr>
        <w:t>7.7</w:t>
      </w:r>
      <w:r w:rsidRPr="003111E1">
        <w:rPr>
          <w:rFonts w:eastAsia="標楷體"/>
          <w:sz w:val="28"/>
          <w:szCs w:val="28"/>
        </w:rPr>
        <w:t>％，第</w:t>
      </w:r>
      <w:r w:rsidRPr="003111E1">
        <w:rPr>
          <w:rFonts w:eastAsia="標楷體"/>
          <w:sz w:val="28"/>
          <w:szCs w:val="28"/>
        </w:rPr>
        <w:t>2</w:t>
      </w:r>
      <w:r w:rsidRPr="003111E1">
        <w:rPr>
          <w:rFonts w:eastAsia="標楷體"/>
          <w:sz w:val="28"/>
          <w:szCs w:val="28"/>
        </w:rPr>
        <w:t>季則降為</w:t>
      </w:r>
      <w:r w:rsidRPr="003111E1">
        <w:rPr>
          <w:rFonts w:eastAsia="標楷體"/>
          <w:sz w:val="28"/>
          <w:szCs w:val="28"/>
        </w:rPr>
        <w:t>7.5</w:t>
      </w:r>
      <w:r w:rsidRPr="003111E1">
        <w:rPr>
          <w:rFonts w:eastAsia="標楷體"/>
          <w:sz w:val="28"/>
          <w:szCs w:val="28"/>
        </w:rPr>
        <w:t>％，為</w:t>
      </w:r>
      <w:r w:rsidRPr="003111E1">
        <w:rPr>
          <w:rFonts w:eastAsia="標楷體"/>
          <w:sz w:val="28"/>
          <w:szCs w:val="28"/>
        </w:rPr>
        <w:t>2009</w:t>
      </w:r>
      <w:r w:rsidRPr="003111E1">
        <w:rPr>
          <w:rFonts w:eastAsia="標楷體"/>
          <w:sz w:val="28"/>
          <w:szCs w:val="28"/>
        </w:rPr>
        <w:t>年第</w:t>
      </w:r>
      <w:r w:rsidRPr="003111E1">
        <w:rPr>
          <w:rFonts w:eastAsia="標楷體"/>
          <w:sz w:val="28"/>
          <w:szCs w:val="28"/>
        </w:rPr>
        <w:t>1</w:t>
      </w:r>
      <w:r w:rsidRPr="003111E1">
        <w:rPr>
          <w:rFonts w:eastAsia="標楷體"/>
          <w:sz w:val="28"/>
          <w:szCs w:val="28"/>
        </w:rPr>
        <w:t>季以來新低，且經濟成長率連續</w:t>
      </w:r>
      <w:r w:rsidRPr="003111E1">
        <w:rPr>
          <w:rFonts w:eastAsia="標楷體"/>
          <w:sz w:val="28"/>
          <w:szCs w:val="28"/>
        </w:rPr>
        <w:t>2</w:t>
      </w:r>
      <w:r w:rsidRPr="003111E1">
        <w:rPr>
          <w:rFonts w:eastAsia="標楷體"/>
          <w:sz w:val="28"/>
          <w:szCs w:val="28"/>
        </w:rPr>
        <w:t>季下滑，也加深外界對中國大陸經濟趨緩疑慮。</w:t>
      </w:r>
      <w:proofErr w:type="gramStart"/>
      <w:r w:rsidRPr="003111E1">
        <w:rPr>
          <w:rFonts w:eastAsia="標楷體"/>
          <w:sz w:val="28"/>
          <w:szCs w:val="28"/>
        </w:rPr>
        <w:t>惟</w:t>
      </w:r>
      <w:proofErr w:type="gramEnd"/>
      <w:r w:rsidRPr="003111E1">
        <w:rPr>
          <w:rFonts w:eastAsia="標楷體"/>
          <w:sz w:val="28"/>
          <w:szCs w:val="28"/>
        </w:rPr>
        <w:t>中國大陸總理李克強仍持續強調當前大陸經濟亟需進行結構轉型的重要性，宏觀調控政策將以「穩增長、調結構、促改革」為中心，維持政策與發展的連續性、穩定性，避免經濟大起大落。</w:t>
      </w:r>
    </w:p>
    <w:p w:rsidR="00F353C3" w:rsidRDefault="00933CB7" w:rsidP="00DB4F5B">
      <w:pPr>
        <w:autoSpaceDE w:val="0"/>
        <w:autoSpaceDN w:val="0"/>
        <w:adjustRightInd w:val="0"/>
        <w:snapToGrid w:val="0"/>
        <w:spacing w:before="50" w:line="300" w:lineRule="auto"/>
        <w:ind w:right="-153" w:firstLineChars="202" w:firstLine="566"/>
        <w:jc w:val="both"/>
        <w:rPr>
          <w:rFonts w:eastAsia="標楷體"/>
          <w:sz w:val="28"/>
          <w:szCs w:val="28"/>
        </w:rPr>
      </w:pPr>
      <w:r w:rsidRPr="003111E1">
        <w:rPr>
          <w:rFonts w:eastAsia="標楷體"/>
          <w:sz w:val="28"/>
          <w:szCs w:val="28"/>
        </w:rPr>
        <w:t>今年中國大陸經濟社會發展目標為：</w:t>
      </w:r>
      <w:r w:rsidRPr="003111E1">
        <w:rPr>
          <w:rFonts w:eastAsia="標楷體"/>
          <w:sz w:val="28"/>
          <w:szCs w:val="28"/>
        </w:rPr>
        <w:t>GDP</w:t>
      </w:r>
      <w:r w:rsidRPr="003111E1">
        <w:rPr>
          <w:rFonts w:eastAsia="標楷體"/>
          <w:sz w:val="28"/>
          <w:szCs w:val="28"/>
        </w:rPr>
        <w:t>成長</w:t>
      </w:r>
      <w:r w:rsidRPr="003111E1">
        <w:rPr>
          <w:rFonts w:eastAsia="標楷體"/>
          <w:sz w:val="28"/>
          <w:szCs w:val="28"/>
        </w:rPr>
        <w:t>7.5</w:t>
      </w:r>
      <w:r w:rsidRPr="003111E1">
        <w:rPr>
          <w:rFonts w:eastAsia="標楷體"/>
          <w:sz w:val="28"/>
          <w:szCs w:val="28"/>
        </w:rPr>
        <w:t>％、居民消費價格漲幅</w:t>
      </w:r>
      <w:r w:rsidRPr="003111E1">
        <w:rPr>
          <w:rFonts w:eastAsia="標楷體"/>
          <w:sz w:val="28"/>
          <w:szCs w:val="28"/>
        </w:rPr>
        <w:t>3.5</w:t>
      </w:r>
      <w:r w:rsidRPr="003111E1">
        <w:rPr>
          <w:rFonts w:eastAsia="標楷體"/>
          <w:sz w:val="28"/>
          <w:szCs w:val="28"/>
        </w:rPr>
        <w:t>％、城鎮新增就業</w:t>
      </w:r>
      <w:r w:rsidRPr="003111E1">
        <w:rPr>
          <w:rFonts w:eastAsia="標楷體"/>
          <w:sz w:val="28"/>
          <w:szCs w:val="28"/>
        </w:rPr>
        <w:t>900</w:t>
      </w:r>
      <w:r w:rsidRPr="003111E1">
        <w:rPr>
          <w:rFonts w:eastAsia="標楷體"/>
          <w:sz w:val="28"/>
          <w:szCs w:val="28"/>
        </w:rPr>
        <w:t>萬人以上、城鎮登記失業率低於</w:t>
      </w:r>
      <w:r w:rsidRPr="003111E1">
        <w:rPr>
          <w:rFonts w:eastAsia="標楷體"/>
          <w:sz w:val="28"/>
          <w:szCs w:val="28"/>
        </w:rPr>
        <w:t>4.6</w:t>
      </w:r>
      <w:r w:rsidRPr="003111E1">
        <w:rPr>
          <w:rFonts w:eastAsia="標楷體"/>
          <w:sz w:val="28"/>
          <w:szCs w:val="28"/>
        </w:rPr>
        <w:t>％、及城鎮居民人均收入實際成長與經濟成長同步等。各界預期在當前國內外經濟情勢下，中國大陸將持續穩健的貨幣政策，在總量不擴張的情況下，透過調節銀行體系的流動性，導引資金支持農業、中小企業等實體經濟活動之運作，讓經濟維持中速成長。</w:t>
      </w:r>
      <w:r w:rsidR="004C1705" w:rsidRPr="003111E1">
        <w:rPr>
          <w:rFonts w:eastAsia="標楷體"/>
          <w:sz w:val="28"/>
          <w:szCs w:val="28"/>
        </w:rPr>
        <w:t xml:space="preserve">　</w:t>
      </w:r>
    </w:p>
    <w:p w:rsidR="00DB4F5B" w:rsidRDefault="00DB4F5B" w:rsidP="00DB4F5B">
      <w:pPr>
        <w:autoSpaceDE w:val="0"/>
        <w:autoSpaceDN w:val="0"/>
        <w:adjustRightInd w:val="0"/>
        <w:snapToGrid w:val="0"/>
        <w:spacing w:before="50" w:line="300" w:lineRule="auto"/>
        <w:ind w:right="-153" w:firstLineChars="202" w:firstLine="566"/>
        <w:jc w:val="both"/>
        <w:rPr>
          <w:rFonts w:eastAsia="標楷體"/>
          <w:sz w:val="28"/>
          <w:szCs w:val="28"/>
        </w:rPr>
      </w:pPr>
    </w:p>
    <w:p w:rsidR="00A10DDB" w:rsidRDefault="00A10DDB" w:rsidP="00DB4F5B">
      <w:pPr>
        <w:autoSpaceDE w:val="0"/>
        <w:autoSpaceDN w:val="0"/>
        <w:adjustRightInd w:val="0"/>
        <w:snapToGrid w:val="0"/>
        <w:spacing w:before="50" w:line="300" w:lineRule="auto"/>
        <w:ind w:right="-153" w:firstLineChars="202" w:firstLine="566"/>
        <w:jc w:val="both"/>
        <w:rPr>
          <w:rFonts w:eastAsia="標楷體"/>
          <w:sz w:val="28"/>
          <w:szCs w:val="28"/>
        </w:rPr>
      </w:pPr>
    </w:p>
    <w:p w:rsidR="00A10DDB" w:rsidRDefault="00A10DDB" w:rsidP="00DB4F5B">
      <w:pPr>
        <w:autoSpaceDE w:val="0"/>
        <w:autoSpaceDN w:val="0"/>
        <w:adjustRightInd w:val="0"/>
        <w:snapToGrid w:val="0"/>
        <w:spacing w:before="50" w:line="300" w:lineRule="auto"/>
        <w:ind w:right="-153" w:firstLineChars="202" w:firstLine="566"/>
        <w:jc w:val="both"/>
        <w:rPr>
          <w:rFonts w:eastAsia="標楷體"/>
          <w:sz w:val="28"/>
          <w:szCs w:val="28"/>
        </w:rPr>
      </w:pPr>
    </w:p>
    <w:p w:rsidR="00DB4F5B" w:rsidRDefault="00DB4F5B" w:rsidP="00DB4F5B">
      <w:pPr>
        <w:autoSpaceDE w:val="0"/>
        <w:autoSpaceDN w:val="0"/>
        <w:adjustRightInd w:val="0"/>
        <w:snapToGrid w:val="0"/>
        <w:spacing w:before="50" w:line="300" w:lineRule="auto"/>
        <w:ind w:right="-153" w:firstLineChars="202" w:firstLine="566"/>
        <w:jc w:val="both"/>
        <w:rPr>
          <w:rFonts w:eastAsia="標楷體"/>
          <w:sz w:val="28"/>
          <w:szCs w:val="28"/>
        </w:rPr>
      </w:pPr>
    </w:p>
    <w:p w:rsidR="00A10DDB" w:rsidRDefault="00A10DDB" w:rsidP="00DB4F5B">
      <w:pPr>
        <w:autoSpaceDE w:val="0"/>
        <w:autoSpaceDN w:val="0"/>
        <w:adjustRightInd w:val="0"/>
        <w:snapToGrid w:val="0"/>
        <w:spacing w:before="50" w:line="300" w:lineRule="auto"/>
        <w:ind w:right="-153" w:firstLineChars="202" w:firstLine="566"/>
        <w:jc w:val="both"/>
        <w:rPr>
          <w:rFonts w:eastAsia="標楷體"/>
          <w:sz w:val="28"/>
          <w:szCs w:val="28"/>
        </w:rPr>
      </w:pPr>
    </w:p>
    <w:p w:rsidR="002C4C25" w:rsidRPr="003111E1" w:rsidRDefault="00380A37" w:rsidP="00FB6FCE">
      <w:pPr>
        <w:pStyle w:val="1"/>
        <w:spacing w:beforeLines="50" w:before="180" w:afterLines="0" w:after="0" w:line="300" w:lineRule="auto"/>
        <w:rPr>
          <w:bCs/>
        </w:rPr>
      </w:pPr>
      <w:bookmarkStart w:id="27" w:name="_Toc358042564"/>
      <w:r w:rsidRPr="003111E1">
        <w:rPr>
          <w:bCs/>
        </w:rPr>
        <w:lastRenderedPageBreak/>
        <w:t>貳、國內外經濟指標</w:t>
      </w:r>
      <w:bookmarkEnd w:id="27"/>
    </w:p>
    <w:p w:rsidR="00C70D89" w:rsidRPr="0012644D" w:rsidRDefault="00C70D89" w:rsidP="00C70D89">
      <w:pPr>
        <w:keepNext/>
        <w:snapToGrid w:val="0"/>
        <w:jc w:val="center"/>
        <w:outlineLvl w:val="1"/>
        <w:rPr>
          <w:rFonts w:eastAsia="標楷體"/>
          <w:b/>
          <w:sz w:val="28"/>
          <w:szCs w:val="32"/>
          <w:lang w:val="zh-TW"/>
        </w:rPr>
      </w:pPr>
      <w:bookmarkStart w:id="28" w:name="_Toc358042565"/>
      <w:r w:rsidRPr="0012644D">
        <w:rPr>
          <w:rFonts w:eastAsia="標楷體"/>
          <w:b/>
          <w:sz w:val="32"/>
          <w:szCs w:val="32"/>
          <w:lang w:val="zh-TW"/>
        </w:rPr>
        <w:t>表</w:t>
      </w:r>
      <w:r w:rsidRPr="0012644D">
        <w:rPr>
          <w:rFonts w:eastAsia="標楷體"/>
          <w:b/>
          <w:sz w:val="32"/>
          <w:szCs w:val="32"/>
          <w:lang w:val="zh-TW"/>
        </w:rPr>
        <w:t xml:space="preserve">1  </w:t>
      </w:r>
      <w:r w:rsidRPr="0012644D">
        <w:rPr>
          <w:rFonts w:eastAsia="標楷體"/>
          <w:b/>
          <w:sz w:val="32"/>
          <w:szCs w:val="32"/>
          <w:lang w:val="zh-TW"/>
        </w:rPr>
        <w:t>世界經濟成長率及物價上漲率</w:t>
      </w:r>
      <w:bookmarkEnd w:id="28"/>
    </w:p>
    <w:p w:rsidR="00C70D89" w:rsidRPr="0012644D" w:rsidRDefault="00C70D89" w:rsidP="00CF75BD">
      <w:pPr>
        <w:jc w:val="right"/>
        <w:rPr>
          <w:rFonts w:eastAsia="標楷體"/>
          <w:bCs/>
          <w:szCs w:val="32"/>
        </w:rPr>
      </w:pPr>
      <w:r w:rsidRPr="0012644D">
        <w:rPr>
          <w:rFonts w:eastAsia="標楷體"/>
          <w:bCs/>
          <w:szCs w:val="32"/>
        </w:rPr>
        <w:t xml:space="preserve">            </w:t>
      </w:r>
      <w:r w:rsidRPr="0012644D">
        <w:rPr>
          <w:rFonts w:eastAsia="標楷體"/>
          <w:bCs/>
          <w:szCs w:val="32"/>
          <w:lang w:val="zh-TW"/>
        </w:rPr>
        <w:t>單位</w:t>
      </w:r>
      <w:r w:rsidRPr="0012644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12644D" w:rsidRPr="0012644D" w:rsidTr="008917A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2644D" w:rsidRPr="0012644D" w:rsidRDefault="0012644D" w:rsidP="0012644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IMF</w:t>
            </w:r>
          </w:p>
        </w:tc>
      </w:tr>
      <w:tr w:rsidR="0012644D" w:rsidRPr="0012644D" w:rsidTr="008917A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2644D" w:rsidRPr="0012644D" w:rsidRDefault="0012644D" w:rsidP="0012644D">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r>
      <w:tr w:rsidR="0012644D" w:rsidRPr="0012644D" w:rsidTr="008917A1">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全</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5</w:t>
            </w:r>
          </w:p>
        </w:tc>
        <w:tc>
          <w:tcPr>
            <w:tcW w:w="644" w:type="pct"/>
            <w:tcBorders>
              <w:top w:val="single" w:sz="6"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4</w:t>
            </w:r>
          </w:p>
        </w:tc>
        <w:tc>
          <w:tcPr>
            <w:tcW w:w="619" w:type="pct"/>
            <w:tcBorders>
              <w:top w:val="single" w:sz="6"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3.4</w:t>
            </w:r>
          </w:p>
        </w:tc>
        <w:tc>
          <w:tcPr>
            <w:tcW w:w="679" w:type="pct"/>
            <w:tcBorders>
              <w:top w:val="single" w:sz="6"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3.</w:t>
            </w:r>
            <w:r w:rsidRPr="0012644D">
              <w:rPr>
                <w:rFonts w:eastAsia="標楷體" w:hint="eastAsia"/>
                <w:bCs/>
                <w:color w:val="000000" w:themeColor="text1"/>
                <w:sz w:val="28"/>
                <w:szCs w:val="32"/>
              </w:rPr>
              <w:t>1</w:t>
            </w:r>
          </w:p>
        </w:tc>
        <w:tc>
          <w:tcPr>
            <w:tcW w:w="631" w:type="pct"/>
            <w:tcBorders>
              <w:top w:val="single" w:sz="6"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3.</w:t>
            </w:r>
            <w:r w:rsidRPr="0012644D">
              <w:rPr>
                <w:rFonts w:eastAsia="標楷體" w:hint="eastAsia"/>
                <w:bCs/>
                <w:color w:val="000000" w:themeColor="text1"/>
                <w:sz w:val="28"/>
                <w:szCs w:val="32"/>
              </w:rPr>
              <w:t>1</w:t>
            </w:r>
          </w:p>
        </w:tc>
        <w:tc>
          <w:tcPr>
            <w:tcW w:w="617" w:type="pct"/>
            <w:tcBorders>
              <w:top w:val="single" w:sz="6"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3.8</w:t>
            </w:r>
          </w:p>
        </w:tc>
      </w:tr>
      <w:tr w:rsidR="0012644D" w:rsidRPr="0012644D" w:rsidTr="008917A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3.</w:t>
            </w:r>
            <w:r w:rsidRPr="0012644D">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2.9</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3.1</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美</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2</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1.6</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2.7</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2</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1.7</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2.7</w:t>
            </w:r>
          </w:p>
        </w:tc>
      </w:tr>
      <w:tr w:rsidR="0012644D"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1.</w:t>
            </w:r>
            <w:r w:rsidRPr="0012644D">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1.5</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1.</w:t>
            </w:r>
            <w:r w:rsidRPr="0012644D">
              <w:rPr>
                <w:rFonts w:eastAsia="標楷體" w:hint="eastAsia"/>
                <w:bCs/>
                <w:color w:val="000000" w:themeColor="text1"/>
                <w:sz w:val="28"/>
                <w:szCs w:val="32"/>
              </w:rPr>
              <w:t>8</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1.7</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歐</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元</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-0.</w:t>
            </w:r>
            <w:r w:rsidRPr="0012644D">
              <w:rPr>
                <w:rFonts w:eastAsia="標楷體" w:hint="eastAsia"/>
                <w:bCs/>
                <w:color w:val="000000" w:themeColor="text1"/>
                <w:sz w:val="28"/>
                <w:szCs w:val="32"/>
              </w:rPr>
              <w:t>6</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-0.</w:t>
            </w:r>
            <w:r w:rsidRPr="0012644D">
              <w:rPr>
                <w:rFonts w:eastAsia="標楷體" w:hint="eastAsia"/>
                <w:bCs/>
                <w:color w:val="000000" w:themeColor="text1"/>
                <w:sz w:val="28"/>
                <w:szCs w:val="32"/>
              </w:rPr>
              <w:t>7</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0.6</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-0.</w:t>
            </w:r>
            <w:r w:rsidRPr="0012644D">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w:t>
            </w:r>
            <w:r w:rsidRPr="0012644D">
              <w:rPr>
                <w:rFonts w:eastAsia="標楷體"/>
                <w:bCs/>
                <w:color w:val="000000" w:themeColor="text1"/>
                <w:sz w:val="28"/>
                <w:szCs w:val="32"/>
              </w:rPr>
              <w:t>0.</w:t>
            </w:r>
            <w:r w:rsidRPr="0012644D">
              <w:rPr>
                <w:rFonts w:eastAsia="標楷體" w:hint="eastAsia"/>
                <w:bCs/>
                <w:color w:val="000000" w:themeColor="text1"/>
                <w:sz w:val="28"/>
                <w:szCs w:val="32"/>
              </w:rPr>
              <w:t>6</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0.9</w:t>
            </w:r>
          </w:p>
        </w:tc>
      </w:tr>
      <w:tr w:rsidR="0012644D"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1.</w:t>
            </w:r>
            <w:r w:rsidRPr="0012644D">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1.7</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1.5</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日</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1.9</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1.7</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1.9</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1.9</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1.2</w:t>
            </w:r>
          </w:p>
        </w:tc>
      </w:tr>
      <w:tr w:rsidR="0012644D"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-0.</w:t>
            </w:r>
            <w:r w:rsidRPr="0012644D">
              <w:rPr>
                <w:rFonts w:eastAsia="標楷體" w:hint="eastAsia"/>
                <w:bCs/>
                <w:color w:val="000000" w:themeColor="text1"/>
                <w:sz w:val="28"/>
                <w:szCs w:val="32"/>
              </w:rPr>
              <w:t>4</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1.8</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0.1</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3.0</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12644D">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1.</w:t>
            </w:r>
            <w:r w:rsidRPr="0012644D">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2.8</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4.0</w:t>
            </w:r>
          </w:p>
        </w:tc>
        <w:tc>
          <w:tcPr>
            <w:tcW w:w="679"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3.9</w:t>
            </w:r>
          </w:p>
        </w:tc>
      </w:tr>
      <w:tr w:rsidR="0012644D"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1.1</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1.4</w:t>
            </w:r>
          </w:p>
        </w:tc>
        <w:tc>
          <w:tcPr>
            <w:tcW w:w="679"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2.0</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2.0</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outlineLvl w:val="1"/>
              <w:rPr>
                <w:rFonts w:eastAsia="標楷體"/>
                <w:bCs/>
                <w:color w:val="000000" w:themeColor="text1"/>
                <w:sz w:val="28"/>
                <w:szCs w:val="32"/>
              </w:rPr>
            </w:pPr>
            <w:r w:rsidRPr="0012644D">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7.</w:t>
            </w:r>
            <w:r w:rsidRPr="0012644D">
              <w:rPr>
                <w:rFonts w:eastAsia="標楷體" w:hint="eastAsia"/>
                <w:bCs/>
                <w:color w:val="000000" w:themeColor="text1"/>
                <w:sz w:val="28"/>
                <w:szCs w:val="32"/>
              </w:rPr>
              <w:t>8</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7.5</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7.8</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7.8</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7.8</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7.7</w:t>
            </w:r>
          </w:p>
        </w:tc>
      </w:tr>
      <w:tr w:rsidR="0012644D"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2.4</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3.4</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3.0</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3.0</w:t>
            </w:r>
          </w:p>
        </w:tc>
      </w:tr>
      <w:tr w:rsidR="0012644D"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新</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加</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2.2</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3.7</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5.1</w:t>
            </w:r>
          </w:p>
        </w:tc>
      </w:tr>
      <w:tr w:rsidR="0012644D"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4.</w:t>
            </w:r>
            <w:r w:rsidRPr="0012644D">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3.1</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3.3</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w:t>
            </w:r>
            <w:r w:rsidRPr="0012644D">
              <w:rPr>
                <w:rFonts w:eastAsia="標楷體"/>
                <w:bCs/>
                <w:color w:val="000000" w:themeColor="text1"/>
                <w:sz w:val="28"/>
                <w:szCs w:val="32"/>
              </w:rPr>
              <w:t>.</w:t>
            </w:r>
            <w:r w:rsidRPr="0012644D">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w:t>
            </w:r>
            <w:r w:rsidRPr="0012644D">
              <w:rPr>
                <w:rFonts w:eastAsia="標楷體"/>
                <w:bCs/>
                <w:color w:val="000000" w:themeColor="text1"/>
                <w:sz w:val="28"/>
                <w:szCs w:val="32"/>
              </w:rPr>
              <w:t>.</w:t>
            </w:r>
            <w:r w:rsidRPr="0012644D">
              <w:rPr>
                <w:rFonts w:eastAsia="標楷體" w:hint="eastAsia"/>
                <w:bCs/>
                <w:color w:val="000000" w:themeColor="text1"/>
                <w:sz w:val="28"/>
                <w:szCs w:val="32"/>
              </w:rPr>
              <w:t>0</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3.4</w:t>
            </w:r>
          </w:p>
        </w:tc>
      </w:tr>
      <w:tr w:rsidR="0012644D" w:rsidRPr="0012644D" w:rsidTr="008917A1">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韓</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1.6</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3.0</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3.9</w:t>
            </w:r>
          </w:p>
        </w:tc>
      </w:tr>
      <w:tr w:rsidR="0012644D" w:rsidRPr="0012644D" w:rsidTr="008917A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2.</w:t>
            </w:r>
            <w:r w:rsidRPr="0012644D">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1.4</w:t>
            </w:r>
          </w:p>
        </w:tc>
        <w:tc>
          <w:tcPr>
            <w:tcW w:w="619" w:type="pct"/>
            <w:tcBorders>
              <w:top w:val="nil"/>
              <w:left w:val="nil"/>
              <w:bottom w:val="single" w:sz="4"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2.6</w:t>
            </w:r>
          </w:p>
        </w:tc>
        <w:tc>
          <w:tcPr>
            <w:tcW w:w="679"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2.4</w:t>
            </w:r>
          </w:p>
        </w:tc>
        <w:tc>
          <w:tcPr>
            <w:tcW w:w="617" w:type="pct"/>
            <w:tcBorders>
              <w:top w:val="nil"/>
              <w:left w:val="nil"/>
              <w:bottom w:val="single" w:sz="4"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2.9</w:t>
            </w:r>
          </w:p>
        </w:tc>
      </w:tr>
      <w:tr w:rsidR="0012644D" w:rsidRPr="0012644D" w:rsidTr="008917A1">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香</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1.</w:t>
            </w:r>
            <w:r w:rsidRPr="0012644D">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3.</w:t>
            </w:r>
            <w:r w:rsidRPr="0012644D">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4.1</w:t>
            </w:r>
          </w:p>
        </w:tc>
        <w:tc>
          <w:tcPr>
            <w:tcW w:w="679"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1.4</w:t>
            </w:r>
          </w:p>
        </w:tc>
        <w:tc>
          <w:tcPr>
            <w:tcW w:w="631"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4.4</w:t>
            </w:r>
          </w:p>
        </w:tc>
      </w:tr>
      <w:tr w:rsidR="0012644D"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2644D" w:rsidRPr="0012644D" w:rsidRDefault="0012644D"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4.0</w:t>
            </w:r>
          </w:p>
        </w:tc>
        <w:tc>
          <w:tcPr>
            <w:tcW w:w="619" w:type="pct"/>
            <w:tcBorders>
              <w:top w:val="nil"/>
              <w:left w:val="nil"/>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3.8</w:t>
            </w:r>
          </w:p>
        </w:tc>
        <w:tc>
          <w:tcPr>
            <w:tcW w:w="679" w:type="pct"/>
            <w:tcBorders>
              <w:top w:val="nil"/>
              <w:left w:val="nil"/>
              <w:bottom w:val="single" w:sz="6"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12644D" w:rsidRPr="0012644D" w:rsidRDefault="0012644D"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rPr>
              <w:t>3.5</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12644D">
        <w:rPr>
          <w:rFonts w:eastAsia="標楷體" w:hint="eastAsia"/>
          <w:bCs/>
          <w:color w:val="000000" w:themeColor="text1"/>
          <w:sz w:val="22"/>
          <w:lang w:val="zh-TW"/>
        </w:rPr>
        <w:t>註</w:t>
      </w:r>
      <w:proofErr w:type="gramEnd"/>
      <w:r w:rsidRPr="0012644D">
        <w:rPr>
          <w:rFonts w:eastAsia="標楷體" w:hint="eastAsia"/>
          <w:bCs/>
          <w:color w:val="000000" w:themeColor="text1"/>
          <w:sz w:val="22"/>
          <w:lang w:val="zh-TW"/>
        </w:rPr>
        <w:t>：</w:t>
      </w:r>
      <w:r w:rsidRPr="0012644D">
        <w:rPr>
          <w:rFonts w:eastAsia="標楷體" w:hint="eastAsia"/>
          <w:bCs/>
          <w:color w:val="000000" w:themeColor="text1"/>
          <w:sz w:val="22"/>
        </w:rPr>
        <w:t>（</w:t>
      </w:r>
      <w:r w:rsidRPr="0012644D">
        <w:rPr>
          <w:rFonts w:eastAsia="標楷體"/>
          <w:bCs/>
          <w:color w:val="000000" w:themeColor="text1"/>
          <w:sz w:val="22"/>
        </w:rPr>
        <w:t>f</w:t>
      </w:r>
      <w:r w:rsidRPr="0012644D">
        <w:rPr>
          <w:rFonts w:eastAsia="標楷體" w:hint="eastAsia"/>
          <w:bCs/>
          <w:color w:val="000000" w:themeColor="text1"/>
          <w:sz w:val="22"/>
        </w:rPr>
        <w:t>）為預測值。</w:t>
      </w:r>
    </w:p>
    <w:p w:rsidR="0012644D" w:rsidRPr="0012644D" w:rsidRDefault="0012644D" w:rsidP="0012644D">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12644D">
        <w:rPr>
          <w:rFonts w:eastAsia="標楷體" w:hint="eastAsia"/>
          <w:bCs/>
          <w:color w:val="000000" w:themeColor="text1"/>
          <w:sz w:val="22"/>
          <w:szCs w:val="22"/>
          <w:lang w:val="zh-TW"/>
        </w:rPr>
        <w:t>資料來源：</w:t>
      </w:r>
      <w:proofErr w:type="gramStart"/>
      <w:r w:rsidRPr="0012644D">
        <w:rPr>
          <w:rFonts w:eastAsia="標楷體"/>
          <w:bCs/>
          <w:color w:val="000000" w:themeColor="text1"/>
          <w:sz w:val="22"/>
          <w:szCs w:val="22"/>
        </w:rPr>
        <w:t>1.Global</w:t>
      </w:r>
      <w:proofErr w:type="gramEnd"/>
      <w:r w:rsidRPr="0012644D">
        <w:rPr>
          <w:rFonts w:eastAsia="標楷體"/>
          <w:bCs/>
          <w:color w:val="000000" w:themeColor="text1"/>
          <w:sz w:val="22"/>
          <w:szCs w:val="22"/>
        </w:rPr>
        <w:t xml:space="preserve"> Insight Inc., </w:t>
      </w:r>
      <w:r w:rsidRPr="0012644D">
        <w:rPr>
          <w:rFonts w:eastAsia="標楷體"/>
          <w:bCs/>
          <w:i/>
          <w:iCs/>
          <w:color w:val="000000" w:themeColor="text1"/>
          <w:sz w:val="22"/>
          <w:szCs w:val="22"/>
        </w:rPr>
        <w:t>World Overview</w:t>
      </w:r>
      <w:r w:rsidRPr="0012644D">
        <w:rPr>
          <w:rFonts w:eastAsia="標楷體"/>
          <w:bCs/>
          <w:color w:val="000000" w:themeColor="text1"/>
          <w:sz w:val="22"/>
          <w:szCs w:val="22"/>
        </w:rPr>
        <w:t>,</w:t>
      </w:r>
      <w:r w:rsidRPr="0012644D">
        <w:rPr>
          <w:rFonts w:eastAsia="標楷體"/>
          <w:color w:val="000000" w:themeColor="text1"/>
          <w:sz w:val="22"/>
          <w:szCs w:val="22"/>
        </w:rPr>
        <w:t xml:space="preserve"> </w:t>
      </w:r>
      <w:r w:rsidRPr="0012644D">
        <w:rPr>
          <w:rFonts w:eastAsia="標楷體" w:hint="eastAsia"/>
          <w:color w:val="000000" w:themeColor="text1"/>
          <w:sz w:val="22"/>
          <w:szCs w:val="22"/>
        </w:rPr>
        <w:t>June</w:t>
      </w:r>
      <w:r w:rsidRPr="0012644D">
        <w:rPr>
          <w:rFonts w:eastAsia="標楷體"/>
          <w:color w:val="000000" w:themeColor="text1"/>
          <w:sz w:val="22"/>
          <w:szCs w:val="22"/>
        </w:rPr>
        <w:t xml:space="preserve"> </w:t>
      </w:r>
      <w:r w:rsidRPr="0012644D">
        <w:rPr>
          <w:rFonts w:eastAsia="標楷體"/>
          <w:bCs/>
          <w:color w:val="000000" w:themeColor="text1"/>
          <w:sz w:val="22"/>
          <w:szCs w:val="22"/>
        </w:rPr>
        <w:t>201</w:t>
      </w:r>
      <w:r w:rsidRPr="0012644D">
        <w:rPr>
          <w:rFonts w:eastAsia="標楷體" w:hint="eastAsia"/>
          <w:bCs/>
          <w:color w:val="000000" w:themeColor="text1"/>
          <w:sz w:val="22"/>
          <w:szCs w:val="22"/>
        </w:rPr>
        <w:t>3</w:t>
      </w:r>
      <w:r w:rsidRPr="0012644D">
        <w:rPr>
          <w:rFonts w:eastAsia="標楷體" w:hint="eastAsia"/>
          <w:bCs/>
          <w:color w:val="000000" w:themeColor="text1"/>
          <w:sz w:val="22"/>
          <w:szCs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2644D">
        <w:rPr>
          <w:rFonts w:eastAsia="標楷體"/>
          <w:bCs/>
          <w:color w:val="000000" w:themeColor="text1"/>
          <w:sz w:val="22"/>
          <w:szCs w:val="22"/>
        </w:rPr>
        <w:t xml:space="preserve">2.IMF, </w:t>
      </w:r>
      <w:r w:rsidRPr="0012644D">
        <w:rPr>
          <w:rFonts w:eastAsia="標楷體"/>
          <w:bCs/>
          <w:i/>
          <w:iCs/>
          <w:color w:val="000000" w:themeColor="text1"/>
          <w:sz w:val="22"/>
          <w:szCs w:val="22"/>
        </w:rPr>
        <w:t xml:space="preserve">World Economic Outlook </w:t>
      </w:r>
      <w:r w:rsidRPr="0012644D">
        <w:rPr>
          <w:rFonts w:eastAsia="標楷體"/>
          <w:bCs/>
          <w:color w:val="000000" w:themeColor="text1"/>
          <w:sz w:val="22"/>
          <w:szCs w:val="22"/>
        </w:rPr>
        <w:t xml:space="preserve">, April </w:t>
      </w:r>
      <w:r w:rsidRPr="0012644D">
        <w:rPr>
          <w:rFonts w:eastAsia="標楷體"/>
          <w:bCs/>
          <w:color w:val="000000" w:themeColor="text1"/>
          <w:sz w:val="22"/>
        </w:rPr>
        <w:t>201</w:t>
      </w:r>
      <w:r w:rsidRPr="0012644D">
        <w:rPr>
          <w:rFonts w:eastAsia="標楷體" w:hint="eastAsia"/>
          <w:bCs/>
          <w:color w:val="000000" w:themeColor="text1"/>
          <w:sz w:val="22"/>
        </w:rPr>
        <w:t>3</w:t>
      </w:r>
      <w:r w:rsidRPr="0012644D">
        <w:rPr>
          <w:rFonts w:eastAsia="標楷體" w:hint="eastAsia"/>
          <w:bCs/>
          <w:color w:val="000000" w:themeColor="text1"/>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2644D">
        <w:rPr>
          <w:rFonts w:eastAsia="標楷體" w:hint="eastAsia"/>
          <w:bCs/>
          <w:color w:val="000000" w:themeColor="text1"/>
          <w:sz w:val="22"/>
        </w:rPr>
        <w:t>3.</w:t>
      </w:r>
      <w:r w:rsidRPr="0012644D">
        <w:rPr>
          <w:rFonts w:eastAsia="標楷體"/>
          <w:bCs/>
          <w:color w:val="000000" w:themeColor="text1"/>
          <w:sz w:val="22"/>
        </w:rPr>
        <w:t>IMF, World Economic Outlook Update</w:t>
      </w:r>
      <w:r w:rsidRPr="0012644D">
        <w:rPr>
          <w:rFonts w:eastAsia="標楷體" w:hint="eastAsia"/>
          <w:bCs/>
          <w:color w:val="000000" w:themeColor="text1"/>
          <w:sz w:val="22"/>
        </w:rPr>
        <w:t xml:space="preserve"> , </w:t>
      </w:r>
      <w:r w:rsidRPr="0012644D">
        <w:rPr>
          <w:rFonts w:eastAsia="標楷體"/>
          <w:bCs/>
          <w:color w:val="000000" w:themeColor="text1"/>
          <w:sz w:val="22"/>
        </w:rPr>
        <w:t>July</w:t>
      </w:r>
      <w:r w:rsidRPr="0012644D">
        <w:rPr>
          <w:rFonts w:eastAsia="標楷體" w:hint="eastAsia"/>
          <w:bCs/>
          <w:color w:val="000000" w:themeColor="text1"/>
          <w:sz w:val="22"/>
        </w:rPr>
        <w:t xml:space="preserve"> 2013</w:t>
      </w:r>
      <w:r w:rsidRPr="0012644D">
        <w:rPr>
          <w:rFonts w:eastAsia="標楷體" w:hint="eastAsia"/>
          <w:bCs/>
          <w:color w:val="000000" w:themeColor="text1"/>
          <w:sz w:val="22"/>
        </w:rPr>
        <w:t>。</w:t>
      </w:r>
    </w:p>
    <w:p w:rsidR="00F81460" w:rsidRPr="0012644D" w:rsidRDefault="00F81460" w:rsidP="00F81460">
      <w:pPr>
        <w:spacing w:line="220" w:lineRule="exact"/>
        <w:rPr>
          <w:rFonts w:eastAsia="標楷體"/>
          <w:bCs/>
          <w:color w:val="FF0000"/>
          <w:sz w:val="22"/>
        </w:rPr>
      </w:pPr>
    </w:p>
    <w:p w:rsidR="00C70D89" w:rsidRPr="0012644D" w:rsidRDefault="00C70D89" w:rsidP="00C70D89">
      <w:pPr>
        <w:keepNext/>
        <w:snapToGrid w:val="0"/>
        <w:spacing w:line="300" w:lineRule="exact"/>
        <w:jc w:val="center"/>
        <w:outlineLvl w:val="1"/>
        <w:rPr>
          <w:rFonts w:eastAsia="標楷體"/>
          <w:b/>
          <w:sz w:val="32"/>
          <w:szCs w:val="32"/>
          <w:lang w:val="zh-TW"/>
        </w:rPr>
      </w:pPr>
      <w:bookmarkStart w:id="29" w:name="_Toc358042566"/>
      <w:r w:rsidRPr="0012644D">
        <w:rPr>
          <w:rFonts w:eastAsia="標楷體"/>
          <w:b/>
          <w:sz w:val="32"/>
          <w:szCs w:val="32"/>
          <w:lang w:val="zh-TW"/>
        </w:rPr>
        <w:t>表</w:t>
      </w:r>
      <w:r w:rsidRPr="0012644D">
        <w:rPr>
          <w:rFonts w:eastAsia="標楷體"/>
          <w:b/>
          <w:sz w:val="32"/>
          <w:szCs w:val="32"/>
          <w:lang w:val="zh-TW"/>
        </w:rPr>
        <w:t xml:space="preserve">2  </w:t>
      </w:r>
      <w:r w:rsidRPr="0012644D">
        <w:rPr>
          <w:rFonts w:eastAsia="標楷體"/>
          <w:b/>
          <w:sz w:val="32"/>
          <w:szCs w:val="32"/>
          <w:lang w:val="zh-TW"/>
        </w:rPr>
        <w:t>世界貿易量成長率</w:t>
      </w:r>
      <w:bookmarkEnd w:id="29"/>
      <w:r w:rsidRPr="0012644D">
        <w:rPr>
          <w:rFonts w:eastAsia="標楷體"/>
          <w:b/>
          <w:sz w:val="32"/>
          <w:szCs w:val="32"/>
          <w:lang w:val="zh-TW"/>
        </w:rPr>
        <w:t xml:space="preserve"> </w:t>
      </w:r>
    </w:p>
    <w:p w:rsidR="00C70D89" w:rsidRPr="0012644D" w:rsidRDefault="00C70D89" w:rsidP="00C70D89">
      <w:pPr>
        <w:autoSpaceDE w:val="0"/>
        <w:autoSpaceDN w:val="0"/>
        <w:adjustRightInd w:val="0"/>
        <w:snapToGrid w:val="0"/>
        <w:spacing w:line="240" w:lineRule="exact"/>
        <w:jc w:val="right"/>
        <w:rPr>
          <w:rFonts w:eastAsia="標楷體"/>
          <w:bCs/>
          <w:sz w:val="28"/>
          <w:szCs w:val="32"/>
        </w:rPr>
      </w:pPr>
      <w:r w:rsidRPr="0012644D">
        <w:rPr>
          <w:rFonts w:eastAsia="標楷體"/>
          <w:bCs/>
          <w:sz w:val="28"/>
          <w:szCs w:val="32"/>
        </w:rPr>
        <w:t xml:space="preserve">          </w:t>
      </w:r>
      <w:r w:rsidRPr="0012644D">
        <w:rPr>
          <w:rFonts w:eastAsia="標楷體"/>
          <w:bCs/>
          <w:szCs w:val="32"/>
          <w:lang w:val="zh-TW"/>
        </w:rPr>
        <w:t>單位</w:t>
      </w:r>
      <w:r w:rsidRPr="0012644D">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12644D" w:rsidRPr="0012644D" w:rsidTr="008917A1">
        <w:trPr>
          <w:trHeight w:val="301"/>
        </w:trPr>
        <w:tc>
          <w:tcPr>
            <w:tcW w:w="1456" w:type="pct"/>
            <w:tcBorders>
              <w:top w:val="single" w:sz="6" w:space="0" w:color="auto"/>
              <w:left w:val="nil"/>
              <w:bottom w:val="single" w:sz="6"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bookmarkStart w:id="30" w:name="_Toc358042567"/>
          </w:p>
        </w:tc>
        <w:tc>
          <w:tcPr>
            <w:tcW w:w="1183"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2</w:t>
            </w:r>
          </w:p>
        </w:tc>
        <w:tc>
          <w:tcPr>
            <w:tcW w:w="1181" w:type="pct"/>
            <w:tcBorders>
              <w:top w:val="single" w:sz="6" w:space="0" w:color="auto"/>
              <w:left w:val="single" w:sz="6" w:space="0" w:color="auto"/>
              <w:bottom w:val="single" w:sz="6"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3</w:t>
            </w:r>
            <w:r w:rsidRPr="0012644D">
              <w:rPr>
                <w:bCs/>
                <w:color w:val="000000" w:themeColor="text1"/>
              </w:rPr>
              <w:t>(f)</w:t>
            </w:r>
          </w:p>
        </w:tc>
        <w:tc>
          <w:tcPr>
            <w:tcW w:w="1180" w:type="pct"/>
            <w:tcBorders>
              <w:top w:val="single" w:sz="6" w:space="0" w:color="auto"/>
              <w:left w:val="single" w:sz="4" w:space="0" w:color="auto"/>
              <w:bottom w:val="single" w:sz="6" w:space="0" w:color="auto"/>
              <w:right w:val="nil"/>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rFonts w:hint="eastAsia"/>
                <w:bCs/>
                <w:color w:val="000000" w:themeColor="text1"/>
              </w:rPr>
              <w:t>2014</w:t>
            </w:r>
            <w:r w:rsidRPr="0012644D">
              <w:rPr>
                <w:bCs/>
                <w:color w:val="000000" w:themeColor="text1"/>
              </w:rPr>
              <w:t>(f)</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IMF</w:t>
            </w:r>
          </w:p>
        </w:tc>
        <w:tc>
          <w:tcPr>
            <w:tcW w:w="1183" w:type="pct"/>
            <w:tcBorders>
              <w:top w:val="nil"/>
              <w:left w:val="single" w:sz="6" w:space="0" w:color="auto"/>
              <w:bottom w:val="nil"/>
              <w:right w:val="nil"/>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6"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3.1</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5.4</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ADB</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UN</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3.5</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rPr>
            </w:pPr>
            <w:r w:rsidRPr="0012644D">
              <w:rPr>
                <w:bCs/>
              </w:rPr>
              <w:t>OECD</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3.6</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5.8</w:t>
            </w:r>
          </w:p>
        </w:tc>
      </w:tr>
      <w:tr w:rsidR="0012644D" w:rsidRPr="0012644D" w:rsidTr="008917A1">
        <w:trPr>
          <w:trHeight w:val="302"/>
        </w:trPr>
        <w:tc>
          <w:tcPr>
            <w:tcW w:w="1456" w:type="pct"/>
            <w:tcBorders>
              <w:top w:val="nil"/>
              <w:left w:val="nil"/>
              <w:bottom w:val="single" w:sz="4" w:space="0" w:color="auto"/>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pPr>
            <w:r w:rsidRPr="0012644D">
              <w:t>World Bank</w:t>
            </w:r>
          </w:p>
        </w:tc>
        <w:tc>
          <w:tcPr>
            <w:tcW w:w="1183" w:type="pct"/>
            <w:tcBorders>
              <w:top w:val="nil"/>
              <w:left w:val="single" w:sz="4" w:space="0" w:color="auto"/>
              <w:bottom w:val="single" w:sz="4"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single" w:sz="4" w:space="0" w:color="auto"/>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2644D">
        <w:rPr>
          <w:rFonts w:eastAsia="標楷體" w:hint="eastAsia"/>
          <w:bCs/>
          <w:sz w:val="22"/>
          <w:lang w:val="zh-TW"/>
        </w:rPr>
        <w:t>註</w:t>
      </w:r>
      <w:proofErr w:type="gramEnd"/>
      <w:r w:rsidRPr="0012644D">
        <w:rPr>
          <w:rFonts w:eastAsia="標楷體" w:hint="eastAsia"/>
          <w:bCs/>
          <w:sz w:val="22"/>
        </w:rPr>
        <w:t>：</w:t>
      </w:r>
      <w:r w:rsidRPr="0012644D">
        <w:rPr>
          <w:rFonts w:eastAsia="標楷體"/>
          <w:bCs/>
          <w:sz w:val="22"/>
        </w:rPr>
        <w:t>(f)</w:t>
      </w:r>
      <w:r w:rsidRPr="0012644D">
        <w:rPr>
          <w:rFonts w:eastAsia="標楷體" w:hint="eastAsia"/>
          <w:bCs/>
          <w:sz w:val="22"/>
          <w:lang w:val="zh-TW"/>
        </w:rPr>
        <w:t>為</w:t>
      </w:r>
      <w:r w:rsidRPr="0012644D">
        <w:rPr>
          <w:rFonts w:eastAsia="標楷體" w:hint="eastAsia"/>
          <w:bCs/>
          <w:sz w:val="22"/>
        </w:rPr>
        <w:t>預測</w:t>
      </w:r>
      <w:r w:rsidRPr="0012644D">
        <w:rPr>
          <w:rFonts w:eastAsia="標楷體" w:hint="eastAsia"/>
          <w:bCs/>
          <w:sz w:val="22"/>
          <w:lang w:val="zh-TW"/>
        </w:rPr>
        <w:t>值。</w:t>
      </w:r>
    </w:p>
    <w:p w:rsidR="0012644D" w:rsidRPr="0012644D" w:rsidRDefault="0012644D" w:rsidP="0012644D">
      <w:pPr>
        <w:autoSpaceDE w:val="0"/>
        <w:autoSpaceDN w:val="0"/>
        <w:adjustRightInd w:val="0"/>
        <w:snapToGrid w:val="0"/>
        <w:spacing w:line="220" w:lineRule="exact"/>
        <w:ind w:leftChars="-105" w:left="-252" w:firstLine="224"/>
        <w:jc w:val="both"/>
        <w:rPr>
          <w:rFonts w:eastAsia="標楷體"/>
          <w:bCs/>
          <w:sz w:val="22"/>
        </w:rPr>
      </w:pPr>
      <w:r w:rsidRPr="0012644D">
        <w:rPr>
          <w:rFonts w:eastAsia="標楷體" w:hint="eastAsia"/>
          <w:bCs/>
          <w:sz w:val="22"/>
          <w:lang w:val="zh-TW"/>
        </w:rPr>
        <w:t>資料來源</w:t>
      </w:r>
      <w:r w:rsidRPr="0012644D">
        <w:rPr>
          <w:rFonts w:eastAsia="標楷體" w:hint="eastAsia"/>
          <w:bCs/>
          <w:sz w:val="22"/>
        </w:rPr>
        <w:t>：</w:t>
      </w:r>
      <w:r w:rsidRPr="0012644D">
        <w:rPr>
          <w:rFonts w:eastAsia="標楷體"/>
          <w:bCs/>
          <w:sz w:val="22"/>
        </w:rPr>
        <w:t xml:space="preserve">1.IMF, </w:t>
      </w:r>
      <w:r w:rsidRPr="0012644D">
        <w:rPr>
          <w:rFonts w:eastAsia="標楷體"/>
          <w:bCs/>
          <w:i/>
          <w:iCs/>
          <w:sz w:val="22"/>
        </w:rPr>
        <w:t>World Economic Outlook</w:t>
      </w:r>
      <w:r w:rsidRPr="0012644D">
        <w:rPr>
          <w:rFonts w:hint="eastAsia"/>
        </w:rPr>
        <w:t xml:space="preserve"> </w:t>
      </w:r>
      <w:r w:rsidRPr="0012644D">
        <w:rPr>
          <w:rFonts w:eastAsia="標楷體" w:hint="eastAsia"/>
          <w:bCs/>
          <w:i/>
          <w:iCs/>
          <w:sz w:val="22"/>
        </w:rPr>
        <w:t>Update , July 2013</w:t>
      </w:r>
      <w:r w:rsidRPr="0012644D">
        <w:rPr>
          <w:rFonts w:eastAsia="標楷體" w:hint="eastAsia"/>
          <w:bCs/>
          <w:i/>
          <w:i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2.ADB, </w:t>
      </w:r>
      <w:r w:rsidRPr="0012644D">
        <w:rPr>
          <w:rFonts w:eastAsia="標楷體"/>
          <w:bCs/>
          <w:i/>
          <w:iCs/>
          <w:sz w:val="22"/>
        </w:rPr>
        <w:t>Asian Development Outlook</w:t>
      </w:r>
      <w:r w:rsidRPr="0012644D">
        <w:rPr>
          <w:rFonts w:eastAsia="標楷體"/>
          <w:bCs/>
          <w:sz w:val="22"/>
        </w:rPr>
        <w:t>, April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3.UN, World </w:t>
      </w:r>
      <w:r w:rsidRPr="0012644D">
        <w:rPr>
          <w:rFonts w:eastAsia="標楷體"/>
          <w:bCs/>
          <w:i/>
          <w:iCs/>
          <w:sz w:val="22"/>
        </w:rPr>
        <w:t>Economic Situation and Prospects</w:t>
      </w:r>
      <w:r w:rsidRPr="0012644D">
        <w:rPr>
          <w:rFonts w:eastAsia="標楷體"/>
          <w:bCs/>
          <w:sz w:val="22"/>
        </w:rPr>
        <w:t xml:space="preserve">, </w:t>
      </w:r>
      <w:r w:rsidRPr="0012644D">
        <w:rPr>
          <w:rFonts w:eastAsia="標楷體" w:hint="eastAsia"/>
          <w:bCs/>
          <w:sz w:val="22"/>
        </w:rPr>
        <w:t>May</w:t>
      </w:r>
      <w:r w:rsidRPr="0012644D">
        <w:rPr>
          <w:rFonts w:eastAsia="標楷體"/>
          <w:bCs/>
          <w:sz w:val="22"/>
        </w:rPr>
        <w:t xml:space="preserve">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4.OECD, </w:t>
      </w:r>
      <w:r w:rsidRPr="0012644D">
        <w:rPr>
          <w:rFonts w:eastAsia="標楷體"/>
          <w:bCs/>
          <w:i/>
          <w:iCs/>
          <w:sz w:val="22"/>
        </w:rPr>
        <w:t>Economic Outlook</w:t>
      </w:r>
      <w:r w:rsidRPr="0012644D">
        <w:rPr>
          <w:rFonts w:eastAsia="標楷體"/>
          <w:bCs/>
          <w:sz w:val="22"/>
        </w:rPr>
        <w:t>, May 2013</w:t>
      </w:r>
      <w:r w:rsidRPr="0012644D">
        <w:rPr>
          <w:rFonts w:eastAsia="標楷體"/>
          <w:bCs/>
          <w:sz w:val="22"/>
        </w:rPr>
        <w:t>。</w:t>
      </w:r>
    </w:p>
    <w:p w:rsidR="0012644D" w:rsidRPr="0012644D" w:rsidRDefault="0012644D" w:rsidP="0012644D">
      <w:pPr>
        <w:adjustRightInd w:val="0"/>
        <w:snapToGrid w:val="0"/>
        <w:spacing w:line="220" w:lineRule="exact"/>
        <w:ind w:leftChars="430" w:left="1032" w:right="40" w:firstLineChars="27" w:firstLine="65"/>
      </w:pPr>
      <w:proofErr w:type="gramStart"/>
      <w:r w:rsidRPr="0012644D">
        <w:t>5.World</w:t>
      </w:r>
      <w:proofErr w:type="gramEnd"/>
      <w:r w:rsidRPr="0012644D">
        <w:t xml:space="preserve"> Bank, </w:t>
      </w:r>
      <w:r w:rsidRPr="0012644D">
        <w:rPr>
          <w:i/>
        </w:rPr>
        <w:t>Global Economic Prospects</w:t>
      </w:r>
      <w:r w:rsidRPr="0012644D">
        <w:t>, Ju</w:t>
      </w:r>
      <w:r w:rsidRPr="0012644D">
        <w:rPr>
          <w:rFonts w:hint="eastAsia"/>
        </w:rPr>
        <w:t>ne</w:t>
      </w:r>
      <w:r w:rsidRPr="0012644D">
        <w:t xml:space="preserve"> 2013</w:t>
      </w:r>
    </w:p>
    <w:p w:rsidR="00D05638" w:rsidRPr="00381A37" w:rsidRDefault="00D05638" w:rsidP="00564564">
      <w:pPr>
        <w:pStyle w:val="2"/>
        <w:spacing w:after="360"/>
        <w:jc w:val="center"/>
        <w:rPr>
          <w:b w:val="0"/>
          <w:bCs w:val="0"/>
          <w:sz w:val="32"/>
          <w:szCs w:val="32"/>
        </w:rPr>
      </w:pPr>
      <w:r w:rsidRPr="00381A37">
        <w:rPr>
          <w:sz w:val="32"/>
          <w:szCs w:val="32"/>
        </w:rPr>
        <w:lastRenderedPageBreak/>
        <w:t>表</w:t>
      </w:r>
      <w:r w:rsidRPr="00381A37">
        <w:rPr>
          <w:sz w:val="32"/>
          <w:szCs w:val="32"/>
        </w:rPr>
        <w:t xml:space="preserve">3  </w:t>
      </w:r>
      <w:r w:rsidRPr="00381A37">
        <w:rPr>
          <w:sz w:val="32"/>
          <w:szCs w:val="32"/>
        </w:rPr>
        <w:t>國內主要經濟指標</w:t>
      </w:r>
      <w:bookmarkEnd w:id="30"/>
    </w:p>
    <w:tbl>
      <w:tblPr>
        <w:tblW w:w="9888"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16"/>
        <w:gridCol w:w="111"/>
        <w:gridCol w:w="122"/>
        <w:gridCol w:w="1208"/>
        <w:gridCol w:w="752"/>
        <w:gridCol w:w="625"/>
        <w:gridCol w:w="627"/>
        <w:gridCol w:w="625"/>
        <w:gridCol w:w="627"/>
        <w:gridCol w:w="612"/>
        <w:gridCol w:w="609"/>
        <w:gridCol w:w="609"/>
        <w:gridCol w:w="609"/>
        <w:gridCol w:w="609"/>
        <w:gridCol w:w="609"/>
        <w:gridCol w:w="609"/>
        <w:gridCol w:w="609"/>
      </w:tblGrid>
      <w:tr w:rsidR="00A10DDB" w:rsidRPr="00EB5BA8" w:rsidTr="00A10DDB">
        <w:trPr>
          <w:cantSplit/>
          <w:jc w:val="center"/>
        </w:trPr>
        <w:tc>
          <w:tcPr>
            <w:tcW w:w="316" w:type="dxa"/>
            <w:vMerge w:val="restart"/>
            <w:tcBorders>
              <w:top w:val="single" w:sz="4" w:space="0" w:color="auto"/>
              <w:left w:val="nil"/>
              <w:right w:val="single" w:sz="4" w:space="0" w:color="auto"/>
            </w:tcBorders>
            <w:shd w:val="clear" w:color="auto" w:fill="auto"/>
          </w:tcPr>
          <w:p w:rsidR="00A10DDB" w:rsidRPr="00EB5BA8" w:rsidRDefault="00A10DDB" w:rsidP="002843FF">
            <w:pPr>
              <w:jc w:val="center"/>
              <w:rPr>
                <w:rFonts w:eastAsia="標楷體"/>
                <w:spacing w:val="-24"/>
                <w:sz w:val="22"/>
                <w:szCs w:val="22"/>
              </w:rPr>
            </w:pPr>
          </w:p>
        </w:tc>
        <w:tc>
          <w:tcPr>
            <w:tcW w:w="1441" w:type="dxa"/>
            <w:gridSpan w:val="3"/>
            <w:vMerge w:val="restart"/>
            <w:tcBorders>
              <w:top w:val="single" w:sz="4" w:space="0" w:color="auto"/>
              <w:left w:val="single" w:sz="4" w:space="0" w:color="auto"/>
              <w:right w:val="single" w:sz="4" w:space="0" w:color="auto"/>
            </w:tcBorders>
            <w:shd w:val="clear" w:color="auto" w:fill="auto"/>
          </w:tcPr>
          <w:p w:rsidR="00A10DDB" w:rsidRPr="00EB5BA8" w:rsidRDefault="00A10DDB" w:rsidP="002843FF">
            <w:pPr>
              <w:rPr>
                <w:rFonts w:eastAsia="標楷體"/>
                <w:spacing w:val="-24"/>
                <w:sz w:val="22"/>
                <w:szCs w:val="22"/>
              </w:rPr>
            </w:pPr>
          </w:p>
        </w:tc>
        <w:tc>
          <w:tcPr>
            <w:tcW w:w="752" w:type="dxa"/>
            <w:vMerge w:val="restart"/>
            <w:tcBorders>
              <w:top w:val="single" w:sz="4" w:space="0" w:color="auto"/>
              <w:left w:val="nil"/>
              <w:right w:val="single" w:sz="4" w:space="0" w:color="auto"/>
            </w:tcBorders>
            <w:shd w:val="clear" w:color="auto" w:fill="auto"/>
            <w:vAlign w:val="center"/>
          </w:tcPr>
          <w:p w:rsidR="00A10DDB" w:rsidRPr="00EB5BA8" w:rsidRDefault="00A10DDB" w:rsidP="002843FF">
            <w:pPr>
              <w:snapToGrid w:val="0"/>
              <w:jc w:val="center"/>
              <w:rPr>
                <w:rFonts w:eastAsia="標楷體"/>
                <w:spacing w:val="-24"/>
                <w:sz w:val="22"/>
                <w:szCs w:val="22"/>
              </w:rPr>
            </w:pPr>
            <w:r w:rsidRPr="00EB5BA8">
              <w:rPr>
                <w:rFonts w:eastAsia="標楷體"/>
                <w:spacing w:val="-24"/>
                <w:sz w:val="22"/>
                <w:szCs w:val="22"/>
              </w:rPr>
              <w:t>100</w:t>
            </w:r>
            <w:r w:rsidRPr="00EB5BA8">
              <w:rPr>
                <w:rFonts w:eastAsia="標楷體"/>
                <w:spacing w:val="-24"/>
                <w:sz w:val="22"/>
                <w:szCs w:val="22"/>
              </w:rPr>
              <w:t>年</w:t>
            </w:r>
          </w:p>
        </w:tc>
        <w:tc>
          <w:tcPr>
            <w:tcW w:w="2504" w:type="dxa"/>
            <w:gridSpan w:val="4"/>
            <w:tcBorders>
              <w:top w:val="single" w:sz="4" w:space="0" w:color="auto"/>
              <w:left w:val="nil"/>
              <w:right w:val="single" w:sz="4" w:space="0" w:color="auto"/>
            </w:tcBorders>
            <w:shd w:val="clear" w:color="auto" w:fill="auto"/>
          </w:tcPr>
          <w:p w:rsidR="00A10DDB" w:rsidRPr="00EB5BA8" w:rsidRDefault="00A10DDB" w:rsidP="002843FF">
            <w:pPr>
              <w:snapToGrid w:val="0"/>
              <w:jc w:val="center"/>
              <w:rPr>
                <w:rFonts w:eastAsia="標楷體"/>
                <w:spacing w:val="-24"/>
                <w:sz w:val="22"/>
                <w:szCs w:val="22"/>
              </w:rPr>
            </w:pPr>
            <w:r w:rsidRPr="00EB5BA8">
              <w:rPr>
                <w:rFonts w:eastAsia="標楷體"/>
                <w:spacing w:val="-24"/>
                <w:sz w:val="22"/>
                <w:szCs w:val="22"/>
              </w:rPr>
              <w:t>101</w:t>
            </w:r>
            <w:r w:rsidRPr="00EB5BA8">
              <w:rPr>
                <w:rFonts w:eastAsia="標楷體"/>
                <w:spacing w:val="-24"/>
                <w:sz w:val="22"/>
                <w:szCs w:val="22"/>
              </w:rPr>
              <w:t>年</w:t>
            </w:r>
          </w:p>
        </w:tc>
        <w:tc>
          <w:tcPr>
            <w:tcW w:w="4875" w:type="dxa"/>
            <w:gridSpan w:val="8"/>
            <w:tcBorders>
              <w:top w:val="single" w:sz="4" w:space="0" w:color="auto"/>
              <w:left w:val="nil"/>
            </w:tcBorders>
            <w:shd w:val="clear" w:color="auto" w:fill="auto"/>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102</w:t>
            </w:r>
            <w:r w:rsidRPr="00EB5BA8">
              <w:rPr>
                <w:rFonts w:eastAsia="標楷體"/>
                <w:spacing w:val="-24"/>
                <w:sz w:val="22"/>
                <w:szCs w:val="22"/>
              </w:rPr>
              <w:t>年</w:t>
            </w:r>
          </w:p>
        </w:tc>
      </w:tr>
      <w:tr w:rsidR="00A10DDB" w:rsidRPr="00EB5BA8" w:rsidTr="00A10DDB">
        <w:trPr>
          <w:cantSplit/>
          <w:jc w:val="center"/>
        </w:trPr>
        <w:tc>
          <w:tcPr>
            <w:tcW w:w="316" w:type="dxa"/>
            <w:vMerge/>
            <w:tcBorders>
              <w:left w:val="nil"/>
              <w:right w:val="single" w:sz="4" w:space="0" w:color="auto"/>
            </w:tcBorders>
            <w:shd w:val="clear" w:color="auto" w:fill="auto"/>
          </w:tcPr>
          <w:p w:rsidR="00A10DDB" w:rsidRPr="00EB5BA8" w:rsidRDefault="00A10DDB" w:rsidP="002843FF">
            <w:pPr>
              <w:jc w:val="center"/>
              <w:rPr>
                <w:rFonts w:eastAsia="標楷體"/>
                <w:spacing w:val="-24"/>
                <w:sz w:val="22"/>
                <w:szCs w:val="22"/>
              </w:rPr>
            </w:pPr>
          </w:p>
        </w:tc>
        <w:tc>
          <w:tcPr>
            <w:tcW w:w="1441" w:type="dxa"/>
            <w:gridSpan w:val="3"/>
            <w:vMerge/>
            <w:tcBorders>
              <w:left w:val="single" w:sz="4" w:space="0" w:color="auto"/>
              <w:right w:val="single" w:sz="4" w:space="0" w:color="auto"/>
            </w:tcBorders>
            <w:shd w:val="clear" w:color="auto" w:fill="auto"/>
          </w:tcPr>
          <w:p w:rsidR="00A10DDB" w:rsidRPr="00EB5BA8" w:rsidRDefault="00A10DDB" w:rsidP="002843FF">
            <w:pPr>
              <w:rPr>
                <w:rFonts w:eastAsia="標楷體"/>
                <w:spacing w:val="-24"/>
                <w:sz w:val="22"/>
                <w:szCs w:val="22"/>
              </w:rPr>
            </w:pPr>
          </w:p>
        </w:tc>
        <w:tc>
          <w:tcPr>
            <w:tcW w:w="752" w:type="dxa"/>
            <w:vMerge/>
            <w:tcBorders>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jc w:val="center"/>
              <w:rPr>
                <w:rFonts w:eastAsia="標楷體"/>
                <w:spacing w:val="-24"/>
                <w:sz w:val="22"/>
                <w:szCs w:val="22"/>
              </w:rPr>
            </w:pP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10</w:t>
            </w:r>
            <w:r w:rsidRPr="00EB5BA8">
              <w:rPr>
                <w:rFonts w:eastAsia="標楷體"/>
                <w:spacing w:val="-24"/>
                <w:sz w:val="22"/>
                <w:szCs w:val="22"/>
              </w:rPr>
              <w:t>月</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240" w:lineRule="exact"/>
              <w:ind w:rightChars="-18" w:right="-43"/>
              <w:jc w:val="center"/>
              <w:rPr>
                <w:rFonts w:eastAsia="標楷體"/>
                <w:spacing w:val="-24"/>
                <w:sz w:val="22"/>
                <w:szCs w:val="22"/>
              </w:rPr>
            </w:pPr>
            <w:r w:rsidRPr="00EB5BA8">
              <w:rPr>
                <w:rFonts w:eastAsia="標楷體"/>
                <w:spacing w:val="-24"/>
                <w:sz w:val="22"/>
                <w:szCs w:val="22"/>
              </w:rPr>
              <w:t>11</w:t>
            </w:r>
            <w:r w:rsidRPr="00EB5BA8">
              <w:rPr>
                <w:rFonts w:eastAsia="標楷體"/>
                <w:spacing w:val="-24"/>
                <w:sz w:val="22"/>
                <w:szCs w:val="22"/>
              </w:rPr>
              <w:t>月</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12</w:t>
            </w:r>
            <w:r w:rsidRPr="00EB5BA8">
              <w:rPr>
                <w:rFonts w:eastAsia="標楷體"/>
                <w:spacing w:val="-24"/>
                <w:sz w:val="22"/>
                <w:szCs w:val="22"/>
              </w:rPr>
              <w:t>月</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全年</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1</w:t>
            </w:r>
            <w:r w:rsidRPr="00EB5BA8">
              <w:rPr>
                <w:rFonts w:eastAsia="標楷體"/>
                <w:spacing w:val="-24"/>
                <w:sz w:val="22"/>
                <w:szCs w:val="22"/>
              </w:rPr>
              <w:t>月</w:t>
            </w:r>
          </w:p>
        </w:tc>
        <w:tc>
          <w:tcPr>
            <w:tcW w:w="609" w:type="dxa"/>
            <w:tcBorders>
              <w:left w:val="single" w:sz="4" w:space="0" w:color="auto"/>
              <w:bottom w:val="single" w:sz="4" w:space="0" w:color="auto"/>
              <w:right w:val="single" w:sz="4" w:space="0" w:color="auto"/>
            </w:tcBorders>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2</w:t>
            </w:r>
            <w:r w:rsidRPr="00EB5BA8">
              <w:rPr>
                <w:rFonts w:eastAsia="標楷體"/>
                <w:spacing w:val="-24"/>
                <w:sz w:val="22"/>
                <w:szCs w:val="22"/>
              </w:rPr>
              <w:t>月</w:t>
            </w:r>
          </w:p>
        </w:tc>
        <w:tc>
          <w:tcPr>
            <w:tcW w:w="609" w:type="dxa"/>
            <w:tcBorders>
              <w:left w:val="single" w:sz="4" w:space="0" w:color="auto"/>
              <w:bottom w:val="single" w:sz="4" w:space="0" w:color="auto"/>
              <w:right w:val="single" w:sz="4" w:space="0" w:color="auto"/>
            </w:tcBorders>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3</w:t>
            </w:r>
            <w:r w:rsidRPr="00EB5BA8">
              <w:rPr>
                <w:rFonts w:eastAsia="標楷體"/>
                <w:spacing w:val="-24"/>
                <w:sz w:val="22"/>
                <w:szCs w:val="22"/>
              </w:rPr>
              <w:t>月</w:t>
            </w:r>
          </w:p>
        </w:tc>
        <w:tc>
          <w:tcPr>
            <w:tcW w:w="609" w:type="dxa"/>
            <w:tcBorders>
              <w:left w:val="single" w:sz="4" w:space="0" w:color="auto"/>
              <w:bottom w:val="single" w:sz="4" w:space="0" w:color="auto"/>
            </w:tcBorders>
            <w:shd w:val="clear" w:color="auto" w:fill="auto"/>
            <w:vAlign w:val="center"/>
          </w:tcPr>
          <w:p w:rsidR="00A10DDB" w:rsidRPr="00EB5BA8"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4</w:t>
            </w:r>
            <w:r w:rsidRPr="00EB5BA8">
              <w:rPr>
                <w:rFonts w:eastAsia="標楷體"/>
                <w:spacing w:val="-24"/>
                <w:sz w:val="22"/>
                <w:szCs w:val="22"/>
              </w:rPr>
              <w:t>月</w:t>
            </w:r>
          </w:p>
        </w:tc>
        <w:tc>
          <w:tcPr>
            <w:tcW w:w="609" w:type="dxa"/>
            <w:tcBorders>
              <w:left w:val="single" w:sz="4" w:space="0" w:color="auto"/>
              <w:bottom w:val="single" w:sz="4" w:space="0" w:color="auto"/>
            </w:tcBorders>
            <w:vAlign w:val="center"/>
          </w:tcPr>
          <w:p w:rsidR="00A10DDB" w:rsidRPr="00EB5BA8" w:rsidRDefault="00A10DDB" w:rsidP="002843FF">
            <w:pPr>
              <w:snapToGrid w:val="0"/>
              <w:spacing w:line="240" w:lineRule="exact"/>
              <w:jc w:val="center"/>
              <w:rPr>
                <w:rFonts w:eastAsia="標楷體"/>
                <w:spacing w:val="-24"/>
                <w:sz w:val="22"/>
                <w:szCs w:val="22"/>
              </w:rPr>
            </w:pPr>
            <w:r>
              <w:rPr>
                <w:rFonts w:eastAsia="標楷體" w:hint="eastAsia"/>
                <w:spacing w:val="-24"/>
                <w:sz w:val="22"/>
                <w:szCs w:val="22"/>
              </w:rPr>
              <w:t>5</w:t>
            </w:r>
            <w:r>
              <w:rPr>
                <w:rFonts w:eastAsia="標楷體" w:hint="eastAsia"/>
                <w:spacing w:val="-24"/>
                <w:sz w:val="22"/>
                <w:szCs w:val="22"/>
              </w:rPr>
              <w:t>月</w:t>
            </w:r>
          </w:p>
        </w:tc>
        <w:tc>
          <w:tcPr>
            <w:tcW w:w="609" w:type="dxa"/>
            <w:tcBorders>
              <w:left w:val="single" w:sz="4" w:space="0" w:color="auto"/>
              <w:bottom w:val="single" w:sz="4" w:space="0" w:color="auto"/>
            </w:tcBorders>
            <w:vAlign w:val="center"/>
          </w:tcPr>
          <w:p w:rsidR="00A10DDB" w:rsidRPr="00FD0761" w:rsidRDefault="00A10DDB" w:rsidP="002843FF">
            <w:pPr>
              <w:snapToGrid w:val="0"/>
              <w:spacing w:line="240" w:lineRule="exact"/>
              <w:jc w:val="center"/>
              <w:rPr>
                <w:rFonts w:eastAsia="標楷體"/>
                <w:spacing w:val="-24"/>
                <w:sz w:val="22"/>
                <w:szCs w:val="22"/>
                <w:vertAlign w:val="superscript"/>
              </w:rPr>
            </w:pPr>
            <w:r>
              <w:rPr>
                <w:rFonts w:eastAsia="標楷體" w:hint="eastAsia"/>
                <w:spacing w:val="-24"/>
                <w:sz w:val="22"/>
                <w:szCs w:val="22"/>
              </w:rPr>
              <w:t>6</w:t>
            </w:r>
            <w:r>
              <w:rPr>
                <w:rFonts w:eastAsia="標楷體" w:hint="eastAsia"/>
                <w:spacing w:val="-24"/>
                <w:sz w:val="22"/>
                <w:szCs w:val="22"/>
              </w:rPr>
              <w:t>月</w:t>
            </w:r>
          </w:p>
        </w:tc>
        <w:tc>
          <w:tcPr>
            <w:tcW w:w="609" w:type="dxa"/>
            <w:tcBorders>
              <w:left w:val="single" w:sz="4" w:space="0" w:color="auto"/>
              <w:bottom w:val="single" w:sz="4" w:space="0" w:color="auto"/>
              <w:right w:val="single" w:sz="4" w:space="0" w:color="auto"/>
            </w:tcBorders>
            <w:vAlign w:val="center"/>
          </w:tcPr>
          <w:p w:rsidR="00A10DDB" w:rsidRPr="00EB5BA8" w:rsidRDefault="00A10DDB" w:rsidP="00A10DDB">
            <w:pPr>
              <w:snapToGrid w:val="0"/>
              <w:spacing w:line="240" w:lineRule="exact"/>
              <w:jc w:val="center"/>
              <w:rPr>
                <w:rFonts w:eastAsia="標楷體"/>
                <w:spacing w:val="-24"/>
                <w:sz w:val="22"/>
                <w:szCs w:val="22"/>
              </w:rPr>
            </w:pPr>
            <w:r>
              <w:rPr>
                <w:rFonts w:eastAsia="標楷體" w:hint="eastAsia"/>
                <w:spacing w:val="-24"/>
                <w:sz w:val="22"/>
                <w:szCs w:val="22"/>
              </w:rPr>
              <w:t>1~</w:t>
            </w:r>
            <w:r>
              <w:rPr>
                <w:rFonts w:eastAsia="標楷體" w:hint="eastAsia"/>
                <w:spacing w:val="-24"/>
                <w:sz w:val="22"/>
                <w:szCs w:val="22"/>
              </w:rPr>
              <w:t>當月</w:t>
            </w:r>
          </w:p>
        </w:tc>
        <w:tc>
          <w:tcPr>
            <w:tcW w:w="609" w:type="dxa"/>
            <w:tcBorders>
              <w:left w:val="single" w:sz="4" w:space="0" w:color="auto"/>
              <w:bottom w:val="single" w:sz="4" w:space="0" w:color="auto"/>
            </w:tcBorders>
          </w:tcPr>
          <w:p w:rsidR="00A10DDB" w:rsidRDefault="00A10DDB" w:rsidP="002843FF">
            <w:pPr>
              <w:snapToGrid w:val="0"/>
              <w:spacing w:line="240" w:lineRule="exact"/>
              <w:jc w:val="center"/>
              <w:rPr>
                <w:rFonts w:eastAsia="標楷體"/>
                <w:spacing w:val="-24"/>
                <w:sz w:val="22"/>
                <w:szCs w:val="22"/>
              </w:rPr>
            </w:pPr>
            <w:r w:rsidRPr="00EB5BA8">
              <w:rPr>
                <w:rFonts w:eastAsia="標楷體"/>
                <w:spacing w:val="-24"/>
                <w:sz w:val="22"/>
                <w:szCs w:val="22"/>
              </w:rPr>
              <w:t>預</w:t>
            </w:r>
            <w:r>
              <w:rPr>
                <w:rFonts w:eastAsia="標楷體" w:hint="eastAsia"/>
                <w:spacing w:val="-24"/>
                <w:sz w:val="22"/>
                <w:szCs w:val="22"/>
              </w:rPr>
              <w:t>估</w:t>
            </w:r>
          </w:p>
          <w:p w:rsidR="00A10DDB" w:rsidRPr="00EB5BA8" w:rsidRDefault="00A10DDB" w:rsidP="002843FF">
            <w:pPr>
              <w:snapToGrid w:val="0"/>
              <w:spacing w:line="240" w:lineRule="exact"/>
              <w:jc w:val="center"/>
              <w:rPr>
                <w:rFonts w:eastAsia="標楷體"/>
                <w:spacing w:val="-24"/>
                <w:sz w:val="22"/>
                <w:szCs w:val="22"/>
              </w:rPr>
            </w:pPr>
            <w:r>
              <w:rPr>
                <w:rFonts w:eastAsia="標楷體" w:hint="eastAsia"/>
                <w:spacing w:val="-24"/>
                <w:sz w:val="22"/>
                <w:szCs w:val="22"/>
              </w:rPr>
              <w:t>全年</w:t>
            </w:r>
          </w:p>
        </w:tc>
      </w:tr>
      <w:tr w:rsidR="00205F1A" w:rsidRPr="006C74F3" w:rsidTr="00A10DDB">
        <w:trPr>
          <w:cantSplit/>
          <w:jc w:val="center"/>
        </w:trPr>
        <w:tc>
          <w:tcPr>
            <w:tcW w:w="316" w:type="dxa"/>
            <w:vMerge w:val="restart"/>
            <w:tcBorders>
              <w:left w:val="nil"/>
              <w:right w:val="single" w:sz="4" w:space="0" w:color="auto"/>
            </w:tcBorders>
            <w:shd w:val="clear" w:color="auto" w:fill="auto"/>
            <w:vAlign w:val="center"/>
          </w:tcPr>
          <w:p w:rsidR="00205F1A" w:rsidRPr="00C004D0" w:rsidRDefault="00205F1A" w:rsidP="002843FF">
            <w:pPr>
              <w:jc w:val="center"/>
              <w:rPr>
                <w:rFonts w:eastAsia="標楷體"/>
                <w:spacing w:val="-24"/>
                <w:sz w:val="22"/>
                <w:szCs w:val="22"/>
              </w:rPr>
            </w:pPr>
            <w:r w:rsidRPr="00C004D0">
              <w:rPr>
                <w:rFonts w:eastAsia="標楷體"/>
                <w:spacing w:val="-24"/>
                <w:sz w:val="22"/>
                <w:szCs w:val="22"/>
              </w:rPr>
              <w:t>經</w:t>
            </w:r>
          </w:p>
          <w:p w:rsidR="00205F1A" w:rsidRPr="00C004D0" w:rsidRDefault="00205F1A" w:rsidP="002843FF">
            <w:pPr>
              <w:jc w:val="center"/>
              <w:rPr>
                <w:rFonts w:eastAsia="標楷體"/>
                <w:spacing w:val="-24"/>
                <w:sz w:val="22"/>
                <w:szCs w:val="22"/>
              </w:rPr>
            </w:pPr>
            <w:r w:rsidRPr="00C004D0">
              <w:rPr>
                <w:rFonts w:eastAsia="標楷體"/>
                <w:spacing w:val="-24"/>
                <w:sz w:val="22"/>
                <w:szCs w:val="22"/>
              </w:rPr>
              <w:t>濟</w:t>
            </w:r>
          </w:p>
          <w:p w:rsidR="00205F1A" w:rsidRPr="00C004D0" w:rsidRDefault="00205F1A" w:rsidP="002843FF">
            <w:pPr>
              <w:jc w:val="center"/>
              <w:rPr>
                <w:rFonts w:eastAsia="標楷體"/>
                <w:spacing w:val="-24"/>
                <w:sz w:val="22"/>
                <w:szCs w:val="22"/>
              </w:rPr>
            </w:pPr>
            <w:r w:rsidRPr="00C004D0">
              <w:rPr>
                <w:rFonts w:eastAsia="標楷體"/>
                <w:spacing w:val="-24"/>
                <w:sz w:val="22"/>
                <w:szCs w:val="22"/>
              </w:rPr>
              <w:t>成</w:t>
            </w:r>
          </w:p>
          <w:p w:rsidR="00205F1A" w:rsidRPr="00C004D0" w:rsidRDefault="00205F1A" w:rsidP="002843FF">
            <w:pPr>
              <w:jc w:val="center"/>
              <w:rPr>
                <w:rFonts w:eastAsia="標楷體"/>
                <w:spacing w:val="-24"/>
                <w:sz w:val="22"/>
                <w:szCs w:val="22"/>
              </w:rPr>
            </w:pPr>
            <w:r w:rsidRPr="00C004D0">
              <w:rPr>
                <w:rFonts w:eastAsia="標楷體"/>
                <w:spacing w:val="-24"/>
                <w:sz w:val="22"/>
                <w:szCs w:val="22"/>
              </w:rPr>
              <w:t>長</w:t>
            </w:r>
          </w:p>
        </w:tc>
        <w:tc>
          <w:tcPr>
            <w:tcW w:w="1441" w:type="dxa"/>
            <w:gridSpan w:val="3"/>
            <w:tcBorders>
              <w:left w:val="single" w:sz="4" w:space="0" w:color="auto"/>
              <w:right w:val="single" w:sz="4" w:space="0" w:color="auto"/>
            </w:tcBorders>
            <w:shd w:val="clear" w:color="auto" w:fill="auto"/>
            <w:vAlign w:val="center"/>
          </w:tcPr>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經濟成長率</w:t>
            </w:r>
          </w:p>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left w:val="nil"/>
              <w:bottom w:val="nil"/>
              <w:right w:val="nil"/>
            </w:tcBorders>
            <w:shd w:val="clear" w:color="auto" w:fill="auto"/>
            <w:vAlign w:val="center"/>
          </w:tcPr>
          <w:p w:rsidR="00205F1A" w:rsidRPr="00C004D0" w:rsidRDefault="00205F1A" w:rsidP="002843FF">
            <w:pPr>
              <w:adjustRightInd w:val="0"/>
              <w:snapToGrid w:val="0"/>
              <w:spacing w:line="240" w:lineRule="exact"/>
              <w:jc w:val="center"/>
              <w:rPr>
                <w:rFonts w:eastAsia="標楷體"/>
                <w:spacing w:val="-20"/>
                <w:sz w:val="22"/>
                <w:szCs w:val="22"/>
              </w:rPr>
            </w:pPr>
            <w:r w:rsidRPr="00C004D0">
              <w:rPr>
                <w:rFonts w:eastAsia="標楷體"/>
                <w:spacing w:val="-20"/>
                <w:sz w:val="22"/>
                <w:szCs w:val="22"/>
              </w:rPr>
              <w:t>4.07</w:t>
            </w:r>
          </w:p>
        </w:tc>
        <w:tc>
          <w:tcPr>
            <w:tcW w:w="625" w:type="dxa"/>
            <w:tcBorders>
              <w:left w:val="nil"/>
              <w:bottom w:val="nil"/>
              <w:right w:val="nil"/>
            </w:tcBorders>
            <w:shd w:val="clear" w:color="auto" w:fill="auto"/>
            <w:vAlign w:val="center"/>
          </w:tcPr>
          <w:p w:rsidR="00205F1A" w:rsidRPr="00C004D0" w:rsidRDefault="00205F1A" w:rsidP="002843FF">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r w:rsidRPr="00C004D0">
              <w:rPr>
                <w:rFonts w:eastAsia="標楷體"/>
                <w:spacing w:val="-20"/>
                <w:sz w:val="22"/>
                <w:szCs w:val="22"/>
              </w:rPr>
              <w:t>3.</w:t>
            </w:r>
            <w:r w:rsidRPr="00C004D0">
              <w:rPr>
                <w:rFonts w:eastAsia="標楷體" w:hint="eastAsia"/>
                <w:spacing w:val="-20"/>
                <w:sz w:val="22"/>
                <w:szCs w:val="22"/>
              </w:rPr>
              <w:t>97</w:t>
            </w:r>
          </w:p>
        </w:tc>
        <w:tc>
          <w:tcPr>
            <w:tcW w:w="627" w:type="dxa"/>
            <w:tcBorders>
              <w:left w:val="nil"/>
              <w:bottom w:val="nil"/>
              <w:right w:val="nil"/>
            </w:tcBorders>
            <w:shd w:val="clear" w:color="auto" w:fill="auto"/>
            <w:vAlign w:val="center"/>
          </w:tcPr>
          <w:p w:rsidR="00205F1A" w:rsidRPr="00C004D0" w:rsidRDefault="00205F1A" w:rsidP="002843FF">
            <w:pPr>
              <w:snapToGrid w:val="0"/>
              <w:jc w:val="center"/>
              <w:rPr>
                <w:rFonts w:eastAsia="標楷體"/>
                <w:spacing w:val="-20"/>
                <w:sz w:val="22"/>
                <w:szCs w:val="22"/>
              </w:rPr>
            </w:pPr>
          </w:p>
        </w:tc>
        <w:tc>
          <w:tcPr>
            <w:tcW w:w="625" w:type="dxa"/>
            <w:tcBorders>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p>
        </w:tc>
        <w:tc>
          <w:tcPr>
            <w:tcW w:w="627" w:type="dxa"/>
            <w:tcBorders>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r w:rsidRPr="00205F1A">
              <w:rPr>
                <w:rFonts w:eastAsia="標楷體"/>
                <w:spacing w:val="-20"/>
                <w:sz w:val="22"/>
                <w:szCs w:val="22"/>
              </w:rPr>
              <w:t>1.</w:t>
            </w:r>
            <w:r w:rsidRPr="00205F1A">
              <w:rPr>
                <w:rFonts w:eastAsia="標楷體" w:hint="eastAsia"/>
                <w:spacing w:val="-20"/>
                <w:sz w:val="22"/>
                <w:szCs w:val="22"/>
              </w:rPr>
              <w:t>32</w:t>
            </w:r>
          </w:p>
        </w:tc>
        <w:tc>
          <w:tcPr>
            <w:tcW w:w="612" w:type="dxa"/>
            <w:tcBorders>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p>
        </w:tc>
        <w:tc>
          <w:tcPr>
            <w:tcW w:w="609" w:type="dxa"/>
            <w:tcBorders>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left w:val="nil"/>
              <w:bottom w:val="nil"/>
              <w:right w:val="nil"/>
            </w:tcBorders>
            <w:vAlign w:val="center"/>
          </w:tcPr>
          <w:p w:rsidR="00205F1A" w:rsidRPr="00205F1A" w:rsidRDefault="00205F1A" w:rsidP="002843FF">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sidRPr="00205F1A">
              <w:rPr>
                <w:rFonts w:eastAsia="標楷體"/>
                <w:spacing w:val="-20"/>
                <w:sz w:val="22"/>
                <w:szCs w:val="22"/>
              </w:rPr>
              <w:t>1.</w:t>
            </w:r>
            <w:r w:rsidRPr="00205F1A">
              <w:rPr>
                <w:rFonts w:eastAsia="標楷體" w:hint="eastAsia"/>
                <w:spacing w:val="-20"/>
                <w:sz w:val="22"/>
                <w:szCs w:val="22"/>
              </w:rPr>
              <w:t>67</w:t>
            </w:r>
          </w:p>
        </w:tc>
        <w:tc>
          <w:tcPr>
            <w:tcW w:w="609" w:type="dxa"/>
            <w:tcBorders>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p>
        </w:tc>
        <w:tc>
          <w:tcPr>
            <w:tcW w:w="609" w:type="dxa"/>
            <w:tcBorders>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left w:val="nil"/>
              <w:bottom w:val="nil"/>
              <w:right w:val="nil"/>
            </w:tcBorders>
            <w:vAlign w:val="center"/>
          </w:tcPr>
          <w:p w:rsidR="00205F1A" w:rsidRPr="00205F1A" w:rsidRDefault="00205F1A" w:rsidP="003D7EBE">
            <w:pPr>
              <w:snapToGrid w:val="0"/>
              <w:jc w:val="center"/>
              <w:rPr>
                <w:rFonts w:eastAsia="標楷體"/>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sidRPr="00205F1A">
              <w:rPr>
                <w:rFonts w:eastAsia="標楷體"/>
                <w:spacing w:val="-20"/>
                <w:sz w:val="22"/>
                <w:szCs w:val="22"/>
              </w:rPr>
              <w:t>季</w:t>
            </w:r>
          </w:p>
          <w:p w:rsidR="00205F1A" w:rsidRPr="00205F1A" w:rsidRDefault="00205F1A" w:rsidP="003D7EBE">
            <w:pPr>
              <w:snapToGrid w:val="0"/>
              <w:jc w:val="center"/>
              <w:rPr>
                <w:rFonts w:eastAsia="標楷體"/>
                <w:spacing w:val="-20"/>
                <w:sz w:val="22"/>
                <w:szCs w:val="22"/>
                <w:vertAlign w:val="superscript"/>
              </w:rPr>
            </w:pPr>
            <w:r w:rsidRPr="00205F1A">
              <w:rPr>
                <w:rFonts w:eastAsia="標楷體" w:hint="eastAsia"/>
                <w:spacing w:val="-20"/>
                <w:sz w:val="22"/>
                <w:szCs w:val="22"/>
              </w:rPr>
              <w:t>2</w:t>
            </w:r>
            <w:r w:rsidRPr="00205F1A">
              <w:rPr>
                <w:rFonts w:eastAsia="標楷體"/>
                <w:spacing w:val="-20"/>
                <w:sz w:val="22"/>
                <w:szCs w:val="22"/>
              </w:rPr>
              <w:t>.</w:t>
            </w:r>
            <w:r w:rsidRPr="00205F1A">
              <w:rPr>
                <w:rFonts w:eastAsia="標楷體" w:hint="eastAsia"/>
                <w:spacing w:val="-20"/>
                <w:sz w:val="22"/>
                <w:szCs w:val="22"/>
              </w:rPr>
              <w:t>27*</w:t>
            </w:r>
          </w:p>
        </w:tc>
        <w:tc>
          <w:tcPr>
            <w:tcW w:w="609" w:type="dxa"/>
            <w:tcBorders>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left w:val="nil"/>
              <w:bottom w:val="nil"/>
              <w:right w:val="nil"/>
            </w:tcBorders>
            <w:vAlign w:val="center"/>
          </w:tcPr>
          <w:p w:rsidR="00205F1A" w:rsidRPr="00205F1A" w:rsidRDefault="00205F1A" w:rsidP="002843FF">
            <w:pPr>
              <w:snapToGrid w:val="0"/>
              <w:jc w:val="center"/>
              <w:rPr>
                <w:rFonts w:eastAsia="標楷體"/>
                <w:spacing w:val="-20"/>
                <w:sz w:val="22"/>
                <w:szCs w:val="22"/>
              </w:rPr>
            </w:pPr>
            <w:r w:rsidRPr="00205F1A">
              <w:rPr>
                <w:rFonts w:eastAsia="標楷體" w:hint="eastAsia"/>
                <w:spacing w:val="-20"/>
                <w:sz w:val="22"/>
                <w:szCs w:val="22"/>
              </w:rPr>
              <w:t>2.40</w:t>
            </w:r>
          </w:p>
        </w:tc>
      </w:tr>
      <w:tr w:rsidR="00205F1A" w:rsidRPr="006C74F3" w:rsidTr="00A10DDB">
        <w:trPr>
          <w:cantSplit/>
          <w:jc w:val="center"/>
        </w:trPr>
        <w:tc>
          <w:tcPr>
            <w:tcW w:w="316" w:type="dxa"/>
            <w:vMerge/>
            <w:tcBorders>
              <w:left w:val="nil"/>
              <w:right w:val="single" w:sz="4" w:space="0" w:color="auto"/>
            </w:tcBorders>
            <w:shd w:val="clear" w:color="auto" w:fill="auto"/>
            <w:vAlign w:val="center"/>
          </w:tcPr>
          <w:p w:rsidR="00205F1A" w:rsidRPr="00C004D0" w:rsidRDefault="00205F1A" w:rsidP="002843FF">
            <w:pPr>
              <w:jc w:val="center"/>
              <w:rPr>
                <w:rFonts w:eastAsia="標楷體"/>
                <w:spacing w:val="-24"/>
                <w:sz w:val="22"/>
                <w:szCs w:val="22"/>
              </w:rPr>
            </w:pPr>
          </w:p>
        </w:tc>
        <w:tc>
          <w:tcPr>
            <w:tcW w:w="1441" w:type="dxa"/>
            <w:gridSpan w:val="3"/>
            <w:tcBorders>
              <w:left w:val="single" w:sz="4" w:space="0" w:color="auto"/>
              <w:right w:val="single" w:sz="4" w:space="0" w:color="auto"/>
            </w:tcBorders>
            <w:shd w:val="clear" w:color="auto" w:fill="auto"/>
            <w:vAlign w:val="center"/>
          </w:tcPr>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民間投資成長率</w:t>
            </w:r>
          </w:p>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205F1A" w:rsidRPr="00C004D0" w:rsidRDefault="00205F1A" w:rsidP="002843FF">
            <w:pPr>
              <w:adjustRightInd w:val="0"/>
              <w:snapToGrid w:val="0"/>
              <w:spacing w:line="240" w:lineRule="exact"/>
              <w:jc w:val="center"/>
              <w:rPr>
                <w:rFonts w:eastAsia="標楷體"/>
                <w:spacing w:val="-20"/>
                <w:sz w:val="22"/>
                <w:szCs w:val="22"/>
              </w:rPr>
            </w:pPr>
            <w:r w:rsidRPr="00C004D0">
              <w:rPr>
                <w:rFonts w:eastAsia="標楷體"/>
                <w:spacing w:val="-20"/>
                <w:sz w:val="22"/>
                <w:szCs w:val="22"/>
              </w:rPr>
              <w:t>-1.26</w:t>
            </w:r>
          </w:p>
        </w:tc>
        <w:tc>
          <w:tcPr>
            <w:tcW w:w="625" w:type="dxa"/>
            <w:tcBorders>
              <w:top w:val="nil"/>
              <w:left w:val="nil"/>
              <w:bottom w:val="nil"/>
              <w:right w:val="nil"/>
            </w:tcBorders>
            <w:vAlign w:val="center"/>
          </w:tcPr>
          <w:p w:rsidR="00205F1A" w:rsidRPr="00C004D0" w:rsidRDefault="00205F1A" w:rsidP="002843FF">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p>
          <w:p w:rsidR="00205F1A" w:rsidRPr="00C004D0" w:rsidRDefault="00205F1A" w:rsidP="002843FF">
            <w:pPr>
              <w:snapToGrid w:val="0"/>
              <w:jc w:val="center"/>
              <w:rPr>
                <w:rFonts w:eastAsia="標楷體"/>
                <w:spacing w:val="-20"/>
                <w:sz w:val="22"/>
                <w:szCs w:val="22"/>
              </w:rPr>
            </w:pPr>
            <w:r w:rsidRPr="00C004D0">
              <w:rPr>
                <w:rFonts w:eastAsia="標楷體" w:hint="eastAsia"/>
                <w:spacing w:val="-20"/>
                <w:sz w:val="22"/>
                <w:szCs w:val="22"/>
              </w:rPr>
              <w:t>6.18</w:t>
            </w:r>
          </w:p>
        </w:tc>
        <w:tc>
          <w:tcPr>
            <w:tcW w:w="627" w:type="dxa"/>
            <w:tcBorders>
              <w:top w:val="nil"/>
              <w:left w:val="nil"/>
              <w:bottom w:val="nil"/>
              <w:right w:val="nil"/>
            </w:tcBorders>
            <w:vAlign w:val="center"/>
          </w:tcPr>
          <w:p w:rsidR="00205F1A" w:rsidRPr="00C004D0" w:rsidRDefault="00205F1A" w:rsidP="002843FF">
            <w:pPr>
              <w:snapToGrid w:val="0"/>
              <w:jc w:val="center"/>
              <w:rPr>
                <w:rFonts w:eastAsia="標楷體"/>
                <w:spacing w:val="-20"/>
                <w:sz w:val="22"/>
                <w:szCs w:val="22"/>
              </w:rPr>
            </w:pPr>
          </w:p>
        </w:tc>
        <w:tc>
          <w:tcPr>
            <w:tcW w:w="625"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27"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r w:rsidRPr="00205F1A">
              <w:rPr>
                <w:rFonts w:eastAsia="標楷體"/>
                <w:spacing w:val="-20"/>
                <w:sz w:val="22"/>
                <w:szCs w:val="22"/>
              </w:rPr>
              <w:t>-2.11</w:t>
            </w:r>
          </w:p>
        </w:tc>
        <w:tc>
          <w:tcPr>
            <w:tcW w:w="612"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sidRPr="00205F1A">
              <w:rPr>
                <w:rFonts w:eastAsia="標楷體" w:hint="eastAsia"/>
                <w:spacing w:val="-20"/>
                <w:sz w:val="22"/>
                <w:szCs w:val="22"/>
              </w:rPr>
              <w:t>8.67</w:t>
            </w:r>
          </w:p>
        </w:tc>
        <w:tc>
          <w:tcPr>
            <w:tcW w:w="609" w:type="dxa"/>
            <w:tcBorders>
              <w:top w:val="nil"/>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774EE" w:rsidRDefault="00205F1A" w:rsidP="002774EE">
            <w:pPr>
              <w:snapToGrid w:val="0"/>
              <w:jc w:val="center"/>
              <w:rPr>
                <w:rFonts w:eastAsia="標楷體" w:hint="eastAsia"/>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sidR="002774EE">
              <w:rPr>
                <w:rFonts w:eastAsia="標楷體" w:hint="eastAsia"/>
                <w:spacing w:val="-20"/>
                <w:sz w:val="22"/>
                <w:szCs w:val="22"/>
              </w:rPr>
              <w:t>季</w:t>
            </w:r>
          </w:p>
          <w:p w:rsidR="00205F1A" w:rsidRPr="00205F1A" w:rsidRDefault="002774EE" w:rsidP="002774EE">
            <w:pPr>
              <w:snapToGrid w:val="0"/>
              <w:jc w:val="center"/>
              <w:rPr>
                <w:rFonts w:eastAsia="標楷體"/>
                <w:spacing w:val="-20"/>
                <w:sz w:val="22"/>
                <w:szCs w:val="22"/>
                <w:vertAlign w:val="superscript"/>
              </w:rPr>
            </w:pPr>
            <w:r>
              <w:rPr>
                <w:rFonts w:eastAsia="標楷體" w:hint="eastAsia"/>
                <w:spacing w:val="-20"/>
                <w:sz w:val="22"/>
                <w:szCs w:val="22"/>
              </w:rPr>
              <w:t>6.2</w:t>
            </w:r>
            <w:r w:rsidR="00205F1A" w:rsidRPr="00205F1A">
              <w:rPr>
                <w:rFonts w:eastAsia="標楷體" w:hint="eastAsia"/>
                <w:spacing w:val="-20"/>
                <w:sz w:val="22"/>
                <w:szCs w:val="22"/>
              </w:rPr>
              <w:t>7</w:t>
            </w: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r w:rsidRPr="00205F1A">
              <w:rPr>
                <w:rFonts w:eastAsia="標楷體" w:hint="eastAsia"/>
                <w:spacing w:val="-20"/>
                <w:sz w:val="22"/>
                <w:szCs w:val="22"/>
              </w:rPr>
              <w:t>7.21</w:t>
            </w:r>
          </w:p>
        </w:tc>
      </w:tr>
      <w:tr w:rsidR="00205F1A" w:rsidRPr="006C74F3" w:rsidTr="00A10DDB">
        <w:trPr>
          <w:cantSplit/>
          <w:jc w:val="center"/>
        </w:trPr>
        <w:tc>
          <w:tcPr>
            <w:tcW w:w="316" w:type="dxa"/>
            <w:vMerge/>
            <w:tcBorders>
              <w:left w:val="nil"/>
              <w:right w:val="single" w:sz="4" w:space="0" w:color="auto"/>
            </w:tcBorders>
            <w:shd w:val="clear" w:color="auto" w:fill="auto"/>
            <w:vAlign w:val="center"/>
          </w:tcPr>
          <w:p w:rsidR="00205F1A" w:rsidRPr="00C004D0" w:rsidRDefault="00205F1A" w:rsidP="002843FF">
            <w:pPr>
              <w:jc w:val="center"/>
              <w:rPr>
                <w:rFonts w:eastAsia="標楷體"/>
                <w:spacing w:val="-24"/>
                <w:sz w:val="22"/>
                <w:szCs w:val="22"/>
              </w:rPr>
            </w:pPr>
          </w:p>
        </w:tc>
        <w:tc>
          <w:tcPr>
            <w:tcW w:w="1441" w:type="dxa"/>
            <w:gridSpan w:val="3"/>
            <w:tcBorders>
              <w:left w:val="single" w:sz="4" w:space="0" w:color="auto"/>
              <w:right w:val="single" w:sz="4" w:space="0" w:color="auto"/>
            </w:tcBorders>
            <w:shd w:val="clear" w:color="auto" w:fill="auto"/>
            <w:vAlign w:val="center"/>
          </w:tcPr>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民間消費成長率</w:t>
            </w:r>
          </w:p>
          <w:p w:rsidR="00205F1A" w:rsidRPr="00C004D0" w:rsidRDefault="00205F1A" w:rsidP="002843FF">
            <w:pPr>
              <w:snapToGrid w:val="0"/>
              <w:spacing w:line="300" w:lineRule="exact"/>
              <w:jc w:val="center"/>
              <w:rPr>
                <w:rFonts w:eastAsia="標楷體"/>
                <w:spacing w:val="-20"/>
                <w:sz w:val="22"/>
                <w:szCs w:val="22"/>
              </w:rPr>
            </w:pP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205F1A" w:rsidRPr="00C004D0" w:rsidRDefault="00205F1A" w:rsidP="002843FF">
            <w:pPr>
              <w:snapToGrid w:val="0"/>
              <w:jc w:val="center"/>
              <w:rPr>
                <w:rFonts w:eastAsia="標楷體"/>
                <w:spacing w:val="-20"/>
                <w:sz w:val="22"/>
                <w:szCs w:val="22"/>
              </w:rPr>
            </w:pPr>
            <w:r w:rsidRPr="00C004D0">
              <w:rPr>
                <w:rFonts w:eastAsia="標楷體"/>
                <w:spacing w:val="-20"/>
                <w:sz w:val="22"/>
                <w:szCs w:val="22"/>
              </w:rPr>
              <w:t>3.13</w:t>
            </w:r>
          </w:p>
        </w:tc>
        <w:tc>
          <w:tcPr>
            <w:tcW w:w="625" w:type="dxa"/>
            <w:tcBorders>
              <w:top w:val="nil"/>
              <w:left w:val="nil"/>
              <w:bottom w:val="nil"/>
              <w:right w:val="nil"/>
            </w:tcBorders>
            <w:vAlign w:val="center"/>
          </w:tcPr>
          <w:p w:rsidR="00205F1A" w:rsidRPr="00C004D0" w:rsidRDefault="00205F1A" w:rsidP="002843FF">
            <w:pPr>
              <w:snapToGrid w:val="0"/>
              <w:jc w:val="center"/>
              <w:rPr>
                <w:rFonts w:eastAsia="標楷體"/>
                <w:spacing w:val="-20"/>
                <w:sz w:val="22"/>
                <w:szCs w:val="22"/>
              </w:rPr>
            </w:pPr>
            <w:r w:rsidRPr="00C004D0">
              <w:rPr>
                <w:rFonts w:eastAsia="標楷體"/>
                <w:spacing w:val="-20"/>
                <w:sz w:val="22"/>
                <w:szCs w:val="22"/>
              </w:rPr>
              <w:t>第</w:t>
            </w:r>
            <w:r w:rsidRPr="00C004D0">
              <w:rPr>
                <w:rFonts w:eastAsia="標楷體"/>
                <w:spacing w:val="-20"/>
                <w:sz w:val="22"/>
                <w:szCs w:val="22"/>
              </w:rPr>
              <w:t>4</w:t>
            </w:r>
            <w:r w:rsidRPr="00C004D0">
              <w:rPr>
                <w:rFonts w:eastAsia="標楷體"/>
                <w:spacing w:val="-20"/>
                <w:sz w:val="22"/>
                <w:szCs w:val="22"/>
              </w:rPr>
              <w:t>季</w:t>
            </w:r>
          </w:p>
          <w:p w:rsidR="00205F1A" w:rsidRPr="00C004D0" w:rsidRDefault="00205F1A" w:rsidP="002843FF">
            <w:pPr>
              <w:snapToGrid w:val="0"/>
              <w:jc w:val="center"/>
              <w:rPr>
                <w:rFonts w:eastAsia="標楷體"/>
                <w:spacing w:val="-20"/>
                <w:sz w:val="22"/>
                <w:szCs w:val="22"/>
              </w:rPr>
            </w:pPr>
            <w:r w:rsidRPr="00C004D0">
              <w:rPr>
                <w:rFonts w:eastAsia="標楷體"/>
                <w:spacing w:val="-20"/>
                <w:sz w:val="22"/>
                <w:szCs w:val="22"/>
              </w:rPr>
              <w:t>1.</w:t>
            </w:r>
            <w:r w:rsidRPr="00C004D0">
              <w:rPr>
                <w:rFonts w:eastAsia="標楷體" w:hint="eastAsia"/>
                <w:spacing w:val="-20"/>
                <w:sz w:val="22"/>
                <w:szCs w:val="22"/>
              </w:rPr>
              <w:t>48</w:t>
            </w:r>
          </w:p>
        </w:tc>
        <w:tc>
          <w:tcPr>
            <w:tcW w:w="627" w:type="dxa"/>
            <w:tcBorders>
              <w:top w:val="nil"/>
              <w:left w:val="nil"/>
              <w:bottom w:val="nil"/>
              <w:right w:val="nil"/>
            </w:tcBorders>
            <w:vAlign w:val="center"/>
          </w:tcPr>
          <w:p w:rsidR="00205F1A" w:rsidRPr="00C004D0" w:rsidRDefault="00205F1A" w:rsidP="002843FF">
            <w:pPr>
              <w:snapToGrid w:val="0"/>
              <w:jc w:val="center"/>
              <w:rPr>
                <w:rFonts w:eastAsia="標楷體"/>
                <w:spacing w:val="-20"/>
                <w:sz w:val="22"/>
                <w:szCs w:val="22"/>
              </w:rPr>
            </w:pPr>
          </w:p>
        </w:tc>
        <w:tc>
          <w:tcPr>
            <w:tcW w:w="625"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27"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r w:rsidRPr="00205F1A">
              <w:rPr>
                <w:rFonts w:eastAsia="標楷體"/>
                <w:spacing w:val="-20"/>
                <w:sz w:val="22"/>
                <w:szCs w:val="22"/>
              </w:rPr>
              <w:t>1.4</w:t>
            </w:r>
            <w:r w:rsidRPr="00205F1A">
              <w:rPr>
                <w:rFonts w:eastAsia="標楷體" w:hint="eastAsia"/>
                <w:spacing w:val="-20"/>
                <w:sz w:val="22"/>
                <w:szCs w:val="22"/>
              </w:rPr>
              <w:t>7</w:t>
            </w:r>
          </w:p>
        </w:tc>
        <w:tc>
          <w:tcPr>
            <w:tcW w:w="612"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vertAlign w:val="superscript"/>
              </w:rPr>
            </w:pPr>
            <w:r w:rsidRPr="00205F1A">
              <w:rPr>
                <w:rFonts w:eastAsia="標楷體"/>
                <w:spacing w:val="-20"/>
                <w:sz w:val="22"/>
                <w:szCs w:val="22"/>
              </w:rPr>
              <w:t>第</w:t>
            </w:r>
            <w:r w:rsidRPr="00205F1A">
              <w:rPr>
                <w:rFonts w:eastAsia="標楷體"/>
                <w:spacing w:val="-20"/>
                <w:sz w:val="22"/>
                <w:szCs w:val="22"/>
              </w:rPr>
              <w:t>1</w:t>
            </w:r>
            <w:r w:rsidRPr="00205F1A">
              <w:rPr>
                <w:rFonts w:eastAsia="標楷體"/>
                <w:spacing w:val="-20"/>
                <w:sz w:val="22"/>
                <w:szCs w:val="22"/>
              </w:rPr>
              <w:t>季</w:t>
            </w:r>
            <w:r w:rsidRPr="00205F1A">
              <w:rPr>
                <w:rFonts w:eastAsia="標楷體" w:hint="eastAsia"/>
                <w:spacing w:val="-20"/>
                <w:sz w:val="22"/>
                <w:szCs w:val="22"/>
              </w:rPr>
              <w:t>0.35</w:t>
            </w:r>
          </w:p>
        </w:tc>
        <w:tc>
          <w:tcPr>
            <w:tcW w:w="609" w:type="dxa"/>
            <w:tcBorders>
              <w:top w:val="nil"/>
              <w:left w:val="nil"/>
              <w:bottom w:val="nil"/>
              <w:right w:val="nil"/>
            </w:tcBorders>
            <w:shd w:val="clear" w:color="auto" w:fill="auto"/>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3D7EBE">
            <w:pPr>
              <w:snapToGrid w:val="0"/>
              <w:jc w:val="center"/>
              <w:rPr>
                <w:rFonts w:eastAsia="標楷體"/>
                <w:spacing w:val="-20"/>
                <w:sz w:val="22"/>
                <w:szCs w:val="22"/>
              </w:rPr>
            </w:pPr>
            <w:r w:rsidRPr="00205F1A">
              <w:rPr>
                <w:rFonts w:eastAsia="標楷體"/>
                <w:spacing w:val="-20"/>
                <w:sz w:val="22"/>
                <w:szCs w:val="22"/>
              </w:rPr>
              <w:t>第</w:t>
            </w:r>
            <w:r w:rsidRPr="00205F1A">
              <w:rPr>
                <w:rFonts w:eastAsia="標楷體" w:hint="eastAsia"/>
                <w:spacing w:val="-20"/>
                <w:sz w:val="22"/>
                <w:szCs w:val="22"/>
              </w:rPr>
              <w:t>2</w:t>
            </w:r>
            <w:r w:rsidRPr="00205F1A">
              <w:rPr>
                <w:rFonts w:eastAsia="標楷體"/>
                <w:spacing w:val="-20"/>
                <w:sz w:val="22"/>
                <w:szCs w:val="22"/>
              </w:rPr>
              <w:t>季</w:t>
            </w:r>
          </w:p>
          <w:p w:rsidR="00205F1A" w:rsidRPr="00205F1A" w:rsidRDefault="00205F1A" w:rsidP="003D7EBE">
            <w:pPr>
              <w:snapToGrid w:val="0"/>
              <w:jc w:val="center"/>
              <w:rPr>
                <w:rFonts w:eastAsia="標楷體"/>
                <w:spacing w:val="-20"/>
                <w:sz w:val="22"/>
                <w:szCs w:val="22"/>
                <w:vertAlign w:val="superscript"/>
              </w:rPr>
            </w:pPr>
            <w:r w:rsidRPr="00205F1A">
              <w:rPr>
                <w:rFonts w:eastAsia="標楷體" w:hint="eastAsia"/>
                <w:spacing w:val="-20"/>
                <w:sz w:val="22"/>
                <w:szCs w:val="22"/>
              </w:rPr>
              <w:t>1.61*</w:t>
            </w: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p>
        </w:tc>
        <w:tc>
          <w:tcPr>
            <w:tcW w:w="609" w:type="dxa"/>
            <w:tcBorders>
              <w:top w:val="nil"/>
              <w:left w:val="nil"/>
              <w:bottom w:val="nil"/>
              <w:right w:val="nil"/>
            </w:tcBorders>
            <w:vAlign w:val="center"/>
          </w:tcPr>
          <w:p w:rsidR="00205F1A" w:rsidRPr="00205F1A" w:rsidRDefault="00205F1A" w:rsidP="002843FF">
            <w:pPr>
              <w:snapToGrid w:val="0"/>
              <w:jc w:val="center"/>
              <w:rPr>
                <w:rFonts w:eastAsia="標楷體"/>
                <w:spacing w:val="-20"/>
                <w:sz w:val="22"/>
                <w:szCs w:val="22"/>
              </w:rPr>
            </w:pPr>
            <w:r w:rsidRPr="00205F1A">
              <w:rPr>
                <w:rFonts w:eastAsia="標楷體"/>
                <w:spacing w:val="-20"/>
                <w:sz w:val="22"/>
                <w:szCs w:val="22"/>
              </w:rPr>
              <w:t>1.</w:t>
            </w:r>
            <w:r w:rsidRPr="00205F1A">
              <w:rPr>
                <w:rFonts w:eastAsia="標楷體" w:hint="eastAsia"/>
                <w:spacing w:val="-20"/>
                <w:sz w:val="22"/>
                <w:szCs w:val="22"/>
              </w:rPr>
              <w:t>4</w:t>
            </w:r>
            <w:r w:rsidRPr="00205F1A">
              <w:rPr>
                <w:rFonts w:eastAsia="標楷體"/>
                <w:spacing w:val="-20"/>
                <w:sz w:val="22"/>
                <w:szCs w:val="22"/>
              </w:rPr>
              <w:t>6</w:t>
            </w:r>
          </w:p>
        </w:tc>
      </w:tr>
      <w:tr w:rsidR="00A10DDB" w:rsidRPr="00EB5BA8" w:rsidTr="00A10DDB">
        <w:trPr>
          <w:cantSplit/>
          <w:jc w:val="center"/>
        </w:trPr>
        <w:tc>
          <w:tcPr>
            <w:tcW w:w="316" w:type="dxa"/>
            <w:vMerge w:val="restart"/>
            <w:tcBorders>
              <w:left w:val="nil"/>
              <w:right w:val="single" w:sz="4" w:space="0" w:color="auto"/>
            </w:tcBorders>
            <w:shd w:val="clear" w:color="auto" w:fill="auto"/>
            <w:vAlign w:val="center"/>
          </w:tcPr>
          <w:p w:rsidR="00A10DDB" w:rsidRPr="00C004D0" w:rsidRDefault="00A10DDB" w:rsidP="002843FF">
            <w:pPr>
              <w:jc w:val="center"/>
              <w:rPr>
                <w:rFonts w:eastAsia="標楷體"/>
                <w:spacing w:val="-24"/>
                <w:sz w:val="22"/>
                <w:szCs w:val="22"/>
              </w:rPr>
            </w:pPr>
            <w:r w:rsidRPr="00C004D0">
              <w:rPr>
                <w:rFonts w:eastAsia="標楷體"/>
                <w:spacing w:val="-24"/>
                <w:sz w:val="22"/>
                <w:szCs w:val="22"/>
              </w:rPr>
              <w:t>產</w:t>
            </w:r>
          </w:p>
          <w:p w:rsidR="00A10DDB" w:rsidRPr="00C004D0" w:rsidRDefault="00A10DDB" w:rsidP="002843FF">
            <w:pPr>
              <w:jc w:val="center"/>
              <w:rPr>
                <w:rFonts w:eastAsia="標楷體"/>
                <w:spacing w:val="-24"/>
                <w:sz w:val="22"/>
                <w:szCs w:val="22"/>
              </w:rPr>
            </w:pPr>
            <w:r w:rsidRPr="00C004D0">
              <w:rPr>
                <w:rFonts w:eastAsia="標楷體"/>
                <w:spacing w:val="-24"/>
                <w:sz w:val="22"/>
                <w:szCs w:val="22"/>
              </w:rPr>
              <w:t>業</w:t>
            </w:r>
          </w:p>
        </w:tc>
        <w:tc>
          <w:tcPr>
            <w:tcW w:w="1441" w:type="dxa"/>
            <w:gridSpan w:val="3"/>
            <w:tcBorders>
              <w:left w:val="single" w:sz="4" w:space="0" w:color="auto"/>
              <w:right w:val="single" w:sz="4" w:space="0" w:color="auto"/>
            </w:tcBorders>
            <w:shd w:val="clear" w:color="auto" w:fill="auto"/>
            <w:vAlign w:val="center"/>
          </w:tcPr>
          <w:p w:rsidR="00A10DDB" w:rsidRPr="00C004D0" w:rsidRDefault="00A10DDB" w:rsidP="002843FF">
            <w:pPr>
              <w:snapToGrid w:val="0"/>
              <w:spacing w:line="300" w:lineRule="exact"/>
              <w:jc w:val="center"/>
              <w:rPr>
                <w:rFonts w:eastAsia="標楷體"/>
                <w:spacing w:val="-20"/>
                <w:sz w:val="22"/>
                <w:szCs w:val="22"/>
              </w:rPr>
            </w:pPr>
            <w:r w:rsidRPr="00C004D0">
              <w:rPr>
                <w:rFonts w:eastAsia="標楷體"/>
                <w:spacing w:val="-20"/>
                <w:sz w:val="22"/>
                <w:szCs w:val="22"/>
              </w:rPr>
              <w:t>工業生產指數</w:t>
            </w:r>
          </w:p>
          <w:p w:rsidR="00A10DDB" w:rsidRPr="00C004D0" w:rsidRDefault="00A10DDB" w:rsidP="002843FF">
            <w:pPr>
              <w:snapToGrid w:val="0"/>
              <w:spacing w:line="300" w:lineRule="exact"/>
              <w:jc w:val="center"/>
              <w:rPr>
                <w:rFonts w:eastAsia="標楷體"/>
                <w:spacing w:val="-20"/>
                <w:sz w:val="22"/>
                <w:szCs w:val="22"/>
              </w:rPr>
            </w:pPr>
            <w:r w:rsidRPr="00C004D0">
              <w:rPr>
                <w:rFonts w:eastAsia="標楷體"/>
                <w:spacing w:val="-20"/>
                <w:sz w:val="22"/>
                <w:szCs w:val="22"/>
              </w:rPr>
              <w:t>年增率</w:t>
            </w:r>
            <w:r w:rsidRPr="00C004D0">
              <w:rPr>
                <w:rFonts w:eastAsia="標楷體"/>
                <w:spacing w:val="-20"/>
                <w:sz w:val="22"/>
                <w:szCs w:val="22"/>
              </w:rPr>
              <w:t>(</w:t>
            </w:r>
            <w:r w:rsidRPr="00C004D0">
              <w:rPr>
                <w:rFonts w:eastAsia="標楷體"/>
                <w:spacing w:val="-20"/>
                <w:sz w:val="22"/>
                <w:szCs w:val="22"/>
              </w:rPr>
              <w:t>％</w:t>
            </w:r>
            <w:r w:rsidRPr="00C004D0">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C004D0" w:rsidRDefault="00A10DDB" w:rsidP="002843FF">
            <w:pPr>
              <w:snapToGrid w:val="0"/>
              <w:jc w:val="center"/>
              <w:rPr>
                <w:rFonts w:eastAsia="標楷體"/>
                <w:spacing w:val="-20"/>
                <w:sz w:val="22"/>
                <w:szCs w:val="22"/>
              </w:rPr>
            </w:pPr>
            <w:r w:rsidRPr="00C004D0">
              <w:rPr>
                <w:rFonts w:eastAsia="標楷體" w:hint="eastAsia"/>
                <w:spacing w:val="-20"/>
                <w:sz w:val="22"/>
                <w:szCs w:val="22"/>
              </w:rPr>
              <w:t>4.44</w:t>
            </w:r>
          </w:p>
        </w:tc>
        <w:tc>
          <w:tcPr>
            <w:tcW w:w="625" w:type="dxa"/>
            <w:tcBorders>
              <w:top w:val="nil"/>
              <w:left w:val="nil"/>
              <w:bottom w:val="nil"/>
              <w:right w:val="nil"/>
            </w:tcBorders>
            <w:vAlign w:val="center"/>
          </w:tcPr>
          <w:p w:rsidR="00A10DDB" w:rsidRPr="00C004D0" w:rsidRDefault="00A10DDB" w:rsidP="002843FF">
            <w:pPr>
              <w:snapToGrid w:val="0"/>
              <w:jc w:val="center"/>
              <w:rPr>
                <w:rFonts w:eastAsia="標楷體"/>
                <w:spacing w:val="-20"/>
                <w:sz w:val="22"/>
                <w:szCs w:val="22"/>
              </w:rPr>
            </w:pPr>
            <w:r w:rsidRPr="00C004D0">
              <w:rPr>
                <w:rFonts w:eastAsia="標楷體" w:hint="eastAsia"/>
                <w:spacing w:val="-20"/>
                <w:sz w:val="22"/>
                <w:szCs w:val="22"/>
              </w:rPr>
              <w:t>3.95</w:t>
            </w:r>
          </w:p>
        </w:tc>
        <w:tc>
          <w:tcPr>
            <w:tcW w:w="627" w:type="dxa"/>
            <w:tcBorders>
              <w:top w:val="nil"/>
              <w:left w:val="nil"/>
              <w:bottom w:val="nil"/>
              <w:right w:val="nil"/>
            </w:tcBorders>
            <w:vAlign w:val="center"/>
          </w:tcPr>
          <w:p w:rsidR="00A10DDB" w:rsidRPr="00C004D0" w:rsidRDefault="00A10DDB" w:rsidP="002843FF">
            <w:pPr>
              <w:snapToGrid w:val="0"/>
              <w:jc w:val="center"/>
              <w:rPr>
                <w:rFonts w:eastAsia="標楷體"/>
                <w:spacing w:val="-20"/>
                <w:sz w:val="22"/>
                <w:szCs w:val="22"/>
              </w:rPr>
            </w:pPr>
            <w:r w:rsidRPr="00C004D0">
              <w:rPr>
                <w:rFonts w:eastAsia="標楷體" w:hint="eastAsia"/>
                <w:spacing w:val="-20"/>
                <w:sz w:val="22"/>
                <w:szCs w:val="22"/>
              </w:rPr>
              <w:t>5.96</w:t>
            </w:r>
          </w:p>
        </w:tc>
        <w:tc>
          <w:tcPr>
            <w:tcW w:w="625" w:type="dxa"/>
            <w:tcBorders>
              <w:top w:val="nil"/>
              <w:left w:val="nil"/>
              <w:bottom w:val="nil"/>
              <w:right w:val="nil"/>
            </w:tcBorders>
            <w:vAlign w:val="center"/>
          </w:tcPr>
          <w:p w:rsidR="00A10DDB" w:rsidRPr="00C004D0" w:rsidRDefault="00A10DDB" w:rsidP="002843FF">
            <w:pPr>
              <w:snapToGrid w:val="0"/>
              <w:jc w:val="center"/>
              <w:rPr>
                <w:rFonts w:eastAsia="標楷體"/>
                <w:spacing w:val="-20"/>
                <w:sz w:val="22"/>
                <w:szCs w:val="22"/>
              </w:rPr>
            </w:pPr>
            <w:r w:rsidRPr="00C004D0">
              <w:rPr>
                <w:rFonts w:eastAsia="標楷體" w:hint="eastAsia"/>
                <w:spacing w:val="-20"/>
                <w:sz w:val="22"/>
                <w:szCs w:val="22"/>
              </w:rPr>
              <w:t>2.10</w:t>
            </w:r>
          </w:p>
        </w:tc>
        <w:tc>
          <w:tcPr>
            <w:tcW w:w="627" w:type="dxa"/>
            <w:tcBorders>
              <w:top w:val="nil"/>
              <w:left w:val="nil"/>
              <w:bottom w:val="nil"/>
              <w:right w:val="nil"/>
            </w:tcBorders>
            <w:vAlign w:val="center"/>
          </w:tcPr>
          <w:p w:rsidR="00A10DDB" w:rsidRPr="00C004D0" w:rsidRDefault="00A10DDB" w:rsidP="002843FF">
            <w:pPr>
              <w:snapToGrid w:val="0"/>
              <w:jc w:val="center"/>
              <w:rPr>
                <w:rFonts w:eastAsia="標楷體"/>
                <w:spacing w:val="-20"/>
                <w:sz w:val="22"/>
                <w:szCs w:val="22"/>
              </w:rPr>
            </w:pPr>
            <w:r w:rsidRPr="00C004D0">
              <w:rPr>
                <w:rFonts w:eastAsia="標楷體" w:hint="eastAsia"/>
                <w:spacing w:val="-20"/>
                <w:sz w:val="22"/>
                <w:szCs w:val="22"/>
              </w:rPr>
              <w:t>-0.25</w:t>
            </w:r>
          </w:p>
        </w:tc>
        <w:tc>
          <w:tcPr>
            <w:tcW w:w="61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19.30</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-11.17</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-3.00</w:t>
            </w:r>
          </w:p>
        </w:tc>
        <w:tc>
          <w:tcPr>
            <w:tcW w:w="609"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-0.80</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-0.27</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-0.43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0.29</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1441" w:type="dxa"/>
            <w:gridSpan w:val="3"/>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製造業生產指數</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-0.32</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3.84</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5.97</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2.98</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-0.32</w:t>
            </w:r>
          </w:p>
        </w:tc>
        <w:tc>
          <w:tcPr>
            <w:tcW w:w="61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20.66</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-11.84</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-2.98</w:t>
            </w:r>
          </w:p>
        </w:tc>
        <w:tc>
          <w:tcPr>
            <w:tcW w:w="609"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-0.97</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-1.10</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-0.55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0.13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1441" w:type="dxa"/>
            <w:gridSpan w:val="3"/>
            <w:tcBorders>
              <w:left w:val="single" w:sz="4" w:space="0" w:color="auto"/>
              <w:bottom w:val="nil"/>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商業營業額</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142,685</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12,199</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11,783</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12,099</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142,072</w:t>
            </w:r>
          </w:p>
        </w:tc>
        <w:tc>
          <w:tcPr>
            <w:tcW w:w="612" w:type="dxa"/>
            <w:tcBorders>
              <w:top w:val="nil"/>
              <w:left w:val="nil"/>
              <w:bottom w:val="nil"/>
              <w:right w:val="nil"/>
            </w:tcBorders>
            <w:shd w:val="clear" w:color="auto" w:fill="auto"/>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12,144</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10,405</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11,783</w:t>
            </w:r>
          </w:p>
        </w:tc>
        <w:tc>
          <w:tcPr>
            <w:tcW w:w="609" w:type="dxa"/>
            <w:tcBorders>
              <w:top w:val="nil"/>
              <w:left w:val="nil"/>
              <w:bottom w:val="nil"/>
              <w:right w:val="nil"/>
            </w:tcBorders>
            <w:shd w:val="clear" w:color="auto" w:fill="auto"/>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11,581</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11,840</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11,976</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69</w:t>
            </w:r>
            <w:r w:rsidRPr="0003410A">
              <w:rPr>
                <w:rFonts w:eastAsia="標楷體"/>
                <w:spacing w:val="-20"/>
                <w:sz w:val="22"/>
                <w:szCs w:val="22"/>
              </w:rPr>
              <w:t>,7</w:t>
            </w:r>
            <w:r>
              <w:rPr>
                <w:rFonts w:eastAsia="標楷體" w:hint="eastAsia"/>
                <w:spacing w:val="-20"/>
                <w:sz w:val="22"/>
                <w:szCs w:val="22"/>
              </w:rPr>
              <w:t>28</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trHeight w:val="374"/>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233" w:type="dxa"/>
            <w:gridSpan w:val="2"/>
            <w:tcBorders>
              <w:top w:val="nil"/>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jc w:val="center"/>
              <w:rPr>
                <w:rFonts w:eastAsia="標楷體"/>
                <w:spacing w:val="-20"/>
                <w:sz w:val="22"/>
                <w:szCs w:val="22"/>
              </w:rPr>
            </w:pPr>
          </w:p>
        </w:tc>
        <w:tc>
          <w:tcPr>
            <w:tcW w:w="1208" w:type="dxa"/>
            <w:tcBorders>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4.4</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-0.7</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1.7</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1.5</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-0.4</w:t>
            </w:r>
          </w:p>
        </w:tc>
        <w:tc>
          <w:tcPr>
            <w:tcW w:w="612" w:type="dxa"/>
            <w:tcBorders>
              <w:top w:val="nil"/>
              <w:left w:val="nil"/>
              <w:bottom w:val="nil"/>
              <w:right w:val="nil"/>
            </w:tcBorders>
            <w:shd w:val="clear" w:color="auto" w:fill="auto"/>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7.9</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-5.9</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-1.0</w:t>
            </w:r>
          </w:p>
        </w:tc>
        <w:tc>
          <w:tcPr>
            <w:tcW w:w="609" w:type="dxa"/>
            <w:tcBorders>
              <w:top w:val="nil"/>
              <w:left w:val="nil"/>
              <w:bottom w:val="nil"/>
              <w:right w:val="nil"/>
            </w:tcBorders>
            <w:shd w:val="clear" w:color="auto" w:fill="auto"/>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1.1</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-1.7</w:t>
            </w:r>
          </w:p>
        </w:tc>
        <w:tc>
          <w:tcPr>
            <w:tcW w:w="609" w:type="dxa"/>
            <w:tcBorders>
              <w:top w:val="nil"/>
              <w:left w:val="nil"/>
              <w:bottom w:val="nil"/>
              <w:right w:val="nil"/>
            </w:tcBorders>
            <w:vAlign w:val="center"/>
          </w:tcPr>
          <w:p w:rsidR="00A10DDB" w:rsidRPr="0003410A" w:rsidRDefault="00A10DDB" w:rsidP="002843FF">
            <w:pPr>
              <w:snapToGrid w:val="0"/>
              <w:jc w:val="center"/>
              <w:rPr>
                <w:rFonts w:eastAsia="標楷體"/>
                <w:spacing w:val="-20"/>
                <w:sz w:val="22"/>
                <w:szCs w:val="22"/>
              </w:rPr>
            </w:pPr>
            <w:r w:rsidRPr="0003410A">
              <w:rPr>
                <w:rFonts w:eastAsia="標楷體"/>
                <w:spacing w:val="-20"/>
                <w:sz w:val="22"/>
                <w:szCs w:val="22"/>
              </w:rPr>
              <w:t>-0.3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0.0</w:t>
            </w:r>
          </w:p>
        </w:tc>
        <w:tc>
          <w:tcPr>
            <w:tcW w:w="609" w:type="dxa"/>
            <w:tcBorders>
              <w:top w:val="nil"/>
              <w:left w:val="nil"/>
              <w:bottom w:val="nil"/>
              <w:right w:val="nil"/>
            </w:tcBorders>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111" w:type="dxa"/>
            <w:tcBorders>
              <w:left w:val="single" w:sz="4" w:space="0" w:color="auto"/>
              <w:bottom w:val="nil"/>
              <w:right w:val="nil"/>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p>
        </w:tc>
        <w:tc>
          <w:tcPr>
            <w:tcW w:w="1330" w:type="dxa"/>
            <w:gridSpan w:val="2"/>
            <w:tcBorders>
              <w:top w:val="nil"/>
              <w:left w:val="nil"/>
              <w:bottom w:val="nil"/>
              <w:right w:val="single" w:sz="4" w:space="0" w:color="auto"/>
            </w:tcBorders>
            <w:shd w:val="clear" w:color="auto" w:fill="auto"/>
          </w:tcPr>
          <w:p w:rsidR="00A10DDB" w:rsidRPr="00EB5BA8" w:rsidRDefault="00A10DDB" w:rsidP="002843FF">
            <w:pPr>
              <w:snapToGrid w:val="0"/>
              <w:spacing w:line="300" w:lineRule="exact"/>
              <w:rPr>
                <w:rFonts w:eastAsia="標楷體"/>
                <w:sz w:val="22"/>
                <w:szCs w:val="22"/>
              </w:rPr>
            </w:pPr>
            <w:r w:rsidRPr="00EB5BA8">
              <w:rPr>
                <w:rFonts w:eastAsia="標楷體"/>
                <w:spacing w:val="-20"/>
                <w:sz w:val="22"/>
                <w:szCs w:val="22"/>
              </w:rPr>
              <w:t>綜合商品零售業</w:t>
            </w:r>
            <w:r w:rsidRPr="00EB5BA8">
              <w:rPr>
                <w:rFonts w:eastAsia="標楷體"/>
                <w:spacing w:val="-20"/>
                <w:sz w:val="22"/>
                <w:szCs w:val="22"/>
              </w:rPr>
              <w:t xml:space="preserve"> </w:t>
            </w:r>
            <w:r w:rsidRPr="00EB5BA8">
              <w:rPr>
                <w:rFonts w:eastAsia="標楷體"/>
                <w:spacing w:val="-20"/>
                <w:sz w:val="22"/>
                <w:szCs w:val="22"/>
              </w:rPr>
              <w:t>營業額</w:t>
            </w:r>
            <w:r w:rsidRPr="00EB5BA8">
              <w:rPr>
                <w:rFonts w:eastAsia="標楷體"/>
                <w:spacing w:val="-20"/>
                <w:sz w:val="22"/>
                <w:szCs w:val="22"/>
              </w:rPr>
              <w:t>(</w:t>
            </w:r>
            <w:r w:rsidRPr="00EB5BA8">
              <w:rPr>
                <w:rFonts w:eastAsia="標楷體"/>
                <w:spacing w:val="-20"/>
                <w:sz w:val="22"/>
                <w:szCs w:val="22"/>
              </w:rPr>
              <w:t>億元</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9,786</w:t>
            </w:r>
          </w:p>
        </w:tc>
        <w:tc>
          <w:tcPr>
            <w:tcW w:w="625"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959</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886</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895</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10,280</w:t>
            </w:r>
          </w:p>
        </w:tc>
        <w:tc>
          <w:tcPr>
            <w:tcW w:w="612" w:type="dxa"/>
            <w:tcBorders>
              <w:top w:val="nil"/>
              <w:left w:val="nil"/>
              <w:bottom w:val="nil"/>
              <w:right w:val="nil"/>
            </w:tcBorders>
            <w:shd w:val="clear" w:color="auto" w:fill="auto"/>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857</w:t>
            </w:r>
          </w:p>
        </w:tc>
        <w:tc>
          <w:tcPr>
            <w:tcW w:w="609" w:type="dxa"/>
            <w:tcBorders>
              <w:top w:val="nil"/>
              <w:left w:val="nil"/>
              <w:bottom w:val="nil"/>
              <w:right w:val="nil"/>
            </w:tcBorders>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894</w:t>
            </w:r>
          </w:p>
        </w:tc>
        <w:tc>
          <w:tcPr>
            <w:tcW w:w="609" w:type="dxa"/>
            <w:tcBorders>
              <w:top w:val="nil"/>
              <w:left w:val="nil"/>
              <w:bottom w:val="nil"/>
              <w:right w:val="nil"/>
            </w:tcBorders>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792</w:t>
            </w:r>
          </w:p>
        </w:tc>
        <w:tc>
          <w:tcPr>
            <w:tcW w:w="609" w:type="dxa"/>
            <w:tcBorders>
              <w:top w:val="nil"/>
              <w:left w:val="nil"/>
              <w:bottom w:val="nil"/>
              <w:right w:val="nil"/>
            </w:tcBorders>
            <w:shd w:val="clear" w:color="auto" w:fill="auto"/>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830</w:t>
            </w:r>
          </w:p>
        </w:tc>
        <w:tc>
          <w:tcPr>
            <w:tcW w:w="609" w:type="dxa"/>
            <w:tcBorders>
              <w:top w:val="nil"/>
              <w:left w:val="nil"/>
              <w:bottom w:val="nil"/>
              <w:right w:val="nil"/>
            </w:tcBorders>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855</w:t>
            </w:r>
          </w:p>
        </w:tc>
        <w:tc>
          <w:tcPr>
            <w:tcW w:w="609" w:type="dxa"/>
            <w:tcBorders>
              <w:top w:val="nil"/>
              <w:left w:val="nil"/>
              <w:bottom w:val="nil"/>
              <w:right w:val="nil"/>
            </w:tcBorders>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847</w:t>
            </w:r>
          </w:p>
        </w:tc>
        <w:tc>
          <w:tcPr>
            <w:tcW w:w="609" w:type="dxa"/>
            <w:tcBorders>
              <w:top w:val="nil"/>
              <w:left w:val="nil"/>
              <w:bottom w:val="nil"/>
              <w:right w:val="nil"/>
            </w:tcBorders>
            <w:vAlign w:val="center"/>
          </w:tcPr>
          <w:p w:rsidR="00A10DDB" w:rsidRPr="00F30B55" w:rsidRDefault="00A10DDB" w:rsidP="002843FF">
            <w:pPr>
              <w:snapToGrid w:val="0"/>
              <w:jc w:val="center"/>
              <w:rPr>
                <w:rFonts w:eastAsia="標楷體"/>
                <w:spacing w:val="-20"/>
                <w:sz w:val="22"/>
                <w:szCs w:val="22"/>
              </w:rPr>
            </w:pPr>
            <w:r w:rsidRPr="00F30B55">
              <w:rPr>
                <w:rFonts w:eastAsia="標楷體"/>
                <w:spacing w:val="-20"/>
                <w:sz w:val="22"/>
                <w:szCs w:val="22"/>
              </w:rPr>
              <w:t>5,074</w:t>
            </w:r>
          </w:p>
        </w:tc>
        <w:tc>
          <w:tcPr>
            <w:tcW w:w="609" w:type="dxa"/>
            <w:tcBorders>
              <w:top w:val="nil"/>
              <w:left w:val="nil"/>
              <w:bottom w:val="nil"/>
              <w:right w:val="nil"/>
            </w:tcBorders>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trHeight w:val="374"/>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233" w:type="dxa"/>
            <w:gridSpan w:val="2"/>
            <w:tcBorders>
              <w:top w:val="nil"/>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z w:val="22"/>
                <w:szCs w:val="22"/>
              </w:rPr>
            </w:pPr>
          </w:p>
        </w:tc>
        <w:tc>
          <w:tcPr>
            <w:tcW w:w="1208" w:type="dxa"/>
            <w:tcBorders>
              <w:top w:val="single" w:sz="4" w:space="0" w:color="auto"/>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spacing w:line="240" w:lineRule="exact"/>
              <w:jc w:val="center"/>
              <w:rPr>
                <w:rFonts w:eastAsia="標楷體"/>
                <w:spacing w:val="-20"/>
                <w:sz w:val="22"/>
                <w:szCs w:val="22"/>
              </w:rPr>
            </w:pPr>
            <w:r>
              <w:rPr>
                <w:rFonts w:eastAsia="標楷體" w:hint="eastAsia"/>
                <w:spacing w:val="-20"/>
                <w:sz w:val="22"/>
                <w:szCs w:val="22"/>
              </w:rPr>
              <w:t>6.7</w:t>
            </w:r>
          </w:p>
        </w:tc>
        <w:tc>
          <w:tcPr>
            <w:tcW w:w="625" w:type="dxa"/>
            <w:tcBorders>
              <w:top w:val="nil"/>
              <w:left w:val="nil"/>
              <w:bottom w:val="nil"/>
              <w:right w:val="nil"/>
            </w:tcBorders>
            <w:vAlign w:val="center"/>
          </w:tcPr>
          <w:p w:rsidR="00A10DDB" w:rsidRPr="00EB5BA8" w:rsidRDefault="00A10DDB" w:rsidP="002843FF">
            <w:pPr>
              <w:snapToGrid w:val="0"/>
              <w:spacing w:line="240" w:lineRule="exact"/>
              <w:jc w:val="center"/>
              <w:rPr>
                <w:rFonts w:eastAsia="標楷體"/>
                <w:spacing w:val="-20"/>
                <w:sz w:val="22"/>
                <w:szCs w:val="22"/>
              </w:rPr>
            </w:pPr>
            <w:r w:rsidRPr="00EB5BA8">
              <w:rPr>
                <w:rFonts w:eastAsia="標楷體"/>
                <w:spacing w:val="-20"/>
                <w:sz w:val="22"/>
                <w:szCs w:val="22"/>
              </w:rPr>
              <w:t>1.8</w:t>
            </w:r>
          </w:p>
        </w:tc>
        <w:tc>
          <w:tcPr>
            <w:tcW w:w="627" w:type="dxa"/>
            <w:tcBorders>
              <w:top w:val="nil"/>
              <w:left w:val="nil"/>
              <w:bottom w:val="nil"/>
              <w:right w:val="nil"/>
            </w:tcBorders>
            <w:vAlign w:val="center"/>
          </w:tcPr>
          <w:p w:rsidR="00A10DDB" w:rsidRPr="00EB5BA8" w:rsidRDefault="00A10DDB" w:rsidP="002843FF">
            <w:pPr>
              <w:snapToGrid w:val="0"/>
              <w:spacing w:line="240" w:lineRule="exact"/>
              <w:jc w:val="center"/>
              <w:rPr>
                <w:rFonts w:eastAsia="標楷體"/>
                <w:spacing w:val="-20"/>
                <w:sz w:val="22"/>
                <w:szCs w:val="22"/>
              </w:rPr>
            </w:pPr>
            <w:r w:rsidRPr="00EB5BA8">
              <w:rPr>
                <w:rFonts w:eastAsia="標楷體"/>
                <w:spacing w:val="-20"/>
                <w:sz w:val="22"/>
                <w:szCs w:val="22"/>
              </w:rPr>
              <w:t>1.4</w:t>
            </w:r>
          </w:p>
        </w:tc>
        <w:tc>
          <w:tcPr>
            <w:tcW w:w="625" w:type="dxa"/>
            <w:tcBorders>
              <w:top w:val="nil"/>
              <w:left w:val="nil"/>
              <w:bottom w:val="nil"/>
              <w:right w:val="nil"/>
            </w:tcBorders>
            <w:vAlign w:val="center"/>
          </w:tcPr>
          <w:p w:rsidR="00A10DDB" w:rsidRPr="00EB5BA8" w:rsidRDefault="00A10DDB" w:rsidP="002843FF">
            <w:pPr>
              <w:snapToGrid w:val="0"/>
              <w:spacing w:line="240" w:lineRule="exact"/>
              <w:jc w:val="center"/>
              <w:rPr>
                <w:rFonts w:eastAsia="標楷體"/>
                <w:spacing w:val="-20"/>
                <w:sz w:val="22"/>
                <w:szCs w:val="22"/>
              </w:rPr>
            </w:pPr>
            <w:r w:rsidRPr="00EB5BA8">
              <w:rPr>
                <w:rFonts w:eastAsia="標楷體"/>
                <w:spacing w:val="-20"/>
                <w:sz w:val="22"/>
                <w:szCs w:val="22"/>
              </w:rPr>
              <w:t>2.1</w:t>
            </w:r>
          </w:p>
        </w:tc>
        <w:tc>
          <w:tcPr>
            <w:tcW w:w="627" w:type="dxa"/>
            <w:tcBorders>
              <w:top w:val="nil"/>
              <w:left w:val="nil"/>
              <w:bottom w:val="nil"/>
              <w:right w:val="nil"/>
            </w:tcBorders>
            <w:vAlign w:val="center"/>
          </w:tcPr>
          <w:p w:rsidR="00A10DDB" w:rsidRPr="00EB5BA8" w:rsidRDefault="00A10DDB" w:rsidP="002843FF">
            <w:pPr>
              <w:snapToGrid w:val="0"/>
              <w:spacing w:line="240" w:lineRule="exact"/>
              <w:jc w:val="center"/>
              <w:rPr>
                <w:rFonts w:eastAsia="標楷體"/>
                <w:spacing w:val="-20"/>
                <w:sz w:val="22"/>
                <w:szCs w:val="22"/>
              </w:rPr>
            </w:pPr>
            <w:r w:rsidRPr="00EB5BA8">
              <w:rPr>
                <w:rFonts w:eastAsia="標楷體"/>
                <w:spacing w:val="-20"/>
                <w:sz w:val="22"/>
                <w:szCs w:val="22"/>
              </w:rPr>
              <w:t>5.1</w:t>
            </w:r>
          </w:p>
        </w:tc>
        <w:tc>
          <w:tcPr>
            <w:tcW w:w="612" w:type="dxa"/>
            <w:tcBorders>
              <w:top w:val="nil"/>
              <w:left w:val="nil"/>
              <w:bottom w:val="nil"/>
              <w:right w:val="nil"/>
            </w:tcBorders>
            <w:shd w:val="clear" w:color="auto" w:fill="auto"/>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-12.4</w:t>
            </w:r>
          </w:p>
        </w:tc>
        <w:tc>
          <w:tcPr>
            <w:tcW w:w="609" w:type="dxa"/>
            <w:tcBorders>
              <w:top w:val="nil"/>
              <w:left w:val="nil"/>
              <w:bottom w:val="nil"/>
              <w:right w:val="nil"/>
            </w:tcBorders>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17.4</w:t>
            </w:r>
          </w:p>
        </w:tc>
        <w:tc>
          <w:tcPr>
            <w:tcW w:w="609" w:type="dxa"/>
            <w:tcBorders>
              <w:top w:val="nil"/>
              <w:left w:val="nil"/>
              <w:bottom w:val="nil"/>
              <w:right w:val="nil"/>
            </w:tcBorders>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2.8</w:t>
            </w:r>
          </w:p>
        </w:tc>
        <w:tc>
          <w:tcPr>
            <w:tcW w:w="609" w:type="dxa"/>
            <w:tcBorders>
              <w:top w:val="nil"/>
              <w:left w:val="nil"/>
              <w:bottom w:val="nil"/>
              <w:right w:val="nil"/>
            </w:tcBorders>
            <w:shd w:val="clear" w:color="auto" w:fill="auto"/>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1.0</w:t>
            </w:r>
          </w:p>
        </w:tc>
        <w:tc>
          <w:tcPr>
            <w:tcW w:w="609" w:type="dxa"/>
            <w:tcBorders>
              <w:top w:val="nil"/>
              <w:left w:val="nil"/>
              <w:bottom w:val="nil"/>
              <w:right w:val="nil"/>
            </w:tcBorders>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2.0</w:t>
            </w:r>
          </w:p>
        </w:tc>
        <w:tc>
          <w:tcPr>
            <w:tcW w:w="609" w:type="dxa"/>
            <w:tcBorders>
              <w:top w:val="nil"/>
              <w:left w:val="nil"/>
              <w:bottom w:val="nil"/>
              <w:right w:val="nil"/>
            </w:tcBorders>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4.6</w:t>
            </w:r>
          </w:p>
        </w:tc>
        <w:tc>
          <w:tcPr>
            <w:tcW w:w="609" w:type="dxa"/>
            <w:tcBorders>
              <w:top w:val="nil"/>
              <w:left w:val="nil"/>
              <w:bottom w:val="nil"/>
              <w:right w:val="nil"/>
            </w:tcBorders>
            <w:vAlign w:val="center"/>
          </w:tcPr>
          <w:p w:rsidR="00A10DDB" w:rsidRPr="00F30B55" w:rsidRDefault="00A10DDB" w:rsidP="002843FF">
            <w:pPr>
              <w:snapToGrid w:val="0"/>
              <w:spacing w:line="240" w:lineRule="exact"/>
              <w:jc w:val="center"/>
              <w:rPr>
                <w:rFonts w:eastAsia="標楷體"/>
                <w:spacing w:val="-20"/>
                <w:sz w:val="22"/>
                <w:szCs w:val="22"/>
              </w:rPr>
            </w:pPr>
            <w:r w:rsidRPr="00F30B55">
              <w:rPr>
                <w:rFonts w:eastAsia="標楷體"/>
                <w:spacing w:val="-20"/>
                <w:sz w:val="22"/>
                <w:szCs w:val="22"/>
              </w:rPr>
              <w:t>1.9</w:t>
            </w:r>
          </w:p>
        </w:tc>
        <w:tc>
          <w:tcPr>
            <w:tcW w:w="609" w:type="dxa"/>
            <w:tcBorders>
              <w:top w:val="nil"/>
              <w:left w:val="nil"/>
              <w:bottom w:val="nil"/>
              <w:right w:val="nil"/>
            </w:tcBorders>
          </w:tcPr>
          <w:p w:rsidR="00A10DDB" w:rsidRPr="00EB5BA8" w:rsidRDefault="00A10DDB" w:rsidP="002843FF">
            <w:pPr>
              <w:snapToGrid w:val="0"/>
              <w:jc w:val="center"/>
              <w:rPr>
                <w:rFonts w:eastAsia="標楷體"/>
                <w:spacing w:val="-20"/>
                <w:sz w:val="22"/>
                <w:szCs w:val="22"/>
              </w:rPr>
            </w:pPr>
          </w:p>
        </w:tc>
      </w:tr>
      <w:tr w:rsidR="00A10DDB" w:rsidRPr="00B521BC" w:rsidTr="00A10DDB">
        <w:trPr>
          <w:cantSplit/>
          <w:trHeight w:val="408"/>
          <w:jc w:val="center"/>
        </w:trPr>
        <w:tc>
          <w:tcPr>
            <w:tcW w:w="316" w:type="dxa"/>
            <w:vMerge w:val="restart"/>
            <w:tcBorders>
              <w:left w:val="nil"/>
              <w:right w:val="single" w:sz="4" w:space="0" w:color="auto"/>
            </w:tcBorders>
            <w:shd w:val="clear" w:color="auto" w:fill="auto"/>
            <w:vAlign w:val="center"/>
          </w:tcPr>
          <w:p w:rsidR="00A10DDB" w:rsidRPr="00B521BC" w:rsidRDefault="00A10DDB" w:rsidP="002843FF">
            <w:pPr>
              <w:jc w:val="center"/>
              <w:rPr>
                <w:rFonts w:eastAsia="標楷體"/>
                <w:spacing w:val="-24"/>
                <w:sz w:val="22"/>
                <w:szCs w:val="22"/>
              </w:rPr>
            </w:pPr>
            <w:r w:rsidRPr="00B521BC">
              <w:rPr>
                <w:rFonts w:eastAsia="標楷體"/>
                <w:spacing w:val="-24"/>
                <w:sz w:val="22"/>
                <w:szCs w:val="22"/>
              </w:rPr>
              <w:t>對</w:t>
            </w:r>
          </w:p>
          <w:p w:rsidR="00A10DDB" w:rsidRPr="00B521BC" w:rsidRDefault="00A10DDB" w:rsidP="002843FF">
            <w:pPr>
              <w:jc w:val="center"/>
              <w:rPr>
                <w:rFonts w:eastAsia="標楷體"/>
                <w:spacing w:val="-24"/>
                <w:sz w:val="22"/>
                <w:szCs w:val="22"/>
              </w:rPr>
            </w:pPr>
            <w:r w:rsidRPr="00B521BC">
              <w:rPr>
                <w:rFonts w:eastAsia="標楷體"/>
                <w:spacing w:val="-24"/>
                <w:sz w:val="22"/>
                <w:szCs w:val="22"/>
              </w:rPr>
              <w:t>外</w:t>
            </w:r>
          </w:p>
          <w:p w:rsidR="00A10DDB" w:rsidRPr="00B521BC" w:rsidRDefault="00A10DDB" w:rsidP="002843FF">
            <w:pPr>
              <w:jc w:val="center"/>
              <w:rPr>
                <w:rFonts w:eastAsia="標楷體"/>
                <w:spacing w:val="-24"/>
                <w:sz w:val="22"/>
                <w:szCs w:val="22"/>
              </w:rPr>
            </w:pPr>
            <w:r w:rsidRPr="00B521BC">
              <w:rPr>
                <w:rFonts w:eastAsia="標楷體"/>
                <w:spacing w:val="-24"/>
                <w:sz w:val="22"/>
                <w:szCs w:val="22"/>
              </w:rPr>
              <w:t>貿</w:t>
            </w:r>
          </w:p>
          <w:p w:rsidR="00A10DDB" w:rsidRPr="00B521BC" w:rsidRDefault="00A10DDB" w:rsidP="002843FF">
            <w:pPr>
              <w:jc w:val="center"/>
              <w:rPr>
                <w:rFonts w:eastAsia="標楷體"/>
                <w:spacing w:val="-24"/>
                <w:sz w:val="22"/>
                <w:szCs w:val="22"/>
              </w:rPr>
            </w:pPr>
            <w:r w:rsidRPr="00B521BC">
              <w:rPr>
                <w:rFonts w:eastAsia="標楷體"/>
                <w:spacing w:val="-24"/>
                <w:sz w:val="22"/>
                <w:szCs w:val="22"/>
              </w:rPr>
              <w:t>易</w:t>
            </w:r>
          </w:p>
        </w:tc>
        <w:tc>
          <w:tcPr>
            <w:tcW w:w="1441" w:type="dxa"/>
            <w:gridSpan w:val="3"/>
            <w:tcBorders>
              <w:left w:val="single" w:sz="4" w:space="0" w:color="auto"/>
              <w:bottom w:val="nil"/>
              <w:right w:val="single" w:sz="4" w:space="0" w:color="auto"/>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出口</w:t>
            </w: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3,083</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265.3</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248.9</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261.0</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3,011.1</w:t>
            </w:r>
          </w:p>
        </w:tc>
        <w:tc>
          <w:tcPr>
            <w:tcW w:w="61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256.7</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197.3</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272.1</w:t>
            </w:r>
          </w:p>
        </w:tc>
        <w:tc>
          <w:tcPr>
            <w:tcW w:w="609"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250.4</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263.4</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264.8</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1,504.8</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w:t>
            </w:r>
            <w:r w:rsidRPr="00B521BC">
              <w:rPr>
                <w:rFonts w:eastAsia="標楷體" w:hint="eastAsia"/>
                <w:spacing w:val="-20"/>
                <w:sz w:val="22"/>
                <w:szCs w:val="22"/>
              </w:rPr>
              <w:t>0</w:t>
            </w:r>
            <w:r w:rsidRPr="00B521BC">
              <w:rPr>
                <w:rFonts w:eastAsia="標楷體"/>
                <w:spacing w:val="-20"/>
                <w:sz w:val="22"/>
                <w:szCs w:val="22"/>
              </w:rPr>
              <w:t>9</w:t>
            </w:r>
            <w:r w:rsidRPr="00B521BC">
              <w:rPr>
                <w:rFonts w:eastAsia="標楷體" w:hint="eastAsia"/>
                <w:spacing w:val="-20"/>
                <w:sz w:val="22"/>
                <w:szCs w:val="22"/>
              </w:rPr>
              <w:t>7</w:t>
            </w:r>
          </w:p>
        </w:tc>
      </w:tr>
      <w:tr w:rsidR="00A10DDB" w:rsidRPr="00B521BC" w:rsidTr="00A10DDB">
        <w:trPr>
          <w:cantSplit/>
          <w:trHeight w:val="372"/>
          <w:jc w:val="center"/>
        </w:trPr>
        <w:tc>
          <w:tcPr>
            <w:tcW w:w="316" w:type="dxa"/>
            <w:vMerge/>
            <w:tcBorders>
              <w:left w:val="nil"/>
              <w:right w:val="single" w:sz="4" w:space="0" w:color="auto"/>
            </w:tcBorders>
            <w:shd w:val="clear" w:color="auto" w:fill="auto"/>
            <w:vAlign w:val="center"/>
          </w:tcPr>
          <w:p w:rsidR="00A10DDB" w:rsidRPr="00B521BC" w:rsidRDefault="00A10DDB" w:rsidP="002843FF">
            <w:pPr>
              <w:jc w:val="center"/>
              <w:rPr>
                <w:rFonts w:eastAsia="標楷體"/>
                <w:spacing w:val="-24"/>
                <w:sz w:val="22"/>
                <w:szCs w:val="22"/>
              </w:rPr>
            </w:pPr>
          </w:p>
        </w:tc>
        <w:tc>
          <w:tcPr>
            <w:tcW w:w="233" w:type="dxa"/>
            <w:gridSpan w:val="2"/>
            <w:tcBorders>
              <w:top w:val="nil"/>
              <w:left w:val="single" w:sz="4" w:space="0" w:color="auto"/>
              <w:right w:val="single" w:sz="4" w:space="0" w:color="auto"/>
            </w:tcBorders>
            <w:shd w:val="clear" w:color="auto" w:fill="auto"/>
            <w:vAlign w:val="center"/>
          </w:tcPr>
          <w:p w:rsidR="00A10DDB" w:rsidRPr="00B521BC" w:rsidRDefault="00A10DDB" w:rsidP="002843FF">
            <w:pPr>
              <w:snapToGrid w:val="0"/>
              <w:spacing w:line="300" w:lineRule="exact"/>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A10DDB" w:rsidRPr="00B521BC" w:rsidRDefault="00A10DDB" w:rsidP="002843FF">
            <w:pPr>
              <w:snapToGrid w:val="0"/>
              <w:spacing w:line="300" w:lineRule="exact"/>
              <w:jc w:val="center"/>
              <w:rPr>
                <w:rFonts w:eastAsia="標楷體"/>
                <w:spacing w:val="-18"/>
                <w:w w:val="90"/>
                <w:sz w:val="22"/>
                <w:szCs w:val="22"/>
              </w:rPr>
            </w:pPr>
            <w:r w:rsidRPr="00B521BC">
              <w:rPr>
                <w:rFonts w:eastAsia="標楷體"/>
                <w:sz w:val="22"/>
                <w:szCs w:val="22"/>
              </w:rPr>
              <w:t>年增率</w:t>
            </w:r>
            <w:r w:rsidRPr="00B521BC">
              <w:rPr>
                <w:rFonts w:eastAsia="標楷體"/>
                <w:sz w:val="22"/>
                <w:szCs w:val="22"/>
              </w:rPr>
              <w:t>(</w:t>
            </w:r>
            <w:r w:rsidRPr="00B521BC">
              <w:rPr>
                <w:rFonts w:eastAsia="標楷體"/>
                <w:sz w:val="22"/>
                <w:szCs w:val="22"/>
              </w:rPr>
              <w:t>％</w:t>
            </w:r>
            <w:r w:rsidRPr="00B521BC">
              <w:rPr>
                <w:rFonts w:eastAsia="標楷體"/>
                <w:sz w:val="22"/>
                <w:szCs w:val="22"/>
              </w:rPr>
              <w:t>)</w:t>
            </w:r>
          </w:p>
        </w:tc>
        <w:tc>
          <w:tcPr>
            <w:tcW w:w="75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12.3</w:t>
            </w:r>
          </w:p>
        </w:tc>
        <w:tc>
          <w:tcPr>
            <w:tcW w:w="625"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-1.9</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0.9</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9.0</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-2.3</w:t>
            </w:r>
          </w:p>
        </w:tc>
        <w:tc>
          <w:tcPr>
            <w:tcW w:w="61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21.6</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-15.8</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3.2</w:t>
            </w:r>
          </w:p>
        </w:tc>
        <w:tc>
          <w:tcPr>
            <w:tcW w:w="609"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-1.9</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0.9</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8.6</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2.4</w:t>
            </w:r>
          </w:p>
        </w:tc>
        <w:tc>
          <w:tcPr>
            <w:tcW w:w="609" w:type="dxa"/>
            <w:tcBorders>
              <w:top w:val="nil"/>
              <w:left w:val="nil"/>
              <w:bottom w:val="nil"/>
              <w:right w:val="nil"/>
            </w:tcBorders>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2.82</w:t>
            </w:r>
          </w:p>
        </w:tc>
      </w:tr>
      <w:tr w:rsidR="00A10DDB" w:rsidRPr="00B521BC" w:rsidTr="00A10DDB">
        <w:trPr>
          <w:cantSplit/>
          <w:trHeight w:val="448"/>
          <w:jc w:val="center"/>
        </w:trPr>
        <w:tc>
          <w:tcPr>
            <w:tcW w:w="316" w:type="dxa"/>
            <w:vMerge/>
            <w:tcBorders>
              <w:left w:val="nil"/>
              <w:right w:val="single" w:sz="4" w:space="0" w:color="auto"/>
            </w:tcBorders>
            <w:shd w:val="clear" w:color="auto" w:fill="auto"/>
            <w:vAlign w:val="center"/>
          </w:tcPr>
          <w:p w:rsidR="00A10DDB" w:rsidRPr="00B521BC" w:rsidRDefault="00A10DDB" w:rsidP="002843FF">
            <w:pPr>
              <w:jc w:val="center"/>
              <w:rPr>
                <w:rFonts w:eastAsia="標楷體"/>
                <w:spacing w:val="-24"/>
                <w:sz w:val="22"/>
                <w:szCs w:val="22"/>
              </w:rPr>
            </w:pPr>
          </w:p>
        </w:tc>
        <w:tc>
          <w:tcPr>
            <w:tcW w:w="1441" w:type="dxa"/>
            <w:gridSpan w:val="3"/>
            <w:tcBorders>
              <w:left w:val="single" w:sz="4" w:space="0" w:color="auto"/>
              <w:bottom w:val="nil"/>
              <w:right w:val="single" w:sz="4" w:space="0" w:color="auto"/>
            </w:tcBorders>
            <w:shd w:val="clear" w:color="auto" w:fill="auto"/>
            <w:vAlign w:val="center"/>
          </w:tcPr>
          <w:p w:rsidR="00A10DDB" w:rsidRPr="00B521BC" w:rsidRDefault="00A10DDB" w:rsidP="002843FF">
            <w:pPr>
              <w:snapToGrid w:val="0"/>
              <w:spacing w:line="300" w:lineRule="exact"/>
              <w:jc w:val="center"/>
              <w:rPr>
                <w:rFonts w:eastAsia="標楷體"/>
                <w:spacing w:val="-20"/>
                <w:sz w:val="22"/>
                <w:szCs w:val="22"/>
              </w:rPr>
            </w:pPr>
            <w:r w:rsidRPr="00B521BC">
              <w:rPr>
                <w:rFonts w:eastAsia="標楷體"/>
                <w:spacing w:val="-20"/>
                <w:sz w:val="22"/>
                <w:szCs w:val="22"/>
              </w:rPr>
              <w:t>進口</w:t>
            </w: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2,816.1</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232.7</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214.9</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219.8</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2,707.3</w:t>
            </w:r>
          </w:p>
        </w:tc>
        <w:tc>
          <w:tcPr>
            <w:tcW w:w="61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251.6</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188.1</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240.2</w:t>
            </w:r>
          </w:p>
        </w:tc>
        <w:tc>
          <w:tcPr>
            <w:tcW w:w="609"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227.8</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218.9</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232.3</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1,358.8</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w:t>
            </w:r>
            <w:r w:rsidRPr="00B521BC">
              <w:rPr>
                <w:rFonts w:eastAsia="標楷體" w:hint="eastAsia"/>
                <w:spacing w:val="-20"/>
                <w:sz w:val="22"/>
                <w:szCs w:val="22"/>
              </w:rPr>
              <w:t>810</w:t>
            </w:r>
          </w:p>
        </w:tc>
      </w:tr>
      <w:tr w:rsidR="00A10DDB" w:rsidRPr="00B521BC" w:rsidTr="00A10DDB">
        <w:trPr>
          <w:cantSplit/>
          <w:trHeight w:val="374"/>
          <w:jc w:val="center"/>
        </w:trPr>
        <w:tc>
          <w:tcPr>
            <w:tcW w:w="316" w:type="dxa"/>
            <w:vMerge/>
            <w:tcBorders>
              <w:left w:val="nil"/>
              <w:right w:val="single" w:sz="4" w:space="0" w:color="auto"/>
            </w:tcBorders>
            <w:shd w:val="clear" w:color="auto" w:fill="auto"/>
            <w:vAlign w:val="center"/>
          </w:tcPr>
          <w:p w:rsidR="00A10DDB" w:rsidRPr="00B521BC" w:rsidRDefault="00A10DDB" w:rsidP="002843FF">
            <w:pPr>
              <w:jc w:val="center"/>
              <w:rPr>
                <w:rFonts w:eastAsia="標楷體"/>
                <w:spacing w:val="-24"/>
                <w:sz w:val="22"/>
                <w:szCs w:val="22"/>
              </w:rPr>
            </w:pPr>
          </w:p>
        </w:tc>
        <w:tc>
          <w:tcPr>
            <w:tcW w:w="233" w:type="dxa"/>
            <w:gridSpan w:val="2"/>
            <w:tcBorders>
              <w:top w:val="nil"/>
              <w:left w:val="single" w:sz="4" w:space="0" w:color="auto"/>
              <w:right w:val="single" w:sz="4" w:space="0" w:color="auto"/>
            </w:tcBorders>
            <w:shd w:val="clear" w:color="auto" w:fill="auto"/>
            <w:vAlign w:val="center"/>
          </w:tcPr>
          <w:p w:rsidR="00A10DDB" w:rsidRPr="00B521BC" w:rsidRDefault="00A10DDB" w:rsidP="002843FF">
            <w:pPr>
              <w:snapToGrid w:val="0"/>
              <w:spacing w:line="300" w:lineRule="exact"/>
              <w:ind w:leftChars="5" w:left="12"/>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A10DDB" w:rsidRPr="00B521BC" w:rsidRDefault="00A10DDB" w:rsidP="002843FF">
            <w:pPr>
              <w:snapToGrid w:val="0"/>
              <w:spacing w:line="300" w:lineRule="exact"/>
              <w:ind w:leftChars="5" w:left="12"/>
              <w:jc w:val="center"/>
              <w:rPr>
                <w:rFonts w:eastAsia="標楷體"/>
                <w:spacing w:val="-18"/>
                <w:w w:val="90"/>
                <w:sz w:val="22"/>
                <w:szCs w:val="22"/>
              </w:rPr>
            </w:pPr>
            <w:r w:rsidRPr="00B521BC">
              <w:rPr>
                <w:rFonts w:eastAsia="標楷體"/>
                <w:sz w:val="22"/>
                <w:szCs w:val="22"/>
              </w:rPr>
              <w:t>年增率</w:t>
            </w:r>
            <w:r w:rsidRPr="00B521BC">
              <w:rPr>
                <w:rFonts w:eastAsia="標楷體"/>
                <w:sz w:val="22"/>
                <w:szCs w:val="22"/>
              </w:rPr>
              <w:t>(</w:t>
            </w:r>
            <w:r w:rsidRPr="00B521BC">
              <w:rPr>
                <w:rFonts w:eastAsia="標楷體"/>
                <w:sz w:val="22"/>
                <w:szCs w:val="22"/>
              </w:rPr>
              <w:t>％</w:t>
            </w:r>
            <w:r w:rsidRPr="00B521BC">
              <w:rPr>
                <w:rFonts w:eastAsia="標楷體"/>
                <w:sz w:val="22"/>
                <w:szCs w:val="22"/>
              </w:rPr>
              <w:t>)</w:t>
            </w:r>
          </w:p>
        </w:tc>
        <w:tc>
          <w:tcPr>
            <w:tcW w:w="75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12.1</w:t>
            </w:r>
          </w:p>
        </w:tc>
        <w:tc>
          <w:tcPr>
            <w:tcW w:w="625"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-1.8</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0.1</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1.6</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-3.8</w:t>
            </w:r>
          </w:p>
        </w:tc>
        <w:tc>
          <w:tcPr>
            <w:tcW w:w="612" w:type="dxa"/>
            <w:tcBorders>
              <w:top w:val="nil"/>
              <w:left w:val="nil"/>
              <w:bottom w:val="nil"/>
              <w:right w:val="nil"/>
            </w:tcBorders>
            <w:shd w:val="clear" w:color="auto" w:fill="auto"/>
            <w:vAlign w:val="center"/>
          </w:tcPr>
          <w:p w:rsidR="00A10DDB" w:rsidRPr="00B521BC" w:rsidRDefault="00A10DDB" w:rsidP="002843FF">
            <w:pPr>
              <w:jc w:val="center"/>
              <w:rPr>
                <w:sz w:val="22"/>
                <w:szCs w:val="22"/>
              </w:rPr>
            </w:pPr>
            <w:r w:rsidRPr="00B521BC">
              <w:rPr>
                <w:sz w:val="22"/>
                <w:szCs w:val="22"/>
              </w:rPr>
              <w:t>22.2</w:t>
            </w:r>
          </w:p>
        </w:tc>
        <w:tc>
          <w:tcPr>
            <w:tcW w:w="609" w:type="dxa"/>
            <w:tcBorders>
              <w:top w:val="nil"/>
              <w:left w:val="nil"/>
              <w:bottom w:val="nil"/>
              <w:right w:val="nil"/>
            </w:tcBorders>
            <w:vAlign w:val="center"/>
          </w:tcPr>
          <w:p w:rsidR="00A10DDB" w:rsidRPr="00B521BC" w:rsidRDefault="00A10DDB" w:rsidP="002843FF">
            <w:pPr>
              <w:jc w:val="center"/>
              <w:rPr>
                <w:sz w:val="22"/>
                <w:szCs w:val="22"/>
              </w:rPr>
            </w:pPr>
            <w:r w:rsidRPr="00B521BC">
              <w:rPr>
                <w:sz w:val="22"/>
                <w:szCs w:val="22"/>
              </w:rPr>
              <w:t>-8.5</w:t>
            </w:r>
          </w:p>
        </w:tc>
        <w:tc>
          <w:tcPr>
            <w:tcW w:w="609" w:type="dxa"/>
            <w:tcBorders>
              <w:top w:val="nil"/>
              <w:left w:val="nil"/>
              <w:bottom w:val="nil"/>
              <w:right w:val="nil"/>
            </w:tcBorders>
            <w:vAlign w:val="center"/>
          </w:tcPr>
          <w:p w:rsidR="00A10DDB" w:rsidRPr="00B521BC" w:rsidRDefault="00A10DDB" w:rsidP="002843FF">
            <w:pPr>
              <w:jc w:val="center"/>
              <w:rPr>
                <w:sz w:val="22"/>
                <w:szCs w:val="22"/>
              </w:rPr>
            </w:pPr>
            <w:r w:rsidRPr="00B521BC">
              <w:rPr>
                <w:sz w:val="22"/>
                <w:szCs w:val="22"/>
              </w:rPr>
              <w:t>0.2</w:t>
            </w:r>
          </w:p>
        </w:tc>
        <w:tc>
          <w:tcPr>
            <w:tcW w:w="609" w:type="dxa"/>
            <w:tcBorders>
              <w:top w:val="nil"/>
              <w:left w:val="nil"/>
              <w:bottom w:val="nil"/>
              <w:right w:val="nil"/>
            </w:tcBorders>
            <w:shd w:val="clear" w:color="auto" w:fill="auto"/>
            <w:vAlign w:val="center"/>
          </w:tcPr>
          <w:p w:rsidR="00A10DDB" w:rsidRPr="00B521BC" w:rsidRDefault="00A10DDB" w:rsidP="002843FF">
            <w:pPr>
              <w:jc w:val="center"/>
              <w:rPr>
                <w:sz w:val="22"/>
                <w:szCs w:val="22"/>
              </w:rPr>
            </w:pPr>
            <w:r w:rsidRPr="00B521BC">
              <w:rPr>
                <w:sz w:val="22"/>
                <w:szCs w:val="22"/>
              </w:rPr>
              <w:t>-8.2</w:t>
            </w:r>
          </w:p>
        </w:tc>
        <w:tc>
          <w:tcPr>
            <w:tcW w:w="609" w:type="dxa"/>
            <w:tcBorders>
              <w:top w:val="nil"/>
              <w:left w:val="nil"/>
              <w:bottom w:val="nil"/>
              <w:right w:val="nil"/>
            </w:tcBorders>
            <w:vAlign w:val="center"/>
          </w:tcPr>
          <w:p w:rsidR="00A10DDB" w:rsidRPr="00B521BC" w:rsidRDefault="00A10DDB" w:rsidP="002843FF">
            <w:pPr>
              <w:jc w:val="center"/>
              <w:rPr>
                <w:sz w:val="22"/>
                <w:szCs w:val="22"/>
              </w:rPr>
            </w:pPr>
            <w:r w:rsidRPr="00B521BC">
              <w:rPr>
                <w:sz w:val="22"/>
                <w:szCs w:val="22"/>
              </w:rPr>
              <w:t>-8.0</w:t>
            </w:r>
          </w:p>
        </w:tc>
        <w:tc>
          <w:tcPr>
            <w:tcW w:w="609" w:type="dxa"/>
            <w:tcBorders>
              <w:top w:val="nil"/>
              <w:left w:val="nil"/>
              <w:bottom w:val="nil"/>
              <w:right w:val="nil"/>
            </w:tcBorders>
            <w:vAlign w:val="center"/>
          </w:tcPr>
          <w:p w:rsidR="00A10DDB" w:rsidRPr="00B521BC" w:rsidRDefault="00A10DDB" w:rsidP="002843FF">
            <w:pPr>
              <w:jc w:val="center"/>
              <w:rPr>
                <w:sz w:val="22"/>
                <w:szCs w:val="22"/>
              </w:rPr>
            </w:pPr>
            <w:r w:rsidRPr="00B521BC">
              <w:rPr>
                <w:sz w:val="22"/>
                <w:szCs w:val="22"/>
              </w:rPr>
              <w:t>6.8</w:t>
            </w:r>
          </w:p>
        </w:tc>
        <w:tc>
          <w:tcPr>
            <w:tcW w:w="609" w:type="dxa"/>
            <w:tcBorders>
              <w:top w:val="nil"/>
              <w:left w:val="nil"/>
              <w:bottom w:val="nil"/>
              <w:right w:val="nil"/>
            </w:tcBorders>
            <w:vAlign w:val="center"/>
          </w:tcPr>
          <w:p w:rsidR="00A10DDB" w:rsidRPr="00B521BC" w:rsidRDefault="00A10DDB" w:rsidP="002843FF">
            <w:pPr>
              <w:jc w:val="center"/>
              <w:rPr>
                <w:bCs/>
              </w:rPr>
            </w:pPr>
            <w:r w:rsidRPr="00B521BC">
              <w:rPr>
                <w:bCs/>
              </w:rPr>
              <w:t>0.3</w:t>
            </w:r>
          </w:p>
        </w:tc>
        <w:tc>
          <w:tcPr>
            <w:tcW w:w="609" w:type="dxa"/>
            <w:tcBorders>
              <w:top w:val="nil"/>
              <w:left w:val="nil"/>
              <w:bottom w:val="nil"/>
              <w:right w:val="nil"/>
            </w:tcBorders>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3.91</w:t>
            </w:r>
          </w:p>
        </w:tc>
      </w:tr>
      <w:tr w:rsidR="00A10DDB" w:rsidRPr="00B521BC" w:rsidTr="00A10DDB">
        <w:trPr>
          <w:cantSplit/>
          <w:jc w:val="center"/>
        </w:trPr>
        <w:tc>
          <w:tcPr>
            <w:tcW w:w="316" w:type="dxa"/>
            <w:vMerge/>
            <w:tcBorders>
              <w:left w:val="nil"/>
              <w:right w:val="single" w:sz="4" w:space="0" w:color="auto"/>
            </w:tcBorders>
            <w:shd w:val="clear" w:color="auto" w:fill="auto"/>
            <w:vAlign w:val="center"/>
          </w:tcPr>
          <w:p w:rsidR="00A10DDB" w:rsidRPr="00B521BC" w:rsidRDefault="00A10DDB" w:rsidP="002843FF">
            <w:pPr>
              <w:jc w:val="center"/>
              <w:rPr>
                <w:rFonts w:eastAsia="標楷體"/>
                <w:spacing w:val="-24"/>
                <w:sz w:val="22"/>
                <w:szCs w:val="22"/>
              </w:rPr>
            </w:pPr>
          </w:p>
        </w:tc>
        <w:tc>
          <w:tcPr>
            <w:tcW w:w="1441" w:type="dxa"/>
            <w:gridSpan w:val="3"/>
            <w:tcBorders>
              <w:left w:val="single" w:sz="4" w:space="0" w:color="auto"/>
              <w:bottom w:val="nil"/>
              <w:right w:val="single" w:sz="4" w:space="0" w:color="auto"/>
            </w:tcBorders>
            <w:shd w:val="clear" w:color="auto" w:fill="auto"/>
            <w:vAlign w:val="center"/>
          </w:tcPr>
          <w:p w:rsidR="00A10DDB" w:rsidRPr="00B521BC" w:rsidRDefault="00A10DDB" w:rsidP="002843FF">
            <w:pPr>
              <w:snapToGrid w:val="0"/>
              <w:spacing w:line="300" w:lineRule="exact"/>
              <w:jc w:val="center"/>
              <w:rPr>
                <w:rFonts w:eastAsia="標楷體"/>
                <w:spacing w:val="-20"/>
                <w:sz w:val="22"/>
                <w:szCs w:val="22"/>
              </w:rPr>
            </w:pPr>
            <w:r w:rsidRPr="00B521BC">
              <w:rPr>
                <w:rFonts w:eastAsia="標楷體"/>
                <w:spacing w:val="-20"/>
                <w:sz w:val="22"/>
                <w:szCs w:val="22"/>
              </w:rPr>
              <w:t>外銷訂單</w:t>
            </w:r>
          </w:p>
          <w:p w:rsidR="00A10DDB" w:rsidRPr="00B521BC" w:rsidRDefault="00A10DDB" w:rsidP="002843FF">
            <w:pPr>
              <w:snapToGrid w:val="0"/>
              <w:spacing w:line="300" w:lineRule="exact"/>
              <w:jc w:val="center"/>
              <w:rPr>
                <w:rFonts w:eastAsia="標楷體"/>
                <w:spacing w:val="-20"/>
                <w:sz w:val="22"/>
                <w:szCs w:val="22"/>
              </w:rPr>
            </w:pPr>
            <w:r w:rsidRPr="00B521BC">
              <w:rPr>
                <w:rFonts w:eastAsia="標楷體"/>
                <w:spacing w:val="-20"/>
                <w:sz w:val="22"/>
                <w:szCs w:val="22"/>
              </w:rPr>
              <w:t>(</w:t>
            </w:r>
            <w:r w:rsidRPr="00B521BC">
              <w:rPr>
                <w:rFonts w:eastAsia="標楷體"/>
                <w:spacing w:val="-20"/>
                <w:sz w:val="22"/>
                <w:szCs w:val="22"/>
              </w:rPr>
              <w:t>億美元</w:t>
            </w:r>
            <w:r w:rsidRPr="00B521BC">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4,361.3</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383.8</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407.3</w:t>
            </w:r>
          </w:p>
        </w:tc>
        <w:tc>
          <w:tcPr>
            <w:tcW w:w="625"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393.9</w:t>
            </w:r>
          </w:p>
        </w:tc>
        <w:tc>
          <w:tcPr>
            <w:tcW w:w="627"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4,410.1</w:t>
            </w:r>
          </w:p>
        </w:tc>
        <w:tc>
          <w:tcPr>
            <w:tcW w:w="612"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371.4</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290.4</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spacing w:val="-20"/>
                <w:sz w:val="22"/>
                <w:szCs w:val="22"/>
              </w:rPr>
              <w:t>358.4</w:t>
            </w:r>
          </w:p>
        </w:tc>
        <w:tc>
          <w:tcPr>
            <w:tcW w:w="609" w:type="dxa"/>
            <w:tcBorders>
              <w:top w:val="nil"/>
              <w:left w:val="nil"/>
              <w:bottom w:val="nil"/>
              <w:right w:val="nil"/>
            </w:tcBorders>
            <w:shd w:val="clear" w:color="auto" w:fill="auto"/>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356.9</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363.3</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351.0</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r w:rsidRPr="00B521BC">
              <w:rPr>
                <w:rFonts w:eastAsia="標楷體" w:hint="eastAsia"/>
                <w:spacing w:val="-20"/>
                <w:sz w:val="22"/>
                <w:szCs w:val="22"/>
              </w:rPr>
              <w:t>2,091.2</w:t>
            </w:r>
          </w:p>
        </w:tc>
        <w:tc>
          <w:tcPr>
            <w:tcW w:w="609" w:type="dxa"/>
            <w:tcBorders>
              <w:top w:val="nil"/>
              <w:left w:val="nil"/>
              <w:bottom w:val="nil"/>
              <w:right w:val="nil"/>
            </w:tcBorders>
            <w:vAlign w:val="center"/>
          </w:tcPr>
          <w:p w:rsidR="00A10DDB" w:rsidRPr="00B521BC" w:rsidRDefault="00A10DDB" w:rsidP="002843FF">
            <w:pPr>
              <w:snapToGrid w:val="0"/>
              <w:jc w:val="center"/>
              <w:rPr>
                <w:rFonts w:eastAsia="標楷體"/>
                <w:spacing w:val="-20"/>
                <w:sz w:val="22"/>
                <w:szCs w:val="22"/>
              </w:rPr>
            </w:pPr>
          </w:p>
        </w:tc>
      </w:tr>
      <w:tr w:rsidR="00A10DDB" w:rsidRPr="00EB5BA8" w:rsidTr="00A10DDB">
        <w:trPr>
          <w:cantSplit/>
          <w:trHeight w:val="370"/>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233" w:type="dxa"/>
            <w:gridSpan w:val="2"/>
            <w:tcBorders>
              <w:top w:val="nil"/>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18"/>
                <w:w w:val="90"/>
                <w:sz w:val="22"/>
                <w:szCs w:val="22"/>
              </w:rPr>
            </w:pPr>
          </w:p>
        </w:tc>
        <w:tc>
          <w:tcPr>
            <w:tcW w:w="1208" w:type="dxa"/>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18"/>
                <w:w w:val="90"/>
                <w:sz w:val="22"/>
                <w:szCs w:val="22"/>
              </w:rPr>
            </w:pPr>
            <w:r w:rsidRPr="00EB5BA8">
              <w:rPr>
                <w:rFonts w:eastAsia="標楷體"/>
                <w:sz w:val="22"/>
                <w:szCs w:val="22"/>
              </w:rPr>
              <w:t>年增率</w:t>
            </w:r>
            <w:r w:rsidRPr="00EB5BA8">
              <w:rPr>
                <w:rFonts w:eastAsia="標楷體"/>
                <w:sz w:val="22"/>
                <w:szCs w:val="22"/>
              </w:rPr>
              <w:t>(</w:t>
            </w:r>
            <w:r w:rsidRPr="00EB5BA8">
              <w:rPr>
                <w:rFonts w:eastAsia="標楷體"/>
                <w:sz w:val="22"/>
                <w:szCs w:val="22"/>
              </w:rPr>
              <w:t>％</w:t>
            </w:r>
            <w:r w:rsidRPr="00EB5BA8">
              <w:rPr>
                <w:rFonts w:eastAsia="標楷體"/>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7.2</w:t>
            </w:r>
          </w:p>
        </w:tc>
        <w:tc>
          <w:tcPr>
            <w:tcW w:w="625"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3.2</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11.1</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8.5</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1.1</w:t>
            </w:r>
          </w:p>
        </w:tc>
        <w:tc>
          <w:tcPr>
            <w:tcW w:w="61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18.0</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-14.5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w:t>
            </w:r>
            <w:r>
              <w:rPr>
                <w:rFonts w:eastAsia="標楷體" w:hint="eastAsia"/>
                <w:spacing w:val="-20"/>
                <w:sz w:val="22"/>
                <w:szCs w:val="22"/>
              </w:rPr>
              <w:t>6.6</w:t>
            </w:r>
          </w:p>
        </w:tc>
        <w:tc>
          <w:tcPr>
            <w:tcW w:w="609"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Pr>
                <w:rFonts w:eastAsia="標楷體"/>
                <w:spacing w:val="-20"/>
                <w:sz w:val="22"/>
                <w:szCs w:val="22"/>
              </w:rPr>
              <w:t>-</w:t>
            </w:r>
            <w:r>
              <w:rPr>
                <w:rFonts w:eastAsia="標楷體" w:hint="eastAsia"/>
                <w:spacing w:val="-20"/>
                <w:sz w:val="22"/>
                <w:szCs w:val="22"/>
              </w:rPr>
              <w:t>1.1</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-0.4</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-3.5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-1.7</w:t>
            </w:r>
          </w:p>
        </w:tc>
        <w:tc>
          <w:tcPr>
            <w:tcW w:w="609" w:type="dxa"/>
            <w:tcBorders>
              <w:top w:val="nil"/>
              <w:left w:val="nil"/>
              <w:bottom w:val="nil"/>
              <w:right w:val="nil"/>
            </w:tcBorders>
          </w:tcPr>
          <w:p w:rsidR="00A10DDB" w:rsidRPr="00EB5BA8" w:rsidRDefault="00A10DDB" w:rsidP="002843FF">
            <w:pPr>
              <w:snapToGrid w:val="0"/>
              <w:jc w:val="center"/>
              <w:rPr>
                <w:rFonts w:eastAsia="標楷體"/>
                <w:spacing w:val="-20"/>
                <w:sz w:val="22"/>
                <w:szCs w:val="22"/>
              </w:rPr>
            </w:pPr>
          </w:p>
        </w:tc>
      </w:tr>
      <w:tr w:rsidR="00A10DDB" w:rsidRPr="00EB5BA8" w:rsidTr="00A10DDB">
        <w:trPr>
          <w:cantSplit/>
          <w:jc w:val="center"/>
        </w:trPr>
        <w:tc>
          <w:tcPr>
            <w:tcW w:w="316" w:type="dxa"/>
            <w:vMerge w:val="restart"/>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r w:rsidRPr="00EB5BA8">
              <w:rPr>
                <w:rFonts w:eastAsia="標楷體"/>
                <w:spacing w:val="-24"/>
                <w:sz w:val="22"/>
                <w:szCs w:val="22"/>
              </w:rPr>
              <w:t>物</w:t>
            </w:r>
          </w:p>
          <w:p w:rsidR="00A10DDB" w:rsidRPr="00EB5BA8" w:rsidRDefault="00A10DDB" w:rsidP="002843FF">
            <w:pPr>
              <w:jc w:val="center"/>
              <w:rPr>
                <w:rFonts w:eastAsia="標楷體"/>
                <w:spacing w:val="-24"/>
                <w:sz w:val="22"/>
                <w:szCs w:val="22"/>
              </w:rPr>
            </w:pPr>
            <w:r w:rsidRPr="00EB5BA8">
              <w:rPr>
                <w:rFonts w:eastAsia="標楷體"/>
                <w:spacing w:val="-24"/>
                <w:sz w:val="22"/>
                <w:szCs w:val="22"/>
              </w:rPr>
              <w:t>價</w:t>
            </w:r>
          </w:p>
        </w:tc>
        <w:tc>
          <w:tcPr>
            <w:tcW w:w="1441" w:type="dxa"/>
            <w:gridSpan w:val="3"/>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消費者物價指數</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0"/>
                <w:szCs w:val="20"/>
              </w:rPr>
              <w:t>年增率</w:t>
            </w:r>
            <w:r w:rsidRPr="00EB5BA8">
              <w:rPr>
                <w:rFonts w:eastAsia="標楷體"/>
                <w:spacing w:val="-20"/>
                <w:sz w:val="20"/>
                <w:szCs w:val="20"/>
              </w:rPr>
              <w:t>(</w:t>
            </w:r>
            <w:r w:rsidRPr="00EB5BA8">
              <w:rPr>
                <w:rFonts w:eastAsia="標楷體"/>
                <w:spacing w:val="-20"/>
                <w:sz w:val="20"/>
                <w:szCs w:val="20"/>
              </w:rPr>
              <w:t>％</w:t>
            </w:r>
            <w:r w:rsidRPr="00EB5BA8">
              <w:rPr>
                <w:rFonts w:eastAsia="標楷體"/>
                <w:spacing w:val="-20"/>
                <w:sz w:val="20"/>
                <w:szCs w:val="20"/>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1.42</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2.34</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1.59</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1.60</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1.93</w:t>
            </w:r>
          </w:p>
        </w:tc>
        <w:tc>
          <w:tcPr>
            <w:tcW w:w="612"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1.1</w:t>
            </w:r>
            <w:r>
              <w:rPr>
                <w:rFonts w:eastAsia="標楷體" w:hint="eastAsia"/>
                <w:spacing w:val="-20"/>
                <w:sz w:val="22"/>
                <w:szCs w:val="22"/>
              </w:rPr>
              <w:t>2</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2.9</w:t>
            </w:r>
            <w:r>
              <w:rPr>
                <w:rFonts w:eastAsia="標楷體" w:hint="eastAsia"/>
                <w:spacing w:val="-20"/>
                <w:sz w:val="22"/>
                <w:szCs w:val="22"/>
              </w:rPr>
              <w:t>6</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1.3</w:t>
            </w:r>
            <w:r>
              <w:rPr>
                <w:rFonts w:eastAsia="標楷體" w:hint="eastAsia"/>
                <w:spacing w:val="-20"/>
                <w:sz w:val="22"/>
                <w:szCs w:val="22"/>
              </w:rPr>
              <w:t>7</w:t>
            </w:r>
          </w:p>
        </w:tc>
        <w:tc>
          <w:tcPr>
            <w:tcW w:w="609" w:type="dxa"/>
            <w:tcBorders>
              <w:top w:val="nil"/>
              <w:left w:val="nil"/>
              <w:bottom w:val="nil"/>
              <w:right w:val="nil"/>
            </w:tcBorders>
            <w:shd w:val="clear" w:color="auto" w:fill="auto"/>
            <w:vAlign w:val="center"/>
          </w:tcPr>
          <w:p w:rsidR="00A10DDB" w:rsidRPr="0038610E" w:rsidRDefault="00A10DDB" w:rsidP="002843FF">
            <w:pPr>
              <w:snapToGrid w:val="0"/>
              <w:jc w:val="center"/>
              <w:rPr>
                <w:rFonts w:eastAsia="標楷體"/>
                <w:spacing w:val="-20"/>
                <w:sz w:val="22"/>
                <w:szCs w:val="22"/>
              </w:rPr>
            </w:pPr>
            <w:r w:rsidRPr="0038610E">
              <w:rPr>
                <w:rFonts w:eastAsia="標楷體" w:hint="eastAsia"/>
                <w:spacing w:val="-20"/>
                <w:sz w:val="22"/>
                <w:szCs w:val="22"/>
              </w:rPr>
              <w:t>1.0</w:t>
            </w:r>
            <w:r>
              <w:rPr>
                <w:rFonts w:eastAsia="標楷體" w:hint="eastAsia"/>
                <w:spacing w:val="-20"/>
                <w:sz w:val="22"/>
                <w:szCs w:val="22"/>
              </w:rPr>
              <w:t>5</w:t>
            </w:r>
          </w:p>
        </w:tc>
        <w:tc>
          <w:tcPr>
            <w:tcW w:w="609" w:type="dxa"/>
            <w:tcBorders>
              <w:top w:val="nil"/>
              <w:left w:val="nil"/>
              <w:bottom w:val="nil"/>
              <w:right w:val="nil"/>
            </w:tcBorders>
            <w:vAlign w:val="center"/>
          </w:tcPr>
          <w:p w:rsidR="00A10DDB" w:rsidRPr="0038610E" w:rsidRDefault="00A10DDB" w:rsidP="002843FF">
            <w:pPr>
              <w:snapToGrid w:val="0"/>
              <w:jc w:val="center"/>
              <w:rPr>
                <w:rFonts w:eastAsia="標楷體"/>
                <w:spacing w:val="-20"/>
                <w:sz w:val="22"/>
                <w:szCs w:val="22"/>
              </w:rPr>
            </w:pPr>
            <w:r>
              <w:rPr>
                <w:rFonts w:eastAsia="標楷體" w:hint="eastAsia"/>
                <w:spacing w:val="-20"/>
                <w:sz w:val="22"/>
                <w:szCs w:val="22"/>
              </w:rPr>
              <w:t>0.74</w:t>
            </w:r>
          </w:p>
        </w:tc>
        <w:tc>
          <w:tcPr>
            <w:tcW w:w="609" w:type="dxa"/>
            <w:tcBorders>
              <w:top w:val="nil"/>
              <w:left w:val="nil"/>
              <w:bottom w:val="nil"/>
              <w:right w:val="nil"/>
            </w:tcBorders>
            <w:vAlign w:val="center"/>
          </w:tcPr>
          <w:p w:rsidR="00A10DDB" w:rsidRPr="0026440D" w:rsidRDefault="00A10DDB" w:rsidP="002843FF">
            <w:pPr>
              <w:snapToGrid w:val="0"/>
              <w:jc w:val="center"/>
              <w:rPr>
                <w:rFonts w:eastAsia="標楷體"/>
                <w:spacing w:val="-20"/>
                <w:sz w:val="22"/>
                <w:szCs w:val="22"/>
              </w:rPr>
            </w:pPr>
            <w:r w:rsidRPr="0026440D">
              <w:rPr>
                <w:rFonts w:eastAsia="標楷體" w:hint="eastAsia"/>
                <w:spacing w:val="-20"/>
                <w:sz w:val="22"/>
                <w:szCs w:val="22"/>
              </w:rPr>
              <w:t>0.60</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Pr>
                <w:rFonts w:eastAsia="標楷體" w:hint="eastAsia"/>
                <w:spacing w:val="-20"/>
                <w:sz w:val="22"/>
                <w:szCs w:val="22"/>
              </w:rPr>
              <w:t>1.31</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highlight w:val="yellow"/>
              </w:rPr>
            </w:pPr>
            <w:r w:rsidRPr="00EB5BA8">
              <w:rPr>
                <w:rFonts w:eastAsia="標楷體"/>
                <w:spacing w:val="-20"/>
                <w:sz w:val="22"/>
                <w:szCs w:val="22"/>
              </w:rPr>
              <w:t>1.</w:t>
            </w:r>
            <w:r>
              <w:rPr>
                <w:rFonts w:eastAsia="標楷體" w:hint="eastAsia"/>
                <w:spacing w:val="-20"/>
                <w:sz w:val="22"/>
                <w:szCs w:val="22"/>
              </w:rPr>
              <w:t>23</w:t>
            </w:r>
          </w:p>
        </w:tc>
      </w:tr>
      <w:tr w:rsidR="00A10DDB" w:rsidRPr="00EB5BA8" w:rsidTr="00A10DDB">
        <w:trPr>
          <w:cantSplit/>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p>
        </w:tc>
        <w:tc>
          <w:tcPr>
            <w:tcW w:w="1441" w:type="dxa"/>
            <w:gridSpan w:val="3"/>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躉售物價指數</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年增率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4.32</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-3.71</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-3.92</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-3.95</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-1.16</w:t>
            </w:r>
          </w:p>
        </w:tc>
        <w:tc>
          <w:tcPr>
            <w:tcW w:w="612"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-3.</w:t>
            </w:r>
            <w:r>
              <w:rPr>
                <w:rFonts w:eastAsia="標楷體" w:hint="eastAsia"/>
                <w:color w:val="000000" w:themeColor="text1"/>
                <w:spacing w:val="-20"/>
                <w:sz w:val="22"/>
                <w:szCs w:val="22"/>
              </w:rPr>
              <w:t>07</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-2.</w:t>
            </w:r>
            <w:r>
              <w:rPr>
                <w:rFonts w:eastAsia="標楷體" w:hint="eastAsia"/>
                <w:color w:val="000000" w:themeColor="text1"/>
                <w:spacing w:val="-20"/>
                <w:sz w:val="22"/>
                <w:szCs w:val="22"/>
              </w:rPr>
              <w:t>99</w:t>
            </w:r>
          </w:p>
        </w:tc>
        <w:tc>
          <w:tcPr>
            <w:tcW w:w="609" w:type="dxa"/>
            <w:tcBorders>
              <w:top w:val="nil"/>
              <w:left w:val="nil"/>
              <w:bottom w:val="nil"/>
              <w:right w:val="nil"/>
            </w:tcBorders>
            <w:vAlign w:val="center"/>
          </w:tcPr>
          <w:p w:rsidR="00A10DDB" w:rsidRPr="0026440D" w:rsidRDefault="00A10DDB" w:rsidP="002843FF">
            <w:pPr>
              <w:snapToGrid w:val="0"/>
              <w:jc w:val="center"/>
              <w:rPr>
                <w:rFonts w:eastAsia="標楷體"/>
                <w:spacing w:val="-20"/>
                <w:sz w:val="22"/>
                <w:szCs w:val="22"/>
              </w:rPr>
            </w:pPr>
            <w:r w:rsidRPr="0026440D">
              <w:rPr>
                <w:rFonts w:eastAsia="標楷體"/>
                <w:spacing w:val="-20"/>
                <w:sz w:val="22"/>
                <w:szCs w:val="22"/>
              </w:rPr>
              <w:t>-3.0</w:t>
            </w:r>
            <w:r w:rsidRPr="0026440D">
              <w:rPr>
                <w:rFonts w:eastAsia="標楷體" w:hint="eastAsia"/>
                <w:spacing w:val="-20"/>
                <w:sz w:val="22"/>
                <w:szCs w:val="22"/>
              </w:rPr>
              <w:t>8</w:t>
            </w:r>
          </w:p>
        </w:tc>
        <w:tc>
          <w:tcPr>
            <w:tcW w:w="609" w:type="dxa"/>
            <w:tcBorders>
              <w:top w:val="nil"/>
              <w:left w:val="nil"/>
              <w:bottom w:val="nil"/>
              <w:right w:val="nil"/>
            </w:tcBorders>
            <w:shd w:val="clear" w:color="auto" w:fill="auto"/>
            <w:vAlign w:val="center"/>
          </w:tcPr>
          <w:p w:rsidR="00A10DDB" w:rsidRPr="0026440D" w:rsidRDefault="00A10DDB" w:rsidP="002843FF">
            <w:pPr>
              <w:snapToGrid w:val="0"/>
              <w:jc w:val="center"/>
              <w:rPr>
                <w:rFonts w:eastAsia="標楷體"/>
                <w:spacing w:val="-20"/>
                <w:sz w:val="22"/>
                <w:szCs w:val="22"/>
              </w:rPr>
            </w:pPr>
            <w:r w:rsidRPr="0038610E">
              <w:rPr>
                <w:rFonts w:eastAsia="標楷體" w:hint="eastAsia"/>
                <w:spacing w:val="-20"/>
                <w:sz w:val="22"/>
                <w:szCs w:val="22"/>
              </w:rPr>
              <w:t>-3.</w:t>
            </w:r>
            <w:r>
              <w:rPr>
                <w:rFonts w:eastAsia="標楷體" w:hint="eastAsia"/>
                <w:spacing w:val="-20"/>
                <w:sz w:val="22"/>
                <w:szCs w:val="22"/>
              </w:rPr>
              <w:t>72</w:t>
            </w:r>
          </w:p>
        </w:tc>
        <w:tc>
          <w:tcPr>
            <w:tcW w:w="609" w:type="dxa"/>
            <w:tcBorders>
              <w:top w:val="nil"/>
              <w:left w:val="nil"/>
              <w:bottom w:val="nil"/>
              <w:right w:val="nil"/>
            </w:tcBorders>
            <w:vAlign w:val="center"/>
          </w:tcPr>
          <w:p w:rsidR="00A10DDB" w:rsidRPr="0026440D" w:rsidRDefault="00A10DDB" w:rsidP="002843FF">
            <w:pPr>
              <w:snapToGrid w:val="0"/>
              <w:jc w:val="center"/>
              <w:rPr>
                <w:rFonts w:eastAsia="標楷體"/>
                <w:spacing w:val="-20"/>
                <w:sz w:val="22"/>
                <w:szCs w:val="22"/>
              </w:rPr>
            </w:pPr>
            <w:r w:rsidRPr="0026440D">
              <w:rPr>
                <w:rFonts w:eastAsia="標楷體" w:hint="eastAsia"/>
                <w:spacing w:val="-20"/>
                <w:sz w:val="22"/>
                <w:szCs w:val="22"/>
              </w:rPr>
              <w:t>-3.33</w:t>
            </w:r>
          </w:p>
        </w:tc>
        <w:tc>
          <w:tcPr>
            <w:tcW w:w="609" w:type="dxa"/>
            <w:tcBorders>
              <w:top w:val="nil"/>
              <w:left w:val="nil"/>
              <w:bottom w:val="nil"/>
              <w:right w:val="nil"/>
            </w:tcBorders>
            <w:vAlign w:val="center"/>
          </w:tcPr>
          <w:p w:rsidR="00A10DDB" w:rsidRPr="0026440D" w:rsidRDefault="00A10DDB" w:rsidP="002843FF">
            <w:pPr>
              <w:snapToGrid w:val="0"/>
              <w:jc w:val="center"/>
              <w:rPr>
                <w:rFonts w:eastAsia="標楷體"/>
                <w:spacing w:val="-20"/>
                <w:sz w:val="22"/>
                <w:szCs w:val="22"/>
              </w:rPr>
            </w:pPr>
            <w:r w:rsidRPr="0026440D">
              <w:rPr>
                <w:rFonts w:eastAsia="標楷體" w:hint="eastAsia"/>
                <w:spacing w:val="-20"/>
                <w:sz w:val="22"/>
                <w:szCs w:val="22"/>
              </w:rPr>
              <w:t>-1.90</w:t>
            </w:r>
          </w:p>
        </w:tc>
        <w:tc>
          <w:tcPr>
            <w:tcW w:w="609" w:type="dxa"/>
            <w:tcBorders>
              <w:top w:val="nil"/>
              <w:left w:val="nil"/>
              <w:bottom w:val="nil"/>
              <w:right w:val="nil"/>
            </w:tcBorders>
            <w:vAlign w:val="center"/>
          </w:tcPr>
          <w:p w:rsidR="00A10DDB" w:rsidRPr="0026440D" w:rsidRDefault="00A10DDB" w:rsidP="002843FF">
            <w:pPr>
              <w:snapToGrid w:val="0"/>
              <w:jc w:val="center"/>
              <w:rPr>
                <w:rFonts w:eastAsia="標楷體"/>
                <w:spacing w:val="-20"/>
                <w:sz w:val="22"/>
                <w:szCs w:val="22"/>
              </w:rPr>
            </w:pPr>
            <w:r w:rsidRPr="0026440D">
              <w:rPr>
                <w:rFonts w:eastAsia="標楷體" w:hint="eastAsia"/>
                <w:spacing w:val="-20"/>
                <w:sz w:val="22"/>
                <w:szCs w:val="22"/>
              </w:rPr>
              <w:t>-3.03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FF0000"/>
                <w:spacing w:val="-20"/>
                <w:sz w:val="22"/>
                <w:szCs w:val="22"/>
                <w:highlight w:val="yellow"/>
              </w:rPr>
            </w:pPr>
            <w:r>
              <w:rPr>
                <w:rFonts w:eastAsia="標楷體" w:hint="eastAsia"/>
                <w:color w:val="000000" w:themeColor="text1"/>
                <w:spacing w:val="-20"/>
                <w:sz w:val="22"/>
                <w:szCs w:val="22"/>
              </w:rPr>
              <w:t>-1.22</w:t>
            </w:r>
          </w:p>
        </w:tc>
      </w:tr>
      <w:tr w:rsidR="00A10DDB" w:rsidRPr="006315A0" w:rsidTr="00A10DDB">
        <w:trPr>
          <w:cantSplit/>
          <w:trHeight w:val="358"/>
          <w:jc w:val="center"/>
        </w:trPr>
        <w:tc>
          <w:tcPr>
            <w:tcW w:w="316" w:type="dxa"/>
            <w:tcBorders>
              <w:left w:val="nil"/>
              <w:right w:val="single" w:sz="4" w:space="0" w:color="auto"/>
            </w:tcBorders>
            <w:shd w:val="clear" w:color="auto" w:fill="auto"/>
            <w:vAlign w:val="center"/>
          </w:tcPr>
          <w:p w:rsidR="00A10DDB" w:rsidRPr="006315A0" w:rsidRDefault="00A10DDB" w:rsidP="002843FF">
            <w:pPr>
              <w:jc w:val="center"/>
              <w:rPr>
                <w:rFonts w:eastAsia="標楷體"/>
                <w:spacing w:val="-24"/>
                <w:sz w:val="22"/>
                <w:szCs w:val="22"/>
              </w:rPr>
            </w:pPr>
            <w:r w:rsidRPr="006315A0">
              <w:rPr>
                <w:rFonts w:eastAsia="標楷體"/>
                <w:spacing w:val="-24"/>
                <w:sz w:val="22"/>
                <w:szCs w:val="22"/>
              </w:rPr>
              <w:t>金</w:t>
            </w:r>
          </w:p>
          <w:p w:rsidR="00A10DDB" w:rsidRPr="006315A0" w:rsidRDefault="00A10DDB" w:rsidP="002843FF">
            <w:pPr>
              <w:jc w:val="center"/>
              <w:rPr>
                <w:rFonts w:eastAsia="標楷體"/>
                <w:spacing w:val="-24"/>
                <w:sz w:val="22"/>
                <w:szCs w:val="22"/>
              </w:rPr>
            </w:pPr>
            <w:r w:rsidRPr="006315A0">
              <w:rPr>
                <w:rFonts w:eastAsia="標楷體"/>
                <w:spacing w:val="-24"/>
                <w:sz w:val="22"/>
                <w:szCs w:val="22"/>
              </w:rPr>
              <w:t>融</w:t>
            </w:r>
          </w:p>
        </w:tc>
        <w:tc>
          <w:tcPr>
            <w:tcW w:w="1441" w:type="dxa"/>
            <w:gridSpan w:val="3"/>
            <w:tcBorders>
              <w:left w:val="single" w:sz="4" w:space="0" w:color="auto"/>
              <w:right w:val="single" w:sz="4" w:space="0" w:color="auto"/>
            </w:tcBorders>
            <w:shd w:val="clear" w:color="auto" w:fill="auto"/>
            <w:vAlign w:val="center"/>
          </w:tcPr>
          <w:p w:rsidR="00A10DDB" w:rsidRPr="006315A0" w:rsidRDefault="00A10DDB" w:rsidP="002843FF">
            <w:pPr>
              <w:snapToGrid w:val="0"/>
              <w:spacing w:line="300" w:lineRule="exact"/>
              <w:jc w:val="center"/>
              <w:rPr>
                <w:rFonts w:eastAsia="標楷體"/>
                <w:spacing w:val="-20"/>
                <w:sz w:val="22"/>
                <w:szCs w:val="22"/>
              </w:rPr>
            </w:pPr>
            <w:r w:rsidRPr="006315A0">
              <w:rPr>
                <w:rFonts w:eastAsia="標楷體"/>
                <w:spacing w:val="-20"/>
                <w:sz w:val="22"/>
                <w:szCs w:val="22"/>
              </w:rPr>
              <w:t>貨幣供給額</w:t>
            </w:r>
            <w:r w:rsidRPr="006315A0">
              <w:rPr>
                <w:rFonts w:eastAsia="標楷體"/>
                <w:spacing w:val="-20"/>
                <w:sz w:val="22"/>
                <w:szCs w:val="22"/>
              </w:rPr>
              <w:t>M2</w:t>
            </w:r>
          </w:p>
          <w:p w:rsidR="00A10DDB" w:rsidRPr="006315A0" w:rsidRDefault="00A10DDB" w:rsidP="002843FF">
            <w:pPr>
              <w:snapToGrid w:val="0"/>
              <w:spacing w:line="300" w:lineRule="exact"/>
              <w:jc w:val="center"/>
              <w:rPr>
                <w:rFonts w:eastAsia="標楷體"/>
                <w:spacing w:val="-20"/>
                <w:sz w:val="22"/>
                <w:szCs w:val="22"/>
              </w:rPr>
            </w:pPr>
            <w:r w:rsidRPr="006315A0">
              <w:rPr>
                <w:rFonts w:eastAsia="標楷體"/>
                <w:spacing w:val="-20"/>
                <w:sz w:val="22"/>
                <w:szCs w:val="22"/>
              </w:rPr>
              <w:t>年增率</w:t>
            </w:r>
            <w:r w:rsidRPr="006315A0">
              <w:rPr>
                <w:rFonts w:eastAsia="標楷體"/>
                <w:spacing w:val="-20"/>
                <w:sz w:val="22"/>
                <w:szCs w:val="22"/>
              </w:rPr>
              <w:t>(</w:t>
            </w:r>
            <w:r w:rsidRPr="006315A0">
              <w:rPr>
                <w:rFonts w:eastAsia="標楷體"/>
                <w:spacing w:val="-20"/>
                <w:sz w:val="22"/>
                <w:szCs w:val="22"/>
              </w:rPr>
              <w:t>％</w:t>
            </w:r>
            <w:r w:rsidRPr="006315A0">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5.79</w:t>
            </w:r>
          </w:p>
        </w:tc>
        <w:tc>
          <w:tcPr>
            <w:tcW w:w="625"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3.29</w:t>
            </w:r>
          </w:p>
        </w:tc>
        <w:tc>
          <w:tcPr>
            <w:tcW w:w="627"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3.26</w:t>
            </w:r>
          </w:p>
        </w:tc>
        <w:tc>
          <w:tcPr>
            <w:tcW w:w="625"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3.67</w:t>
            </w:r>
          </w:p>
        </w:tc>
        <w:tc>
          <w:tcPr>
            <w:tcW w:w="627"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4.17</w:t>
            </w:r>
          </w:p>
        </w:tc>
        <w:tc>
          <w:tcPr>
            <w:tcW w:w="612"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2.99</w:t>
            </w:r>
          </w:p>
        </w:tc>
        <w:tc>
          <w:tcPr>
            <w:tcW w:w="609"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3.53</w:t>
            </w:r>
          </w:p>
        </w:tc>
        <w:tc>
          <w:tcPr>
            <w:tcW w:w="609"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spacing w:val="-20"/>
                <w:sz w:val="22"/>
                <w:szCs w:val="22"/>
              </w:rPr>
              <w:t>3.78</w:t>
            </w:r>
          </w:p>
        </w:tc>
        <w:tc>
          <w:tcPr>
            <w:tcW w:w="609" w:type="dxa"/>
            <w:tcBorders>
              <w:top w:val="nil"/>
              <w:left w:val="nil"/>
              <w:bottom w:val="nil"/>
              <w:right w:val="nil"/>
            </w:tcBorders>
            <w:shd w:val="clear" w:color="auto" w:fill="auto"/>
            <w:vAlign w:val="center"/>
          </w:tcPr>
          <w:p w:rsidR="00A10DDB" w:rsidRPr="006315A0" w:rsidRDefault="00A10DDB" w:rsidP="002843FF">
            <w:pPr>
              <w:snapToGrid w:val="0"/>
              <w:jc w:val="center"/>
              <w:rPr>
                <w:rFonts w:eastAsia="標楷體"/>
                <w:spacing w:val="-20"/>
                <w:sz w:val="22"/>
                <w:szCs w:val="22"/>
              </w:rPr>
            </w:pPr>
            <w:r w:rsidRPr="006315A0">
              <w:rPr>
                <w:rFonts w:eastAsia="標楷體" w:hint="eastAsia"/>
                <w:spacing w:val="-20"/>
                <w:sz w:val="22"/>
                <w:szCs w:val="22"/>
              </w:rPr>
              <w:t>3.71</w:t>
            </w:r>
          </w:p>
        </w:tc>
        <w:tc>
          <w:tcPr>
            <w:tcW w:w="609"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hint="eastAsia"/>
                <w:spacing w:val="-20"/>
                <w:sz w:val="22"/>
                <w:szCs w:val="22"/>
              </w:rPr>
              <w:t>4.32</w:t>
            </w:r>
          </w:p>
        </w:tc>
        <w:tc>
          <w:tcPr>
            <w:tcW w:w="609"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r w:rsidRPr="006315A0">
              <w:rPr>
                <w:rFonts w:eastAsia="標楷體" w:hint="eastAsia"/>
                <w:spacing w:val="-20"/>
                <w:sz w:val="22"/>
                <w:szCs w:val="22"/>
              </w:rPr>
              <w:t>4.82</w:t>
            </w:r>
          </w:p>
        </w:tc>
        <w:tc>
          <w:tcPr>
            <w:tcW w:w="609" w:type="dxa"/>
            <w:tcBorders>
              <w:top w:val="nil"/>
              <w:left w:val="nil"/>
              <w:bottom w:val="nil"/>
              <w:right w:val="nil"/>
            </w:tcBorders>
            <w:vAlign w:val="center"/>
          </w:tcPr>
          <w:p w:rsidR="00A10DDB" w:rsidRPr="006315A0" w:rsidRDefault="00A10DDB" w:rsidP="006315A0">
            <w:pPr>
              <w:snapToGrid w:val="0"/>
              <w:jc w:val="center"/>
              <w:rPr>
                <w:rFonts w:eastAsia="標楷體"/>
                <w:spacing w:val="-20"/>
                <w:sz w:val="22"/>
                <w:szCs w:val="22"/>
              </w:rPr>
            </w:pPr>
            <w:r>
              <w:rPr>
                <w:rFonts w:eastAsia="標楷體" w:hint="eastAsia"/>
                <w:spacing w:val="-20"/>
                <w:sz w:val="22"/>
                <w:szCs w:val="22"/>
              </w:rPr>
              <w:t>3.86</w:t>
            </w:r>
          </w:p>
        </w:tc>
        <w:tc>
          <w:tcPr>
            <w:tcW w:w="609" w:type="dxa"/>
            <w:tcBorders>
              <w:top w:val="nil"/>
              <w:left w:val="nil"/>
              <w:bottom w:val="nil"/>
              <w:right w:val="nil"/>
            </w:tcBorders>
            <w:vAlign w:val="center"/>
          </w:tcPr>
          <w:p w:rsidR="00A10DDB" w:rsidRPr="006315A0" w:rsidRDefault="00A10DDB" w:rsidP="002843FF">
            <w:pPr>
              <w:snapToGrid w:val="0"/>
              <w:jc w:val="center"/>
              <w:rPr>
                <w:rFonts w:eastAsia="標楷體"/>
                <w:spacing w:val="-20"/>
                <w:sz w:val="22"/>
                <w:szCs w:val="22"/>
              </w:rPr>
            </w:pPr>
          </w:p>
        </w:tc>
      </w:tr>
      <w:tr w:rsidR="00A10DDB" w:rsidRPr="00EB5BA8" w:rsidTr="00A10DDB">
        <w:trPr>
          <w:cantSplit/>
          <w:jc w:val="center"/>
        </w:trPr>
        <w:tc>
          <w:tcPr>
            <w:tcW w:w="316" w:type="dxa"/>
            <w:vMerge w:val="restart"/>
            <w:tcBorders>
              <w:left w:val="nil"/>
              <w:right w:val="single" w:sz="4" w:space="0" w:color="auto"/>
            </w:tcBorders>
            <w:shd w:val="clear" w:color="auto" w:fill="auto"/>
            <w:vAlign w:val="center"/>
          </w:tcPr>
          <w:p w:rsidR="00A10DDB" w:rsidRPr="00EB5BA8" w:rsidRDefault="00A10DDB" w:rsidP="002843FF">
            <w:pPr>
              <w:jc w:val="center"/>
              <w:rPr>
                <w:rFonts w:eastAsia="標楷體"/>
                <w:spacing w:val="-24"/>
                <w:sz w:val="22"/>
                <w:szCs w:val="22"/>
              </w:rPr>
            </w:pPr>
            <w:r w:rsidRPr="00EB5BA8">
              <w:rPr>
                <w:rFonts w:eastAsia="標楷體"/>
                <w:spacing w:val="-24"/>
                <w:sz w:val="22"/>
                <w:szCs w:val="22"/>
              </w:rPr>
              <w:t>就</w:t>
            </w:r>
          </w:p>
          <w:p w:rsidR="00A10DDB" w:rsidRPr="00EB5BA8" w:rsidRDefault="00A10DDB" w:rsidP="002843FF">
            <w:pPr>
              <w:jc w:val="center"/>
              <w:rPr>
                <w:rFonts w:eastAsia="標楷體"/>
                <w:spacing w:val="-24"/>
                <w:sz w:val="22"/>
                <w:szCs w:val="22"/>
              </w:rPr>
            </w:pPr>
            <w:r w:rsidRPr="00EB5BA8">
              <w:rPr>
                <w:rFonts w:eastAsia="標楷體"/>
                <w:spacing w:val="-24"/>
                <w:sz w:val="22"/>
                <w:szCs w:val="22"/>
              </w:rPr>
              <w:t>業</w:t>
            </w:r>
          </w:p>
        </w:tc>
        <w:tc>
          <w:tcPr>
            <w:tcW w:w="1441" w:type="dxa"/>
            <w:gridSpan w:val="3"/>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就業人數</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1,070.9</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1,089.7</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1,091.8</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1,093.1</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1,086.0</w:t>
            </w:r>
          </w:p>
        </w:tc>
        <w:tc>
          <w:tcPr>
            <w:tcW w:w="612"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1,093.5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1,091.5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1,092.1</w:t>
            </w:r>
          </w:p>
        </w:tc>
        <w:tc>
          <w:tcPr>
            <w:tcW w:w="609"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1,092.9</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1,093.9</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1,095.9</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p>
        </w:tc>
      </w:tr>
      <w:tr w:rsidR="00A10DDB" w:rsidRPr="00EB5BA8" w:rsidTr="00A10DDB">
        <w:trPr>
          <w:cantSplit/>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both"/>
              <w:rPr>
                <w:rFonts w:eastAsia="標楷體"/>
                <w:spacing w:val="-24"/>
                <w:sz w:val="22"/>
                <w:szCs w:val="22"/>
              </w:rPr>
            </w:pPr>
          </w:p>
        </w:tc>
        <w:tc>
          <w:tcPr>
            <w:tcW w:w="1441" w:type="dxa"/>
            <w:gridSpan w:val="3"/>
            <w:tcBorders>
              <w:left w:val="single" w:sz="4" w:space="0" w:color="auto"/>
              <w:bottom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失業人數</w:t>
            </w:r>
          </w:p>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w:t>
            </w:r>
            <w:r w:rsidRPr="00EB5BA8">
              <w:rPr>
                <w:rFonts w:eastAsia="標楷體"/>
                <w:spacing w:val="-20"/>
                <w:sz w:val="22"/>
                <w:szCs w:val="22"/>
              </w:rPr>
              <w:t>萬人</w:t>
            </w:r>
            <w:r w:rsidRPr="00EB5BA8">
              <w:rPr>
                <w:rFonts w:eastAsia="標楷體"/>
                <w:spacing w:val="-20"/>
                <w:sz w:val="22"/>
                <w:szCs w:val="22"/>
              </w:rPr>
              <w:t>)</w:t>
            </w:r>
          </w:p>
        </w:tc>
        <w:tc>
          <w:tcPr>
            <w:tcW w:w="752"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spacing w:val="-20"/>
                <w:sz w:val="22"/>
                <w:szCs w:val="22"/>
              </w:rPr>
            </w:pPr>
            <w:r w:rsidRPr="00EB5BA8">
              <w:rPr>
                <w:rFonts w:eastAsia="標楷體"/>
                <w:spacing w:val="-20"/>
                <w:sz w:val="22"/>
                <w:szCs w:val="22"/>
              </w:rPr>
              <w:t>49.1</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49.3</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48.7</w:t>
            </w:r>
          </w:p>
        </w:tc>
        <w:tc>
          <w:tcPr>
            <w:tcW w:w="625"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47.7</w:t>
            </w:r>
          </w:p>
        </w:tc>
        <w:tc>
          <w:tcPr>
            <w:tcW w:w="627"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48.1</w:t>
            </w:r>
          </w:p>
        </w:tc>
        <w:tc>
          <w:tcPr>
            <w:tcW w:w="612"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48.3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47.5</w:t>
            </w:r>
          </w:p>
        </w:tc>
        <w:tc>
          <w:tcPr>
            <w:tcW w:w="609" w:type="dxa"/>
            <w:tcBorders>
              <w:top w:val="nil"/>
              <w:left w:val="nil"/>
              <w:bottom w:val="nil"/>
              <w:right w:val="nil"/>
            </w:tcBorders>
            <w:shd w:val="clear" w:color="auto" w:fill="auto"/>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46.4</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46.3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47.3</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47.2</w:t>
            </w:r>
          </w:p>
        </w:tc>
        <w:tc>
          <w:tcPr>
            <w:tcW w:w="609" w:type="dxa"/>
            <w:tcBorders>
              <w:top w:val="nil"/>
              <w:left w:val="nil"/>
              <w:bottom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p>
        </w:tc>
      </w:tr>
      <w:tr w:rsidR="00A10DDB" w:rsidRPr="00EB5BA8" w:rsidTr="00A10DDB">
        <w:trPr>
          <w:cantSplit/>
          <w:trHeight w:val="435"/>
          <w:jc w:val="center"/>
        </w:trPr>
        <w:tc>
          <w:tcPr>
            <w:tcW w:w="316" w:type="dxa"/>
            <w:vMerge/>
            <w:tcBorders>
              <w:left w:val="nil"/>
              <w:right w:val="single" w:sz="4" w:space="0" w:color="auto"/>
            </w:tcBorders>
            <w:shd w:val="clear" w:color="auto" w:fill="auto"/>
            <w:vAlign w:val="center"/>
          </w:tcPr>
          <w:p w:rsidR="00A10DDB" w:rsidRPr="00EB5BA8" w:rsidRDefault="00A10DDB" w:rsidP="002843FF">
            <w:pPr>
              <w:jc w:val="both"/>
              <w:rPr>
                <w:rFonts w:eastAsia="標楷體"/>
                <w:spacing w:val="-24"/>
                <w:sz w:val="22"/>
                <w:szCs w:val="22"/>
              </w:rPr>
            </w:pPr>
          </w:p>
        </w:tc>
        <w:tc>
          <w:tcPr>
            <w:tcW w:w="1441" w:type="dxa"/>
            <w:gridSpan w:val="3"/>
            <w:tcBorders>
              <w:left w:val="single" w:sz="4" w:space="0" w:color="auto"/>
              <w:right w:val="single" w:sz="4" w:space="0" w:color="auto"/>
            </w:tcBorders>
            <w:shd w:val="clear" w:color="auto" w:fill="auto"/>
            <w:vAlign w:val="center"/>
          </w:tcPr>
          <w:p w:rsidR="00A10DDB" w:rsidRPr="00EB5BA8" w:rsidRDefault="00A10DDB" w:rsidP="002843FF">
            <w:pPr>
              <w:snapToGrid w:val="0"/>
              <w:spacing w:line="300" w:lineRule="exact"/>
              <w:jc w:val="center"/>
              <w:rPr>
                <w:rFonts w:eastAsia="標楷體"/>
                <w:spacing w:val="-20"/>
                <w:sz w:val="22"/>
                <w:szCs w:val="22"/>
              </w:rPr>
            </w:pPr>
            <w:r w:rsidRPr="00EB5BA8">
              <w:rPr>
                <w:rFonts w:eastAsia="標楷體"/>
                <w:spacing w:val="-20"/>
                <w:sz w:val="22"/>
                <w:szCs w:val="22"/>
              </w:rPr>
              <w:t>失業率</w:t>
            </w:r>
            <w:r w:rsidRPr="00EB5BA8">
              <w:rPr>
                <w:rFonts w:eastAsia="標楷體"/>
                <w:spacing w:val="-20"/>
                <w:sz w:val="22"/>
                <w:szCs w:val="22"/>
              </w:rPr>
              <w:t>(</w:t>
            </w:r>
            <w:r w:rsidRPr="00EB5BA8">
              <w:rPr>
                <w:rFonts w:eastAsia="標楷體"/>
                <w:spacing w:val="-20"/>
                <w:sz w:val="22"/>
                <w:szCs w:val="22"/>
              </w:rPr>
              <w:t>％</w:t>
            </w:r>
            <w:r w:rsidRPr="00EB5BA8">
              <w:rPr>
                <w:rFonts w:eastAsia="標楷體"/>
                <w:spacing w:val="-20"/>
                <w:sz w:val="22"/>
                <w:szCs w:val="22"/>
              </w:rPr>
              <w:t>)</w:t>
            </w:r>
          </w:p>
        </w:tc>
        <w:tc>
          <w:tcPr>
            <w:tcW w:w="752" w:type="dxa"/>
            <w:tcBorders>
              <w:top w:val="nil"/>
              <w:left w:val="nil"/>
              <w:right w:val="nil"/>
            </w:tcBorders>
            <w:shd w:val="clear" w:color="auto" w:fill="auto"/>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4.39</w:t>
            </w:r>
          </w:p>
        </w:tc>
        <w:tc>
          <w:tcPr>
            <w:tcW w:w="625"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4.33</w:t>
            </w:r>
          </w:p>
        </w:tc>
        <w:tc>
          <w:tcPr>
            <w:tcW w:w="627"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4.27</w:t>
            </w:r>
          </w:p>
        </w:tc>
        <w:tc>
          <w:tcPr>
            <w:tcW w:w="625"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4.18</w:t>
            </w:r>
          </w:p>
        </w:tc>
        <w:tc>
          <w:tcPr>
            <w:tcW w:w="627"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12"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4.16</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4.24</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sidRPr="00EB5BA8">
              <w:rPr>
                <w:rFonts w:eastAsia="標楷體"/>
                <w:color w:val="000000" w:themeColor="text1"/>
                <w:spacing w:val="-20"/>
                <w:sz w:val="22"/>
                <w:szCs w:val="22"/>
              </w:rPr>
              <w:t>4.17</w:t>
            </w:r>
          </w:p>
        </w:tc>
        <w:tc>
          <w:tcPr>
            <w:tcW w:w="609" w:type="dxa"/>
            <w:tcBorders>
              <w:top w:val="nil"/>
              <w:left w:val="nil"/>
              <w:right w:val="nil"/>
            </w:tcBorders>
            <w:shd w:val="clear" w:color="auto" w:fill="auto"/>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4.07</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4.06</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4.14</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4.14</w:t>
            </w:r>
          </w:p>
        </w:tc>
        <w:tc>
          <w:tcPr>
            <w:tcW w:w="609" w:type="dxa"/>
            <w:tcBorders>
              <w:top w:val="nil"/>
              <w:left w:val="nil"/>
              <w:right w:val="nil"/>
            </w:tcBorders>
            <w:vAlign w:val="center"/>
          </w:tcPr>
          <w:p w:rsidR="00A10DDB" w:rsidRPr="00EB5BA8" w:rsidRDefault="00A10DDB" w:rsidP="002843FF">
            <w:pPr>
              <w:snapToGrid w:val="0"/>
              <w:jc w:val="center"/>
              <w:rPr>
                <w:rFonts w:eastAsia="標楷體"/>
                <w:color w:val="000000" w:themeColor="text1"/>
                <w:spacing w:val="-20"/>
                <w:sz w:val="22"/>
                <w:szCs w:val="22"/>
              </w:rPr>
            </w:pPr>
          </w:p>
        </w:tc>
      </w:tr>
    </w:tbl>
    <w:p w:rsidR="00205F1A" w:rsidRDefault="00205F1A" w:rsidP="00EB747B">
      <w:pPr>
        <w:rPr>
          <w:rFonts w:eastAsia="標楷體"/>
          <w:sz w:val="22"/>
          <w:szCs w:val="22"/>
        </w:rPr>
      </w:pPr>
      <w:proofErr w:type="gramStart"/>
      <w:r w:rsidRPr="00205F1A">
        <w:rPr>
          <w:rFonts w:eastAsia="標楷體" w:hint="eastAsia"/>
          <w:sz w:val="22"/>
          <w:szCs w:val="22"/>
        </w:rPr>
        <w:t>註</w:t>
      </w:r>
      <w:proofErr w:type="gramEnd"/>
      <w:r w:rsidRPr="00205F1A">
        <w:rPr>
          <w:rFonts w:eastAsia="標楷體" w:hint="eastAsia"/>
          <w:sz w:val="22"/>
          <w:szCs w:val="22"/>
        </w:rPr>
        <w:t>：</w:t>
      </w:r>
      <w:proofErr w:type="gramStart"/>
      <w:r w:rsidRPr="00205F1A">
        <w:rPr>
          <w:rFonts w:eastAsia="標楷體" w:hint="eastAsia"/>
          <w:sz w:val="22"/>
          <w:szCs w:val="22"/>
        </w:rPr>
        <w:t>＊</w:t>
      </w:r>
      <w:proofErr w:type="gramEnd"/>
      <w:r w:rsidRPr="00205F1A">
        <w:rPr>
          <w:rFonts w:eastAsia="標楷體" w:hint="eastAsia"/>
          <w:sz w:val="22"/>
          <w:szCs w:val="22"/>
        </w:rPr>
        <w:t>為行政院主計總處</w:t>
      </w:r>
      <w:r w:rsidRPr="00205F1A">
        <w:rPr>
          <w:rFonts w:eastAsia="標楷體" w:hint="eastAsia"/>
          <w:sz w:val="22"/>
          <w:szCs w:val="22"/>
        </w:rPr>
        <w:t>102</w:t>
      </w:r>
      <w:r w:rsidR="00DB48A9">
        <w:rPr>
          <w:rFonts w:eastAsia="標楷體" w:hint="eastAsia"/>
          <w:sz w:val="22"/>
          <w:szCs w:val="22"/>
        </w:rPr>
        <w:t>年</w:t>
      </w:r>
      <w:r w:rsidRPr="00205F1A">
        <w:rPr>
          <w:rFonts w:eastAsia="標楷體" w:hint="eastAsia"/>
          <w:sz w:val="22"/>
          <w:szCs w:val="22"/>
        </w:rPr>
        <w:t>7</w:t>
      </w:r>
      <w:r w:rsidR="00DB48A9">
        <w:rPr>
          <w:rFonts w:eastAsia="標楷體" w:hint="eastAsia"/>
          <w:sz w:val="22"/>
          <w:szCs w:val="22"/>
        </w:rPr>
        <w:t>月</w:t>
      </w:r>
      <w:r w:rsidRPr="00205F1A">
        <w:rPr>
          <w:rFonts w:eastAsia="標楷體" w:hint="eastAsia"/>
          <w:sz w:val="22"/>
          <w:szCs w:val="22"/>
        </w:rPr>
        <w:t>31</w:t>
      </w:r>
      <w:r w:rsidR="00DB48A9">
        <w:rPr>
          <w:rFonts w:eastAsia="標楷體" w:hint="eastAsia"/>
          <w:sz w:val="22"/>
          <w:szCs w:val="22"/>
        </w:rPr>
        <w:t>日</w:t>
      </w:r>
      <w:r w:rsidRPr="00205F1A">
        <w:rPr>
          <w:rFonts w:eastAsia="標楷體" w:hint="eastAsia"/>
          <w:sz w:val="22"/>
          <w:szCs w:val="22"/>
        </w:rPr>
        <w:t>最新資料。</w:t>
      </w:r>
    </w:p>
    <w:p w:rsidR="00FF0855" w:rsidRPr="006315A0" w:rsidRDefault="00EB747B" w:rsidP="00EB747B">
      <w:pPr>
        <w:rPr>
          <w:rFonts w:eastAsia="標楷體"/>
          <w:sz w:val="22"/>
          <w:szCs w:val="22"/>
        </w:rPr>
      </w:pPr>
      <w:r w:rsidRPr="006315A0">
        <w:rPr>
          <w:rFonts w:eastAsia="標楷體"/>
          <w:sz w:val="22"/>
          <w:szCs w:val="22"/>
        </w:rPr>
        <w:t>資料來源：行政院主計總處、中央銀行、經濟部。</w:t>
      </w:r>
    </w:p>
    <w:p w:rsidR="003D2281" w:rsidRPr="003111E1"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3D2281" w:rsidRPr="003111E1" w:rsidRDefault="003D2281" w:rsidP="008D247F">
      <w:pPr>
        <w:pStyle w:val="2"/>
        <w:spacing w:after="360"/>
        <w:jc w:val="center"/>
        <w:rPr>
          <w:b w:val="0"/>
          <w:sz w:val="28"/>
        </w:rPr>
      </w:pPr>
      <w:bookmarkStart w:id="31" w:name="_Toc358042568"/>
      <w:r w:rsidRPr="003111E1">
        <w:rPr>
          <w:sz w:val="28"/>
        </w:rPr>
        <w:t>表</w:t>
      </w:r>
      <w:r w:rsidRPr="003111E1">
        <w:rPr>
          <w:sz w:val="28"/>
        </w:rPr>
        <w:t xml:space="preserve">4  </w:t>
      </w:r>
      <w:r w:rsidRPr="003111E1">
        <w:rPr>
          <w:sz w:val="28"/>
        </w:rPr>
        <w:t>中國大陸主要經濟指標</w:t>
      </w:r>
      <w:bookmarkEnd w:id="31"/>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3111E1" w:rsidRPr="00DB4F5B" w:rsidTr="00FF4D71">
        <w:trPr>
          <w:cantSplit/>
          <w:trHeight w:val="652"/>
        </w:trPr>
        <w:tc>
          <w:tcPr>
            <w:tcW w:w="2626" w:type="dxa"/>
            <w:gridSpan w:val="3"/>
            <w:tcBorders>
              <w:left w:val="nil"/>
              <w:bottom w:val="single" w:sz="4" w:space="0" w:color="auto"/>
            </w:tcBorders>
            <w:vAlign w:val="center"/>
          </w:tcPr>
          <w:p w:rsidR="003111E1" w:rsidRPr="00DB4F5B" w:rsidRDefault="003111E1" w:rsidP="00FF4D71">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3111E1" w:rsidRPr="00DB4F5B" w:rsidRDefault="003111E1" w:rsidP="00FF4D71">
            <w:pPr>
              <w:snapToGrid w:val="0"/>
              <w:spacing w:before="120" w:line="240" w:lineRule="exact"/>
              <w:jc w:val="center"/>
              <w:rPr>
                <w:rFonts w:eastAsia="標楷體"/>
              </w:rPr>
            </w:pPr>
            <w:r w:rsidRPr="00DB4F5B">
              <w:rPr>
                <w:rFonts w:eastAsia="標楷體"/>
              </w:rPr>
              <w:t>2008</w:t>
            </w:r>
            <w:r w:rsidRPr="00DB4F5B">
              <w:rPr>
                <w:rFonts w:eastAsia="標楷體"/>
              </w:rPr>
              <w:t>年</w:t>
            </w:r>
          </w:p>
        </w:tc>
        <w:tc>
          <w:tcPr>
            <w:tcW w:w="1116" w:type="dxa"/>
            <w:tcBorders>
              <w:bottom w:val="single" w:sz="4" w:space="0" w:color="auto"/>
            </w:tcBorders>
            <w:vAlign w:val="center"/>
          </w:tcPr>
          <w:p w:rsidR="003111E1" w:rsidRPr="00DB4F5B" w:rsidRDefault="003111E1" w:rsidP="00FF4D71">
            <w:pPr>
              <w:snapToGrid w:val="0"/>
              <w:spacing w:before="120" w:line="240" w:lineRule="exact"/>
              <w:jc w:val="center"/>
              <w:rPr>
                <w:rFonts w:eastAsia="標楷體"/>
              </w:rPr>
            </w:pPr>
            <w:r w:rsidRPr="00DB4F5B">
              <w:rPr>
                <w:rFonts w:eastAsia="標楷體"/>
              </w:rPr>
              <w:t>2009</w:t>
            </w:r>
            <w:r w:rsidRPr="00DB4F5B">
              <w:rPr>
                <w:rFonts w:eastAsia="標楷體"/>
              </w:rPr>
              <w:t>年</w:t>
            </w:r>
          </w:p>
        </w:tc>
        <w:tc>
          <w:tcPr>
            <w:tcW w:w="1117" w:type="dxa"/>
            <w:tcBorders>
              <w:bottom w:val="single" w:sz="4" w:space="0" w:color="auto"/>
            </w:tcBorders>
            <w:vAlign w:val="center"/>
          </w:tcPr>
          <w:p w:rsidR="003111E1" w:rsidRPr="00DB4F5B" w:rsidRDefault="003111E1" w:rsidP="00FF4D71">
            <w:pPr>
              <w:snapToGrid w:val="0"/>
              <w:spacing w:before="120" w:line="240" w:lineRule="exact"/>
              <w:jc w:val="center"/>
              <w:rPr>
                <w:rFonts w:eastAsia="標楷體"/>
              </w:rPr>
            </w:pPr>
            <w:r w:rsidRPr="00DB4F5B">
              <w:rPr>
                <w:rFonts w:eastAsia="標楷體"/>
              </w:rPr>
              <w:t>2010</w:t>
            </w:r>
            <w:r w:rsidRPr="00DB4F5B">
              <w:rPr>
                <w:rFonts w:eastAsia="標楷體"/>
              </w:rPr>
              <w:t>年</w:t>
            </w:r>
          </w:p>
        </w:tc>
        <w:tc>
          <w:tcPr>
            <w:tcW w:w="1193" w:type="dxa"/>
            <w:tcBorders>
              <w:bottom w:val="single" w:sz="4" w:space="0" w:color="auto"/>
            </w:tcBorders>
            <w:vAlign w:val="center"/>
          </w:tcPr>
          <w:p w:rsidR="003111E1" w:rsidRPr="00DB4F5B" w:rsidRDefault="003111E1" w:rsidP="00FF4D71">
            <w:pPr>
              <w:snapToGrid w:val="0"/>
              <w:spacing w:before="120" w:line="240" w:lineRule="exact"/>
              <w:jc w:val="center"/>
              <w:rPr>
                <w:rFonts w:eastAsia="標楷體"/>
              </w:rPr>
            </w:pPr>
            <w:r w:rsidRPr="00DB4F5B">
              <w:rPr>
                <w:rFonts w:eastAsia="標楷體"/>
              </w:rPr>
              <w:t>2011</w:t>
            </w:r>
            <w:r w:rsidRPr="00DB4F5B">
              <w:rPr>
                <w:rFonts w:eastAsia="標楷體"/>
              </w:rPr>
              <w:t>年</w:t>
            </w:r>
          </w:p>
        </w:tc>
        <w:tc>
          <w:tcPr>
            <w:tcW w:w="1431" w:type="dxa"/>
            <w:tcBorders>
              <w:bottom w:val="single" w:sz="4" w:space="0" w:color="auto"/>
              <w:right w:val="nil"/>
            </w:tcBorders>
            <w:vAlign w:val="center"/>
          </w:tcPr>
          <w:p w:rsidR="003111E1" w:rsidRPr="00DB4F5B" w:rsidRDefault="003111E1" w:rsidP="00FF4D71">
            <w:pPr>
              <w:snapToGrid w:val="0"/>
              <w:spacing w:before="120" w:line="240" w:lineRule="exact"/>
              <w:jc w:val="center"/>
              <w:rPr>
                <w:rFonts w:eastAsia="標楷體"/>
              </w:rPr>
            </w:pPr>
            <w:r w:rsidRPr="00DB4F5B">
              <w:rPr>
                <w:rFonts w:eastAsia="標楷體"/>
              </w:rPr>
              <w:t>2012</w:t>
            </w:r>
            <w:r w:rsidRPr="00DB4F5B">
              <w:rPr>
                <w:rFonts w:eastAsia="標楷體"/>
              </w:rPr>
              <w:t>年</w:t>
            </w:r>
          </w:p>
        </w:tc>
        <w:tc>
          <w:tcPr>
            <w:tcW w:w="1431" w:type="dxa"/>
            <w:tcBorders>
              <w:bottom w:val="single" w:sz="4" w:space="0" w:color="auto"/>
              <w:right w:val="nil"/>
            </w:tcBorders>
            <w:vAlign w:val="center"/>
          </w:tcPr>
          <w:p w:rsidR="003111E1" w:rsidRPr="00DB4F5B" w:rsidRDefault="003111E1" w:rsidP="00FF4D71">
            <w:pPr>
              <w:snapToGrid w:val="0"/>
              <w:spacing w:before="120" w:line="240" w:lineRule="exact"/>
              <w:jc w:val="both"/>
              <w:rPr>
                <w:rFonts w:eastAsia="標楷體"/>
                <w:sz w:val="22"/>
                <w:szCs w:val="22"/>
              </w:rPr>
            </w:pPr>
            <w:r w:rsidRPr="00DB4F5B">
              <w:rPr>
                <w:rFonts w:eastAsia="標楷體"/>
                <w:sz w:val="22"/>
                <w:szCs w:val="22"/>
              </w:rPr>
              <w:t>2013</w:t>
            </w:r>
            <w:r w:rsidRPr="00DB4F5B">
              <w:rPr>
                <w:rFonts w:eastAsia="標楷體"/>
                <w:sz w:val="22"/>
                <w:szCs w:val="22"/>
              </w:rPr>
              <w:t>年</w:t>
            </w:r>
            <w:r w:rsidRPr="00DB4F5B">
              <w:rPr>
                <w:rFonts w:eastAsia="標楷體"/>
                <w:sz w:val="22"/>
                <w:szCs w:val="22"/>
              </w:rPr>
              <w:t>1~6</w:t>
            </w:r>
            <w:r w:rsidRPr="00DB4F5B">
              <w:rPr>
                <w:rFonts w:eastAsia="標楷體"/>
                <w:sz w:val="22"/>
                <w:szCs w:val="22"/>
              </w:rPr>
              <w:t>月</w:t>
            </w:r>
          </w:p>
        </w:tc>
      </w:tr>
      <w:tr w:rsidR="003111E1" w:rsidRPr="00DB4F5B" w:rsidTr="00FF4D71">
        <w:trPr>
          <w:cantSplit/>
          <w:trHeight w:hRule="exact" w:val="773"/>
        </w:trPr>
        <w:tc>
          <w:tcPr>
            <w:tcW w:w="1126" w:type="dxa"/>
            <w:gridSpan w:val="2"/>
            <w:vMerge w:val="restart"/>
            <w:tcBorders>
              <w:top w:val="single" w:sz="4" w:space="0" w:color="auto"/>
              <w:left w:val="nil"/>
              <w:bottom w:val="double" w:sz="4" w:space="0" w:color="auto"/>
            </w:tcBorders>
            <w:vAlign w:val="center"/>
          </w:tcPr>
          <w:p w:rsidR="003111E1" w:rsidRPr="00DB4F5B" w:rsidRDefault="003111E1" w:rsidP="003111E1">
            <w:pPr>
              <w:keepNext/>
              <w:widowControl/>
              <w:snapToGrid w:val="0"/>
              <w:spacing w:afterLines="50" w:after="180" w:line="300" w:lineRule="auto"/>
              <w:jc w:val="center"/>
              <w:outlineLvl w:val="0"/>
              <w:rPr>
                <w:rFonts w:eastAsia="標楷體"/>
                <w:bCs/>
                <w:kern w:val="0"/>
                <w:szCs w:val="40"/>
              </w:rPr>
            </w:pPr>
            <w:r w:rsidRPr="00DB4F5B">
              <w:rPr>
                <w:rFonts w:eastAsia="標楷體"/>
                <w:bCs/>
                <w:kern w:val="0"/>
                <w:szCs w:val="40"/>
              </w:rPr>
              <w:t>國內生</w:t>
            </w:r>
            <w:r w:rsidRPr="00DB4F5B">
              <w:rPr>
                <w:rFonts w:eastAsia="標楷體"/>
                <w:bCs/>
                <w:kern w:val="0"/>
                <w:szCs w:val="40"/>
              </w:rPr>
              <w:br/>
            </w:r>
            <w:r w:rsidRPr="00DB4F5B">
              <w:rPr>
                <w:rFonts w:eastAsia="標楷體"/>
                <w:bCs/>
                <w:kern w:val="0"/>
                <w:szCs w:val="40"/>
              </w:rPr>
              <w:t>產總值</w:t>
            </w:r>
          </w:p>
          <w:p w:rsidR="003111E1" w:rsidRPr="00DB4F5B" w:rsidRDefault="003111E1" w:rsidP="00FF4D71">
            <w:pPr>
              <w:snapToGrid w:val="0"/>
              <w:spacing w:line="300" w:lineRule="auto"/>
              <w:jc w:val="center"/>
              <w:rPr>
                <w:rFonts w:eastAsia="標楷體"/>
              </w:rPr>
            </w:pPr>
            <w:r w:rsidRPr="00DB4F5B">
              <w:rPr>
                <w:rFonts w:eastAsia="標楷體"/>
              </w:rPr>
              <w:t>（</w:t>
            </w:r>
            <w:r w:rsidRPr="00DB4F5B">
              <w:rPr>
                <w:rFonts w:eastAsia="標楷體"/>
              </w:rPr>
              <w:t>GDP</w:t>
            </w:r>
            <w:r w:rsidRPr="00DB4F5B">
              <w:rPr>
                <w:rFonts w:eastAsia="標楷體"/>
              </w:rPr>
              <w:t>）</w:t>
            </w:r>
          </w:p>
        </w:tc>
        <w:tc>
          <w:tcPr>
            <w:tcW w:w="1500" w:type="dxa"/>
            <w:tcBorders>
              <w:top w:val="single" w:sz="4" w:space="0" w:color="auto"/>
              <w:bottom w:val="single" w:sz="4" w:space="0" w:color="auto"/>
            </w:tcBorders>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（億人民幣）</w:t>
            </w:r>
          </w:p>
        </w:tc>
        <w:tc>
          <w:tcPr>
            <w:tcW w:w="1117" w:type="dxa"/>
            <w:tcBorders>
              <w:top w:val="single" w:sz="4" w:space="0" w:color="auto"/>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314,045</w:t>
            </w:r>
          </w:p>
        </w:tc>
        <w:tc>
          <w:tcPr>
            <w:tcW w:w="1116" w:type="dxa"/>
            <w:tcBorders>
              <w:top w:val="single" w:sz="4" w:space="0" w:color="auto"/>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340,903</w:t>
            </w:r>
          </w:p>
        </w:tc>
        <w:tc>
          <w:tcPr>
            <w:tcW w:w="1117" w:type="dxa"/>
            <w:tcBorders>
              <w:top w:val="single" w:sz="4" w:space="0" w:color="auto"/>
              <w:left w:val="nil"/>
              <w:bottom w:val="nil"/>
              <w:right w:val="nil"/>
            </w:tcBorders>
            <w:vAlign w:val="center"/>
          </w:tcPr>
          <w:p w:rsidR="003111E1" w:rsidRPr="00DB4F5B" w:rsidRDefault="003111E1" w:rsidP="00FF4D71">
            <w:pPr>
              <w:snapToGrid w:val="0"/>
              <w:spacing w:line="280" w:lineRule="exact"/>
              <w:ind w:rightChars="50" w:right="120"/>
              <w:jc w:val="right"/>
              <w:rPr>
                <w:rFonts w:eastAsia="標楷體"/>
              </w:rPr>
            </w:pPr>
          </w:p>
          <w:p w:rsidR="003111E1" w:rsidRPr="00DB4F5B" w:rsidRDefault="003111E1" w:rsidP="00FF4D71">
            <w:pPr>
              <w:snapToGrid w:val="0"/>
              <w:spacing w:line="280" w:lineRule="exact"/>
              <w:ind w:rightChars="50" w:right="120"/>
              <w:jc w:val="right"/>
              <w:rPr>
                <w:rFonts w:eastAsia="標楷體"/>
              </w:rPr>
            </w:pPr>
            <w:r w:rsidRPr="00DB4F5B">
              <w:rPr>
                <w:rFonts w:eastAsia="標楷體"/>
              </w:rPr>
              <w:t>397,983</w:t>
            </w:r>
          </w:p>
          <w:p w:rsidR="003111E1" w:rsidRPr="00DB4F5B" w:rsidRDefault="003111E1" w:rsidP="00FF4D71">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471,564</w:t>
            </w:r>
          </w:p>
        </w:tc>
        <w:tc>
          <w:tcPr>
            <w:tcW w:w="1431" w:type="dxa"/>
            <w:tcBorders>
              <w:top w:val="single" w:sz="4" w:space="0" w:color="auto"/>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519,322</w:t>
            </w:r>
          </w:p>
        </w:tc>
        <w:tc>
          <w:tcPr>
            <w:tcW w:w="1431" w:type="dxa"/>
            <w:tcBorders>
              <w:top w:val="single" w:sz="4" w:space="0" w:color="auto"/>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248,009</w:t>
            </w:r>
          </w:p>
        </w:tc>
      </w:tr>
      <w:tr w:rsidR="003111E1" w:rsidRPr="00DB4F5B" w:rsidTr="00FF4D71">
        <w:trPr>
          <w:cantSplit/>
          <w:trHeight w:hRule="exact" w:val="841"/>
        </w:trPr>
        <w:tc>
          <w:tcPr>
            <w:tcW w:w="1126" w:type="dxa"/>
            <w:gridSpan w:val="2"/>
            <w:vMerge/>
            <w:tcBorders>
              <w:top w:val="double" w:sz="4" w:space="0" w:color="auto"/>
              <w:left w:val="nil"/>
              <w:bottom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bottom w:val="single" w:sz="4" w:space="0" w:color="auto"/>
            </w:tcBorders>
          </w:tcPr>
          <w:p w:rsidR="003111E1" w:rsidRPr="00DB4F5B" w:rsidRDefault="003111E1" w:rsidP="00FF4D71">
            <w:pPr>
              <w:snapToGrid w:val="0"/>
              <w:spacing w:line="240" w:lineRule="atLeast"/>
              <w:jc w:val="center"/>
              <w:rPr>
                <w:rFonts w:eastAsia="標楷體"/>
              </w:rPr>
            </w:pPr>
            <w:r w:rsidRPr="00DB4F5B">
              <w:rPr>
                <w:rFonts w:eastAsia="標楷體"/>
              </w:rPr>
              <w:t>成長率</w:t>
            </w:r>
          </w:p>
          <w:p w:rsidR="003111E1" w:rsidRPr="00DB4F5B" w:rsidRDefault="003111E1" w:rsidP="00FF4D71">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9.6</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9.2</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10.4</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9.2</w:t>
            </w:r>
          </w:p>
        </w:tc>
        <w:tc>
          <w:tcPr>
            <w:tcW w:w="1431" w:type="dxa"/>
            <w:tcBorders>
              <w:top w:val="nil"/>
              <w:left w:val="nil"/>
              <w:bottom w:val="nil"/>
              <w:right w:val="nil"/>
            </w:tcBorders>
            <w:vAlign w:val="center"/>
          </w:tcPr>
          <w:p w:rsidR="003111E1" w:rsidRPr="00DB4F5B" w:rsidRDefault="003111E1" w:rsidP="00FF4D71">
            <w:pPr>
              <w:snapToGrid w:val="0"/>
              <w:spacing w:line="280" w:lineRule="exact"/>
              <w:ind w:rightChars="50" w:right="120"/>
              <w:jc w:val="right"/>
              <w:rPr>
                <w:rFonts w:eastAsia="標楷體"/>
              </w:rPr>
            </w:pPr>
            <w:r w:rsidRPr="00DB4F5B">
              <w:rPr>
                <w:rFonts w:eastAsia="標楷體"/>
              </w:rPr>
              <w:t>7.8</w:t>
            </w:r>
          </w:p>
        </w:tc>
        <w:tc>
          <w:tcPr>
            <w:tcW w:w="1431" w:type="dxa"/>
            <w:tcBorders>
              <w:top w:val="nil"/>
              <w:left w:val="nil"/>
              <w:bottom w:val="nil"/>
              <w:right w:val="nil"/>
            </w:tcBorders>
            <w:vAlign w:val="center"/>
          </w:tcPr>
          <w:p w:rsidR="003111E1" w:rsidRPr="00DB4F5B" w:rsidRDefault="003111E1" w:rsidP="00FF4D71">
            <w:pPr>
              <w:snapToGrid w:val="0"/>
              <w:spacing w:line="280" w:lineRule="exact"/>
              <w:ind w:rightChars="50" w:right="120"/>
              <w:jc w:val="right"/>
              <w:rPr>
                <w:rFonts w:eastAsia="標楷體"/>
              </w:rPr>
            </w:pPr>
            <w:r w:rsidRPr="00DB4F5B">
              <w:rPr>
                <w:rFonts w:eastAsia="標楷體"/>
              </w:rPr>
              <w:t>7.6</w:t>
            </w:r>
          </w:p>
        </w:tc>
      </w:tr>
      <w:tr w:rsidR="003111E1" w:rsidRPr="00DB4F5B" w:rsidTr="00FF4D7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（億人民幣）</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172,291</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224,846</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278,140</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301,933</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 xml:space="preserve">   364,835</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181,318</w:t>
            </w:r>
          </w:p>
        </w:tc>
      </w:tr>
      <w:tr w:rsidR="003111E1" w:rsidRPr="00DB4F5B" w:rsidTr="00FF4D7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成長率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25.5</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30.1</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23.8</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23.8</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20.6</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20.1</w:t>
            </w:r>
          </w:p>
        </w:tc>
      </w:tr>
      <w:tr w:rsidR="003111E1" w:rsidRPr="00DB4F5B" w:rsidTr="00FF4D71">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消費品</w:t>
            </w:r>
            <w:r w:rsidRPr="00DB4F5B">
              <w:rPr>
                <w:rFonts w:eastAsia="標楷體"/>
              </w:rPr>
              <w:br/>
            </w:r>
            <w:r w:rsidRPr="00DB4F5B">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（億人民幣）</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108,488</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125,343</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154,554</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181,226</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 xml:space="preserve">   207,167</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110,764</w:t>
            </w:r>
          </w:p>
        </w:tc>
      </w:tr>
      <w:tr w:rsidR="003111E1" w:rsidRPr="00DB4F5B" w:rsidTr="00FF4D71">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3111E1" w:rsidRPr="00DB4F5B" w:rsidRDefault="003111E1" w:rsidP="00FF4D71">
            <w:pPr>
              <w:snapToGrid w:val="0"/>
              <w:spacing w:line="240" w:lineRule="atLeast"/>
              <w:jc w:val="center"/>
              <w:rPr>
                <w:rFonts w:eastAsia="標楷體"/>
              </w:rPr>
            </w:pPr>
            <w:r w:rsidRPr="00DB4F5B">
              <w:rPr>
                <w:rFonts w:eastAsia="標楷體"/>
              </w:rPr>
              <w:t>成長率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21.6</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15.5</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18.4</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17.1</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14.3</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12.7</w:t>
            </w:r>
          </w:p>
        </w:tc>
      </w:tr>
      <w:tr w:rsidR="003111E1" w:rsidRPr="00DB4F5B" w:rsidTr="00FF4D71">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對外</w:t>
            </w:r>
          </w:p>
          <w:p w:rsidR="003111E1" w:rsidRPr="00DB4F5B" w:rsidRDefault="003111E1" w:rsidP="00FF4D71">
            <w:pPr>
              <w:snapToGrid w:val="0"/>
              <w:spacing w:line="300" w:lineRule="auto"/>
              <w:jc w:val="center"/>
              <w:rPr>
                <w:rFonts w:eastAsia="標楷體"/>
              </w:rPr>
            </w:pPr>
            <w:r w:rsidRPr="00DB4F5B">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（億美元）</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bookmarkStart w:id="32" w:name="OLE_LINK1"/>
            <w:r w:rsidRPr="00DB4F5B">
              <w:rPr>
                <w:rFonts w:eastAsia="標楷體"/>
              </w:rPr>
              <w:t>14,285.5</w:t>
            </w:r>
            <w:bookmarkEnd w:id="32"/>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12,016.7</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15,779.3</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18,986.0</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20,489</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10,528.2</w:t>
            </w:r>
          </w:p>
        </w:tc>
      </w:tr>
      <w:tr w:rsidR="003111E1" w:rsidRPr="00DB4F5B" w:rsidTr="00FF4D71">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2774EE" w:rsidP="00FF4D71">
            <w:pPr>
              <w:snapToGrid w:val="0"/>
              <w:spacing w:line="240" w:lineRule="atLeast"/>
              <w:jc w:val="center"/>
              <w:rPr>
                <w:rFonts w:eastAsia="標楷體"/>
              </w:rPr>
            </w:pPr>
            <w:r>
              <w:rPr>
                <w:rFonts w:eastAsia="標楷體" w:hint="eastAsia"/>
              </w:rPr>
              <w:t>年增</w:t>
            </w:r>
            <w:r w:rsidR="003111E1" w:rsidRPr="00DB4F5B">
              <w:rPr>
                <w:rFonts w:eastAsia="標楷體"/>
              </w:rPr>
              <w:t>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17.2</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-16.0</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31.3</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20.3</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7.9</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10.4</w:t>
            </w:r>
          </w:p>
        </w:tc>
      </w:tr>
      <w:tr w:rsidR="003111E1" w:rsidRPr="00DB4F5B" w:rsidTr="00FF4D71">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（億美元）</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bookmarkStart w:id="33" w:name="OLE_LINK2"/>
            <w:r w:rsidRPr="00DB4F5B">
              <w:rPr>
                <w:rFonts w:eastAsia="標楷體"/>
              </w:rPr>
              <w:t>11,330.8</w:t>
            </w:r>
            <w:bookmarkEnd w:id="33"/>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10,056.0</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13,948.3</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17,434.6</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18,178</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9,448.7</w:t>
            </w:r>
          </w:p>
        </w:tc>
      </w:tr>
      <w:tr w:rsidR="003111E1" w:rsidRPr="00DB4F5B" w:rsidTr="00FF4D71">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3111E1" w:rsidRPr="00DB4F5B" w:rsidRDefault="002774EE" w:rsidP="00FF4D71">
            <w:pPr>
              <w:snapToGrid w:val="0"/>
              <w:spacing w:line="240" w:lineRule="atLeast"/>
              <w:jc w:val="center"/>
              <w:rPr>
                <w:rFonts w:eastAsia="標楷體"/>
              </w:rPr>
            </w:pPr>
            <w:r>
              <w:rPr>
                <w:rFonts w:eastAsia="標楷體" w:hint="eastAsia"/>
              </w:rPr>
              <w:t>年增</w:t>
            </w:r>
            <w:r w:rsidR="003111E1" w:rsidRPr="00DB4F5B">
              <w:rPr>
                <w:rFonts w:eastAsia="標楷體"/>
              </w:rPr>
              <w:t>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18.5</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-11.2</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38.7</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24.9</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4.3</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6.7</w:t>
            </w:r>
          </w:p>
        </w:tc>
      </w:tr>
      <w:tr w:rsidR="003111E1" w:rsidRPr="00DB4F5B" w:rsidTr="00FF4D71">
        <w:trPr>
          <w:cantSplit/>
          <w:trHeight w:hRule="exact" w:val="620"/>
        </w:trPr>
        <w:tc>
          <w:tcPr>
            <w:tcW w:w="1126" w:type="dxa"/>
            <w:gridSpan w:val="2"/>
            <w:vMerge w:val="restart"/>
            <w:tcBorders>
              <w:top w:val="single" w:sz="4" w:space="0" w:color="auto"/>
              <w:left w:val="nil"/>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（億美元）</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924.0</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900.3</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1,057.4</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1,160.1</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1,117</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619.84</w:t>
            </w:r>
          </w:p>
        </w:tc>
      </w:tr>
      <w:tr w:rsidR="003111E1" w:rsidRPr="00DB4F5B" w:rsidTr="00FF4D71">
        <w:trPr>
          <w:cantSplit/>
          <w:trHeight w:hRule="exact" w:val="650"/>
        </w:trPr>
        <w:tc>
          <w:tcPr>
            <w:tcW w:w="1126" w:type="dxa"/>
            <w:gridSpan w:val="2"/>
            <w:vMerge/>
            <w:tcBorders>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成長率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23.6</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-2.6</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17.4</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9.7</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-3.7</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4.9</w:t>
            </w:r>
          </w:p>
        </w:tc>
      </w:tr>
      <w:tr w:rsidR="003111E1" w:rsidRPr="00DB4F5B" w:rsidTr="00FF4D71">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ind w:left="2" w:hanging="2"/>
              <w:jc w:val="center"/>
              <w:rPr>
                <w:rFonts w:eastAsia="標楷體"/>
              </w:rPr>
            </w:pPr>
            <w:r w:rsidRPr="00DB4F5B">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年增率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5.9</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-0.7</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3.3</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5.4</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2.6</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2.4</w:t>
            </w:r>
          </w:p>
        </w:tc>
      </w:tr>
      <w:tr w:rsidR="003111E1" w:rsidRPr="00DB4F5B" w:rsidTr="00FF4D71">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exact"/>
              <w:jc w:val="center"/>
              <w:rPr>
                <w:rFonts w:eastAsia="標楷體"/>
              </w:rPr>
            </w:pPr>
            <w:r w:rsidRPr="00DB4F5B">
              <w:rPr>
                <w:rFonts w:eastAsia="標楷體"/>
              </w:rPr>
              <w:t>貨幣供給</w:t>
            </w:r>
          </w:p>
          <w:p w:rsidR="003111E1" w:rsidRPr="00DB4F5B" w:rsidRDefault="003111E1" w:rsidP="00FF4D71">
            <w:pPr>
              <w:snapToGrid w:val="0"/>
              <w:spacing w:line="240" w:lineRule="exact"/>
              <w:ind w:hanging="133"/>
              <w:jc w:val="center"/>
              <w:rPr>
                <w:rFonts w:eastAsia="標楷體"/>
                <w:sz w:val="20"/>
              </w:rPr>
            </w:pPr>
            <w:r w:rsidRPr="00DB4F5B">
              <w:rPr>
                <w:rFonts w:eastAsia="標楷體"/>
                <w:sz w:val="18"/>
              </w:rPr>
              <w:t xml:space="preserve"> </w:t>
            </w:r>
            <w:r w:rsidRPr="00DB4F5B">
              <w:rPr>
                <w:rFonts w:eastAsia="標楷體"/>
                <w:sz w:val="20"/>
              </w:rPr>
              <w:t>（</w:t>
            </w:r>
            <w:r w:rsidRPr="00DB4F5B">
              <w:rPr>
                <w:rFonts w:eastAsia="標楷體"/>
                <w:sz w:val="20"/>
              </w:rPr>
              <w:t>M2</w:t>
            </w:r>
            <w:r w:rsidRPr="00DB4F5B">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成長率</w:t>
            </w:r>
          </w:p>
          <w:p w:rsidR="003111E1" w:rsidRPr="00DB4F5B" w:rsidRDefault="003111E1" w:rsidP="00DB4F5B">
            <w:pPr>
              <w:snapToGrid w:val="0"/>
              <w:spacing w:line="240" w:lineRule="atLeast"/>
              <w:jc w:val="center"/>
              <w:rPr>
                <w:rFonts w:eastAsia="標楷體"/>
              </w:rPr>
            </w:pPr>
            <w:r w:rsidRPr="00DB4F5B">
              <w:rPr>
                <w:rFonts w:eastAsia="標楷體"/>
              </w:rPr>
              <w:t>（</w:t>
            </w:r>
            <w:r w:rsidR="00DB4F5B">
              <w:rPr>
                <w:rFonts w:eastAsia="標楷體" w:hint="eastAsia"/>
              </w:rPr>
              <w:t>％</w:t>
            </w:r>
            <w:r w:rsidRPr="00DB4F5B">
              <w:rPr>
                <w:rFonts w:eastAsia="標楷體"/>
              </w:rPr>
              <w:t>）</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17.8</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27.6</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19.7</w:t>
            </w:r>
          </w:p>
        </w:tc>
        <w:tc>
          <w:tcPr>
            <w:tcW w:w="1193"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13.6</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13.8</w:t>
            </w:r>
          </w:p>
        </w:tc>
        <w:tc>
          <w:tcPr>
            <w:tcW w:w="1431"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14.0</w:t>
            </w:r>
          </w:p>
        </w:tc>
      </w:tr>
      <w:tr w:rsidR="003111E1" w:rsidRPr="00DB4F5B" w:rsidTr="00FF4D71">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r w:rsidRPr="00DB4F5B">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spacing w:line="240" w:lineRule="atLeast"/>
              <w:jc w:val="center"/>
              <w:rPr>
                <w:rFonts w:eastAsia="標楷體"/>
              </w:rPr>
            </w:pPr>
            <w:r w:rsidRPr="00DB4F5B">
              <w:rPr>
                <w:rFonts w:eastAsia="標楷體"/>
              </w:rPr>
              <w:t>美元兌</w:t>
            </w:r>
          </w:p>
          <w:p w:rsidR="003111E1" w:rsidRPr="00DB4F5B" w:rsidRDefault="003111E1" w:rsidP="00FF4D71">
            <w:pPr>
              <w:snapToGrid w:val="0"/>
              <w:spacing w:line="240" w:lineRule="atLeast"/>
              <w:jc w:val="center"/>
              <w:rPr>
                <w:rFonts w:eastAsia="標楷體"/>
              </w:rPr>
            </w:pPr>
            <w:r w:rsidRPr="00DB4F5B">
              <w:rPr>
                <w:rFonts w:eastAsia="標楷體"/>
              </w:rPr>
              <w:t>人民幣</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 6.9451</w:t>
            </w:r>
          </w:p>
        </w:tc>
        <w:tc>
          <w:tcPr>
            <w:tcW w:w="1116"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 6.8310</w:t>
            </w:r>
          </w:p>
        </w:tc>
        <w:tc>
          <w:tcPr>
            <w:tcW w:w="1117" w:type="dxa"/>
            <w:tcBorders>
              <w:top w:val="nil"/>
              <w:left w:val="nil"/>
              <w:bottom w:val="nil"/>
              <w:right w:val="nil"/>
            </w:tcBorders>
            <w:vAlign w:val="center"/>
          </w:tcPr>
          <w:p w:rsidR="003111E1" w:rsidRPr="00DB4F5B" w:rsidRDefault="003111E1" w:rsidP="00FF4D71">
            <w:pPr>
              <w:snapToGrid w:val="0"/>
              <w:spacing w:line="440" w:lineRule="exact"/>
              <w:ind w:rightChars="50" w:right="120"/>
              <w:jc w:val="right"/>
              <w:rPr>
                <w:rFonts w:eastAsia="標楷體"/>
                <w:b/>
                <w:bCs/>
                <w:sz w:val="18"/>
              </w:rPr>
            </w:pPr>
            <w:r w:rsidRPr="00DB4F5B">
              <w:rPr>
                <w:rFonts w:eastAsia="標楷體"/>
              </w:rPr>
              <w:t>1:6.7703</w:t>
            </w:r>
          </w:p>
        </w:tc>
        <w:tc>
          <w:tcPr>
            <w:tcW w:w="1193" w:type="dxa"/>
            <w:tcBorders>
              <w:top w:val="nil"/>
              <w:left w:val="nil"/>
              <w:bottom w:val="nil"/>
              <w:right w:val="nil"/>
            </w:tcBorders>
            <w:vAlign w:val="center"/>
          </w:tcPr>
          <w:p w:rsidR="003111E1" w:rsidRPr="00DB4F5B" w:rsidRDefault="003111E1" w:rsidP="00FF4D71">
            <w:pPr>
              <w:snapToGrid w:val="0"/>
              <w:spacing w:line="200" w:lineRule="exact"/>
              <w:ind w:rightChars="14" w:right="34"/>
              <w:jc w:val="right"/>
              <w:rPr>
                <w:rFonts w:eastAsia="標楷體"/>
                <w:sz w:val="18"/>
              </w:rPr>
            </w:pPr>
            <w:r w:rsidRPr="00DB4F5B">
              <w:rPr>
                <w:rFonts w:eastAsia="標楷體"/>
              </w:rPr>
              <w:t>1:6.3075</w:t>
            </w:r>
            <w:r w:rsidRPr="00DB4F5B">
              <w:rPr>
                <w:rFonts w:eastAsia="標楷體"/>
                <w:sz w:val="16"/>
              </w:rPr>
              <w:t>（</w:t>
            </w:r>
            <w:r w:rsidRPr="00DB4F5B">
              <w:rPr>
                <w:rFonts w:eastAsia="標楷體"/>
                <w:sz w:val="16"/>
              </w:rPr>
              <w:t>2012.2.2</w:t>
            </w:r>
            <w:r w:rsidRPr="00DB4F5B">
              <w:rPr>
                <w:rFonts w:eastAsia="標楷體"/>
                <w:sz w:val="16"/>
              </w:rPr>
              <w:t>）</w:t>
            </w:r>
          </w:p>
        </w:tc>
        <w:tc>
          <w:tcPr>
            <w:tcW w:w="1431" w:type="dxa"/>
            <w:tcBorders>
              <w:top w:val="nil"/>
              <w:left w:val="nil"/>
              <w:bottom w:val="nil"/>
              <w:right w:val="nil"/>
            </w:tcBorders>
            <w:shd w:val="clear" w:color="auto" w:fill="auto"/>
            <w:vAlign w:val="center"/>
          </w:tcPr>
          <w:p w:rsidR="003111E1" w:rsidRPr="00DB4F5B" w:rsidRDefault="003111E1" w:rsidP="00FF4D71">
            <w:pPr>
              <w:snapToGrid w:val="0"/>
              <w:spacing w:line="200" w:lineRule="exact"/>
              <w:ind w:rightChars="14" w:right="34"/>
              <w:jc w:val="right"/>
              <w:rPr>
                <w:rFonts w:eastAsia="標楷體"/>
                <w:sz w:val="18"/>
                <w:highlight w:val="yellow"/>
              </w:rPr>
            </w:pPr>
            <w:r w:rsidRPr="00DB4F5B">
              <w:rPr>
                <w:rFonts w:eastAsia="標楷體"/>
              </w:rPr>
              <w:t>1:6.2851</w:t>
            </w:r>
            <w:r w:rsidRPr="00DB4F5B">
              <w:rPr>
                <w:rFonts w:eastAsia="標楷體"/>
                <w:sz w:val="16"/>
                <w:szCs w:val="16"/>
              </w:rPr>
              <w:t>（</w:t>
            </w:r>
            <w:r w:rsidRPr="00DB4F5B">
              <w:rPr>
                <w:rFonts w:eastAsia="標楷體"/>
                <w:sz w:val="16"/>
                <w:szCs w:val="16"/>
              </w:rPr>
              <w:t>2013.1.29</w:t>
            </w:r>
            <w:r w:rsidRPr="00DB4F5B">
              <w:rPr>
                <w:rFonts w:eastAsia="標楷體"/>
                <w:sz w:val="16"/>
                <w:szCs w:val="16"/>
              </w:rPr>
              <w:t>）</w:t>
            </w:r>
          </w:p>
        </w:tc>
        <w:tc>
          <w:tcPr>
            <w:tcW w:w="1431" w:type="dxa"/>
            <w:tcBorders>
              <w:top w:val="nil"/>
              <w:left w:val="nil"/>
              <w:bottom w:val="nil"/>
              <w:right w:val="nil"/>
            </w:tcBorders>
            <w:vAlign w:val="center"/>
          </w:tcPr>
          <w:p w:rsidR="003111E1" w:rsidRPr="00DB4F5B" w:rsidRDefault="003111E1" w:rsidP="00FF4D71">
            <w:pPr>
              <w:snapToGrid w:val="0"/>
              <w:spacing w:line="200" w:lineRule="exact"/>
              <w:ind w:rightChars="14" w:right="34"/>
              <w:jc w:val="right"/>
              <w:rPr>
                <w:rFonts w:eastAsia="標楷體"/>
              </w:rPr>
            </w:pPr>
            <w:r w:rsidRPr="00DB4F5B">
              <w:rPr>
                <w:rFonts w:eastAsia="標楷體"/>
              </w:rPr>
              <w:t>1:6.1759</w:t>
            </w:r>
            <w:r w:rsidRPr="00DB4F5B">
              <w:rPr>
                <w:rFonts w:eastAsia="標楷體"/>
                <w:sz w:val="16"/>
                <w:szCs w:val="16"/>
              </w:rPr>
              <w:t>（</w:t>
            </w:r>
            <w:r w:rsidRPr="00DB4F5B">
              <w:rPr>
                <w:rFonts w:eastAsia="標楷體"/>
                <w:sz w:val="16"/>
                <w:szCs w:val="16"/>
              </w:rPr>
              <w:t>2013.7.25</w:t>
            </w:r>
            <w:r w:rsidRPr="00DB4F5B">
              <w:rPr>
                <w:rFonts w:eastAsia="標楷體"/>
                <w:sz w:val="16"/>
                <w:szCs w:val="16"/>
              </w:rPr>
              <w:t>）</w:t>
            </w:r>
          </w:p>
        </w:tc>
      </w:tr>
      <w:tr w:rsidR="003111E1" w:rsidRPr="00DB4F5B" w:rsidTr="00FF4D71">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3111E1" w:rsidRPr="00DB4F5B" w:rsidRDefault="003111E1" w:rsidP="00FF4D71">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3111E1" w:rsidRPr="00DB4F5B" w:rsidRDefault="003111E1" w:rsidP="00FF4D71">
            <w:pPr>
              <w:snapToGrid w:val="0"/>
              <w:jc w:val="center"/>
              <w:rPr>
                <w:rFonts w:eastAsia="標楷體"/>
              </w:rPr>
            </w:pPr>
            <w:r w:rsidRPr="00DB4F5B">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3111E1" w:rsidRPr="00DB4F5B" w:rsidRDefault="003111E1" w:rsidP="00FF4D71">
            <w:pPr>
              <w:snapToGrid w:val="0"/>
              <w:spacing w:line="240" w:lineRule="atLeast"/>
              <w:jc w:val="center"/>
              <w:rPr>
                <w:rFonts w:eastAsia="標楷體"/>
              </w:rPr>
            </w:pPr>
            <w:r w:rsidRPr="00DB4F5B">
              <w:rPr>
                <w:rFonts w:eastAsia="標楷體"/>
              </w:rPr>
              <w:t>金額</w:t>
            </w:r>
          </w:p>
          <w:p w:rsidR="003111E1" w:rsidRPr="00DB4F5B" w:rsidRDefault="003111E1" w:rsidP="00FF4D71">
            <w:pPr>
              <w:snapToGrid w:val="0"/>
              <w:spacing w:line="240" w:lineRule="atLeast"/>
              <w:jc w:val="center"/>
              <w:rPr>
                <w:rFonts w:eastAsia="標楷體"/>
              </w:rPr>
            </w:pPr>
            <w:r w:rsidRPr="00DB4F5B">
              <w:rPr>
                <w:rFonts w:eastAsia="標楷體"/>
              </w:rPr>
              <w:t>（億美元）</w:t>
            </w:r>
          </w:p>
        </w:tc>
        <w:tc>
          <w:tcPr>
            <w:tcW w:w="1117" w:type="dxa"/>
            <w:tcBorders>
              <w:top w:val="nil"/>
              <w:left w:val="nil"/>
              <w:bottom w:val="single" w:sz="4" w:space="0" w:color="auto"/>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19,460</w:t>
            </w:r>
          </w:p>
        </w:tc>
        <w:tc>
          <w:tcPr>
            <w:tcW w:w="1116" w:type="dxa"/>
            <w:tcBorders>
              <w:top w:val="nil"/>
              <w:left w:val="nil"/>
              <w:bottom w:val="single" w:sz="4" w:space="0" w:color="auto"/>
              <w:right w:val="nil"/>
            </w:tcBorders>
            <w:vAlign w:val="center"/>
          </w:tcPr>
          <w:p w:rsidR="003111E1" w:rsidRPr="00DB4F5B" w:rsidRDefault="003111E1" w:rsidP="00FF4D71">
            <w:pPr>
              <w:snapToGrid w:val="0"/>
              <w:spacing w:line="440" w:lineRule="exact"/>
              <w:ind w:rightChars="50" w:right="120"/>
              <w:jc w:val="right"/>
              <w:rPr>
                <w:rFonts w:eastAsia="標楷體"/>
              </w:rPr>
            </w:pPr>
            <w:r w:rsidRPr="00DB4F5B">
              <w:rPr>
                <w:rFonts w:eastAsia="標楷體"/>
              </w:rPr>
              <w:t>23,992</w:t>
            </w:r>
          </w:p>
        </w:tc>
        <w:tc>
          <w:tcPr>
            <w:tcW w:w="1117" w:type="dxa"/>
            <w:tcBorders>
              <w:top w:val="nil"/>
              <w:left w:val="nil"/>
              <w:bottom w:val="single" w:sz="4" w:space="0" w:color="auto"/>
              <w:right w:val="nil"/>
            </w:tcBorders>
            <w:vAlign w:val="center"/>
          </w:tcPr>
          <w:p w:rsidR="003111E1" w:rsidRPr="00DB4F5B" w:rsidRDefault="003111E1" w:rsidP="00FF4D71">
            <w:pPr>
              <w:snapToGrid w:val="0"/>
              <w:spacing w:line="440" w:lineRule="exact"/>
              <w:ind w:rightChars="50" w:right="120"/>
              <w:jc w:val="right"/>
              <w:rPr>
                <w:rFonts w:eastAsia="標楷體"/>
                <w:u w:val="single"/>
              </w:rPr>
            </w:pPr>
            <w:r w:rsidRPr="00DB4F5B">
              <w:rPr>
                <w:rFonts w:eastAsia="標楷體"/>
              </w:rPr>
              <w:t>28,473</w:t>
            </w:r>
          </w:p>
        </w:tc>
        <w:tc>
          <w:tcPr>
            <w:tcW w:w="1193" w:type="dxa"/>
            <w:tcBorders>
              <w:top w:val="nil"/>
              <w:left w:val="nil"/>
              <w:bottom w:val="single" w:sz="4" w:space="0" w:color="auto"/>
              <w:right w:val="nil"/>
            </w:tcBorders>
          </w:tcPr>
          <w:p w:rsidR="003111E1" w:rsidRPr="00DB4F5B" w:rsidRDefault="003111E1" w:rsidP="00FF4D71">
            <w:pPr>
              <w:snapToGrid w:val="0"/>
              <w:spacing w:before="240" w:line="200" w:lineRule="exact"/>
              <w:jc w:val="right"/>
              <w:rPr>
                <w:rFonts w:eastAsia="標楷體"/>
              </w:rPr>
            </w:pPr>
            <w:r w:rsidRPr="00DB4F5B">
              <w:rPr>
                <w:rFonts w:eastAsia="標楷體"/>
              </w:rPr>
              <w:t>31,811</w:t>
            </w:r>
            <w:r w:rsidRPr="00DB4F5B">
              <w:rPr>
                <w:rFonts w:eastAsia="標楷體"/>
                <w:sz w:val="16"/>
              </w:rPr>
              <w:t>（</w:t>
            </w:r>
            <w:r w:rsidRPr="00DB4F5B">
              <w:rPr>
                <w:rFonts w:eastAsia="標楷體"/>
                <w:sz w:val="16"/>
              </w:rPr>
              <w:t>2011.12.31</w:t>
            </w:r>
            <w:r w:rsidRPr="00DB4F5B">
              <w:rPr>
                <w:rFonts w:eastAsia="標楷體"/>
                <w:sz w:val="16"/>
              </w:rPr>
              <w:t>）</w:t>
            </w:r>
            <w:r w:rsidRPr="00DB4F5B">
              <w:rPr>
                <w:rFonts w:eastAsia="標楷體"/>
              </w:rPr>
              <w:br/>
            </w:r>
          </w:p>
        </w:tc>
        <w:tc>
          <w:tcPr>
            <w:tcW w:w="1431" w:type="dxa"/>
            <w:tcBorders>
              <w:top w:val="nil"/>
              <w:left w:val="nil"/>
              <w:bottom w:val="single" w:sz="4" w:space="0" w:color="auto"/>
              <w:right w:val="nil"/>
            </w:tcBorders>
          </w:tcPr>
          <w:p w:rsidR="003111E1" w:rsidRPr="00DB4F5B" w:rsidRDefault="003111E1" w:rsidP="00FF4D71">
            <w:pPr>
              <w:snapToGrid w:val="0"/>
              <w:spacing w:before="240" w:line="200" w:lineRule="exact"/>
              <w:jc w:val="right"/>
              <w:rPr>
                <w:rFonts w:eastAsia="標楷體"/>
                <w:highlight w:val="yellow"/>
              </w:rPr>
            </w:pPr>
            <w:r w:rsidRPr="00DB4F5B">
              <w:rPr>
                <w:rFonts w:eastAsia="標楷體"/>
              </w:rPr>
              <w:t>33,116</w:t>
            </w:r>
            <w:r w:rsidRPr="00DB4F5B">
              <w:rPr>
                <w:rFonts w:eastAsia="標楷體"/>
                <w:sz w:val="16"/>
              </w:rPr>
              <w:t>（</w:t>
            </w:r>
            <w:r w:rsidRPr="00DB4F5B">
              <w:rPr>
                <w:rFonts w:eastAsia="標楷體"/>
                <w:sz w:val="16"/>
              </w:rPr>
              <w:t>2012.12.31</w:t>
            </w:r>
            <w:r w:rsidRPr="00DB4F5B">
              <w:rPr>
                <w:rFonts w:eastAsia="標楷體"/>
                <w:sz w:val="16"/>
              </w:rPr>
              <w:t>）</w:t>
            </w:r>
          </w:p>
        </w:tc>
        <w:tc>
          <w:tcPr>
            <w:tcW w:w="1431" w:type="dxa"/>
            <w:tcBorders>
              <w:top w:val="nil"/>
              <w:left w:val="nil"/>
              <w:bottom w:val="single" w:sz="4" w:space="0" w:color="auto"/>
              <w:right w:val="nil"/>
            </w:tcBorders>
          </w:tcPr>
          <w:p w:rsidR="003111E1" w:rsidRPr="00DB4F5B" w:rsidRDefault="003111E1" w:rsidP="00FF4D71">
            <w:pPr>
              <w:snapToGrid w:val="0"/>
              <w:spacing w:before="240" w:line="200" w:lineRule="exact"/>
              <w:jc w:val="right"/>
              <w:rPr>
                <w:rFonts w:eastAsia="標楷體"/>
              </w:rPr>
            </w:pPr>
            <w:r w:rsidRPr="00DB4F5B">
              <w:rPr>
                <w:rFonts w:eastAsia="標楷體"/>
              </w:rPr>
              <w:t>35,000</w:t>
            </w:r>
            <w:r w:rsidRPr="00DB4F5B">
              <w:rPr>
                <w:rFonts w:eastAsia="標楷體"/>
                <w:sz w:val="16"/>
              </w:rPr>
              <w:t>（</w:t>
            </w:r>
            <w:r w:rsidRPr="00DB4F5B">
              <w:rPr>
                <w:rFonts w:eastAsia="標楷體"/>
                <w:sz w:val="16"/>
              </w:rPr>
              <w:t>2013.6.30</w:t>
            </w:r>
            <w:r w:rsidRPr="00DB4F5B">
              <w:rPr>
                <w:rFonts w:eastAsia="標楷體"/>
                <w:sz w:val="16"/>
              </w:rPr>
              <w:t>）</w:t>
            </w:r>
          </w:p>
        </w:tc>
      </w:tr>
    </w:tbl>
    <w:p w:rsidR="003D2281" w:rsidRPr="003111E1" w:rsidRDefault="007D5F75" w:rsidP="00D93F2F">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3111E1" w:rsidRDefault="00EC1AC3" w:rsidP="00EC1AC3">
      <w:pPr>
        <w:rPr>
          <w:rFonts w:eastAsia="標楷體"/>
          <w:color w:val="FF0000"/>
        </w:rPr>
      </w:pPr>
    </w:p>
    <w:p w:rsidR="003302B2" w:rsidRPr="002D7AEC" w:rsidRDefault="003302B2" w:rsidP="001A4E4F">
      <w:pPr>
        <w:pStyle w:val="2"/>
        <w:spacing w:after="360"/>
        <w:jc w:val="center"/>
        <w:rPr>
          <w:sz w:val="24"/>
        </w:rPr>
      </w:pPr>
      <w:bookmarkStart w:id="34" w:name="_Toc358042569"/>
      <w:r w:rsidRPr="002D7AEC">
        <w:rPr>
          <w:sz w:val="32"/>
        </w:rPr>
        <w:lastRenderedPageBreak/>
        <w:t>表</w:t>
      </w:r>
      <w:r w:rsidRPr="002D7AEC">
        <w:rPr>
          <w:sz w:val="32"/>
        </w:rPr>
        <w:t xml:space="preserve">5  </w:t>
      </w:r>
      <w:r w:rsidRPr="002D7AEC">
        <w:rPr>
          <w:sz w:val="32"/>
        </w:rPr>
        <w:t>兩岸經貿統計</w:t>
      </w:r>
      <w:bookmarkEnd w:id="34"/>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2D7AEC" w:rsidRPr="00896C1C" w:rsidTr="008917A1">
        <w:trPr>
          <w:gridAfter w:val="1"/>
          <w:wAfter w:w="12" w:type="dxa"/>
          <w:cantSplit/>
          <w:trHeight w:val="703"/>
        </w:trPr>
        <w:tc>
          <w:tcPr>
            <w:tcW w:w="2269" w:type="dxa"/>
            <w:gridSpan w:val="3"/>
            <w:vMerge w:val="restart"/>
            <w:tcBorders>
              <w:left w:val="nil"/>
            </w:tcBorders>
            <w:shd w:val="clear" w:color="auto" w:fill="FFFFFF"/>
          </w:tcPr>
          <w:p w:rsidR="002D7AEC" w:rsidRPr="00896C1C" w:rsidRDefault="002D7AEC" w:rsidP="008917A1">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2D7AEC" w:rsidRPr="00896C1C" w:rsidRDefault="002D7AEC" w:rsidP="008917A1">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2D7AEC" w:rsidRPr="00896C1C" w:rsidRDefault="002D7AEC" w:rsidP="008917A1">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2D7AEC" w:rsidRPr="00896C1C" w:rsidRDefault="002D7AEC" w:rsidP="008917A1">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2D7AEC" w:rsidRPr="00896C1C" w:rsidRDefault="002D7AEC" w:rsidP="008917A1">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2D7AEC" w:rsidRPr="00896C1C" w:rsidRDefault="002D7AEC" w:rsidP="008917A1">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2D7AEC" w:rsidRPr="00896C1C" w:rsidTr="008917A1">
        <w:trPr>
          <w:gridAfter w:val="1"/>
          <w:wAfter w:w="12" w:type="dxa"/>
          <w:cantSplit/>
          <w:trHeight w:val="493"/>
        </w:trPr>
        <w:tc>
          <w:tcPr>
            <w:tcW w:w="2269" w:type="dxa"/>
            <w:gridSpan w:val="3"/>
            <w:vMerge/>
            <w:tcBorders>
              <w:left w:val="nil"/>
              <w:bottom w:val="single" w:sz="4" w:space="0" w:color="auto"/>
            </w:tcBorders>
            <w:shd w:val="clear" w:color="auto" w:fill="FFFFFF"/>
          </w:tcPr>
          <w:p w:rsidR="002D7AEC" w:rsidRPr="00896C1C" w:rsidRDefault="002D7AEC" w:rsidP="008917A1">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r>
              <w:rPr>
                <w:rFonts w:eastAsia="標楷體" w:hint="eastAsia"/>
                <w:spacing w:val="-16"/>
                <w:sz w:val="26"/>
              </w:rPr>
              <w:t>4</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r>
              <w:rPr>
                <w:rFonts w:eastAsia="標楷體" w:hint="eastAsia"/>
                <w:spacing w:val="-16"/>
                <w:sz w:val="26"/>
              </w:rPr>
              <w:t>5</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r>
              <w:rPr>
                <w:rFonts w:eastAsia="標楷體" w:hint="eastAsia"/>
                <w:spacing w:val="-16"/>
                <w:sz w:val="26"/>
              </w:rPr>
              <w:t>6</w:t>
            </w:r>
            <w:r>
              <w:rPr>
                <w:rFonts w:eastAsia="標楷體" w:hint="eastAsia"/>
                <w:spacing w:val="-16"/>
                <w:sz w:val="26"/>
              </w:rPr>
              <w:t>月</w:t>
            </w:r>
          </w:p>
        </w:tc>
        <w:tc>
          <w:tcPr>
            <w:tcW w:w="840" w:type="dxa"/>
            <w:tcBorders>
              <w:bottom w:val="single" w:sz="4" w:space="0" w:color="auto"/>
              <w:right w:val="nil"/>
            </w:tcBorders>
            <w:shd w:val="clear" w:color="auto" w:fill="FFFFFF"/>
          </w:tcPr>
          <w:p w:rsidR="002D7AEC" w:rsidRPr="00896C1C" w:rsidRDefault="002D7AEC" w:rsidP="008917A1">
            <w:pPr>
              <w:snapToGrid w:val="0"/>
              <w:spacing w:before="120" w:after="120" w:line="280" w:lineRule="exact"/>
              <w:jc w:val="center"/>
              <w:rPr>
                <w:rFonts w:eastAsia="標楷體"/>
                <w:spacing w:val="-16"/>
                <w:sz w:val="26"/>
              </w:rPr>
            </w:pPr>
            <w:r>
              <w:rPr>
                <w:rFonts w:eastAsia="標楷體" w:hint="eastAsia"/>
                <w:spacing w:val="-16"/>
                <w:sz w:val="26"/>
              </w:rPr>
              <w:t>1-6</w:t>
            </w:r>
            <w:r>
              <w:rPr>
                <w:rFonts w:eastAsia="標楷體" w:hint="eastAsia"/>
                <w:spacing w:val="-16"/>
                <w:sz w:val="26"/>
              </w:rPr>
              <w:t>月</w:t>
            </w:r>
          </w:p>
        </w:tc>
      </w:tr>
      <w:tr w:rsidR="002D7AEC" w:rsidRPr="00896C1C" w:rsidTr="008917A1">
        <w:trPr>
          <w:gridAfter w:val="1"/>
          <w:wAfter w:w="12" w:type="dxa"/>
          <w:cantSplit/>
          <w:trHeight w:val="828"/>
        </w:trPr>
        <w:tc>
          <w:tcPr>
            <w:tcW w:w="622" w:type="dxa"/>
            <w:vMerge w:val="restart"/>
            <w:tcBorders>
              <w:left w:val="nil"/>
            </w:tcBorders>
          </w:tcPr>
          <w:p w:rsidR="002D7AEC" w:rsidRDefault="002D7AEC" w:rsidP="008917A1">
            <w:pPr>
              <w:snapToGrid w:val="0"/>
              <w:spacing w:before="240"/>
              <w:jc w:val="center"/>
              <w:rPr>
                <w:rFonts w:eastAsia="標楷體"/>
                <w:sz w:val="28"/>
              </w:rPr>
            </w:pPr>
          </w:p>
          <w:p w:rsidR="002D7AEC" w:rsidRDefault="002D7AEC" w:rsidP="008917A1">
            <w:pPr>
              <w:snapToGrid w:val="0"/>
              <w:spacing w:before="240"/>
              <w:jc w:val="center"/>
              <w:rPr>
                <w:rFonts w:eastAsia="標楷體"/>
                <w:sz w:val="28"/>
              </w:rPr>
            </w:pPr>
            <w:r>
              <w:rPr>
                <w:rFonts w:eastAsia="標楷體" w:hint="eastAsia"/>
                <w:sz w:val="28"/>
              </w:rPr>
              <w:t>兩</w:t>
            </w:r>
          </w:p>
          <w:p w:rsidR="002D7AEC" w:rsidRDefault="002D7AEC" w:rsidP="008917A1">
            <w:pPr>
              <w:snapToGrid w:val="0"/>
              <w:spacing w:before="240"/>
              <w:jc w:val="center"/>
              <w:rPr>
                <w:rFonts w:eastAsia="標楷體"/>
                <w:sz w:val="28"/>
              </w:rPr>
            </w:pPr>
            <w:r>
              <w:rPr>
                <w:rFonts w:eastAsia="標楷體" w:hint="eastAsia"/>
                <w:sz w:val="28"/>
              </w:rPr>
              <w:t>岸</w:t>
            </w:r>
          </w:p>
          <w:p w:rsidR="002D7AEC" w:rsidRDefault="002D7AEC" w:rsidP="008917A1">
            <w:pPr>
              <w:snapToGrid w:val="0"/>
              <w:spacing w:before="240"/>
              <w:jc w:val="center"/>
              <w:rPr>
                <w:rFonts w:eastAsia="標楷體"/>
                <w:sz w:val="28"/>
              </w:rPr>
            </w:pPr>
            <w:r>
              <w:rPr>
                <w:rFonts w:eastAsia="標楷體" w:hint="eastAsia"/>
                <w:sz w:val="28"/>
              </w:rPr>
              <w:t>投</w:t>
            </w:r>
          </w:p>
          <w:p w:rsidR="002D7AEC" w:rsidRPr="00896C1C" w:rsidRDefault="002D7AEC" w:rsidP="008917A1">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2D7AEC" w:rsidRPr="00896C1C" w:rsidRDefault="002D7AEC" w:rsidP="008917A1">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2D7AEC" w:rsidRPr="00896C1C" w:rsidRDefault="002D7AEC" w:rsidP="008917A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2D7AEC" w:rsidRPr="00896C1C" w:rsidRDefault="002D7AEC" w:rsidP="008917A1">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2D7AEC" w:rsidRPr="00896C1C" w:rsidRDefault="002D7AEC" w:rsidP="008917A1">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35</w:t>
            </w:r>
          </w:p>
        </w:tc>
        <w:tc>
          <w:tcPr>
            <w:tcW w:w="939" w:type="dxa"/>
            <w:tcBorders>
              <w:top w:val="single" w:sz="4" w:space="0" w:color="auto"/>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41</w:t>
            </w:r>
          </w:p>
        </w:tc>
        <w:tc>
          <w:tcPr>
            <w:tcW w:w="967" w:type="dxa"/>
            <w:gridSpan w:val="2"/>
            <w:tcBorders>
              <w:top w:val="single" w:sz="4" w:space="0" w:color="auto"/>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sidRPr="00612604">
              <w:rPr>
                <w:rFonts w:eastAsia="標楷體" w:hint="eastAsia"/>
              </w:rPr>
              <w:t>34</w:t>
            </w:r>
          </w:p>
        </w:tc>
        <w:tc>
          <w:tcPr>
            <w:tcW w:w="840" w:type="dxa"/>
            <w:tcBorders>
              <w:top w:val="single" w:sz="4" w:space="0" w:color="auto"/>
              <w:left w:val="nil"/>
              <w:bottom w:val="nil"/>
              <w:right w:val="nil"/>
            </w:tcBorders>
            <w:vAlign w:val="center"/>
          </w:tcPr>
          <w:p w:rsidR="002D7AEC" w:rsidRPr="00612604" w:rsidRDefault="002D7AEC" w:rsidP="008917A1">
            <w:pPr>
              <w:tabs>
                <w:tab w:val="center" w:pos="1"/>
                <w:tab w:val="right" w:pos="803"/>
                <w:tab w:val="left" w:pos="1050"/>
              </w:tabs>
              <w:snapToGrid w:val="0"/>
              <w:spacing w:line="280" w:lineRule="exact"/>
              <w:ind w:rightChars="84" w:right="202"/>
              <w:jc w:val="right"/>
              <w:rPr>
                <w:rFonts w:eastAsia="標楷體"/>
              </w:rPr>
            </w:pPr>
            <w:r w:rsidRPr="00612604">
              <w:rPr>
                <w:rFonts w:eastAsia="標楷體" w:hint="eastAsia"/>
              </w:rPr>
              <w:t>278</w:t>
            </w:r>
          </w:p>
        </w:tc>
      </w:tr>
      <w:tr w:rsidR="002D7AEC" w:rsidRPr="00CD3778" w:rsidTr="008917A1">
        <w:trPr>
          <w:gridAfter w:val="1"/>
          <w:wAfter w:w="12" w:type="dxa"/>
          <w:cantSplit/>
          <w:trHeight w:val="786"/>
        </w:trPr>
        <w:tc>
          <w:tcPr>
            <w:tcW w:w="622" w:type="dxa"/>
            <w:vMerge/>
            <w:tcBorders>
              <w:left w:val="nil"/>
            </w:tcBorders>
          </w:tcPr>
          <w:p w:rsidR="002D7AEC" w:rsidRPr="00896C1C" w:rsidRDefault="002D7AEC" w:rsidP="008917A1">
            <w:pPr>
              <w:snapToGrid w:val="0"/>
              <w:spacing w:before="120" w:after="120" w:line="320" w:lineRule="exact"/>
              <w:rPr>
                <w:rFonts w:eastAsia="標楷體"/>
                <w:b/>
                <w:sz w:val="28"/>
              </w:rPr>
            </w:pPr>
          </w:p>
        </w:tc>
        <w:tc>
          <w:tcPr>
            <w:tcW w:w="762" w:type="dxa"/>
            <w:vMerge/>
          </w:tcPr>
          <w:p w:rsidR="002D7AEC" w:rsidRPr="00896C1C" w:rsidRDefault="002D7AEC" w:rsidP="008917A1">
            <w:pPr>
              <w:snapToGrid w:val="0"/>
              <w:spacing w:before="120" w:after="120" w:line="320" w:lineRule="exact"/>
              <w:jc w:val="center"/>
              <w:rPr>
                <w:rFonts w:eastAsia="標楷體"/>
                <w:spacing w:val="-16"/>
                <w:sz w:val="26"/>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rPr>
              <w:t>71.4</w:t>
            </w:r>
          </w:p>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rPr>
              <w:t>146.2</w:t>
            </w:r>
          </w:p>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rPr>
              <w:t>143.8</w:t>
            </w:r>
          </w:p>
          <w:p w:rsidR="002D7AEC" w:rsidRPr="00896C1C" w:rsidRDefault="002D7AEC" w:rsidP="008917A1">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2D7AEC" w:rsidRPr="0064407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127.9</w:t>
            </w:r>
          </w:p>
          <w:p w:rsidR="002D7AEC" w:rsidRPr="00CD3778" w:rsidRDefault="002D7AEC" w:rsidP="008917A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20"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17.6</w:t>
            </w:r>
          </w:p>
          <w:p w:rsidR="002D7AEC" w:rsidRPr="00CD3778" w:rsidRDefault="002D7AEC" w:rsidP="008917A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82.0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39"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5.1</w:t>
            </w:r>
          </w:p>
          <w:p w:rsidR="002D7AEC" w:rsidRPr="00CD3778" w:rsidRDefault="002D7AEC" w:rsidP="008917A1">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-73.0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67" w:type="dxa"/>
            <w:gridSpan w:val="2"/>
            <w:tcBorders>
              <w:top w:val="nil"/>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Pr>
                <w:rFonts w:eastAsia="標楷體" w:hint="eastAsia"/>
              </w:rPr>
              <w:t>4.1</w:t>
            </w:r>
          </w:p>
          <w:p w:rsidR="002D7AEC" w:rsidRPr="00612604" w:rsidRDefault="002D7AEC" w:rsidP="008917A1">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6</w:t>
            </w:r>
            <w:r w:rsidRPr="00612604">
              <w:rPr>
                <w:rFonts w:eastAsia="標楷體" w:hint="eastAsia"/>
                <w:sz w:val="16"/>
              </w:rPr>
              <w:t>3.0</w:t>
            </w:r>
            <w:proofErr w:type="gramStart"/>
            <w:r w:rsidRPr="00612604">
              <w:rPr>
                <w:rFonts w:eastAsia="標楷體" w:hint="eastAsia"/>
                <w:sz w:val="16"/>
              </w:rPr>
              <w:t>﹪</w:t>
            </w:r>
            <w:proofErr w:type="gramEnd"/>
            <w:r w:rsidRPr="00612604">
              <w:rPr>
                <w:rFonts w:eastAsia="標楷體" w:hint="eastAsia"/>
                <w:sz w:val="16"/>
              </w:rPr>
              <w:t>）</w:t>
            </w:r>
          </w:p>
        </w:tc>
        <w:tc>
          <w:tcPr>
            <w:tcW w:w="840" w:type="dxa"/>
            <w:tcBorders>
              <w:top w:val="nil"/>
              <w:left w:val="nil"/>
              <w:bottom w:val="nil"/>
              <w:right w:val="nil"/>
            </w:tcBorders>
            <w:vAlign w:val="center"/>
          </w:tcPr>
          <w:p w:rsidR="002D7AEC" w:rsidRPr="00A01E5D" w:rsidRDefault="002D7AEC" w:rsidP="008917A1">
            <w:pPr>
              <w:snapToGrid w:val="0"/>
              <w:spacing w:before="60" w:after="60" w:line="400" w:lineRule="exact"/>
              <w:ind w:rightChars="-2" w:right="-5"/>
              <w:jc w:val="center"/>
              <w:rPr>
                <w:rFonts w:eastAsia="標楷體"/>
              </w:rPr>
            </w:pPr>
            <w:r w:rsidRPr="00A01E5D">
              <w:rPr>
                <w:rFonts w:eastAsia="標楷體" w:hint="eastAsia"/>
              </w:rPr>
              <w:t>50.8</w:t>
            </w:r>
          </w:p>
          <w:p w:rsidR="002D7AEC" w:rsidRPr="00043172" w:rsidRDefault="002D7AEC" w:rsidP="008917A1">
            <w:pPr>
              <w:snapToGrid w:val="0"/>
              <w:spacing w:before="60" w:after="60" w:line="400" w:lineRule="exact"/>
              <w:ind w:rightChars="-2" w:right="-5"/>
              <w:jc w:val="center"/>
              <w:rPr>
                <w:rFonts w:eastAsia="標楷體"/>
                <w:color w:val="FF0000"/>
              </w:rPr>
            </w:pPr>
            <w:r w:rsidRPr="00A01E5D">
              <w:rPr>
                <w:rFonts w:eastAsia="標楷體" w:hint="eastAsia"/>
                <w:sz w:val="16"/>
              </w:rPr>
              <w:t>（</w:t>
            </w:r>
            <w:r w:rsidRPr="00A01E5D">
              <w:rPr>
                <w:rFonts w:eastAsia="標楷體" w:hint="eastAsia"/>
                <w:sz w:val="16"/>
              </w:rPr>
              <w:t>-10.0</w:t>
            </w:r>
            <w:proofErr w:type="gramStart"/>
            <w:r w:rsidRPr="00A01E5D">
              <w:rPr>
                <w:rFonts w:eastAsia="標楷體" w:hint="eastAsia"/>
                <w:sz w:val="16"/>
              </w:rPr>
              <w:t>﹪</w:t>
            </w:r>
            <w:proofErr w:type="gramEnd"/>
            <w:r w:rsidRPr="00A01E5D">
              <w:rPr>
                <w:rFonts w:eastAsia="標楷體" w:hint="eastAsia"/>
                <w:sz w:val="16"/>
              </w:rPr>
              <w:t>）</w:t>
            </w:r>
          </w:p>
        </w:tc>
      </w:tr>
      <w:tr w:rsidR="002D7AEC" w:rsidTr="008917A1">
        <w:trPr>
          <w:gridAfter w:val="1"/>
          <w:wAfter w:w="12" w:type="dxa"/>
          <w:cantSplit/>
          <w:trHeight w:val="786"/>
        </w:trPr>
        <w:tc>
          <w:tcPr>
            <w:tcW w:w="622" w:type="dxa"/>
            <w:vMerge/>
            <w:tcBorders>
              <w:left w:val="nil"/>
            </w:tcBorders>
          </w:tcPr>
          <w:p w:rsidR="002D7AEC" w:rsidRPr="00C808FD" w:rsidRDefault="002D7AEC" w:rsidP="008917A1">
            <w:pPr>
              <w:snapToGrid w:val="0"/>
              <w:spacing w:before="240"/>
              <w:jc w:val="center"/>
              <w:rPr>
                <w:rFonts w:eastAsia="標楷體"/>
                <w:sz w:val="28"/>
              </w:rPr>
            </w:pPr>
          </w:p>
        </w:tc>
        <w:tc>
          <w:tcPr>
            <w:tcW w:w="762" w:type="dxa"/>
            <w:vMerge w:val="restart"/>
            <w:vAlign w:val="center"/>
          </w:tcPr>
          <w:p w:rsidR="002D7AEC" w:rsidRPr="00896C1C" w:rsidRDefault="002D7AEC" w:rsidP="008917A1">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9</w:t>
            </w:r>
          </w:p>
        </w:tc>
        <w:tc>
          <w:tcPr>
            <w:tcW w:w="939"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12</w:t>
            </w:r>
          </w:p>
        </w:tc>
        <w:tc>
          <w:tcPr>
            <w:tcW w:w="967" w:type="dxa"/>
            <w:gridSpan w:val="2"/>
            <w:tcBorders>
              <w:top w:val="nil"/>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sidRPr="00612604">
              <w:rPr>
                <w:rFonts w:eastAsia="標楷體" w:hint="eastAsia"/>
              </w:rPr>
              <w:t>15</w:t>
            </w:r>
          </w:p>
        </w:tc>
        <w:tc>
          <w:tcPr>
            <w:tcW w:w="840" w:type="dxa"/>
            <w:tcBorders>
              <w:top w:val="nil"/>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sidRPr="00612604">
              <w:rPr>
                <w:rFonts w:eastAsia="標楷體" w:hint="eastAsia"/>
              </w:rPr>
              <w:t>71</w:t>
            </w:r>
          </w:p>
        </w:tc>
      </w:tr>
      <w:tr w:rsidR="002D7AEC" w:rsidTr="008917A1">
        <w:trPr>
          <w:gridAfter w:val="1"/>
          <w:wAfter w:w="12" w:type="dxa"/>
          <w:cantSplit/>
          <w:trHeight w:val="786"/>
        </w:trPr>
        <w:tc>
          <w:tcPr>
            <w:tcW w:w="622" w:type="dxa"/>
            <w:vMerge/>
            <w:tcBorders>
              <w:left w:val="nil"/>
            </w:tcBorders>
          </w:tcPr>
          <w:p w:rsidR="002D7AEC" w:rsidRPr="00896C1C" w:rsidRDefault="002D7AEC" w:rsidP="008917A1">
            <w:pPr>
              <w:snapToGrid w:val="0"/>
              <w:spacing w:before="120" w:after="120" w:line="320" w:lineRule="exact"/>
              <w:rPr>
                <w:rFonts w:eastAsia="標楷體"/>
                <w:b/>
                <w:sz w:val="28"/>
              </w:rPr>
            </w:pPr>
          </w:p>
        </w:tc>
        <w:tc>
          <w:tcPr>
            <w:tcW w:w="762" w:type="dxa"/>
            <w:vMerge/>
          </w:tcPr>
          <w:p w:rsidR="002D7AEC" w:rsidRPr="00896C1C" w:rsidRDefault="002D7AEC" w:rsidP="008917A1">
            <w:pPr>
              <w:snapToGrid w:val="0"/>
              <w:spacing w:before="120" w:after="120" w:line="320" w:lineRule="exact"/>
              <w:jc w:val="center"/>
              <w:rPr>
                <w:rFonts w:eastAsia="標楷體"/>
                <w:spacing w:val="-16"/>
                <w:sz w:val="26"/>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2D7AEC" w:rsidRPr="00896C1C" w:rsidRDefault="002D7AEC" w:rsidP="008917A1">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0.65</w:t>
            </w:r>
          </w:p>
        </w:tc>
        <w:tc>
          <w:tcPr>
            <w:tcW w:w="939" w:type="dxa"/>
            <w:tcBorders>
              <w:top w:val="nil"/>
              <w:left w:val="nil"/>
              <w:bottom w:val="nil"/>
              <w:right w:val="nil"/>
            </w:tcBorders>
            <w:vAlign w:val="center"/>
          </w:tcPr>
          <w:p w:rsidR="002D7AEC" w:rsidRDefault="002D7AEC" w:rsidP="008917A1">
            <w:pPr>
              <w:snapToGrid w:val="0"/>
              <w:spacing w:before="60" w:after="60" w:line="400" w:lineRule="exact"/>
              <w:ind w:rightChars="-2" w:right="-5"/>
              <w:jc w:val="center"/>
              <w:rPr>
                <w:rFonts w:eastAsia="標楷體"/>
                <w:color w:val="000000"/>
              </w:rPr>
            </w:pPr>
            <w:r>
              <w:rPr>
                <w:rFonts w:eastAsia="標楷體" w:hint="eastAsia"/>
                <w:color w:val="000000"/>
              </w:rPr>
              <w:t>0.07</w:t>
            </w:r>
          </w:p>
        </w:tc>
        <w:tc>
          <w:tcPr>
            <w:tcW w:w="967" w:type="dxa"/>
            <w:gridSpan w:val="2"/>
            <w:tcBorders>
              <w:top w:val="nil"/>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Pr>
                <w:rFonts w:eastAsia="標楷體" w:hint="eastAsia"/>
              </w:rPr>
              <w:t>0.06</w:t>
            </w:r>
          </w:p>
        </w:tc>
        <w:tc>
          <w:tcPr>
            <w:tcW w:w="840" w:type="dxa"/>
            <w:tcBorders>
              <w:top w:val="nil"/>
              <w:left w:val="nil"/>
              <w:bottom w:val="nil"/>
              <w:right w:val="nil"/>
            </w:tcBorders>
            <w:vAlign w:val="center"/>
          </w:tcPr>
          <w:p w:rsidR="002D7AEC" w:rsidRPr="00612604" w:rsidRDefault="002D7AEC" w:rsidP="008917A1">
            <w:pPr>
              <w:snapToGrid w:val="0"/>
              <w:spacing w:before="60" w:after="60" w:line="400" w:lineRule="exact"/>
              <w:ind w:rightChars="-2" w:right="-5"/>
              <w:jc w:val="center"/>
              <w:rPr>
                <w:rFonts w:eastAsia="標楷體"/>
              </w:rPr>
            </w:pPr>
            <w:r w:rsidRPr="00612604">
              <w:rPr>
                <w:rFonts w:eastAsia="標楷體" w:hint="eastAsia"/>
              </w:rPr>
              <w:t>2.17</w:t>
            </w:r>
          </w:p>
        </w:tc>
      </w:tr>
      <w:tr w:rsidR="002D7AEC" w:rsidRPr="00CD3778" w:rsidTr="008917A1">
        <w:trPr>
          <w:gridAfter w:val="1"/>
          <w:wAfter w:w="12" w:type="dxa"/>
          <w:cantSplit/>
          <w:trHeight w:hRule="exact" w:val="760"/>
        </w:trPr>
        <w:tc>
          <w:tcPr>
            <w:tcW w:w="622" w:type="dxa"/>
            <w:vMerge w:val="restart"/>
            <w:tcBorders>
              <w:left w:val="nil"/>
            </w:tcBorders>
          </w:tcPr>
          <w:p w:rsidR="002D7AEC" w:rsidRPr="00896C1C" w:rsidRDefault="002D7AEC" w:rsidP="008917A1">
            <w:pPr>
              <w:snapToGrid w:val="0"/>
              <w:spacing w:before="840"/>
              <w:jc w:val="center"/>
              <w:rPr>
                <w:rFonts w:eastAsia="標楷體"/>
                <w:sz w:val="28"/>
              </w:rPr>
            </w:pPr>
          </w:p>
          <w:p w:rsidR="002D7AEC" w:rsidRPr="00896C1C" w:rsidRDefault="002D7AEC" w:rsidP="008917A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2D7AEC" w:rsidRPr="00896C1C" w:rsidRDefault="002D7AEC" w:rsidP="008917A1">
            <w:pPr>
              <w:snapToGrid w:val="0"/>
              <w:spacing w:line="280" w:lineRule="exact"/>
              <w:jc w:val="center"/>
              <w:rPr>
                <w:rFonts w:eastAsia="標楷體"/>
              </w:rPr>
            </w:pPr>
          </w:p>
          <w:p w:rsidR="002D7AEC" w:rsidRPr="00896C1C" w:rsidRDefault="002D7AEC" w:rsidP="008917A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103.9</w:t>
            </w:r>
          </w:p>
        </w:tc>
        <w:tc>
          <w:tcPr>
            <w:tcW w:w="967" w:type="dxa"/>
            <w:gridSpan w:val="2"/>
            <w:tcBorders>
              <w:top w:val="nil"/>
              <w:left w:val="nil"/>
              <w:bottom w:val="nil"/>
              <w:right w:val="nil"/>
            </w:tcBorders>
            <w:vAlign w:val="center"/>
          </w:tcPr>
          <w:p w:rsidR="002D7AEC" w:rsidRPr="002B281A" w:rsidRDefault="002D7AEC" w:rsidP="002D7AEC">
            <w:pPr>
              <w:spacing w:beforeLines="20" w:before="72" w:afterLines="20" w:after="72" w:line="400" w:lineRule="exact"/>
              <w:ind w:rightChars="75" w:right="180"/>
              <w:jc w:val="right"/>
              <w:rPr>
                <w:rFonts w:eastAsia="華康楷書體W5"/>
                <w:color w:val="000000"/>
              </w:rPr>
            </w:pPr>
            <w:r w:rsidRPr="002B281A">
              <w:rPr>
                <w:rFonts w:eastAsia="華康楷書體W5" w:hint="eastAsia"/>
                <w:color w:val="000000"/>
              </w:rPr>
              <w:t>102.9</w:t>
            </w:r>
          </w:p>
        </w:tc>
        <w:tc>
          <w:tcPr>
            <w:tcW w:w="840" w:type="dxa"/>
            <w:tcBorders>
              <w:top w:val="nil"/>
              <w:left w:val="nil"/>
              <w:bottom w:val="nil"/>
              <w:right w:val="nil"/>
            </w:tcBorders>
            <w:vAlign w:val="center"/>
          </w:tcPr>
          <w:p w:rsidR="002D7AEC" w:rsidRPr="002B281A" w:rsidRDefault="002D7AEC" w:rsidP="002D7AEC">
            <w:pPr>
              <w:spacing w:beforeLines="20" w:before="72" w:afterLines="20" w:after="72" w:line="400" w:lineRule="exact"/>
              <w:ind w:rightChars="75" w:right="180"/>
              <w:jc w:val="right"/>
              <w:rPr>
                <w:rFonts w:eastAsia="華康楷書體W5"/>
                <w:color w:val="000000"/>
              </w:rPr>
            </w:pPr>
            <w:r w:rsidRPr="002B281A">
              <w:rPr>
                <w:rFonts w:eastAsia="華康楷書體W5" w:hint="eastAsia"/>
                <w:color w:val="000000"/>
              </w:rPr>
              <w:t>590.7</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tcPr>
          <w:p w:rsidR="002D7AEC" w:rsidRPr="00896C1C" w:rsidRDefault="002D7AEC" w:rsidP="008917A1">
            <w:pPr>
              <w:snapToGrid w:val="0"/>
              <w:spacing w:before="120" w:after="120" w:line="320" w:lineRule="exact"/>
              <w:jc w:val="center"/>
              <w:rPr>
                <w:rFonts w:eastAsia="標楷體"/>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0.2</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3.2</w:t>
            </w:r>
          </w:p>
        </w:tc>
        <w:tc>
          <w:tcPr>
            <w:tcW w:w="967" w:type="dxa"/>
            <w:gridSpan w:val="2"/>
            <w:tcBorders>
              <w:top w:val="nil"/>
              <w:left w:val="nil"/>
              <w:bottom w:val="nil"/>
              <w:right w:val="nil"/>
            </w:tcBorders>
            <w:vAlign w:val="center"/>
          </w:tcPr>
          <w:p w:rsidR="002D7AEC" w:rsidRPr="003352B8" w:rsidRDefault="002D7AEC" w:rsidP="002D7AEC">
            <w:pPr>
              <w:spacing w:beforeLines="20" w:before="72" w:afterLines="20" w:after="72" w:line="400" w:lineRule="exact"/>
              <w:ind w:rightChars="75" w:right="180"/>
              <w:jc w:val="right"/>
              <w:rPr>
                <w:rFonts w:eastAsia="華康楷書體W5"/>
              </w:rPr>
            </w:pPr>
            <w:r w:rsidRPr="003352B8">
              <w:rPr>
                <w:rFonts w:eastAsia="華康楷書體W5" w:hint="eastAsia"/>
              </w:rPr>
              <w:t>6.0</w:t>
            </w:r>
          </w:p>
        </w:tc>
        <w:tc>
          <w:tcPr>
            <w:tcW w:w="840" w:type="dxa"/>
            <w:tcBorders>
              <w:top w:val="nil"/>
              <w:left w:val="nil"/>
              <w:bottom w:val="nil"/>
              <w:right w:val="nil"/>
            </w:tcBorders>
            <w:vAlign w:val="center"/>
          </w:tcPr>
          <w:p w:rsidR="002D7AEC" w:rsidRPr="003352B8" w:rsidRDefault="002D7AEC" w:rsidP="002D7AEC">
            <w:pPr>
              <w:spacing w:beforeLines="20" w:before="72" w:afterLines="20" w:after="72" w:line="400" w:lineRule="exact"/>
              <w:ind w:rightChars="75" w:right="180"/>
              <w:jc w:val="right"/>
              <w:rPr>
                <w:rFonts w:eastAsia="華康楷書體W5"/>
              </w:rPr>
            </w:pPr>
            <w:r w:rsidRPr="003352B8">
              <w:rPr>
                <w:rFonts w:eastAsia="華康楷書體W5" w:hint="eastAsia"/>
              </w:rPr>
              <w:t>3.8</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tcPr>
          <w:p w:rsidR="002D7AEC" w:rsidRPr="00896C1C" w:rsidRDefault="002D7AEC" w:rsidP="008917A1">
            <w:pPr>
              <w:snapToGrid w:val="0"/>
              <w:spacing w:before="120" w:after="120" w:line="320" w:lineRule="exact"/>
              <w:jc w:val="center"/>
              <w:rPr>
                <w:rFonts w:eastAsia="標楷體"/>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39.5</w:t>
            </w:r>
          </w:p>
        </w:tc>
        <w:tc>
          <w:tcPr>
            <w:tcW w:w="967" w:type="dxa"/>
            <w:gridSpan w:val="2"/>
            <w:tcBorders>
              <w:top w:val="nil"/>
              <w:left w:val="nil"/>
              <w:bottom w:val="nil"/>
              <w:right w:val="nil"/>
            </w:tcBorders>
            <w:vAlign w:val="center"/>
          </w:tcPr>
          <w:p w:rsidR="002D7AEC" w:rsidRPr="003352B8" w:rsidRDefault="002D7AEC" w:rsidP="002D7AEC">
            <w:pPr>
              <w:spacing w:beforeLines="20" w:before="72" w:afterLines="20" w:after="72" w:line="400" w:lineRule="exact"/>
              <w:ind w:rightChars="75" w:right="180"/>
              <w:jc w:val="right"/>
              <w:rPr>
                <w:rFonts w:eastAsia="華康楷書體W5"/>
              </w:rPr>
            </w:pPr>
            <w:r w:rsidRPr="003352B8">
              <w:rPr>
                <w:rFonts w:eastAsia="華康楷書體W5" w:hint="eastAsia"/>
              </w:rPr>
              <w:t>38.9</w:t>
            </w:r>
          </w:p>
        </w:tc>
        <w:tc>
          <w:tcPr>
            <w:tcW w:w="840" w:type="dxa"/>
            <w:tcBorders>
              <w:top w:val="nil"/>
              <w:left w:val="nil"/>
              <w:bottom w:val="nil"/>
              <w:right w:val="nil"/>
            </w:tcBorders>
            <w:vAlign w:val="center"/>
          </w:tcPr>
          <w:p w:rsidR="002D7AEC" w:rsidRPr="003352B8" w:rsidRDefault="002D7AEC" w:rsidP="002D7AEC">
            <w:pPr>
              <w:spacing w:beforeLines="20" w:before="72" w:afterLines="20" w:after="72" w:line="400" w:lineRule="exact"/>
              <w:ind w:rightChars="75" w:right="180"/>
              <w:jc w:val="right"/>
              <w:rPr>
                <w:rFonts w:eastAsia="華康楷書體W5"/>
              </w:rPr>
            </w:pPr>
            <w:r w:rsidRPr="003352B8">
              <w:rPr>
                <w:rFonts w:eastAsia="華康楷書體W5" w:hint="eastAsia"/>
              </w:rPr>
              <w:t>39.3</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val="restart"/>
          </w:tcPr>
          <w:p w:rsidR="002D7AEC" w:rsidRPr="00896C1C" w:rsidRDefault="002D7AEC" w:rsidP="008917A1">
            <w:pPr>
              <w:snapToGrid w:val="0"/>
              <w:spacing w:line="280" w:lineRule="exact"/>
              <w:jc w:val="center"/>
              <w:rPr>
                <w:rFonts w:eastAsia="標楷體"/>
              </w:rPr>
            </w:pPr>
          </w:p>
          <w:p w:rsidR="002D7AEC" w:rsidRPr="00896C1C" w:rsidRDefault="002D7AEC" w:rsidP="008917A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37.1</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36.1</w:t>
            </w:r>
          </w:p>
        </w:tc>
        <w:tc>
          <w:tcPr>
            <w:tcW w:w="967" w:type="dxa"/>
            <w:gridSpan w:val="2"/>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84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216.3</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tcPr>
          <w:p w:rsidR="002D7AEC" w:rsidRPr="00896C1C" w:rsidRDefault="002D7AEC" w:rsidP="008917A1">
            <w:pPr>
              <w:snapToGrid w:val="0"/>
              <w:spacing w:before="120" w:after="120" w:line="320" w:lineRule="exact"/>
              <w:rPr>
                <w:rFonts w:eastAsia="標楷體"/>
                <w:sz w:val="28"/>
              </w:rPr>
            </w:pPr>
          </w:p>
        </w:tc>
        <w:tc>
          <w:tcPr>
            <w:tcW w:w="885" w:type="dxa"/>
          </w:tcPr>
          <w:p w:rsidR="002D7AEC" w:rsidRPr="00896C1C" w:rsidRDefault="002D7AEC" w:rsidP="00DB4F5B">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00DB4F5B">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-4.5</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-9.7</w:t>
            </w:r>
          </w:p>
        </w:tc>
        <w:tc>
          <w:tcPr>
            <w:tcW w:w="967" w:type="dxa"/>
            <w:gridSpan w:val="2"/>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w:t>
            </w:r>
          </w:p>
        </w:tc>
        <w:tc>
          <w:tcPr>
            <w:tcW w:w="84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tcPr>
          <w:p w:rsidR="002D7AEC" w:rsidRPr="00896C1C" w:rsidRDefault="002D7AEC" w:rsidP="008917A1">
            <w:pPr>
              <w:snapToGrid w:val="0"/>
              <w:spacing w:before="120" w:after="120" w:line="320" w:lineRule="exact"/>
              <w:rPr>
                <w:rFonts w:eastAsia="標楷體"/>
                <w:sz w:val="28"/>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16.3</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16.5</w:t>
            </w:r>
          </w:p>
        </w:tc>
        <w:tc>
          <w:tcPr>
            <w:tcW w:w="967" w:type="dxa"/>
            <w:gridSpan w:val="2"/>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15.6</w:t>
            </w:r>
          </w:p>
        </w:tc>
        <w:tc>
          <w:tcPr>
            <w:tcW w:w="84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15.9</w:t>
            </w:r>
          </w:p>
        </w:tc>
      </w:tr>
      <w:tr w:rsidR="002D7AEC" w:rsidRPr="00CD3778" w:rsidTr="008917A1">
        <w:trPr>
          <w:gridAfter w:val="1"/>
          <w:wAfter w:w="12" w:type="dxa"/>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val="restart"/>
            <w:vAlign w:val="center"/>
          </w:tcPr>
          <w:p w:rsidR="002D7AEC" w:rsidRPr="00896C1C" w:rsidRDefault="009E0B50" w:rsidP="008917A1">
            <w:pPr>
              <w:snapToGrid w:val="0"/>
              <w:spacing w:before="120" w:after="120" w:line="320" w:lineRule="exact"/>
              <w:jc w:val="center"/>
              <w:rPr>
                <w:rFonts w:eastAsia="標楷體"/>
              </w:rPr>
            </w:pPr>
            <w:r>
              <w:rPr>
                <w:rFonts w:eastAsia="標楷體" w:hint="eastAsia"/>
              </w:rPr>
              <w:t>出入</w:t>
            </w:r>
            <w:r w:rsidR="002D7AEC" w:rsidRPr="00896C1C">
              <w:rPr>
                <w:rFonts w:eastAsia="標楷體" w:hint="eastAsia"/>
              </w:rPr>
              <w:br/>
            </w:r>
            <w:r>
              <w:rPr>
                <w:rFonts w:eastAsia="標楷體" w:hint="eastAsia"/>
              </w:rPr>
              <w:t>超</w:t>
            </w: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939"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67.8</w:t>
            </w:r>
          </w:p>
        </w:tc>
        <w:tc>
          <w:tcPr>
            <w:tcW w:w="967" w:type="dxa"/>
            <w:gridSpan w:val="2"/>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66.5</w:t>
            </w:r>
          </w:p>
        </w:tc>
        <w:tc>
          <w:tcPr>
            <w:tcW w:w="840" w:type="dxa"/>
            <w:tcBorders>
              <w:top w:val="nil"/>
              <w:left w:val="nil"/>
              <w:bottom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374.5</w:t>
            </w:r>
          </w:p>
        </w:tc>
      </w:tr>
      <w:tr w:rsidR="002D7AEC" w:rsidRPr="00CD3778" w:rsidTr="008917A1">
        <w:trPr>
          <w:cantSplit/>
          <w:trHeight w:hRule="exact" w:val="760"/>
        </w:trPr>
        <w:tc>
          <w:tcPr>
            <w:tcW w:w="622" w:type="dxa"/>
            <w:vMerge/>
            <w:tcBorders>
              <w:left w:val="nil"/>
            </w:tcBorders>
          </w:tcPr>
          <w:p w:rsidR="002D7AEC" w:rsidRPr="00896C1C" w:rsidRDefault="002D7AEC" w:rsidP="008917A1">
            <w:pPr>
              <w:snapToGrid w:val="0"/>
              <w:spacing w:before="120" w:after="120" w:line="320" w:lineRule="exact"/>
              <w:rPr>
                <w:rFonts w:eastAsia="標楷體"/>
                <w:sz w:val="28"/>
              </w:rPr>
            </w:pPr>
          </w:p>
        </w:tc>
        <w:tc>
          <w:tcPr>
            <w:tcW w:w="762" w:type="dxa"/>
            <w:vMerge/>
          </w:tcPr>
          <w:p w:rsidR="002D7AEC" w:rsidRPr="00896C1C" w:rsidRDefault="002D7AEC" w:rsidP="008917A1">
            <w:pPr>
              <w:snapToGrid w:val="0"/>
              <w:spacing w:before="120" w:after="120" w:line="320" w:lineRule="exact"/>
              <w:rPr>
                <w:rFonts w:eastAsia="標楷體"/>
                <w:sz w:val="28"/>
              </w:rPr>
            </w:pPr>
          </w:p>
        </w:tc>
        <w:tc>
          <w:tcPr>
            <w:tcW w:w="885" w:type="dxa"/>
          </w:tcPr>
          <w:p w:rsidR="002D7AEC" w:rsidRPr="00896C1C" w:rsidRDefault="002D7AEC" w:rsidP="008917A1">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2D7AEC" w:rsidRPr="00896C1C" w:rsidRDefault="002D7AEC" w:rsidP="002D7AEC">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3.3</w:t>
            </w:r>
          </w:p>
        </w:tc>
        <w:tc>
          <w:tcPr>
            <w:tcW w:w="939" w:type="dxa"/>
            <w:tcBorders>
              <w:top w:val="nil"/>
              <w:left w:val="nil"/>
              <w:right w:val="nil"/>
            </w:tcBorders>
            <w:vAlign w:val="center"/>
          </w:tcPr>
          <w:p w:rsidR="002D7AEC" w:rsidRPr="00E1464C" w:rsidRDefault="002D7AEC" w:rsidP="002D7AEC">
            <w:pPr>
              <w:spacing w:beforeLines="20" w:before="72" w:afterLines="20" w:after="72" w:line="400" w:lineRule="exact"/>
              <w:ind w:rightChars="75" w:right="180"/>
              <w:jc w:val="right"/>
              <w:rPr>
                <w:rFonts w:eastAsia="華康楷書體W5"/>
              </w:rPr>
            </w:pPr>
            <w:r w:rsidRPr="00E1464C">
              <w:rPr>
                <w:rFonts w:eastAsia="華康楷書體W5" w:hint="eastAsia"/>
              </w:rPr>
              <w:t>-9.7</w:t>
            </w:r>
          </w:p>
        </w:tc>
        <w:tc>
          <w:tcPr>
            <w:tcW w:w="820" w:type="dxa"/>
            <w:tcBorders>
              <w:top w:val="nil"/>
              <w:left w:val="nil"/>
              <w:right w:val="nil"/>
            </w:tcBorders>
            <w:vAlign w:val="center"/>
          </w:tcPr>
          <w:p w:rsidR="002D7AEC" w:rsidRPr="00E1464C" w:rsidRDefault="002D7AEC" w:rsidP="002D7AEC">
            <w:pPr>
              <w:spacing w:beforeLines="20" w:before="72" w:afterLines="20" w:after="72" w:line="400" w:lineRule="exact"/>
              <w:ind w:rightChars="-2" w:right="-5"/>
              <w:jc w:val="right"/>
              <w:rPr>
                <w:rFonts w:eastAsia="華康楷書體W5"/>
                <w:color w:val="000000"/>
              </w:rPr>
            </w:pPr>
            <w:r>
              <w:rPr>
                <w:rFonts w:eastAsia="華康楷書體W5" w:hint="eastAsia"/>
                <w:color w:val="000000"/>
              </w:rPr>
              <w:t>6.0</w:t>
            </w:r>
          </w:p>
        </w:tc>
        <w:tc>
          <w:tcPr>
            <w:tcW w:w="999" w:type="dxa"/>
            <w:gridSpan w:val="3"/>
            <w:tcBorders>
              <w:top w:val="nil"/>
              <w:left w:val="nil"/>
              <w:right w:val="nil"/>
            </w:tcBorders>
            <w:vAlign w:val="center"/>
          </w:tcPr>
          <w:p w:rsidR="002D7AEC" w:rsidRPr="00CD3778" w:rsidRDefault="002D7AEC" w:rsidP="002D7AEC">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5.5</w:t>
            </w:r>
          </w:p>
        </w:tc>
      </w:tr>
    </w:tbl>
    <w:p w:rsidR="002D7AEC" w:rsidRPr="002D7AEC" w:rsidRDefault="002D7AEC" w:rsidP="002D7AEC">
      <w:pPr>
        <w:widowControl/>
        <w:autoSpaceDE w:val="0"/>
        <w:autoSpaceDN w:val="0"/>
        <w:adjustRightInd w:val="0"/>
        <w:snapToGrid w:val="0"/>
        <w:spacing w:line="300" w:lineRule="auto"/>
        <w:rPr>
          <w:rFonts w:eastAsia="標楷體"/>
          <w:sz w:val="22"/>
          <w:szCs w:val="22"/>
        </w:rPr>
      </w:pPr>
      <w:proofErr w:type="gramStart"/>
      <w:r w:rsidRPr="002D7AEC">
        <w:rPr>
          <w:rFonts w:eastAsia="標楷體" w:hint="eastAsia"/>
          <w:sz w:val="22"/>
          <w:szCs w:val="22"/>
        </w:rPr>
        <w:t>註</w:t>
      </w:r>
      <w:proofErr w:type="gramEnd"/>
      <w:r w:rsidRPr="002D7AEC">
        <w:rPr>
          <w:rFonts w:eastAsia="標楷體" w:hint="eastAsia"/>
          <w:sz w:val="22"/>
          <w:szCs w:val="22"/>
        </w:rPr>
        <w:t>：</w:t>
      </w:r>
      <w:r w:rsidRPr="002D7AEC">
        <w:rPr>
          <w:rFonts w:eastAsia="標楷體" w:hint="eastAsia"/>
          <w:sz w:val="22"/>
          <w:szCs w:val="22"/>
        </w:rPr>
        <w:t>1.</w:t>
      </w:r>
      <w:r w:rsidRPr="002D7AEC">
        <w:rPr>
          <w:rFonts w:eastAsia="標楷體" w:hint="eastAsia"/>
          <w:sz w:val="22"/>
          <w:szCs w:val="22"/>
        </w:rPr>
        <w:t>我對中國大陸投資件數及</w:t>
      </w:r>
      <w:proofErr w:type="gramStart"/>
      <w:r w:rsidRPr="002D7AEC">
        <w:rPr>
          <w:rFonts w:eastAsia="標楷體" w:hint="eastAsia"/>
          <w:sz w:val="22"/>
          <w:szCs w:val="22"/>
        </w:rPr>
        <w:t>金額均含核准</w:t>
      </w:r>
      <w:proofErr w:type="gramEnd"/>
      <w:r w:rsidRPr="002D7AEC">
        <w:rPr>
          <w:rFonts w:eastAsia="標楷體" w:hint="eastAsia"/>
          <w:sz w:val="22"/>
          <w:szCs w:val="22"/>
        </w:rPr>
        <w:t>補辦案件。</w:t>
      </w:r>
    </w:p>
    <w:p w:rsidR="002D7AEC" w:rsidRPr="002D7AEC" w:rsidRDefault="002D7AEC" w:rsidP="002D7AE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2.</w:t>
      </w:r>
      <w:r w:rsidRPr="002D7AEC">
        <w:rPr>
          <w:rFonts w:eastAsia="標楷體" w:hint="eastAsia"/>
          <w:sz w:val="22"/>
          <w:szCs w:val="22"/>
        </w:rPr>
        <w:t>我對中國大陸投資金額（</w:t>
      </w:r>
      <w:proofErr w:type="gramStart"/>
      <w:r w:rsidRPr="002D7AEC">
        <w:rPr>
          <w:rFonts w:eastAsia="標楷體" w:hint="eastAsia"/>
          <w:sz w:val="22"/>
          <w:szCs w:val="22"/>
        </w:rPr>
        <w:t>）</w:t>
      </w:r>
      <w:proofErr w:type="gramEnd"/>
      <w:r w:rsidRPr="002D7AEC">
        <w:rPr>
          <w:rFonts w:eastAsia="標楷體" w:hint="eastAsia"/>
          <w:sz w:val="22"/>
          <w:szCs w:val="22"/>
        </w:rPr>
        <w:t>內數字為較上年同期成長率。</w:t>
      </w:r>
    </w:p>
    <w:p w:rsidR="002D7AEC" w:rsidRPr="002D7AEC" w:rsidRDefault="002D7AEC" w:rsidP="002D7AEC">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w:t>
      </w:r>
      <w:r w:rsidRPr="002D7AEC">
        <w:rPr>
          <w:rFonts w:eastAsia="標楷體" w:hint="eastAsia"/>
          <w:sz w:val="22"/>
          <w:szCs w:val="22"/>
        </w:rPr>
        <w:t>3. 2009</w:t>
      </w:r>
      <w:r w:rsidRPr="002D7AEC">
        <w:rPr>
          <w:rFonts w:eastAsia="標楷體" w:hint="eastAsia"/>
          <w:sz w:val="22"/>
          <w:szCs w:val="22"/>
        </w:rPr>
        <w:t>年</w:t>
      </w:r>
      <w:r w:rsidRPr="002D7AEC">
        <w:rPr>
          <w:rFonts w:eastAsia="標楷體" w:hint="eastAsia"/>
          <w:sz w:val="22"/>
          <w:szCs w:val="22"/>
        </w:rPr>
        <w:t>6</w:t>
      </w:r>
      <w:r w:rsidRPr="002D7AEC">
        <w:rPr>
          <w:rFonts w:eastAsia="標楷體" w:hint="eastAsia"/>
          <w:sz w:val="22"/>
          <w:szCs w:val="22"/>
        </w:rPr>
        <w:t>月</w:t>
      </w:r>
      <w:r w:rsidRPr="002D7AEC">
        <w:rPr>
          <w:rFonts w:eastAsia="標楷體" w:hint="eastAsia"/>
          <w:sz w:val="22"/>
          <w:szCs w:val="22"/>
        </w:rPr>
        <w:t>30</w:t>
      </w:r>
      <w:r w:rsidRPr="002D7AEC">
        <w:rPr>
          <w:rFonts w:eastAsia="標楷體" w:hint="eastAsia"/>
          <w:sz w:val="22"/>
          <w:szCs w:val="22"/>
        </w:rPr>
        <w:t>日起開放陸資來台投資。</w:t>
      </w:r>
    </w:p>
    <w:p w:rsidR="00FA01C2" w:rsidRPr="002D7AEC" w:rsidRDefault="002D7AEC" w:rsidP="002D7AEC">
      <w:pPr>
        <w:widowControl/>
        <w:autoSpaceDE w:val="0"/>
        <w:autoSpaceDN w:val="0"/>
        <w:adjustRightInd w:val="0"/>
        <w:snapToGrid w:val="0"/>
        <w:spacing w:line="300" w:lineRule="auto"/>
        <w:rPr>
          <w:rFonts w:eastAsia="標楷體"/>
        </w:rPr>
      </w:pPr>
      <w:r w:rsidRPr="002D7AEC">
        <w:rPr>
          <w:rFonts w:eastAsia="標楷體" w:hint="eastAsia"/>
          <w:sz w:val="22"/>
          <w:szCs w:val="22"/>
        </w:rPr>
        <w:t>資料來源：經濟部投審會「投資統計月報」、財政部進出口海關統計。</w:t>
      </w:r>
      <w:r w:rsidR="00FA01C2" w:rsidRPr="002D7AEC">
        <w:rPr>
          <w:rFonts w:eastAsia="標楷體"/>
          <w:spacing w:val="-10"/>
        </w:rPr>
        <w:br w:type="page"/>
      </w:r>
    </w:p>
    <w:p w:rsidR="00380A37" w:rsidRPr="003111E1" w:rsidRDefault="00380A37" w:rsidP="003F11AE">
      <w:pPr>
        <w:pStyle w:val="t-1"/>
        <w:spacing w:after="180"/>
      </w:pPr>
      <w:bookmarkStart w:id="35" w:name="_Toc279048470"/>
      <w:bookmarkStart w:id="36" w:name="_Toc337122124"/>
      <w:bookmarkStart w:id="37" w:name="_Toc349916576"/>
      <w:bookmarkStart w:id="38" w:name="_Toc358042570"/>
      <w:r w:rsidRPr="003111E1">
        <w:lastRenderedPageBreak/>
        <w:t>參、經濟情勢分析</w:t>
      </w:r>
      <w:bookmarkEnd w:id="35"/>
      <w:bookmarkEnd w:id="36"/>
      <w:bookmarkEnd w:id="37"/>
      <w:bookmarkEnd w:id="38"/>
    </w:p>
    <w:p w:rsidR="00380A37" w:rsidRPr="003111E1" w:rsidRDefault="00380A37" w:rsidP="003F11AE">
      <w:pPr>
        <w:pStyle w:val="t-2"/>
        <w:rPr>
          <w:rFonts w:hAnsi="Times New Roman"/>
        </w:rPr>
      </w:pPr>
      <w:bookmarkStart w:id="39" w:name="_Toc230064830"/>
      <w:bookmarkStart w:id="40" w:name="_Toc279048471"/>
      <w:bookmarkStart w:id="41" w:name="_Toc337122125"/>
      <w:bookmarkStart w:id="42" w:name="_Toc349916577"/>
      <w:bookmarkStart w:id="43" w:name="_Toc358042571"/>
      <w:r w:rsidRPr="003111E1">
        <w:rPr>
          <w:rFonts w:hAnsi="Times New Roman"/>
        </w:rPr>
        <w:t>一、國際經濟</w:t>
      </w:r>
      <w:bookmarkEnd w:id="39"/>
      <w:bookmarkEnd w:id="40"/>
      <w:bookmarkEnd w:id="41"/>
      <w:bookmarkEnd w:id="42"/>
      <w:bookmarkEnd w:id="43"/>
    </w:p>
    <w:p w:rsidR="00380A37" w:rsidRPr="00715DBB" w:rsidRDefault="00380A37" w:rsidP="003F11AE">
      <w:pPr>
        <w:pStyle w:val="t-3"/>
        <w:spacing w:line="520" w:lineRule="exact"/>
        <w:ind w:right="-60"/>
      </w:pPr>
      <w:bookmarkStart w:id="44" w:name="_Toc337122126"/>
      <w:bookmarkStart w:id="45" w:name="_Toc349916578"/>
      <w:bookmarkStart w:id="46" w:name="_Toc358042572"/>
      <w:r w:rsidRPr="00715DBB">
        <w:t>（一）美國</w:t>
      </w:r>
      <w:bookmarkEnd w:id="44"/>
      <w:bookmarkEnd w:id="45"/>
      <w:bookmarkEnd w:id="46"/>
    </w:p>
    <w:p w:rsidR="00715DBB" w:rsidRPr="00715DBB" w:rsidRDefault="00715DBB" w:rsidP="008917A1">
      <w:pPr>
        <w:widowControl/>
        <w:snapToGrid w:val="0"/>
        <w:spacing w:before="120" w:line="300" w:lineRule="auto"/>
        <w:ind w:leftChars="177" w:left="425" w:firstLineChars="202" w:firstLine="566"/>
        <w:jc w:val="both"/>
        <w:rPr>
          <w:rFonts w:eastAsia="標楷體"/>
          <w:bCs/>
          <w:kern w:val="0"/>
          <w:sz w:val="28"/>
          <w:szCs w:val="20"/>
        </w:rPr>
      </w:pPr>
      <w:bookmarkStart w:id="47" w:name="_Toc196540361"/>
      <w:bookmarkStart w:id="48" w:name="_Toc337122127"/>
      <w:r w:rsidRPr="00715DBB">
        <w:rPr>
          <w:rFonts w:eastAsia="標楷體" w:hint="eastAsia"/>
          <w:bCs/>
          <w:kern w:val="0"/>
          <w:sz w:val="28"/>
          <w:szCs w:val="20"/>
        </w:rPr>
        <w:t>美國工商協進會（</w:t>
      </w:r>
      <w:r w:rsidRPr="00715DBB">
        <w:rPr>
          <w:rFonts w:eastAsia="標楷體" w:hint="eastAsia"/>
          <w:bCs/>
          <w:kern w:val="0"/>
          <w:sz w:val="28"/>
          <w:szCs w:val="20"/>
        </w:rPr>
        <w:t>Conference Board</w:t>
      </w:r>
      <w:r w:rsidRPr="00715DBB">
        <w:rPr>
          <w:rFonts w:eastAsia="標楷體" w:hint="eastAsia"/>
          <w:bCs/>
          <w:kern w:val="0"/>
          <w:sz w:val="28"/>
          <w:szCs w:val="20"/>
        </w:rPr>
        <w:t>）</w:t>
      </w:r>
      <w:r w:rsidRPr="00715DBB">
        <w:rPr>
          <w:rFonts w:eastAsia="標楷體" w:hint="eastAsia"/>
          <w:bCs/>
          <w:kern w:val="0"/>
          <w:sz w:val="28"/>
          <w:szCs w:val="20"/>
        </w:rPr>
        <w:t>2013</w:t>
      </w:r>
      <w:r w:rsidRPr="00715DBB">
        <w:rPr>
          <w:rFonts w:eastAsia="標楷體" w:hint="eastAsia"/>
          <w:bCs/>
          <w:kern w:val="0"/>
          <w:sz w:val="28"/>
          <w:szCs w:val="20"/>
        </w:rPr>
        <w:t>年</w:t>
      </w:r>
      <w:r w:rsidRPr="00715DBB">
        <w:rPr>
          <w:rFonts w:eastAsia="標楷體" w:hint="eastAsia"/>
          <w:bCs/>
          <w:kern w:val="0"/>
          <w:sz w:val="28"/>
          <w:szCs w:val="20"/>
        </w:rPr>
        <w:t>7</w:t>
      </w:r>
      <w:r w:rsidRPr="00715DBB">
        <w:rPr>
          <w:rFonts w:eastAsia="標楷體" w:hint="eastAsia"/>
          <w:bCs/>
          <w:kern w:val="0"/>
          <w:sz w:val="28"/>
          <w:szCs w:val="20"/>
        </w:rPr>
        <w:t>月</w:t>
      </w:r>
      <w:r w:rsidRPr="00715DBB">
        <w:rPr>
          <w:rFonts w:eastAsia="標楷體" w:hint="eastAsia"/>
          <w:bCs/>
          <w:kern w:val="0"/>
          <w:sz w:val="28"/>
          <w:szCs w:val="20"/>
        </w:rPr>
        <w:t>18</w:t>
      </w:r>
      <w:r w:rsidRPr="00715DBB">
        <w:rPr>
          <w:rFonts w:eastAsia="標楷體" w:hint="eastAsia"/>
          <w:bCs/>
          <w:kern w:val="0"/>
          <w:sz w:val="28"/>
          <w:szCs w:val="20"/>
        </w:rPr>
        <w:t>日公布</w:t>
      </w:r>
      <w:r w:rsidRPr="00715DBB">
        <w:rPr>
          <w:rFonts w:eastAsia="標楷體" w:hint="eastAsia"/>
          <w:bCs/>
          <w:kern w:val="0"/>
          <w:sz w:val="28"/>
          <w:szCs w:val="20"/>
        </w:rPr>
        <w:t>2013</w:t>
      </w:r>
      <w:r w:rsidRPr="00715DBB">
        <w:rPr>
          <w:rFonts w:eastAsia="標楷體" w:hint="eastAsia"/>
          <w:bCs/>
          <w:kern w:val="0"/>
          <w:sz w:val="28"/>
          <w:szCs w:val="20"/>
        </w:rPr>
        <w:t>年</w:t>
      </w:r>
      <w:r w:rsidRPr="00715DBB">
        <w:rPr>
          <w:rFonts w:eastAsia="標楷體" w:hint="eastAsia"/>
          <w:bCs/>
          <w:kern w:val="0"/>
          <w:sz w:val="28"/>
          <w:szCs w:val="20"/>
        </w:rPr>
        <w:t>6</w:t>
      </w:r>
      <w:r w:rsidRPr="00715DBB">
        <w:rPr>
          <w:rFonts w:eastAsia="標楷體" w:hint="eastAsia"/>
          <w:bCs/>
          <w:kern w:val="0"/>
          <w:sz w:val="28"/>
          <w:szCs w:val="20"/>
        </w:rPr>
        <w:t>月份領先指標，與上月持平。除</w:t>
      </w:r>
      <w:r w:rsidRPr="00715DBB">
        <w:rPr>
          <w:rFonts w:eastAsia="標楷體" w:hint="eastAsia"/>
          <w:bCs/>
          <w:kern w:val="0"/>
          <w:sz w:val="28"/>
          <w:szCs w:val="20"/>
        </w:rPr>
        <w:t>ISM</w:t>
      </w:r>
      <w:r w:rsidRPr="00715DBB">
        <w:rPr>
          <w:rFonts w:eastAsia="標楷體" w:hint="eastAsia"/>
          <w:bCs/>
          <w:kern w:val="0"/>
          <w:sz w:val="28"/>
          <w:szCs w:val="20"/>
        </w:rPr>
        <w:t>新接訂單、建築許可、製造業非國防新資本財訂單呈現負成長外，餘每週平均申請失業救濟金人數、利率差距、領先信用指數、股價指標、製造業平均每週工時、消費者預期，以及製造業消費性產品及材料新訂單則呈現正成長。</w:t>
      </w:r>
      <w:r w:rsidRPr="00715DBB">
        <w:rPr>
          <w:rFonts w:eastAsia="標楷體" w:hint="eastAsia"/>
          <w:bCs/>
          <w:kern w:val="0"/>
          <w:sz w:val="28"/>
          <w:szCs w:val="20"/>
        </w:rPr>
        <w:t>6</w:t>
      </w:r>
      <w:r w:rsidRPr="00715DBB">
        <w:rPr>
          <w:rFonts w:eastAsia="標楷體" w:hint="eastAsia"/>
          <w:bCs/>
          <w:kern w:val="0"/>
          <w:sz w:val="28"/>
          <w:szCs w:val="20"/>
        </w:rPr>
        <w:t>月消費者信心指數自</w:t>
      </w:r>
      <w:r w:rsidRPr="00715DBB">
        <w:rPr>
          <w:rFonts w:eastAsia="標楷體" w:hint="eastAsia"/>
          <w:bCs/>
          <w:kern w:val="0"/>
          <w:sz w:val="28"/>
          <w:szCs w:val="20"/>
        </w:rPr>
        <w:t>5</w:t>
      </w:r>
      <w:r w:rsidRPr="00715DBB">
        <w:rPr>
          <w:rFonts w:eastAsia="標楷體" w:hint="eastAsia"/>
          <w:bCs/>
          <w:kern w:val="0"/>
          <w:sz w:val="28"/>
          <w:szCs w:val="20"/>
        </w:rPr>
        <w:t>月的</w:t>
      </w:r>
      <w:r w:rsidRPr="00715DBB">
        <w:rPr>
          <w:rFonts w:eastAsia="標楷體" w:hint="eastAsia"/>
          <w:bCs/>
          <w:kern w:val="0"/>
          <w:sz w:val="28"/>
          <w:szCs w:val="20"/>
        </w:rPr>
        <w:t>74.3</w:t>
      </w:r>
      <w:r w:rsidRPr="00715DBB">
        <w:rPr>
          <w:rFonts w:eastAsia="標楷體" w:hint="eastAsia"/>
          <w:bCs/>
          <w:kern w:val="0"/>
          <w:sz w:val="28"/>
          <w:szCs w:val="20"/>
        </w:rPr>
        <w:t>上升至</w:t>
      </w:r>
      <w:r w:rsidRPr="00715DBB">
        <w:rPr>
          <w:rFonts w:eastAsia="標楷體" w:hint="eastAsia"/>
          <w:bCs/>
          <w:kern w:val="0"/>
          <w:sz w:val="28"/>
          <w:szCs w:val="20"/>
        </w:rPr>
        <w:t>81.4</w:t>
      </w:r>
      <w:r w:rsidRPr="00715DBB">
        <w:rPr>
          <w:rFonts w:eastAsia="標楷體" w:hint="eastAsia"/>
          <w:bCs/>
          <w:kern w:val="0"/>
          <w:sz w:val="28"/>
          <w:szCs w:val="20"/>
        </w:rPr>
        <w:t>。</w:t>
      </w:r>
      <w:r w:rsidR="00031AAB">
        <w:rPr>
          <w:rFonts w:eastAsia="標楷體" w:hint="eastAsia"/>
          <w:bCs/>
          <w:kern w:val="0"/>
          <w:sz w:val="28"/>
          <w:szCs w:val="20"/>
        </w:rPr>
        <w:t>另據</w:t>
      </w:r>
      <w:r w:rsidRPr="00715DBB">
        <w:rPr>
          <w:rFonts w:eastAsia="標楷體" w:hint="eastAsia"/>
          <w:bCs/>
          <w:kern w:val="0"/>
          <w:sz w:val="28"/>
          <w:szCs w:val="20"/>
        </w:rPr>
        <w:t>美國供應管理協會（</w:t>
      </w:r>
      <w:r w:rsidRPr="00715DBB">
        <w:rPr>
          <w:rFonts w:eastAsia="標楷體" w:hint="eastAsia"/>
          <w:bCs/>
          <w:kern w:val="0"/>
          <w:sz w:val="28"/>
          <w:szCs w:val="20"/>
        </w:rPr>
        <w:t>Institute for Supply Management</w:t>
      </w:r>
      <w:r w:rsidRPr="00715DBB">
        <w:rPr>
          <w:rFonts w:eastAsia="標楷體" w:hint="eastAsia"/>
          <w:bCs/>
          <w:kern w:val="0"/>
          <w:sz w:val="28"/>
          <w:szCs w:val="20"/>
        </w:rPr>
        <w:t>）報告顯示，全美</w:t>
      </w:r>
      <w:r w:rsidRPr="00715DBB">
        <w:rPr>
          <w:rFonts w:eastAsia="標楷體" w:hint="eastAsia"/>
          <w:bCs/>
          <w:kern w:val="0"/>
          <w:sz w:val="28"/>
          <w:szCs w:val="20"/>
        </w:rPr>
        <w:t>2013</w:t>
      </w:r>
      <w:r w:rsidRPr="00715DBB">
        <w:rPr>
          <w:rFonts w:eastAsia="標楷體" w:hint="eastAsia"/>
          <w:bCs/>
          <w:kern w:val="0"/>
          <w:sz w:val="28"/>
          <w:szCs w:val="20"/>
        </w:rPr>
        <w:t>年</w:t>
      </w:r>
      <w:r w:rsidRPr="00715DBB">
        <w:rPr>
          <w:rFonts w:eastAsia="標楷體" w:hint="eastAsia"/>
          <w:bCs/>
          <w:kern w:val="0"/>
          <w:sz w:val="28"/>
          <w:szCs w:val="20"/>
        </w:rPr>
        <w:t>6</w:t>
      </w:r>
      <w:r w:rsidRPr="00715DBB">
        <w:rPr>
          <w:rFonts w:eastAsia="標楷體" w:hint="eastAsia"/>
          <w:bCs/>
          <w:kern w:val="0"/>
          <w:sz w:val="28"/>
          <w:szCs w:val="20"/>
        </w:rPr>
        <w:t>月製造業指數，從</w:t>
      </w:r>
      <w:r w:rsidRPr="00715DBB">
        <w:rPr>
          <w:rFonts w:eastAsia="標楷體" w:hint="eastAsia"/>
          <w:bCs/>
          <w:kern w:val="0"/>
          <w:sz w:val="28"/>
          <w:szCs w:val="20"/>
        </w:rPr>
        <w:t>5</w:t>
      </w:r>
      <w:r w:rsidRPr="00715DBB">
        <w:rPr>
          <w:rFonts w:eastAsia="標楷體" w:hint="eastAsia"/>
          <w:bCs/>
          <w:kern w:val="0"/>
          <w:sz w:val="28"/>
          <w:szCs w:val="20"/>
        </w:rPr>
        <w:t>月的</w:t>
      </w:r>
      <w:r w:rsidRPr="00715DBB">
        <w:rPr>
          <w:rFonts w:eastAsia="標楷體" w:hint="eastAsia"/>
          <w:bCs/>
          <w:kern w:val="0"/>
          <w:sz w:val="28"/>
          <w:szCs w:val="20"/>
        </w:rPr>
        <w:t>49</w:t>
      </w:r>
      <w:r w:rsidRPr="00715DBB">
        <w:rPr>
          <w:rFonts w:eastAsia="標楷體" w:hint="eastAsia"/>
          <w:bCs/>
          <w:kern w:val="0"/>
          <w:sz w:val="28"/>
          <w:szCs w:val="20"/>
        </w:rPr>
        <w:t>上升至</w:t>
      </w:r>
      <w:r w:rsidRPr="00715DBB">
        <w:rPr>
          <w:rFonts w:eastAsia="標楷體" w:hint="eastAsia"/>
          <w:bCs/>
          <w:kern w:val="0"/>
          <w:sz w:val="28"/>
          <w:szCs w:val="20"/>
        </w:rPr>
        <w:t>50.9</w:t>
      </w:r>
      <w:r w:rsidRPr="00715DBB">
        <w:rPr>
          <w:rFonts w:eastAsia="標楷體" w:hint="eastAsia"/>
          <w:bCs/>
          <w:kern w:val="0"/>
          <w:sz w:val="28"/>
          <w:szCs w:val="20"/>
        </w:rPr>
        <w:t>，數值高於</w:t>
      </w:r>
      <w:r w:rsidRPr="00715DBB">
        <w:rPr>
          <w:rFonts w:eastAsia="標楷體" w:hint="eastAsia"/>
          <w:bCs/>
          <w:kern w:val="0"/>
          <w:sz w:val="28"/>
          <w:szCs w:val="20"/>
        </w:rPr>
        <w:t>50</w:t>
      </w:r>
      <w:r w:rsidRPr="00715DBB">
        <w:rPr>
          <w:rFonts w:eastAsia="標楷體" w:hint="eastAsia"/>
          <w:bCs/>
          <w:kern w:val="0"/>
          <w:sz w:val="28"/>
          <w:szCs w:val="20"/>
        </w:rPr>
        <w:t>榮</w:t>
      </w:r>
      <w:proofErr w:type="gramStart"/>
      <w:r w:rsidRPr="00715DBB">
        <w:rPr>
          <w:rFonts w:eastAsia="標楷體" w:hint="eastAsia"/>
          <w:bCs/>
          <w:kern w:val="0"/>
          <w:sz w:val="28"/>
          <w:szCs w:val="20"/>
        </w:rPr>
        <w:t>枯分嶺</w:t>
      </w:r>
      <w:proofErr w:type="gramEnd"/>
      <w:r w:rsidRPr="00715DBB">
        <w:rPr>
          <w:rFonts w:eastAsia="標楷體" w:hint="eastAsia"/>
          <w:bCs/>
          <w:kern w:val="0"/>
          <w:sz w:val="28"/>
          <w:szCs w:val="20"/>
        </w:rPr>
        <w:t>，顯示製造業活動擴張。</w:t>
      </w:r>
      <w:r w:rsidRPr="00715DBB">
        <w:rPr>
          <w:rFonts w:eastAsia="標楷體" w:hint="eastAsia"/>
          <w:bCs/>
          <w:kern w:val="0"/>
          <w:sz w:val="28"/>
          <w:szCs w:val="20"/>
        </w:rPr>
        <w:t xml:space="preserve"> </w:t>
      </w:r>
    </w:p>
    <w:p w:rsidR="00715DBB" w:rsidRPr="00715DBB" w:rsidRDefault="00715DBB" w:rsidP="008917A1">
      <w:pPr>
        <w:widowControl/>
        <w:snapToGrid w:val="0"/>
        <w:spacing w:before="120" w:line="300" w:lineRule="auto"/>
        <w:ind w:leftChars="177" w:left="425" w:firstLineChars="202" w:firstLine="566"/>
        <w:jc w:val="both"/>
        <w:rPr>
          <w:rFonts w:eastAsia="標楷體"/>
          <w:bCs/>
          <w:kern w:val="0"/>
          <w:sz w:val="28"/>
          <w:szCs w:val="20"/>
        </w:rPr>
      </w:pPr>
      <w:r w:rsidRPr="00715DBB">
        <w:rPr>
          <w:rFonts w:eastAsia="標楷體" w:hint="eastAsia"/>
          <w:bCs/>
          <w:kern w:val="0"/>
          <w:sz w:val="28"/>
          <w:szCs w:val="20"/>
        </w:rPr>
        <w:t>2013</w:t>
      </w:r>
      <w:r w:rsidRPr="00715DBB">
        <w:rPr>
          <w:rFonts w:eastAsia="標楷體" w:hint="eastAsia"/>
          <w:bCs/>
          <w:kern w:val="0"/>
          <w:sz w:val="28"/>
          <w:szCs w:val="20"/>
        </w:rPr>
        <w:t>年</w:t>
      </w:r>
      <w:r w:rsidRPr="00715DBB">
        <w:rPr>
          <w:rFonts w:eastAsia="標楷體" w:hint="eastAsia"/>
          <w:bCs/>
          <w:kern w:val="0"/>
          <w:sz w:val="28"/>
          <w:szCs w:val="20"/>
        </w:rPr>
        <w:t>5</w:t>
      </w:r>
      <w:r w:rsidRPr="00715DBB">
        <w:rPr>
          <w:rFonts w:eastAsia="標楷體" w:hint="eastAsia"/>
          <w:bCs/>
          <w:kern w:val="0"/>
          <w:sz w:val="28"/>
          <w:szCs w:val="20"/>
        </w:rPr>
        <w:t>月商品出口為</w:t>
      </w:r>
      <w:r w:rsidRPr="00715DBB">
        <w:rPr>
          <w:rFonts w:eastAsia="標楷體" w:hint="eastAsia"/>
          <w:bCs/>
          <w:kern w:val="0"/>
          <w:sz w:val="28"/>
          <w:szCs w:val="20"/>
        </w:rPr>
        <w:t>1,302.5</w:t>
      </w:r>
      <w:r w:rsidRPr="00715DBB">
        <w:rPr>
          <w:rFonts w:eastAsia="標楷體" w:hint="eastAsia"/>
          <w:bCs/>
          <w:kern w:val="0"/>
          <w:sz w:val="28"/>
          <w:szCs w:val="20"/>
        </w:rPr>
        <w:t>億美元，進口為</w:t>
      </w:r>
      <w:r w:rsidRPr="00715DBB">
        <w:rPr>
          <w:rFonts w:eastAsia="標楷體" w:hint="eastAsia"/>
          <w:bCs/>
          <w:kern w:val="0"/>
          <w:sz w:val="28"/>
          <w:szCs w:val="20"/>
        </w:rPr>
        <w:t>1,937.0</w:t>
      </w:r>
      <w:r w:rsidRPr="00715DBB">
        <w:rPr>
          <w:rFonts w:eastAsia="標楷體" w:hint="eastAsia"/>
          <w:bCs/>
          <w:kern w:val="0"/>
          <w:sz w:val="28"/>
          <w:szCs w:val="20"/>
        </w:rPr>
        <w:t>億美元，貿易</w:t>
      </w:r>
      <w:r w:rsidR="007F4E4C">
        <w:rPr>
          <w:rFonts w:eastAsia="標楷體" w:hint="eastAsia"/>
          <w:bCs/>
          <w:kern w:val="0"/>
          <w:sz w:val="28"/>
          <w:szCs w:val="20"/>
        </w:rPr>
        <w:t>入超</w:t>
      </w:r>
      <w:r w:rsidRPr="00715DBB">
        <w:rPr>
          <w:rFonts w:eastAsia="標楷體" w:hint="eastAsia"/>
          <w:bCs/>
          <w:kern w:val="0"/>
          <w:sz w:val="28"/>
          <w:szCs w:val="20"/>
        </w:rPr>
        <w:t>634.5</w:t>
      </w:r>
      <w:r w:rsidRPr="00715DBB">
        <w:rPr>
          <w:rFonts w:eastAsia="標楷體" w:hint="eastAsia"/>
          <w:bCs/>
          <w:kern w:val="0"/>
          <w:sz w:val="28"/>
          <w:szCs w:val="20"/>
        </w:rPr>
        <w:t>億美元；</w:t>
      </w:r>
      <w:r w:rsidRPr="00715DBB">
        <w:rPr>
          <w:rFonts w:eastAsia="標楷體" w:hint="eastAsia"/>
          <w:bCs/>
          <w:kern w:val="0"/>
          <w:sz w:val="28"/>
          <w:szCs w:val="20"/>
        </w:rPr>
        <w:t>2013</w:t>
      </w:r>
      <w:r w:rsidRPr="00715DBB">
        <w:rPr>
          <w:rFonts w:eastAsia="標楷體" w:hint="eastAsia"/>
          <w:bCs/>
          <w:kern w:val="0"/>
          <w:sz w:val="28"/>
          <w:szCs w:val="20"/>
        </w:rPr>
        <w:t>年</w:t>
      </w:r>
      <w:r w:rsidRPr="00715DBB">
        <w:rPr>
          <w:rFonts w:eastAsia="標楷體" w:hint="eastAsia"/>
          <w:bCs/>
          <w:kern w:val="0"/>
          <w:sz w:val="28"/>
          <w:szCs w:val="20"/>
        </w:rPr>
        <w:t>6</w:t>
      </w:r>
      <w:r w:rsidRPr="00715DBB">
        <w:rPr>
          <w:rFonts w:eastAsia="標楷體" w:hint="eastAsia"/>
          <w:bCs/>
          <w:kern w:val="0"/>
          <w:sz w:val="28"/>
          <w:szCs w:val="20"/>
        </w:rPr>
        <w:t>月消費者物價指數</w:t>
      </w:r>
      <w:r w:rsidR="00031AAB">
        <w:rPr>
          <w:rFonts w:eastAsia="標楷體" w:hint="eastAsia"/>
          <w:bCs/>
          <w:kern w:val="0"/>
          <w:sz w:val="28"/>
          <w:szCs w:val="20"/>
        </w:rPr>
        <w:t>上漲</w:t>
      </w:r>
      <w:r w:rsidRPr="00715DBB">
        <w:rPr>
          <w:rFonts w:eastAsia="標楷體" w:hint="eastAsia"/>
          <w:bCs/>
          <w:kern w:val="0"/>
          <w:sz w:val="28"/>
          <w:szCs w:val="20"/>
        </w:rPr>
        <w:t>1.8</w:t>
      </w:r>
      <w:r>
        <w:rPr>
          <w:rFonts w:eastAsia="標楷體" w:hint="eastAsia"/>
          <w:bCs/>
          <w:kern w:val="0"/>
          <w:sz w:val="28"/>
          <w:szCs w:val="20"/>
        </w:rPr>
        <w:t>％</w:t>
      </w:r>
      <w:r w:rsidRPr="00715DBB">
        <w:rPr>
          <w:rFonts w:eastAsia="標楷體" w:hint="eastAsia"/>
          <w:bCs/>
          <w:kern w:val="0"/>
          <w:sz w:val="28"/>
          <w:szCs w:val="20"/>
        </w:rPr>
        <w:t>；失業率維持</w:t>
      </w:r>
      <w:r w:rsidRPr="00715DBB">
        <w:rPr>
          <w:rFonts w:eastAsia="標楷體" w:hint="eastAsia"/>
          <w:bCs/>
          <w:kern w:val="0"/>
          <w:sz w:val="28"/>
          <w:szCs w:val="20"/>
        </w:rPr>
        <w:t>7.6</w:t>
      </w:r>
      <w:r>
        <w:rPr>
          <w:rFonts w:eastAsia="標楷體" w:hint="eastAsia"/>
          <w:bCs/>
          <w:kern w:val="0"/>
          <w:sz w:val="28"/>
          <w:szCs w:val="20"/>
        </w:rPr>
        <w:t>％</w:t>
      </w:r>
      <w:r w:rsidRPr="00715DBB">
        <w:rPr>
          <w:rFonts w:eastAsia="標楷體" w:hint="eastAsia"/>
          <w:bCs/>
          <w:kern w:val="0"/>
          <w:sz w:val="28"/>
          <w:szCs w:val="20"/>
        </w:rPr>
        <w:t>。</w:t>
      </w:r>
    </w:p>
    <w:p w:rsidR="00234C07" w:rsidRPr="00715DBB" w:rsidRDefault="00715DBB" w:rsidP="008917A1">
      <w:pPr>
        <w:widowControl/>
        <w:snapToGrid w:val="0"/>
        <w:spacing w:before="120" w:line="300" w:lineRule="auto"/>
        <w:ind w:leftChars="177" w:left="425" w:firstLineChars="202" w:firstLine="566"/>
        <w:jc w:val="both"/>
        <w:rPr>
          <w:rFonts w:eastAsia="標楷體"/>
          <w:kern w:val="0"/>
          <w:sz w:val="28"/>
        </w:rPr>
      </w:pPr>
      <w:r w:rsidRPr="00715DBB">
        <w:rPr>
          <w:rFonts w:eastAsia="標楷體" w:hint="eastAsia"/>
          <w:bCs/>
          <w:kern w:val="0"/>
          <w:sz w:val="28"/>
          <w:szCs w:val="20"/>
        </w:rPr>
        <w:t>美國聯</w:t>
      </w:r>
      <w:proofErr w:type="gramStart"/>
      <w:r w:rsidRPr="00715DBB">
        <w:rPr>
          <w:rFonts w:eastAsia="標楷體" w:hint="eastAsia"/>
          <w:bCs/>
          <w:kern w:val="0"/>
          <w:sz w:val="28"/>
          <w:szCs w:val="20"/>
        </w:rPr>
        <w:t>準</w:t>
      </w:r>
      <w:proofErr w:type="gramEnd"/>
      <w:r w:rsidRPr="00715DBB">
        <w:rPr>
          <w:rFonts w:eastAsia="標楷體" w:hint="eastAsia"/>
          <w:bCs/>
          <w:kern w:val="0"/>
          <w:sz w:val="28"/>
          <w:szCs w:val="20"/>
        </w:rPr>
        <w:t>會</w:t>
      </w:r>
      <w:r w:rsidR="008833E1">
        <w:rPr>
          <w:rFonts w:eastAsia="標楷體" w:hint="eastAsia"/>
          <w:bCs/>
          <w:kern w:val="0"/>
          <w:sz w:val="28"/>
          <w:szCs w:val="20"/>
        </w:rPr>
        <w:t>（</w:t>
      </w:r>
      <w:r w:rsidRPr="00715DBB">
        <w:rPr>
          <w:rFonts w:eastAsia="標楷體" w:hint="eastAsia"/>
          <w:bCs/>
          <w:kern w:val="0"/>
          <w:sz w:val="28"/>
          <w:szCs w:val="20"/>
        </w:rPr>
        <w:t>Fed</w:t>
      </w:r>
      <w:r w:rsidR="008833E1">
        <w:rPr>
          <w:rFonts w:eastAsia="標楷體" w:hint="eastAsia"/>
          <w:bCs/>
          <w:kern w:val="0"/>
          <w:sz w:val="28"/>
          <w:szCs w:val="20"/>
        </w:rPr>
        <w:t>）</w:t>
      </w:r>
      <w:r w:rsidRPr="00715DBB">
        <w:rPr>
          <w:rFonts w:eastAsia="標楷體" w:hint="eastAsia"/>
          <w:bCs/>
          <w:kern w:val="0"/>
          <w:sz w:val="28"/>
          <w:szCs w:val="20"/>
        </w:rPr>
        <w:t>主席柏南克</w:t>
      </w:r>
      <w:r w:rsidRPr="00715DBB">
        <w:rPr>
          <w:rFonts w:eastAsia="標楷體" w:hint="eastAsia"/>
          <w:bCs/>
          <w:kern w:val="0"/>
          <w:sz w:val="28"/>
          <w:szCs w:val="20"/>
        </w:rPr>
        <w:t>7</w:t>
      </w:r>
      <w:r w:rsidRPr="00715DBB">
        <w:rPr>
          <w:rFonts w:eastAsia="標楷體" w:hint="eastAsia"/>
          <w:bCs/>
          <w:kern w:val="0"/>
          <w:sz w:val="28"/>
          <w:szCs w:val="20"/>
        </w:rPr>
        <w:t>月</w:t>
      </w:r>
      <w:r w:rsidRPr="00715DBB">
        <w:rPr>
          <w:rFonts w:eastAsia="標楷體" w:hint="eastAsia"/>
          <w:bCs/>
          <w:kern w:val="0"/>
          <w:sz w:val="28"/>
          <w:szCs w:val="20"/>
        </w:rPr>
        <w:t>17</w:t>
      </w:r>
      <w:r w:rsidRPr="00715DBB">
        <w:rPr>
          <w:rFonts w:eastAsia="標楷體" w:hint="eastAsia"/>
          <w:bCs/>
          <w:kern w:val="0"/>
          <w:sz w:val="28"/>
          <w:szCs w:val="20"/>
        </w:rPr>
        <w:t>日表示，彈性運用量化寬鬆政策，資產收購不在預設路徑上，可隨經濟情勢的變化而增加、減少或維持。另聯</w:t>
      </w:r>
      <w:proofErr w:type="gramStart"/>
      <w:r w:rsidRPr="00715DBB">
        <w:rPr>
          <w:rFonts w:eastAsia="標楷體" w:hint="eastAsia"/>
          <w:bCs/>
          <w:kern w:val="0"/>
          <w:sz w:val="28"/>
          <w:szCs w:val="20"/>
        </w:rPr>
        <w:t>準</w:t>
      </w:r>
      <w:proofErr w:type="gramEnd"/>
      <w:r w:rsidRPr="00715DBB">
        <w:rPr>
          <w:rFonts w:eastAsia="標楷體" w:hint="eastAsia"/>
          <w:bCs/>
          <w:kern w:val="0"/>
          <w:sz w:val="28"/>
          <w:szCs w:val="20"/>
        </w:rPr>
        <w:t>會褐皮書</w:t>
      </w:r>
      <w:r w:rsidR="008833E1">
        <w:rPr>
          <w:rFonts w:eastAsia="標楷體" w:hint="eastAsia"/>
          <w:bCs/>
          <w:kern w:val="0"/>
          <w:sz w:val="28"/>
          <w:szCs w:val="20"/>
        </w:rPr>
        <w:t>（</w:t>
      </w:r>
      <w:r w:rsidRPr="00715DBB">
        <w:rPr>
          <w:rFonts w:eastAsia="標楷體" w:hint="eastAsia"/>
          <w:bCs/>
          <w:kern w:val="0"/>
          <w:sz w:val="28"/>
          <w:szCs w:val="20"/>
        </w:rPr>
        <w:t>Beige Book</w:t>
      </w:r>
      <w:r w:rsidR="008833E1">
        <w:rPr>
          <w:rFonts w:eastAsia="標楷體" w:hint="eastAsia"/>
          <w:bCs/>
          <w:kern w:val="0"/>
          <w:sz w:val="28"/>
          <w:szCs w:val="20"/>
        </w:rPr>
        <w:t>）</w:t>
      </w:r>
      <w:r w:rsidRPr="00715DBB">
        <w:rPr>
          <w:rFonts w:eastAsia="標楷體" w:hint="eastAsia"/>
          <w:bCs/>
          <w:kern w:val="0"/>
          <w:sz w:val="28"/>
          <w:szCs w:val="20"/>
        </w:rPr>
        <w:t>指出，受惠於不動產營建活動持續改善及製造業擴張，近期美國經濟溫和成長。</w:t>
      </w:r>
    </w:p>
    <w:p w:rsidR="00234C07" w:rsidRPr="003111E1" w:rsidRDefault="00234C07" w:rsidP="00EC3CDE">
      <w:pPr>
        <w:widowControl/>
        <w:wordWrap w:val="0"/>
        <w:snapToGrid w:val="0"/>
        <w:spacing w:before="180" w:after="180" w:line="288" w:lineRule="auto"/>
        <w:jc w:val="both"/>
        <w:rPr>
          <w:rFonts w:eastAsia="標楷體"/>
          <w:color w:val="FF0000"/>
          <w:kern w:val="0"/>
          <w:sz w:val="28"/>
        </w:rPr>
      </w:pPr>
    </w:p>
    <w:p w:rsidR="00234C07" w:rsidRDefault="00234C07" w:rsidP="00EC3CDE">
      <w:pPr>
        <w:widowControl/>
        <w:wordWrap w:val="0"/>
        <w:snapToGrid w:val="0"/>
        <w:spacing w:before="180" w:after="180" w:line="288" w:lineRule="auto"/>
        <w:jc w:val="both"/>
        <w:rPr>
          <w:rFonts w:eastAsia="標楷體"/>
          <w:color w:val="FF0000"/>
          <w:kern w:val="0"/>
          <w:sz w:val="28"/>
        </w:rPr>
      </w:pPr>
    </w:p>
    <w:p w:rsidR="008917A1" w:rsidRDefault="008917A1" w:rsidP="00EC3CDE">
      <w:pPr>
        <w:widowControl/>
        <w:wordWrap w:val="0"/>
        <w:snapToGrid w:val="0"/>
        <w:spacing w:before="180" w:after="180" w:line="288" w:lineRule="auto"/>
        <w:jc w:val="both"/>
        <w:rPr>
          <w:rFonts w:eastAsia="標楷體"/>
          <w:color w:val="FF0000"/>
          <w:kern w:val="0"/>
          <w:sz w:val="28"/>
        </w:rPr>
      </w:pPr>
    </w:p>
    <w:p w:rsidR="008917A1" w:rsidRPr="003111E1" w:rsidRDefault="008917A1" w:rsidP="00EC3CDE">
      <w:pPr>
        <w:widowControl/>
        <w:wordWrap w:val="0"/>
        <w:snapToGrid w:val="0"/>
        <w:spacing w:before="180" w:after="180" w:line="288" w:lineRule="auto"/>
        <w:jc w:val="both"/>
        <w:rPr>
          <w:rFonts w:eastAsia="標楷體"/>
          <w:color w:val="FF0000"/>
          <w:kern w:val="0"/>
          <w:sz w:val="28"/>
        </w:rPr>
      </w:pPr>
    </w:p>
    <w:p w:rsidR="00234C07" w:rsidRDefault="00234C07" w:rsidP="00EC3CDE">
      <w:pPr>
        <w:widowControl/>
        <w:wordWrap w:val="0"/>
        <w:snapToGrid w:val="0"/>
        <w:spacing w:before="180" w:after="180" w:line="288" w:lineRule="auto"/>
        <w:jc w:val="both"/>
        <w:rPr>
          <w:rFonts w:eastAsia="標楷體"/>
          <w:bCs/>
          <w:color w:val="FF0000"/>
          <w:kern w:val="0"/>
          <w:sz w:val="28"/>
          <w:szCs w:val="28"/>
        </w:rPr>
      </w:pPr>
    </w:p>
    <w:p w:rsidR="00715DBB" w:rsidRPr="003111E1" w:rsidRDefault="00715DBB" w:rsidP="00EC3CDE">
      <w:pPr>
        <w:widowControl/>
        <w:wordWrap w:val="0"/>
        <w:snapToGrid w:val="0"/>
        <w:spacing w:before="180" w:after="180" w:line="288" w:lineRule="auto"/>
        <w:jc w:val="both"/>
        <w:rPr>
          <w:rFonts w:eastAsia="標楷體"/>
          <w:bCs/>
          <w:color w:val="FF0000"/>
          <w:kern w:val="0"/>
          <w:sz w:val="28"/>
          <w:szCs w:val="28"/>
        </w:rPr>
      </w:pPr>
    </w:p>
    <w:p w:rsidR="00FB2BCC" w:rsidRPr="003111E1" w:rsidRDefault="00FB2BCC" w:rsidP="00EC3CDE">
      <w:pPr>
        <w:widowControl/>
        <w:wordWrap w:val="0"/>
        <w:snapToGrid w:val="0"/>
        <w:spacing w:before="180" w:after="180" w:line="288" w:lineRule="auto"/>
        <w:jc w:val="both"/>
        <w:rPr>
          <w:rFonts w:eastAsia="標楷體"/>
          <w:bCs/>
          <w:color w:val="FF0000"/>
          <w:kern w:val="0"/>
          <w:sz w:val="28"/>
          <w:szCs w:val="28"/>
        </w:rPr>
      </w:pPr>
    </w:p>
    <w:p w:rsidR="00FB2BCC" w:rsidRPr="003111E1" w:rsidRDefault="00FB2BCC" w:rsidP="00EC3CDE">
      <w:pPr>
        <w:widowControl/>
        <w:wordWrap w:val="0"/>
        <w:snapToGrid w:val="0"/>
        <w:spacing w:before="180" w:after="180" w:line="288" w:lineRule="auto"/>
        <w:jc w:val="both"/>
        <w:rPr>
          <w:rFonts w:eastAsia="標楷體"/>
          <w:bCs/>
          <w:color w:val="FF0000"/>
          <w:kern w:val="0"/>
          <w:sz w:val="28"/>
          <w:szCs w:val="28"/>
        </w:rPr>
      </w:pPr>
    </w:p>
    <w:p w:rsidR="00A1493A" w:rsidRPr="00715DBB" w:rsidRDefault="00A1493A" w:rsidP="00A1493A">
      <w:pPr>
        <w:widowControl/>
        <w:tabs>
          <w:tab w:val="left" w:pos="6840"/>
        </w:tabs>
        <w:snapToGrid w:val="0"/>
        <w:spacing w:beforeLines="50" w:before="180" w:line="288" w:lineRule="auto"/>
        <w:jc w:val="center"/>
        <w:rPr>
          <w:rFonts w:eastAsia="標楷體"/>
          <w:b/>
          <w:kern w:val="0"/>
          <w:sz w:val="28"/>
          <w:szCs w:val="20"/>
        </w:rPr>
      </w:pPr>
      <w:r w:rsidRPr="00715DBB">
        <w:rPr>
          <w:rFonts w:eastAsia="標楷體"/>
          <w:b/>
          <w:kern w:val="0"/>
          <w:sz w:val="28"/>
          <w:szCs w:val="32"/>
          <w:lang w:val="zh-TW"/>
        </w:rPr>
        <w:t>表</w:t>
      </w:r>
      <w:r w:rsidRPr="00715DBB">
        <w:rPr>
          <w:rFonts w:eastAsia="標楷體"/>
          <w:b/>
          <w:kern w:val="0"/>
          <w:sz w:val="28"/>
          <w:szCs w:val="32"/>
          <w:lang w:val="zh-TW"/>
        </w:rPr>
        <w:t xml:space="preserve">1-1   </w:t>
      </w:r>
      <w:r w:rsidRPr="00715DBB">
        <w:rPr>
          <w:rFonts w:eastAsia="標楷體"/>
          <w:b/>
          <w:kern w:val="0"/>
          <w:sz w:val="28"/>
          <w:szCs w:val="32"/>
          <w:lang w:val="zh-TW"/>
        </w:rPr>
        <w:t>美國重要經濟指標</w:t>
      </w:r>
    </w:p>
    <w:p w:rsidR="00AD1FCE" w:rsidRPr="00715DBB" w:rsidRDefault="00A1493A" w:rsidP="00AD1FCE">
      <w:pPr>
        <w:tabs>
          <w:tab w:val="left" w:pos="6840"/>
        </w:tabs>
        <w:snapToGrid w:val="0"/>
        <w:jc w:val="right"/>
        <w:rPr>
          <w:rFonts w:eastAsia="標楷體"/>
          <w:bCs/>
          <w:sz w:val="22"/>
          <w:szCs w:val="28"/>
        </w:rPr>
      </w:pPr>
      <w:r w:rsidRPr="00715DBB">
        <w:rPr>
          <w:rFonts w:eastAsia="標楷體"/>
          <w:bCs/>
          <w:sz w:val="28"/>
          <w:szCs w:val="32"/>
          <w:lang w:val="zh-TW"/>
        </w:rPr>
        <w:t xml:space="preserve">            </w:t>
      </w:r>
      <w:r w:rsidRPr="00715DBB">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715DBB" w:rsidRPr="00715DBB" w:rsidTr="00031AA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年</w:t>
            </w:r>
            <w:r w:rsidRPr="00715DBB">
              <w:rPr>
                <w:rFonts w:eastAsia="標楷體"/>
                <w:bCs/>
                <w:sz w:val="22"/>
                <w:szCs w:val="22"/>
              </w:rPr>
              <w:t>(</w:t>
            </w:r>
            <w:r w:rsidRPr="00715DBB">
              <w:rPr>
                <w:rFonts w:eastAsia="標楷體" w:hint="eastAsia"/>
                <w:bCs/>
                <w:sz w:val="22"/>
                <w:szCs w:val="22"/>
                <w:lang w:val="zh-TW"/>
              </w:rPr>
              <w:t>月</w:t>
            </w:r>
            <w:r w:rsidRPr="00715DBB">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實質</w:t>
            </w:r>
          </w:p>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工業</w:t>
            </w:r>
          </w:p>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0"/>
              </w:rPr>
            </w:pPr>
            <w:r w:rsidRPr="00715DBB">
              <w:rPr>
                <w:rFonts w:eastAsia="標楷體" w:hint="eastAsia"/>
                <w:bCs/>
                <w:sz w:val="22"/>
                <w:szCs w:val="20"/>
              </w:rPr>
              <w:t>貿</w:t>
            </w:r>
            <w:r w:rsidRPr="00715DBB">
              <w:rPr>
                <w:rFonts w:eastAsia="標楷體"/>
                <w:bCs/>
                <w:sz w:val="22"/>
                <w:szCs w:val="20"/>
              </w:rPr>
              <w:t xml:space="preserve">    </w:t>
            </w:r>
            <w:r w:rsidRPr="00715DB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lang w:val="zh-TW"/>
              </w:rPr>
            </w:pPr>
            <w:r w:rsidRPr="00715DBB">
              <w:rPr>
                <w:rFonts w:eastAsia="標楷體" w:hint="eastAsia"/>
                <w:bCs/>
                <w:sz w:val="22"/>
                <w:szCs w:val="22"/>
                <w:lang w:val="zh-TW"/>
              </w:rPr>
              <w:t>消費者</w:t>
            </w:r>
          </w:p>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lang w:val="zh-TW"/>
              </w:rPr>
              <w:t>失業率</w:t>
            </w:r>
          </w:p>
        </w:tc>
      </w:tr>
      <w:tr w:rsidR="00715DBB" w:rsidRPr="00715DBB" w:rsidTr="00031AA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15DBB" w:rsidRPr="00715DBB" w:rsidRDefault="00031AAB" w:rsidP="00031AAB">
            <w:pPr>
              <w:tabs>
                <w:tab w:val="left" w:pos="6840"/>
              </w:tabs>
              <w:autoSpaceDE w:val="0"/>
              <w:autoSpaceDN w:val="0"/>
              <w:adjustRightInd w:val="0"/>
              <w:snapToGrid w:val="0"/>
              <w:spacing w:beforeLines="30" w:before="108" w:line="240" w:lineRule="atLeast"/>
              <w:jc w:val="center"/>
              <w:rPr>
                <w:rFonts w:eastAsia="標楷體"/>
                <w:bCs/>
                <w:sz w:val="22"/>
              </w:rPr>
            </w:pPr>
            <w:r>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15DBB" w:rsidRPr="00715DBB" w:rsidRDefault="00715DBB" w:rsidP="00715DBB">
            <w:pPr>
              <w:widowControl/>
              <w:rPr>
                <w:rFonts w:eastAsia="標楷體"/>
                <w:bCs/>
                <w:sz w:val="22"/>
                <w:szCs w:val="22"/>
              </w:rPr>
            </w:pPr>
          </w:p>
        </w:tc>
      </w:tr>
      <w:tr w:rsidR="00715DBB" w:rsidRPr="00715DBB" w:rsidTr="00031AA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D90D93" w:rsidP="00715DBB">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00715DBB" w:rsidRPr="00715DBB">
              <w:rPr>
                <w:rFonts w:eastAsia="標楷體" w:hint="eastAsia"/>
                <w:bCs/>
                <w:sz w:val="22"/>
                <w:szCs w:val="22"/>
              </w:rPr>
              <w:t>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240" w:lineRule="atLeast"/>
              <w:jc w:val="center"/>
              <w:rPr>
                <w:rFonts w:eastAsia="標楷體"/>
                <w:bCs/>
                <w:sz w:val="22"/>
                <w:szCs w:val="22"/>
              </w:rPr>
            </w:pPr>
            <w:r w:rsidRPr="00715DBB">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15DBB" w:rsidRPr="00715DBB" w:rsidRDefault="00D90D93" w:rsidP="00715DBB">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00715DBB" w:rsidRPr="00715DBB">
              <w:rPr>
                <w:rFonts w:eastAsia="標楷體" w:hint="eastAsia"/>
                <w:bCs/>
                <w:sz w:val="22"/>
                <w:szCs w:val="22"/>
              </w:rPr>
              <w:t>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15DBB" w:rsidRPr="00715DBB" w:rsidRDefault="00715DBB" w:rsidP="00715DB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15DBB" w:rsidRPr="00715DBB" w:rsidRDefault="00715DBB" w:rsidP="00715DBB">
            <w:pPr>
              <w:widowControl/>
              <w:rPr>
                <w:rFonts w:eastAsia="標楷體"/>
                <w:bCs/>
                <w:sz w:val="22"/>
                <w:szCs w:val="22"/>
              </w:rPr>
            </w:pP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sz w:val="22"/>
              </w:rPr>
            </w:pPr>
            <w:r w:rsidRPr="00715DBB">
              <w:rPr>
                <w:rFonts w:eastAsia="標楷體"/>
                <w:bCs/>
                <w:sz w:val="22"/>
              </w:rPr>
              <w:t>2009</w:t>
            </w:r>
            <w:r w:rsidRPr="00715DBB">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-3.1</w:t>
            </w:r>
          </w:p>
        </w:tc>
        <w:tc>
          <w:tcPr>
            <w:tcW w:w="772"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10,694.9</w:t>
            </w:r>
          </w:p>
        </w:tc>
        <w:tc>
          <w:tcPr>
            <w:tcW w:w="78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-18.1</w:t>
            </w:r>
          </w:p>
        </w:tc>
        <w:tc>
          <w:tcPr>
            <w:tcW w:w="853"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15,754.0</w:t>
            </w:r>
          </w:p>
        </w:tc>
        <w:tc>
          <w:tcPr>
            <w:tcW w:w="78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-26.4</w:t>
            </w:r>
          </w:p>
        </w:tc>
        <w:tc>
          <w:tcPr>
            <w:tcW w:w="91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-5,059.1</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9.3</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sz w:val="22"/>
              </w:rPr>
            </w:pPr>
            <w:r w:rsidRPr="00715DBB">
              <w:rPr>
                <w:rFonts w:eastAsia="標楷體"/>
                <w:bCs/>
                <w:sz w:val="22"/>
              </w:rPr>
              <w:t>2010</w:t>
            </w:r>
            <w:r w:rsidRPr="00715DBB">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2.4</w:t>
            </w:r>
          </w:p>
        </w:tc>
        <w:tc>
          <w:tcPr>
            <w:tcW w:w="772"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12,88</w:t>
            </w:r>
            <w:r w:rsidRPr="00715DBB">
              <w:rPr>
                <w:rFonts w:eastAsia="標楷體" w:hint="eastAsia"/>
                <w:bCs/>
                <w:color w:val="000000" w:themeColor="text1"/>
                <w:sz w:val="22"/>
                <w:szCs w:val="22"/>
              </w:rPr>
              <w:t>8</w:t>
            </w:r>
            <w:r w:rsidRPr="00715DBB">
              <w:rPr>
                <w:rFonts w:eastAsia="標楷體"/>
                <w:bCs/>
                <w:color w:val="000000" w:themeColor="text1"/>
                <w:sz w:val="22"/>
                <w:szCs w:val="22"/>
              </w:rPr>
              <w:t>.</w:t>
            </w:r>
            <w:r w:rsidRPr="00715DBB">
              <w:rPr>
                <w:rFonts w:eastAsia="標楷體" w:hint="eastAsia"/>
                <w:bCs/>
                <w:color w:val="000000" w:themeColor="text1"/>
                <w:sz w:val="22"/>
                <w:szCs w:val="22"/>
              </w:rPr>
              <w:t>8</w:t>
            </w:r>
          </w:p>
        </w:tc>
        <w:tc>
          <w:tcPr>
            <w:tcW w:w="78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20.5</w:t>
            </w:r>
          </w:p>
        </w:tc>
        <w:tc>
          <w:tcPr>
            <w:tcW w:w="853"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19,34</w:t>
            </w:r>
            <w:r w:rsidRPr="00715DBB">
              <w:rPr>
                <w:rFonts w:eastAsia="標楷體" w:hint="eastAsia"/>
                <w:bCs/>
                <w:color w:val="000000" w:themeColor="text1"/>
                <w:sz w:val="22"/>
                <w:szCs w:val="22"/>
              </w:rPr>
              <w:t>0</w:t>
            </w:r>
            <w:r w:rsidRPr="00715DBB">
              <w:rPr>
                <w:rFonts w:eastAsia="標楷體"/>
                <w:bCs/>
                <w:color w:val="000000" w:themeColor="text1"/>
                <w:sz w:val="22"/>
                <w:szCs w:val="22"/>
              </w:rPr>
              <w:t>.</w:t>
            </w:r>
            <w:r w:rsidRPr="00715DBB">
              <w:rPr>
                <w:rFonts w:eastAsia="標楷體" w:hint="eastAsia"/>
                <w:bCs/>
                <w:color w:val="000000" w:themeColor="text1"/>
                <w:sz w:val="22"/>
                <w:szCs w:val="22"/>
              </w:rPr>
              <w:t>1</w:t>
            </w:r>
          </w:p>
        </w:tc>
        <w:tc>
          <w:tcPr>
            <w:tcW w:w="78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15DBB">
              <w:rPr>
                <w:rFonts w:eastAsia="標楷體"/>
                <w:bCs/>
                <w:color w:val="000000" w:themeColor="text1"/>
                <w:sz w:val="22"/>
                <w:szCs w:val="22"/>
              </w:rPr>
              <w:t>22.8</w:t>
            </w:r>
          </w:p>
        </w:tc>
        <w:tc>
          <w:tcPr>
            <w:tcW w:w="91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-6,45</w:t>
            </w:r>
            <w:r w:rsidRPr="00715DBB">
              <w:rPr>
                <w:rFonts w:eastAsia="標楷體" w:hint="eastAsia"/>
                <w:bCs/>
                <w:color w:val="000000" w:themeColor="text1"/>
                <w:sz w:val="22"/>
              </w:rPr>
              <w:t>1</w:t>
            </w:r>
            <w:r w:rsidRPr="00715DBB">
              <w:rPr>
                <w:rFonts w:eastAsia="標楷體"/>
                <w:bCs/>
                <w:color w:val="000000" w:themeColor="text1"/>
                <w:sz w:val="22"/>
              </w:rPr>
              <w:t>.</w:t>
            </w:r>
            <w:r w:rsidRPr="00715DBB">
              <w:rPr>
                <w:rFonts w:eastAsia="標楷體" w:hint="eastAsia"/>
                <w:bCs/>
                <w:color w:val="000000" w:themeColor="text1"/>
                <w:sz w:val="22"/>
              </w:rPr>
              <w:t>2</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9.6</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sz w:val="22"/>
              </w:rPr>
            </w:pPr>
            <w:r w:rsidRPr="00715DBB">
              <w:rPr>
                <w:rFonts w:eastAsia="標楷體"/>
                <w:bCs/>
                <w:sz w:val="22"/>
              </w:rPr>
              <w:t>2011</w:t>
            </w:r>
            <w:r w:rsidRPr="00715DBB">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14,97</w:t>
            </w:r>
            <w:r w:rsidRPr="00715DBB">
              <w:rPr>
                <w:rFonts w:eastAsia="標楷體" w:hint="eastAsia"/>
                <w:bCs/>
                <w:color w:val="000000" w:themeColor="text1"/>
                <w:sz w:val="22"/>
              </w:rPr>
              <w:t>4</w:t>
            </w:r>
            <w:r w:rsidRPr="00715DBB">
              <w:rPr>
                <w:rFonts w:eastAsia="標楷體"/>
                <w:bCs/>
                <w:color w:val="000000" w:themeColor="text1"/>
                <w:sz w:val="22"/>
              </w:rPr>
              <w:t>.</w:t>
            </w:r>
            <w:r w:rsidRPr="00715DBB">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22,35</w:t>
            </w:r>
            <w:r w:rsidRPr="00715DBB">
              <w:rPr>
                <w:rFonts w:eastAsia="標楷體" w:hint="eastAsia"/>
                <w:bCs/>
                <w:color w:val="000000" w:themeColor="text1"/>
                <w:sz w:val="22"/>
              </w:rPr>
              <w:t>8</w:t>
            </w:r>
            <w:r w:rsidRPr="00715DBB">
              <w:rPr>
                <w:rFonts w:eastAsia="標楷體"/>
                <w:bCs/>
                <w:color w:val="000000" w:themeColor="text1"/>
                <w:sz w:val="22"/>
              </w:rPr>
              <w:t>.</w:t>
            </w:r>
            <w:r w:rsidRPr="00715DBB">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-7,38</w:t>
            </w:r>
            <w:r w:rsidRPr="00715DBB">
              <w:rPr>
                <w:rFonts w:eastAsia="標楷體" w:hint="eastAsia"/>
                <w:bCs/>
                <w:color w:val="000000" w:themeColor="text1"/>
                <w:sz w:val="22"/>
              </w:rPr>
              <w:t>4</w:t>
            </w:r>
            <w:r w:rsidRPr="00715DBB">
              <w:rPr>
                <w:rFonts w:eastAsia="標楷體"/>
                <w:bCs/>
                <w:color w:val="000000" w:themeColor="text1"/>
                <w:sz w:val="22"/>
              </w:rPr>
              <w:t>.</w:t>
            </w:r>
            <w:r w:rsidRPr="00715DBB">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9.0</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bCs/>
                <w:color w:val="000000"/>
                <w:sz w:val="22"/>
              </w:rPr>
              <w:t>2012</w:t>
            </w:r>
            <w:r w:rsidRPr="00715DBB">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2.2</w:t>
            </w: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8.1</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bCs/>
                <w:color w:val="000000"/>
                <w:sz w:val="22"/>
              </w:rPr>
              <w:t>6</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1,32</w:t>
            </w:r>
            <w:r w:rsidRPr="00715DBB">
              <w:rPr>
                <w:rFonts w:eastAsia="標楷體" w:hint="eastAsia"/>
                <w:bCs/>
                <w:color w:val="000000" w:themeColor="text1"/>
                <w:sz w:val="22"/>
              </w:rPr>
              <w:t>5</w:t>
            </w:r>
            <w:r w:rsidRPr="00715DBB">
              <w:rPr>
                <w:rFonts w:eastAsia="標楷體"/>
                <w:bCs/>
                <w:color w:val="000000" w:themeColor="text1"/>
                <w:sz w:val="22"/>
              </w:rPr>
              <w:t>.</w:t>
            </w:r>
            <w:r w:rsidRPr="00715DBB">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9.</w:t>
            </w:r>
            <w:r w:rsidRPr="00715DBB">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1,90</w:t>
            </w:r>
            <w:r w:rsidRPr="00715DBB">
              <w:rPr>
                <w:rFonts w:eastAsia="標楷體" w:hint="eastAsia"/>
                <w:bCs/>
                <w:color w:val="000000" w:themeColor="text1"/>
                <w:sz w:val="22"/>
              </w:rPr>
              <w:t>0</w:t>
            </w:r>
            <w:r w:rsidRPr="00715DBB">
              <w:rPr>
                <w:rFonts w:eastAsia="標楷體"/>
                <w:bCs/>
                <w:color w:val="000000" w:themeColor="text1"/>
                <w:sz w:val="22"/>
              </w:rPr>
              <w:t>.</w:t>
            </w:r>
            <w:r w:rsidRPr="00715DBB">
              <w:rPr>
                <w:rFonts w:eastAsia="標楷體" w:hint="eastAsia"/>
                <w:bCs/>
                <w:color w:val="000000" w:themeColor="text1"/>
                <w:sz w:val="22"/>
              </w:rPr>
              <w:t>6</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w:t>
            </w:r>
            <w:r w:rsidRPr="00715DBB">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-57</w:t>
            </w:r>
            <w:r w:rsidRPr="00715DBB">
              <w:rPr>
                <w:rFonts w:eastAsia="標楷體" w:hint="eastAsia"/>
                <w:bCs/>
                <w:color w:val="000000" w:themeColor="text1"/>
                <w:sz w:val="22"/>
              </w:rPr>
              <w:t>4</w:t>
            </w:r>
            <w:r w:rsidRPr="00715DBB">
              <w:rPr>
                <w:rFonts w:eastAsia="標楷體"/>
                <w:bCs/>
                <w:color w:val="000000" w:themeColor="text1"/>
                <w:sz w:val="22"/>
              </w:rPr>
              <w:t>.</w:t>
            </w:r>
            <w:r w:rsidRPr="00715DBB">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8.2</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bCs/>
                <w:color w:val="000000"/>
                <w:sz w:val="22"/>
              </w:rPr>
              <w:t>7</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1,30</w:t>
            </w:r>
            <w:r w:rsidRPr="00715DBB">
              <w:rPr>
                <w:rFonts w:eastAsia="標楷體" w:hint="eastAsia"/>
                <w:bCs/>
                <w:color w:val="000000" w:themeColor="text1"/>
                <w:sz w:val="22"/>
              </w:rPr>
              <w:t>4</w:t>
            </w:r>
            <w:r w:rsidRPr="00715DBB">
              <w:rPr>
                <w:rFonts w:eastAsia="標楷體"/>
                <w:bCs/>
                <w:color w:val="000000" w:themeColor="text1"/>
                <w:sz w:val="22"/>
              </w:rPr>
              <w:t>.</w:t>
            </w:r>
            <w:r w:rsidRPr="00715DBB">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3</w:t>
            </w:r>
            <w:r w:rsidRPr="00715DBB">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1,88</w:t>
            </w:r>
            <w:r w:rsidRPr="00715DBB">
              <w:rPr>
                <w:rFonts w:eastAsia="標楷體" w:hint="eastAsia"/>
                <w:bCs/>
                <w:color w:val="000000" w:themeColor="text1"/>
                <w:sz w:val="22"/>
              </w:rPr>
              <w:t>3</w:t>
            </w:r>
            <w:r w:rsidRPr="00715DBB">
              <w:rPr>
                <w:rFonts w:eastAsia="標楷體"/>
                <w:bCs/>
                <w:color w:val="000000" w:themeColor="text1"/>
                <w:sz w:val="22"/>
              </w:rPr>
              <w:t>.</w:t>
            </w:r>
            <w:r w:rsidRPr="00715DBB">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0</w:t>
            </w:r>
            <w:r w:rsidRPr="00715DBB">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bCs/>
                <w:color w:val="000000" w:themeColor="text1"/>
                <w:sz w:val="22"/>
              </w:rPr>
              <w:t>-57</w:t>
            </w:r>
            <w:r w:rsidRPr="00715DBB">
              <w:rPr>
                <w:rFonts w:eastAsia="標楷體" w:hint="eastAsia"/>
                <w:bCs/>
                <w:color w:val="000000" w:themeColor="text1"/>
                <w:sz w:val="22"/>
              </w:rPr>
              <w:t>8</w:t>
            </w:r>
            <w:r w:rsidRPr="00715DBB">
              <w:rPr>
                <w:rFonts w:eastAsia="標楷體"/>
                <w:bCs/>
                <w:color w:val="000000" w:themeColor="text1"/>
                <w:sz w:val="22"/>
              </w:rPr>
              <w:t>.</w:t>
            </w:r>
            <w:r w:rsidRPr="00715DBB">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1.4</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8.</w:t>
            </w:r>
            <w:r w:rsidRPr="00715DBB">
              <w:rPr>
                <w:rFonts w:eastAsia="標楷體" w:hint="eastAsia"/>
                <w:bCs/>
                <w:color w:val="000000" w:themeColor="text1"/>
                <w:sz w:val="22"/>
              </w:rPr>
              <w:t>2</w:t>
            </w:r>
          </w:p>
        </w:tc>
      </w:tr>
      <w:tr w:rsidR="00715DBB" w:rsidRPr="00715DBB" w:rsidTr="00031AAB">
        <w:trPr>
          <w:cantSplit/>
        </w:trPr>
        <w:tc>
          <w:tcPr>
            <w:tcW w:w="1288" w:type="dxa"/>
            <w:tcBorders>
              <w:top w:val="nil"/>
              <w:left w:val="nil"/>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bCs/>
                <w:color w:val="000000"/>
                <w:sz w:val="22"/>
              </w:rPr>
              <w:t>8</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bCs/>
                <w:color w:val="000000" w:themeColor="text1"/>
                <w:sz w:val="22"/>
              </w:rPr>
              <w:t>8.1</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9</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3.1</w:t>
            </w:r>
            <w:r w:rsidRPr="00715DBB">
              <w:rPr>
                <w:rFonts w:eastAsia="標楷體"/>
                <w:bCs/>
                <w:color w:val="000000" w:themeColor="text1"/>
                <w:sz w:val="22"/>
              </w:rPr>
              <w:t xml:space="preserve"> (II</w:t>
            </w:r>
            <w:r w:rsidRPr="00715DBB">
              <w:rPr>
                <w:rFonts w:eastAsia="標楷體" w:hint="eastAsia"/>
                <w:bCs/>
                <w:color w:val="000000" w:themeColor="text1"/>
                <w:sz w:val="22"/>
              </w:rPr>
              <w:t>I</w:t>
            </w:r>
            <w:r w:rsidRPr="00715DBB">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7.8</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10</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7.9</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11</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7.8</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12</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0.4 (IV)</w:t>
            </w: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7.8</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2013</w:t>
            </w:r>
            <w:r w:rsidRPr="00715DBB">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1</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1,306.3</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1,920.7</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7.9</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2</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1.8</w:t>
            </w:r>
            <w:r w:rsidRPr="00715DBB">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1,310.8</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2.1</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1,933.8</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7.7</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3</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1,292.6</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1,846.6</w:t>
            </w:r>
          </w:p>
        </w:tc>
        <w:tc>
          <w:tcPr>
            <w:tcW w:w="784"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jc w:val="center"/>
              <w:rPr>
                <w:rFonts w:eastAsia="標楷體"/>
                <w:bCs/>
                <w:color w:val="000000" w:themeColor="text1"/>
                <w:sz w:val="22"/>
              </w:rPr>
            </w:pPr>
            <w:r w:rsidRPr="00715DBB">
              <w:rPr>
                <w:rFonts w:eastAsia="標楷體" w:hint="eastAsia"/>
                <w:bCs/>
                <w:color w:val="000000" w:themeColor="text1"/>
                <w:sz w:val="22"/>
              </w:rPr>
              <w:t>-561.4</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7.6</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4</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sz w:val="22"/>
                <w:szCs w:val="22"/>
              </w:rPr>
            </w:pPr>
            <w:r w:rsidRPr="00715DBB">
              <w:rPr>
                <w:rFonts w:hint="eastAsia"/>
                <w:sz w:val="22"/>
                <w:szCs w:val="22"/>
              </w:rPr>
              <w:t>1,311.3</w:t>
            </w:r>
          </w:p>
        </w:tc>
        <w:tc>
          <w:tcPr>
            <w:tcW w:w="784"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sz w:val="22"/>
                <w:szCs w:val="22"/>
              </w:rPr>
            </w:pPr>
            <w:r w:rsidRPr="00715DBB">
              <w:rPr>
                <w:rFonts w:hint="eastAsia"/>
                <w:sz w:val="22"/>
                <w:szCs w:val="22"/>
              </w:rPr>
              <w:t>0.7</w:t>
            </w:r>
          </w:p>
        </w:tc>
        <w:tc>
          <w:tcPr>
            <w:tcW w:w="853"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sz w:val="22"/>
                <w:szCs w:val="22"/>
              </w:rPr>
            </w:pPr>
            <w:r w:rsidRPr="00715DBB">
              <w:rPr>
                <w:rFonts w:hint="eastAsia"/>
                <w:sz w:val="22"/>
                <w:szCs w:val="22"/>
              </w:rPr>
              <w:t>1,895.3</w:t>
            </w:r>
          </w:p>
        </w:tc>
        <w:tc>
          <w:tcPr>
            <w:tcW w:w="784"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sz w:val="22"/>
                <w:szCs w:val="22"/>
              </w:rPr>
            </w:pPr>
            <w:r w:rsidRPr="00715DBB">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sz w:val="22"/>
                <w:szCs w:val="22"/>
              </w:rPr>
            </w:pPr>
            <w:r w:rsidRPr="00715DBB">
              <w:rPr>
                <w:rFonts w:hint="eastAsia"/>
                <w:sz w:val="22"/>
                <w:szCs w:val="22"/>
              </w:rPr>
              <w:t>-584.0</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7.5</w:t>
            </w:r>
          </w:p>
        </w:tc>
      </w:tr>
      <w:tr w:rsidR="00715DBB" w:rsidRPr="00715DBB" w:rsidTr="00031AAB">
        <w:trPr>
          <w:cantSplit/>
        </w:trPr>
        <w:tc>
          <w:tcPr>
            <w:tcW w:w="1288" w:type="dxa"/>
            <w:tcBorders>
              <w:top w:val="nil"/>
              <w:left w:val="nil"/>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5</w:t>
            </w:r>
            <w:r w:rsidRPr="00715DBB">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color w:val="000000" w:themeColor="text1"/>
              </w:rPr>
            </w:pPr>
            <w:r w:rsidRPr="00715DBB">
              <w:rPr>
                <w:rFonts w:hint="eastAsia"/>
                <w:color w:val="000000" w:themeColor="text1"/>
              </w:rPr>
              <w:t>1,302.5</w:t>
            </w:r>
          </w:p>
        </w:tc>
        <w:tc>
          <w:tcPr>
            <w:tcW w:w="784"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color w:val="000000" w:themeColor="text1"/>
              </w:rPr>
            </w:pPr>
            <w:r w:rsidRPr="00715DBB">
              <w:rPr>
                <w:rFonts w:hint="eastAsia"/>
                <w:color w:val="000000" w:themeColor="text1"/>
              </w:rPr>
              <w:t>0.1</w:t>
            </w:r>
          </w:p>
        </w:tc>
        <w:tc>
          <w:tcPr>
            <w:tcW w:w="853"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color w:val="000000" w:themeColor="text1"/>
              </w:rPr>
            </w:pPr>
            <w:r w:rsidRPr="00715DBB">
              <w:rPr>
                <w:rFonts w:hint="eastAsia"/>
                <w:color w:val="000000" w:themeColor="text1"/>
              </w:rPr>
              <w:t>1,937.0</w:t>
            </w:r>
          </w:p>
        </w:tc>
        <w:tc>
          <w:tcPr>
            <w:tcW w:w="784"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color w:val="000000" w:themeColor="text1"/>
              </w:rPr>
            </w:pPr>
            <w:r w:rsidRPr="00715DBB">
              <w:rPr>
                <w:rFonts w:hint="eastAsia"/>
                <w:color w:val="000000" w:themeColor="text1"/>
              </w:rPr>
              <w:t>0.1</w:t>
            </w:r>
          </w:p>
        </w:tc>
        <w:tc>
          <w:tcPr>
            <w:tcW w:w="910" w:type="dxa"/>
            <w:tcBorders>
              <w:top w:val="nil"/>
              <w:left w:val="single" w:sz="6" w:space="0" w:color="auto"/>
              <w:bottom w:val="nil"/>
              <w:right w:val="single" w:sz="6" w:space="0" w:color="auto"/>
            </w:tcBorders>
            <w:shd w:val="clear" w:color="auto" w:fill="auto"/>
          </w:tcPr>
          <w:p w:rsidR="00715DBB" w:rsidRPr="00715DBB" w:rsidRDefault="00715DBB" w:rsidP="00715DBB">
            <w:pPr>
              <w:jc w:val="center"/>
              <w:rPr>
                <w:color w:val="000000" w:themeColor="text1"/>
              </w:rPr>
            </w:pPr>
            <w:r w:rsidRPr="00715DBB">
              <w:rPr>
                <w:rFonts w:hint="eastAsia"/>
                <w:color w:val="000000" w:themeColor="text1"/>
              </w:rPr>
              <w:t>-634.5</w:t>
            </w:r>
          </w:p>
        </w:tc>
        <w:tc>
          <w:tcPr>
            <w:tcW w:w="854" w:type="dxa"/>
            <w:tcBorders>
              <w:top w:val="nil"/>
              <w:left w:val="single" w:sz="6" w:space="0" w:color="auto"/>
              <w:bottom w:val="nil"/>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7.6</w:t>
            </w:r>
          </w:p>
        </w:tc>
      </w:tr>
      <w:tr w:rsidR="00715DBB" w:rsidRPr="00715DBB" w:rsidTr="00031AAB">
        <w:trPr>
          <w:cantSplit/>
        </w:trPr>
        <w:tc>
          <w:tcPr>
            <w:tcW w:w="1288" w:type="dxa"/>
            <w:tcBorders>
              <w:top w:val="nil"/>
              <w:left w:val="nil"/>
              <w:bottom w:val="single" w:sz="6" w:space="0" w:color="auto"/>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sz w:val="22"/>
              </w:rPr>
            </w:pPr>
            <w:r w:rsidRPr="00715DBB">
              <w:rPr>
                <w:rFonts w:eastAsia="標楷體" w:hint="eastAsia"/>
                <w:bCs/>
                <w:color w:val="000000"/>
                <w:sz w:val="22"/>
              </w:rPr>
              <w:t>6</w:t>
            </w:r>
            <w:r w:rsidRPr="00715DBB">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2.0</w:t>
            </w:r>
          </w:p>
        </w:tc>
        <w:tc>
          <w:tcPr>
            <w:tcW w:w="840"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jc w:val="center"/>
              <w:rPr>
                <w:color w:val="000000" w:themeColor="text1"/>
              </w:rPr>
            </w:pPr>
            <w:r w:rsidRPr="00715DBB">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jc w:val="center"/>
              <w:rPr>
                <w:color w:val="000000" w:themeColor="text1"/>
              </w:rPr>
            </w:pPr>
            <w:r w:rsidRPr="00715DBB">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jc w:val="center"/>
              <w:rPr>
                <w:color w:val="000000" w:themeColor="text1"/>
              </w:rPr>
            </w:pPr>
            <w:r w:rsidRPr="00715DBB">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jc w:val="center"/>
              <w:rPr>
                <w:color w:val="000000" w:themeColor="text1"/>
              </w:rPr>
            </w:pPr>
            <w:r w:rsidRPr="00715DBB">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jc w:val="center"/>
              <w:rPr>
                <w:color w:val="000000" w:themeColor="text1"/>
              </w:rPr>
            </w:pPr>
            <w:r w:rsidRPr="00715DBB">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1.8</w:t>
            </w:r>
          </w:p>
        </w:tc>
        <w:tc>
          <w:tcPr>
            <w:tcW w:w="835" w:type="dxa"/>
            <w:tcBorders>
              <w:top w:val="nil"/>
              <w:left w:val="single" w:sz="6" w:space="0" w:color="auto"/>
              <w:bottom w:val="single" w:sz="6" w:space="0" w:color="auto"/>
              <w:right w:val="nil"/>
            </w:tcBorders>
            <w:shd w:val="clear" w:color="auto" w:fill="auto"/>
          </w:tcPr>
          <w:p w:rsidR="00715DBB" w:rsidRPr="00715DBB" w:rsidRDefault="00715DBB" w:rsidP="00715DBB">
            <w:pPr>
              <w:tabs>
                <w:tab w:val="left" w:pos="6840"/>
              </w:tabs>
              <w:autoSpaceDE w:val="0"/>
              <w:autoSpaceDN w:val="0"/>
              <w:adjustRightInd w:val="0"/>
              <w:snapToGrid w:val="0"/>
              <w:spacing w:line="380" w:lineRule="atLeast"/>
              <w:jc w:val="center"/>
              <w:rPr>
                <w:rFonts w:eastAsia="標楷體"/>
                <w:bCs/>
                <w:color w:val="000000" w:themeColor="text1"/>
                <w:sz w:val="22"/>
              </w:rPr>
            </w:pPr>
            <w:r w:rsidRPr="00715DBB">
              <w:rPr>
                <w:rFonts w:eastAsia="標楷體" w:hint="eastAsia"/>
                <w:bCs/>
                <w:color w:val="000000" w:themeColor="text1"/>
                <w:sz w:val="22"/>
              </w:rPr>
              <w:t>7.6</w:t>
            </w:r>
          </w:p>
        </w:tc>
      </w:tr>
    </w:tbl>
    <w:p w:rsidR="00A1493A" w:rsidRPr="00715DBB" w:rsidRDefault="00EC3CDE" w:rsidP="00A1493A">
      <w:pPr>
        <w:tabs>
          <w:tab w:val="left" w:pos="6840"/>
        </w:tabs>
        <w:autoSpaceDE w:val="0"/>
        <w:autoSpaceDN w:val="0"/>
        <w:adjustRightInd w:val="0"/>
        <w:snapToGrid w:val="0"/>
        <w:spacing w:line="300" w:lineRule="exact"/>
        <w:jc w:val="both"/>
        <w:rPr>
          <w:rFonts w:eastAsia="標楷體"/>
          <w:bCs/>
          <w:sz w:val="22"/>
          <w:lang w:val="zh-TW"/>
        </w:rPr>
      </w:pPr>
      <w:proofErr w:type="gramStart"/>
      <w:r w:rsidRPr="00715DBB">
        <w:rPr>
          <w:rFonts w:eastAsia="標楷體"/>
          <w:bCs/>
          <w:sz w:val="22"/>
          <w:lang w:val="zh-TW"/>
        </w:rPr>
        <w:t>註</w:t>
      </w:r>
      <w:proofErr w:type="gramEnd"/>
      <w:r w:rsidRPr="00715DBB">
        <w:rPr>
          <w:rFonts w:eastAsia="標楷體"/>
          <w:bCs/>
          <w:sz w:val="22"/>
          <w:lang w:val="zh-TW"/>
        </w:rPr>
        <w:t>：</w:t>
      </w:r>
      <w:r w:rsidRPr="00715DBB">
        <w:rPr>
          <w:rFonts w:eastAsia="標楷體"/>
          <w:bCs/>
          <w:sz w:val="22"/>
          <w:lang w:val="zh-TW"/>
        </w:rPr>
        <w:t>GDP</w:t>
      </w:r>
      <w:r w:rsidRPr="00715DBB">
        <w:rPr>
          <w:rFonts w:eastAsia="標楷體"/>
          <w:bCs/>
          <w:sz w:val="22"/>
          <w:lang w:val="zh-TW"/>
        </w:rPr>
        <w:t>成長率係為當季較上季變動率轉換為年率。</w:t>
      </w:r>
    </w:p>
    <w:p w:rsidR="00A1493A" w:rsidRPr="00715DBB" w:rsidRDefault="00A1493A" w:rsidP="00A1493A">
      <w:pPr>
        <w:tabs>
          <w:tab w:val="left" w:pos="6840"/>
        </w:tabs>
        <w:autoSpaceDE w:val="0"/>
        <w:autoSpaceDN w:val="0"/>
        <w:adjustRightInd w:val="0"/>
        <w:snapToGrid w:val="0"/>
        <w:spacing w:line="300" w:lineRule="exact"/>
        <w:jc w:val="both"/>
        <w:rPr>
          <w:rFonts w:eastAsia="標楷體"/>
          <w:bCs/>
          <w:sz w:val="22"/>
          <w:lang w:val="zh-TW"/>
        </w:rPr>
      </w:pPr>
      <w:r w:rsidRPr="00715DBB">
        <w:rPr>
          <w:rFonts w:eastAsia="標楷體"/>
          <w:bCs/>
          <w:sz w:val="22"/>
          <w:lang w:val="zh-TW"/>
        </w:rPr>
        <w:t>資料來源：國際經濟情勢報、美國商務部、美國勞工部。</w:t>
      </w:r>
    </w:p>
    <w:p w:rsidR="00380A37" w:rsidRPr="00715DBB" w:rsidRDefault="00380A37" w:rsidP="00715DBB">
      <w:pPr>
        <w:pStyle w:val="t-3"/>
        <w:spacing w:beforeLines="50" w:before="180" w:line="520" w:lineRule="exact"/>
        <w:ind w:right="-60"/>
      </w:pPr>
      <w:bookmarkStart w:id="49" w:name="_Toc349916579"/>
      <w:bookmarkStart w:id="50" w:name="_Toc358042573"/>
      <w:r w:rsidRPr="00715DBB">
        <w:t>（二）歐元區</w:t>
      </w:r>
      <w:bookmarkEnd w:id="47"/>
      <w:bookmarkEnd w:id="48"/>
      <w:bookmarkEnd w:id="49"/>
      <w:bookmarkEnd w:id="50"/>
    </w:p>
    <w:p w:rsidR="00715DBB" w:rsidRPr="00715DBB" w:rsidRDefault="00715DBB" w:rsidP="008833E1">
      <w:pPr>
        <w:pStyle w:val="k32"/>
        <w:ind w:leftChars="177" w:left="425" w:firstLineChars="202" w:firstLine="566"/>
      </w:pPr>
      <w:bookmarkStart w:id="51" w:name="_Toc337122128"/>
      <w:bookmarkStart w:id="52" w:name="_Toc349916580"/>
      <w:r w:rsidRPr="00715DBB">
        <w:rPr>
          <w:rFonts w:hint="eastAsia"/>
        </w:rPr>
        <w:t>歐元區</w:t>
      </w:r>
      <w:r w:rsidRPr="00715DBB">
        <w:t>2013</w:t>
      </w:r>
      <w:r w:rsidRPr="00715DBB">
        <w:rPr>
          <w:rFonts w:hint="eastAsia"/>
        </w:rPr>
        <w:t>年</w:t>
      </w:r>
      <w:r w:rsidRPr="00715DBB">
        <w:t>6</w:t>
      </w:r>
      <w:r w:rsidRPr="00715DBB">
        <w:rPr>
          <w:rFonts w:hint="eastAsia"/>
        </w:rPr>
        <w:t>月製造業採購經理人指數（</w:t>
      </w:r>
      <w:r w:rsidRPr="00715DBB">
        <w:t>PMI</w:t>
      </w:r>
      <w:r w:rsidRPr="00715DBB">
        <w:rPr>
          <w:rFonts w:hint="eastAsia"/>
        </w:rPr>
        <w:t>），由</w:t>
      </w:r>
      <w:r w:rsidRPr="00715DBB">
        <w:t>5</w:t>
      </w:r>
      <w:r w:rsidRPr="00715DBB">
        <w:rPr>
          <w:rFonts w:hint="eastAsia"/>
        </w:rPr>
        <w:t>月</w:t>
      </w:r>
      <w:r w:rsidRPr="00715DBB">
        <w:t>的</w:t>
      </w:r>
      <w:r w:rsidRPr="00715DBB">
        <w:t>48.3</w:t>
      </w:r>
      <w:r w:rsidRPr="00715DBB">
        <w:t>回升至</w:t>
      </w:r>
      <w:r w:rsidRPr="00715DBB">
        <w:t>48.8</w:t>
      </w:r>
      <w:r w:rsidRPr="00715DBB">
        <w:t>，為近</w:t>
      </w:r>
      <w:r w:rsidRPr="00715DBB">
        <w:t>16</w:t>
      </w:r>
      <w:r w:rsidRPr="00715DBB">
        <w:t>個月來的高點，惟仍低於</w:t>
      </w:r>
      <w:r w:rsidRPr="00715DBB">
        <w:t>50</w:t>
      </w:r>
      <w:r w:rsidRPr="00715DBB">
        <w:t>景氣</w:t>
      </w:r>
      <w:proofErr w:type="gramStart"/>
      <w:r w:rsidRPr="00715DBB">
        <w:t>榮枯線</w:t>
      </w:r>
      <w:proofErr w:type="gramEnd"/>
      <w:r w:rsidRPr="00715DBB">
        <w:t>。根據國際貨幣基金</w:t>
      </w:r>
      <w:r w:rsidR="008833E1">
        <w:rPr>
          <w:rFonts w:hint="eastAsia"/>
        </w:rPr>
        <w:t>（</w:t>
      </w:r>
      <w:r w:rsidRPr="00715DBB">
        <w:t>IMF</w:t>
      </w:r>
      <w:r w:rsidR="008833E1">
        <w:rPr>
          <w:rFonts w:hint="eastAsia"/>
        </w:rPr>
        <w:t>）</w:t>
      </w:r>
      <w:r w:rsidRPr="00715DBB">
        <w:t>7</w:t>
      </w:r>
      <w:r w:rsidRPr="00715DBB">
        <w:t>月公布全球經濟展望更新報告，歐元區衰退加深，</w:t>
      </w:r>
      <w:r w:rsidRPr="00715DBB">
        <w:t>2013</w:t>
      </w:r>
      <w:r w:rsidRPr="00715DBB">
        <w:t>年經濟成長由</w:t>
      </w:r>
      <w:r w:rsidRPr="00715DBB">
        <w:t>4</w:t>
      </w:r>
      <w:r w:rsidRPr="00715DBB">
        <w:t>月預估的</w:t>
      </w:r>
      <w:r w:rsidRPr="00715DBB">
        <w:t>-0.3</w:t>
      </w:r>
      <w:r w:rsidRPr="00715DBB">
        <w:t>％下修至</w:t>
      </w:r>
      <w:r w:rsidRPr="00715DBB">
        <w:t>-0.6</w:t>
      </w:r>
      <w:r w:rsidRPr="00715DBB">
        <w:t>％，惟</w:t>
      </w:r>
      <w:r w:rsidRPr="00715DBB">
        <w:t>2014</w:t>
      </w:r>
      <w:r w:rsidRPr="00715DBB">
        <w:t>年可望成長</w:t>
      </w:r>
      <w:r w:rsidRPr="00715DBB">
        <w:t>0.9</w:t>
      </w:r>
      <w:r w:rsidRPr="00715DBB">
        <w:t>％。</w:t>
      </w:r>
    </w:p>
    <w:p w:rsidR="00715DBB" w:rsidRPr="00715DBB" w:rsidRDefault="00715DBB" w:rsidP="008917A1">
      <w:pPr>
        <w:pStyle w:val="k32"/>
        <w:ind w:leftChars="177" w:left="425" w:firstLineChars="202" w:firstLine="566"/>
        <w:rPr>
          <w:bCs/>
        </w:rPr>
      </w:pPr>
      <w:r w:rsidRPr="00715DBB">
        <w:t>2013</w:t>
      </w:r>
      <w:r w:rsidRPr="00715DBB">
        <w:t>年</w:t>
      </w:r>
      <w:r w:rsidRPr="00715DBB">
        <w:t>5</w:t>
      </w:r>
      <w:r w:rsidRPr="00715DBB">
        <w:t>月歐元區出口為</w:t>
      </w:r>
      <w:r w:rsidRPr="00715DBB">
        <w:t>1,590</w:t>
      </w:r>
      <w:r w:rsidRPr="00715DBB">
        <w:t>億歐元，較上年同月</w:t>
      </w:r>
      <w:r w:rsidR="00D67FE6">
        <w:rPr>
          <w:rFonts w:hint="eastAsia"/>
        </w:rPr>
        <w:t>持平</w:t>
      </w:r>
      <w:r w:rsidRPr="00715DBB">
        <w:t>，進口為</w:t>
      </w:r>
      <w:r w:rsidRPr="00715DBB">
        <w:t>1,438</w:t>
      </w:r>
      <w:r w:rsidRPr="00715DBB">
        <w:t>億歐元，較上年同月</w:t>
      </w:r>
      <w:r w:rsidR="00D67FE6">
        <w:rPr>
          <w:rFonts w:hint="eastAsia"/>
        </w:rPr>
        <w:t>減少</w:t>
      </w:r>
      <w:r w:rsidRPr="00715DBB">
        <w:t>6</w:t>
      </w:r>
      <w:r w:rsidRPr="00715DBB">
        <w:t>％，貿易出超</w:t>
      </w:r>
      <w:r w:rsidRPr="00715DBB">
        <w:t>152</w:t>
      </w:r>
      <w:r w:rsidRPr="00715DBB">
        <w:t>億歐元；</w:t>
      </w:r>
      <w:r w:rsidRPr="00715DBB">
        <w:lastRenderedPageBreak/>
        <w:t>工業生產</w:t>
      </w:r>
      <w:r w:rsidR="00D67FE6">
        <w:rPr>
          <w:rFonts w:hint="eastAsia"/>
        </w:rPr>
        <w:t>減少</w:t>
      </w:r>
      <w:r w:rsidRPr="00715DBB">
        <w:t>1.3</w:t>
      </w:r>
      <w:r w:rsidRPr="00715DBB">
        <w:t>％；失業率上升至</w:t>
      </w:r>
      <w:r w:rsidRPr="00715DBB">
        <w:t>12.2</w:t>
      </w:r>
      <w:r w:rsidRPr="00715DBB">
        <w:t>％；</w:t>
      </w:r>
      <w:r w:rsidRPr="00715DBB">
        <w:t>6</w:t>
      </w:r>
      <w:r w:rsidRPr="00715DBB">
        <w:t>月消費者物價指數</w:t>
      </w:r>
      <w:r w:rsidR="00031AAB">
        <w:rPr>
          <w:rFonts w:hint="eastAsia"/>
        </w:rPr>
        <w:t>上漲</w:t>
      </w:r>
      <w:r w:rsidRPr="00715DBB">
        <w:t>率升至</w:t>
      </w:r>
      <w:r w:rsidRPr="00715DBB">
        <w:t>1.6</w:t>
      </w:r>
      <w:r w:rsidRPr="00715DBB">
        <w:t>％。</w:t>
      </w:r>
    </w:p>
    <w:p w:rsidR="00967A43" w:rsidRPr="00715DBB" w:rsidRDefault="00715DBB" w:rsidP="008917A1">
      <w:pPr>
        <w:pStyle w:val="k32"/>
        <w:tabs>
          <w:tab w:val="left" w:pos="6840"/>
        </w:tabs>
        <w:ind w:leftChars="177" w:left="425" w:firstLineChars="202" w:firstLine="566"/>
        <w:rPr>
          <w:szCs w:val="28"/>
        </w:rPr>
      </w:pPr>
      <w:r w:rsidRPr="00715DBB">
        <w:t>歐盟統計局</w:t>
      </w:r>
      <w:r w:rsidRPr="00715DBB">
        <w:t>7</w:t>
      </w:r>
      <w:r w:rsidRPr="00715DBB">
        <w:t>月</w:t>
      </w:r>
      <w:r w:rsidRPr="00715DBB">
        <w:t>22</w:t>
      </w:r>
      <w:r w:rsidRPr="00715DBB">
        <w:t>日公布</w:t>
      </w:r>
      <w:r w:rsidRPr="00715DBB">
        <w:t>2013</w:t>
      </w:r>
      <w:r w:rsidRPr="00715DBB">
        <w:t>年第</w:t>
      </w:r>
      <w:r w:rsidRPr="00715DBB">
        <w:t>1</w:t>
      </w:r>
      <w:r w:rsidRPr="00715DBB">
        <w:t>季政府債務，歐元區政府負債占國內生產毛額（</w:t>
      </w:r>
      <w:r w:rsidRPr="00715DBB">
        <w:t>GDP</w:t>
      </w:r>
      <w:r w:rsidRPr="00715DBB">
        <w:t>）比重達</w:t>
      </w:r>
      <w:r w:rsidRPr="00715DBB">
        <w:t>92.2</w:t>
      </w:r>
      <w:r w:rsidRPr="00715DBB">
        <w:t>％，較</w:t>
      </w:r>
      <w:r w:rsidRPr="00715DBB">
        <w:t>2012</w:t>
      </w:r>
      <w:r w:rsidRPr="00715DBB">
        <w:t>年第</w:t>
      </w:r>
      <w:r w:rsidRPr="00715DBB">
        <w:t>4</w:t>
      </w:r>
      <w:r w:rsidRPr="00715DBB">
        <w:t>季的</w:t>
      </w:r>
      <w:r w:rsidRPr="00715DBB">
        <w:t>90.6</w:t>
      </w:r>
      <w:r w:rsidRPr="00715DBB">
        <w:t>％與去年同期的</w:t>
      </w:r>
      <w:r w:rsidRPr="00715DBB">
        <w:t>88.2</w:t>
      </w:r>
      <w:r w:rsidRPr="00715DBB">
        <w:t>％皆高。就個別成員國觀察，以希臘政府負債占</w:t>
      </w:r>
      <w:r w:rsidRPr="00715DBB">
        <w:t>GDP 160.5</w:t>
      </w:r>
      <w:r w:rsidRPr="00715DBB">
        <w:t>％最嚴重，其次為義大利</w:t>
      </w:r>
      <w:r w:rsidRPr="00715DBB">
        <w:t>130.3</w:t>
      </w:r>
      <w:r w:rsidRPr="00715DBB">
        <w:t>％，而愛沙尼亞政府負債比降至</w:t>
      </w:r>
      <w:r w:rsidRPr="00715DBB">
        <w:t>10</w:t>
      </w:r>
      <w:r w:rsidRPr="00715DBB">
        <w:t>％，係歐洲國家中最低。另國際信評公司標準普爾認為義大利經濟前景有進一步惡化的可能，再次調降其主權債務評等，由</w:t>
      </w:r>
      <w:r w:rsidRPr="00715DBB">
        <w:t>BBB+</w:t>
      </w:r>
      <w:r w:rsidRPr="00715DBB">
        <w:t>下調</w:t>
      </w:r>
      <w:proofErr w:type="gramStart"/>
      <w:r w:rsidRPr="00715DBB">
        <w:t>一</w:t>
      </w:r>
      <w:proofErr w:type="gramEnd"/>
      <w:r w:rsidRPr="00715DBB">
        <w:t>等級至</w:t>
      </w:r>
      <w:r w:rsidRPr="00715DBB">
        <w:t>BBB</w:t>
      </w:r>
      <w:r w:rsidRPr="00715DBB">
        <w:t>，未來展望仍為負面。</w:t>
      </w:r>
    </w:p>
    <w:p w:rsidR="00A92D89" w:rsidRPr="00715DBB" w:rsidRDefault="00A92D89" w:rsidP="00715DBB">
      <w:pPr>
        <w:pStyle w:val="k32"/>
        <w:adjustRightInd w:val="0"/>
        <w:spacing w:line="240" w:lineRule="atLeast"/>
        <w:ind w:left="0" w:right="0" w:firstLineChars="0" w:firstLine="0"/>
        <w:jc w:val="center"/>
        <w:rPr>
          <w:b/>
          <w:bCs/>
          <w:kern w:val="2"/>
          <w:szCs w:val="24"/>
        </w:rPr>
      </w:pPr>
      <w:r w:rsidRPr="00715DBB">
        <w:rPr>
          <w:b/>
          <w:bCs/>
          <w:kern w:val="2"/>
          <w:szCs w:val="24"/>
        </w:rPr>
        <w:t>表</w:t>
      </w:r>
      <w:r w:rsidRPr="00715DBB">
        <w:rPr>
          <w:b/>
          <w:bCs/>
          <w:kern w:val="2"/>
          <w:szCs w:val="24"/>
        </w:rPr>
        <w:t xml:space="preserve">1-2  </w:t>
      </w:r>
      <w:r w:rsidRPr="00715DBB">
        <w:rPr>
          <w:b/>
          <w:bCs/>
          <w:kern w:val="2"/>
          <w:szCs w:val="24"/>
        </w:rPr>
        <w:t>歐元區重要經濟指標</w:t>
      </w:r>
    </w:p>
    <w:p w:rsidR="00A92D89" w:rsidRPr="00715DBB" w:rsidRDefault="00A92D89" w:rsidP="00BB54D3">
      <w:pPr>
        <w:wordWrap w:val="0"/>
        <w:snapToGrid w:val="0"/>
        <w:spacing w:line="240" w:lineRule="atLeast"/>
        <w:ind w:rightChars="13" w:right="31"/>
        <w:jc w:val="right"/>
        <w:rPr>
          <w:rFonts w:eastAsia="標楷體"/>
          <w:sz w:val="22"/>
        </w:rPr>
      </w:pPr>
      <w:r w:rsidRPr="00715DBB">
        <w:rPr>
          <w:rFonts w:eastAsia="標楷體"/>
          <w:sz w:val="22"/>
        </w:rPr>
        <w:t>單位：億歐元；％</w:t>
      </w:r>
    </w:p>
    <w:tbl>
      <w:tblPr>
        <w:tblW w:w="8310" w:type="dxa"/>
        <w:jc w:val="center"/>
        <w:tblLayout w:type="fixed"/>
        <w:tblCellMar>
          <w:left w:w="28" w:type="dxa"/>
          <w:right w:w="28" w:type="dxa"/>
        </w:tblCellMar>
        <w:tblLook w:val="04A0" w:firstRow="1" w:lastRow="0" w:firstColumn="1" w:lastColumn="0" w:noHBand="0" w:noVBand="1"/>
      </w:tblPr>
      <w:tblGrid>
        <w:gridCol w:w="897"/>
        <w:gridCol w:w="933"/>
        <w:gridCol w:w="672"/>
        <w:gridCol w:w="854"/>
        <w:gridCol w:w="810"/>
        <w:gridCol w:w="757"/>
        <w:gridCol w:w="784"/>
        <w:gridCol w:w="896"/>
        <w:gridCol w:w="854"/>
        <w:gridCol w:w="853"/>
      </w:tblGrid>
      <w:tr w:rsidR="00715DBB" w:rsidTr="00715DBB">
        <w:trPr>
          <w:cantSplit/>
          <w:jc w:val="center"/>
        </w:trPr>
        <w:tc>
          <w:tcPr>
            <w:tcW w:w="896" w:type="dxa"/>
            <w:vMerge w:val="restart"/>
            <w:tcBorders>
              <w:top w:val="single" w:sz="6" w:space="0" w:color="auto"/>
              <w:left w:val="nil"/>
              <w:bottom w:val="single" w:sz="4" w:space="0" w:color="auto"/>
              <w:right w:val="single" w:sz="6" w:space="0" w:color="auto"/>
            </w:tcBorders>
            <w:vAlign w:val="center"/>
            <w:hideMark/>
          </w:tcPr>
          <w:p w:rsidR="00715DBB" w:rsidRDefault="00715DB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hint="eastAsia"/>
                <w:sz w:val="22"/>
              </w:rPr>
              <w:t>年</w:t>
            </w:r>
          </w:p>
          <w:p w:rsidR="00715DBB" w:rsidRDefault="00715DBB">
            <w:pPr>
              <w:autoSpaceDE w:val="0"/>
              <w:autoSpaceDN w:val="0"/>
              <w:adjustRightInd w:val="0"/>
              <w:snapToGrid w:val="0"/>
              <w:spacing w:line="240" w:lineRule="atLeast"/>
              <w:jc w:val="center"/>
              <w:rPr>
                <w:rFonts w:eastAsia="標楷體"/>
                <w:sz w:val="22"/>
              </w:rPr>
            </w:pPr>
            <w:r>
              <w:rPr>
                <w:rFonts w:eastAsia="標楷體"/>
                <w:sz w:val="22"/>
              </w:rPr>
              <w:t>(</w:t>
            </w:r>
            <w:r>
              <w:rPr>
                <w:rFonts w:eastAsia="標楷體" w:hint="eastAsia"/>
                <w:sz w:val="22"/>
              </w:rPr>
              <w:t>月</w:t>
            </w:r>
            <w:r>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實質</w:t>
            </w:r>
          </w:p>
          <w:p w:rsidR="00715DBB" w:rsidRDefault="00715DBB">
            <w:pPr>
              <w:autoSpaceDE w:val="0"/>
              <w:autoSpaceDN w:val="0"/>
              <w:adjustRightInd w:val="0"/>
              <w:snapToGrid w:val="0"/>
              <w:spacing w:line="240" w:lineRule="atLeast"/>
              <w:jc w:val="center"/>
              <w:rPr>
                <w:rFonts w:eastAsia="標楷體"/>
                <w:sz w:val="22"/>
              </w:rPr>
            </w:pPr>
            <w:r>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工業</w:t>
            </w:r>
          </w:p>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生產</w:t>
            </w:r>
          </w:p>
        </w:tc>
        <w:tc>
          <w:tcPr>
            <w:tcW w:w="4101" w:type="dxa"/>
            <w:gridSpan w:val="5"/>
            <w:tcBorders>
              <w:top w:val="single" w:sz="6" w:space="0" w:color="auto"/>
              <w:left w:val="single" w:sz="6" w:space="0" w:color="auto"/>
              <w:bottom w:val="single" w:sz="6" w:space="0" w:color="auto"/>
              <w:right w:val="single" w:sz="6" w:space="0" w:color="auto"/>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貿</w:t>
            </w:r>
            <w:r>
              <w:rPr>
                <w:rFonts w:eastAsia="標楷體"/>
                <w:sz w:val="22"/>
              </w:rPr>
              <w:t xml:space="preserve">   </w:t>
            </w:r>
            <w:r>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消費者</w:t>
            </w:r>
          </w:p>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失業率</w:t>
            </w:r>
          </w:p>
        </w:tc>
      </w:tr>
      <w:tr w:rsidR="00715DBB" w:rsidTr="00715DBB">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715DBB" w:rsidRDefault="00715DBB">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出口</w:t>
            </w:r>
          </w:p>
        </w:tc>
        <w:tc>
          <w:tcPr>
            <w:tcW w:w="1541" w:type="dxa"/>
            <w:gridSpan w:val="2"/>
            <w:tcBorders>
              <w:top w:val="single" w:sz="6" w:space="0" w:color="auto"/>
              <w:left w:val="single" w:sz="6" w:space="0" w:color="auto"/>
              <w:bottom w:val="single" w:sz="6" w:space="0" w:color="auto"/>
              <w:right w:val="single" w:sz="6" w:space="0" w:color="auto"/>
            </w:tcBorders>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vAlign w:val="center"/>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715DBB" w:rsidRDefault="00715DBB">
            <w:pPr>
              <w:widowControl/>
              <w:rPr>
                <w:rFonts w:eastAsia="標楷體"/>
                <w:sz w:val="22"/>
              </w:rPr>
            </w:pPr>
          </w:p>
        </w:tc>
      </w:tr>
      <w:tr w:rsidR="00715DBB" w:rsidTr="00715DBB">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715DBB" w:rsidRDefault="00715DBB">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hideMark/>
          </w:tcPr>
          <w:p w:rsidR="00715DBB" w:rsidRDefault="00D67FE6">
            <w:pPr>
              <w:autoSpaceDE w:val="0"/>
              <w:autoSpaceDN w:val="0"/>
              <w:adjustRightInd w:val="0"/>
              <w:snapToGrid w:val="0"/>
              <w:spacing w:line="240" w:lineRule="atLeast"/>
              <w:jc w:val="center"/>
              <w:rPr>
                <w:rFonts w:eastAsia="標楷體"/>
                <w:sz w:val="22"/>
              </w:rPr>
            </w:pPr>
            <w:r>
              <w:rPr>
                <w:rFonts w:eastAsia="標楷體" w:hint="eastAsia"/>
                <w:sz w:val="22"/>
              </w:rPr>
              <w:t>年增</w:t>
            </w:r>
            <w:r w:rsidR="00715DBB">
              <w:rPr>
                <w:rFonts w:eastAsia="標楷體" w:hint="eastAsia"/>
                <w:sz w:val="22"/>
              </w:rPr>
              <w:t>率</w:t>
            </w:r>
          </w:p>
        </w:tc>
        <w:tc>
          <w:tcPr>
            <w:tcW w:w="757" w:type="dxa"/>
            <w:tcBorders>
              <w:top w:val="single" w:sz="6" w:space="0" w:color="auto"/>
              <w:left w:val="single" w:sz="6" w:space="0" w:color="auto"/>
              <w:bottom w:val="single" w:sz="6" w:space="0" w:color="auto"/>
              <w:right w:val="single" w:sz="6" w:space="0" w:color="auto"/>
            </w:tcBorders>
            <w:hideMark/>
          </w:tcPr>
          <w:p w:rsidR="00715DBB" w:rsidRDefault="00715DBB">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15DBB" w:rsidRDefault="00D67FE6">
            <w:pPr>
              <w:autoSpaceDE w:val="0"/>
              <w:autoSpaceDN w:val="0"/>
              <w:adjustRightInd w:val="0"/>
              <w:snapToGrid w:val="0"/>
              <w:spacing w:line="240" w:lineRule="atLeast"/>
              <w:jc w:val="center"/>
              <w:rPr>
                <w:rFonts w:eastAsia="標楷體"/>
                <w:sz w:val="22"/>
              </w:rPr>
            </w:pPr>
            <w:r>
              <w:rPr>
                <w:rFonts w:eastAsia="標楷體" w:hint="eastAsia"/>
                <w:sz w:val="22"/>
              </w:rPr>
              <w:t>年增</w:t>
            </w:r>
            <w:r w:rsidR="00715DBB">
              <w:rPr>
                <w:rFonts w:eastAsia="標楷體" w:hint="eastAsia"/>
                <w:sz w:val="22"/>
              </w:rPr>
              <w:t>率</w:t>
            </w:r>
          </w:p>
        </w:tc>
        <w:tc>
          <w:tcPr>
            <w:tcW w:w="896"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15DBB" w:rsidRDefault="00715DBB">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715DBB" w:rsidRDefault="00715DBB">
            <w:pPr>
              <w:widowControl/>
              <w:rPr>
                <w:rFonts w:eastAsia="標楷體"/>
                <w:sz w:val="22"/>
              </w:rPr>
            </w:pP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2009</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-4.2</w:t>
            </w: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-13.6</w:t>
            </w:r>
          </w:p>
        </w:tc>
        <w:tc>
          <w:tcPr>
            <w:tcW w:w="85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12,803</w:t>
            </w:r>
          </w:p>
        </w:tc>
        <w:tc>
          <w:tcPr>
            <w:tcW w:w="810"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-18.1</w:t>
            </w:r>
          </w:p>
        </w:tc>
        <w:tc>
          <w:tcPr>
            <w:tcW w:w="757"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12,665</w:t>
            </w:r>
          </w:p>
        </w:tc>
        <w:tc>
          <w:tcPr>
            <w:tcW w:w="784" w:type="dxa"/>
            <w:tcBorders>
              <w:top w:val="nil"/>
              <w:left w:val="single" w:sz="6" w:space="0" w:color="auto"/>
              <w:bottom w:val="nil"/>
              <w:right w:val="single" w:sz="6" w:space="0" w:color="auto"/>
            </w:tcBorders>
            <w:hideMark/>
          </w:tcPr>
          <w:p w:rsidR="00715DBB" w:rsidRDefault="00715DBB">
            <w:pPr>
              <w:tabs>
                <w:tab w:val="center" w:pos="364"/>
              </w:tabs>
              <w:autoSpaceDE w:val="0"/>
              <w:autoSpaceDN w:val="0"/>
              <w:adjustRightInd w:val="0"/>
              <w:snapToGrid w:val="0"/>
              <w:spacing w:line="380" w:lineRule="atLeast"/>
              <w:rPr>
                <w:rFonts w:eastAsia="標楷體"/>
                <w:sz w:val="22"/>
              </w:rPr>
            </w:pPr>
            <w:r>
              <w:rPr>
                <w:rFonts w:eastAsia="標楷體"/>
                <w:sz w:val="22"/>
              </w:rPr>
              <w:tab/>
              <w:t>-21.8</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0.3</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9.6</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2010</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1.8</w:t>
            </w: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4.3</w:t>
            </w:r>
          </w:p>
        </w:tc>
        <w:tc>
          <w:tcPr>
            <w:tcW w:w="85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15,373</w:t>
            </w:r>
          </w:p>
        </w:tc>
        <w:tc>
          <w:tcPr>
            <w:tcW w:w="810"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20.1</w:t>
            </w:r>
          </w:p>
        </w:tc>
        <w:tc>
          <w:tcPr>
            <w:tcW w:w="757"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15,520</w:t>
            </w:r>
          </w:p>
        </w:tc>
        <w:tc>
          <w:tcPr>
            <w:tcW w:w="78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22.5</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-147</w:t>
            </w:r>
          </w:p>
        </w:tc>
        <w:tc>
          <w:tcPr>
            <w:tcW w:w="85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10.1</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2011</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w:t>
            </w: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3.5</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17,357 </w:t>
            </w:r>
          </w:p>
        </w:tc>
        <w:tc>
          <w:tcPr>
            <w:tcW w:w="810"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12.9 </w:t>
            </w:r>
          </w:p>
        </w:tc>
        <w:tc>
          <w:tcPr>
            <w:tcW w:w="757"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17,477 </w:t>
            </w:r>
          </w:p>
        </w:tc>
        <w:tc>
          <w:tcPr>
            <w:tcW w:w="78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12.6 </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-120 </w:t>
            </w:r>
          </w:p>
        </w:tc>
        <w:tc>
          <w:tcPr>
            <w:tcW w:w="854"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2.7</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10.2</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2012</w:t>
            </w:r>
            <w:r>
              <w:rPr>
                <w:rFonts w:eastAsia="標楷體" w:hint="eastAsia"/>
                <w:sz w:val="22"/>
              </w:rPr>
              <w:t>年</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-0.5</w:t>
            </w: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-2.4</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18,696</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7.4</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17,882</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1.7</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814</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11.4</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-0.5(II)</w:t>
            </w: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-1.9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1,619</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12.1</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1,490</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129</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11.4</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7</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-2.4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1,624</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11.2</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1,486</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3.0</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138</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2.4</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11.4</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8</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-1.3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1,522</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10.3</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1,476</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2.6</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45</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11.5</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9</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-0.7(III)</w:t>
            </w: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-2.7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1,535</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1,451</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-4.0</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84</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2.6</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11.6</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-3.1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1,696</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14.5</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1,605</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7.4</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91</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2.5</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11.7</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-4.0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1,644</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5.5</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1,513</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0.0</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131</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11.8</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-0.9(IV)</w:t>
            </w: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-2.0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1,434</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-3.1</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1,331</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-5.3</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103</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2.2</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11.8</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center"/>
          </w:tcPr>
          <w:p w:rsidR="00715DBB" w:rsidRDefault="00715DBB">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vAlign w:val="center"/>
          </w:tcPr>
          <w:p w:rsidR="00715DBB" w:rsidRDefault="00715DBB">
            <w:pPr>
              <w:autoSpaceDE w:val="0"/>
              <w:autoSpaceDN w:val="0"/>
              <w:adjustRightInd w:val="0"/>
              <w:snapToGrid w:val="0"/>
              <w:spacing w:line="380" w:lineRule="atLeast"/>
              <w:jc w:val="center"/>
              <w:rPr>
                <w:rFonts w:eastAsia="標楷體"/>
                <w:sz w:val="22"/>
              </w:rPr>
            </w:pPr>
          </w:p>
        </w:tc>
        <w:tc>
          <w:tcPr>
            <w:tcW w:w="757" w:type="dxa"/>
            <w:tcBorders>
              <w:top w:val="nil"/>
              <w:left w:val="single" w:sz="6" w:space="0" w:color="auto"/>
              <w:bottom w:val="nil"/>
              <w:right w:val="single" w:sz="6" w:space="0" w:color="auto"/>
            </w:tcBorders>
            <w:vAlign w:val="center"/>
          </w:tcPr>
          <w:p w:rsidR="00715DBB" w:rsidRDefault="00715DBB">
            <w:pPr>
              <w:autoSpaceDE w:val="0"/>
              <w:autoSpaceDN w:val="0"/>
              <w:adjustRightInd w:val="0"/>
              <w:snapToGrid w:val="0"/>
              <w:spacing w:line="38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715DBB" w:rsidRDefault="00715DBB">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vAlign w:val="center"/>
          </w:tcPr>
          <w:p w:rsidR="00715DBB" w:rsidRDefault="00715DBB">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715DBB" w:rsidRDefault="00715DBB">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tcPr>
          <w:p w:rsidR="00715DBB" w:rsidRDefault="00715DBB">
            <w:pPr>
              <w:autoSpaceDE w:val="0"/>
              <w:autoSpaceDN w:val="0"/>
              <w:adjustRightInd w:val="0"/>
              <w:snapToGrid w:val="0"/>
              <w:spacing w:line="380" w:lineRule="atLeast"/>
              <w:jc w:val="center"/>
              <w:rPr>
                <w:rFonts w:eastAsia="標楷體"/>
                <w:sz w:val="22"/>
              </w:rPr>
            </w:pP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-1.0(I)</w:t>
            </w: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-2.5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1,464</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5.1</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1,511</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1.8</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-47</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2.0</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12.0</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 xml:space="preserve">-3.3 </w:t>
            </w:r>
          </w:p>
        </w:tc>
        <w:tc>
          <w:tcPr>
            <w:tcW w:w="85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1,486</w:t>
            </w:r>
          </w:p>
        </w:tc>
        <w:tc>
          <w:tcPr>
            <w:tcW w:w="810"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-1.1</w:t>
            </w:r>
          </w:p>
        </w:tc>
        <w:tc>
          <w:tcPr>
            <w:tcW w:w="757"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1,385</w:t>
            </w:r>
          </w:p>
        </w:tc>
        <w:tc>
          <w:tcPr>
            <w:tcW w:w="784"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-7.2</w:t>
            </w:r>
          </w:p>
        </w:tc>
        <w:tc>
          <w:tcPr>
            <w:tcW w:w="896" w:type="dxa"/>
            <w:tcBorders>
              <w:top w:val="nil"/>
              <w:left w:val="single" w:sz="6" w:space="0" w:color="auto"/>
              <w:bottom w:val="nil"/>
              <w:right w:val="single" w:sz="6" w:space="0" w:color="auto"/>
            </w:tcBorders>
            <w:vAlign w:val="center"/>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104</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1.8</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12.1</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1,654</w:t>
            </w:r>
          </w:p>
        </w:tc>
        <w:tc>
          <w:tcPr>
            <w:tcW w:w="810"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w:t>
            </w:r>
          </w:p>
        </w:tc>
        <w:tc>
          <w:tcPr>
            <w:tcW w:w="757"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1,430</w:t>
            </w:r>
          </w:p>
        </w:tc>
        <w:tc>
          <w:tcPr>
            <w:tcW w:w="78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-10</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225</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1.7</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12.1</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-0.6</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1,613</w:t>
            </w:r>
          </w:p>
        </w:tc>
        <w:tc>
          <w:tcPr>
            <w:tcW w:w="810"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9</w:t>
            </w:r>
          </w:p>
        </w:tc>
        <w:tc>
          <w:tcPr>
            <w:tcW w:w="757"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1,470</w:t>
            </w:r>
          </w:p>
        </w:tc>
        <w:tc>
          <w:tcPr>
            <w:tcW w:w="78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2</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149</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12.1</w:t>
            </w:r>
          </w:p>
        </w:tc>
      </w:tr>
      <w:tr w:rsidR="00715DBB" w:rsidTr="00715DBB">
        <w:trPr>
          <w:cantSplit/>
          <w:jc w:val="center"/>
        </w:trPr>
        <w:tc>
          <w:tcPr>
            <w:tcW w:w="896" w:type="dxa"/>
            <w:tcBorders>
              <w:top w:val="nil"/>
              <w:left w:val="nil"/>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nil"/>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-1.3</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1,590</w:t>
            </w:r>
          </w:p>
        </w:tc>
        <w:tc>
          <w:tcPr>
            <w:tcW w:w="810"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0</w:t>
            </w:r>
          </w:p>
        </w:tc>
        <w:tc>
          <w:tcPr>
            <w:tcW w:w="757"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1,438</w:t>
            </w:r>
          </w:p>
        </w:tc>
        <w:tc>
          <w:tcPr>
            <w:tcW w:w="78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-6</w:t>
            </w:r>
          </w:p>
        </w:tc>
        <w:tc>
          <w:tcPr>
            <w:tcW w:w="896"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152</w:t>
            </w:r>
          </w:p>
        </w:tc>
        <w:tc>
          <w:tcPr>
            <w:tcW w:w="854" w:type="dxa"/>
            <w:tcBorders>
              <w:top w:val="nil"/>
              <w:left w:val="single" w:sz="6" w:space="0" w:color="auto"/>
              <w:bottom w:val="nil"/>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1.4</w:t>
            </w:r>
          </w:p>
        </w:tc>
        <w:tc>
          <w:tcPr>
            <w:tcW w:w="853" w:type="dxa"/>
            <w:tcBorders>
              <w:top w:val="nil"/>
              <w:left w:val="single" w:sz="6" w:space="0" w:color="auto"/>
              <w:bottom w:val="nil"/>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12.2</w:t>
            </w:r>
          </w:p>
        </w:tc>
      </w:tr>
      <w:tr w:rsidR="00715DBB" w:rsidTr="00715DBB">
        <w:trPr>
          <w:cantSplit/>
          <w:jc w:val="center"/>
        </w:trPr>
        <w:tc>
          <w:tcPr>
            <w:tcW w:w="896" w:type="dxa"/>
            <w:tcBorders>
              <w:top w:val="nil"/>
              <w:left w:val="nil"/>
              <w:bottom w:val="single" w:sz="4" w:space="0" w:color="auto"/>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single" w:sz="4" w:space="0" w:color="auto"/>
              <w:right w:val="single" w:sz="6" w:space="0" w:color="auto"/>
            </w:tcBorders>
          </w:tcPr>
          <w:p w:rsidR="00715DBB" w:rsidRDefault="00715DBB">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single" w:sz="4" w:space="0" w:color="auto"/>
              <w:right w:val="single" w:sz="6" w:space="0" w:color="auto"/>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810"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757"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784"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896"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c>
          <w:tcPr>
            <w:tcW w:w="854" w:type="dxa"/>
            <w:tcBorders>
              <w:top w:val="nil"/>
              <w:left w:val="single" w:sz="6" w:space="0" w:color="auto"/>
              <w:bottom w:val="single" w:sz="4" w:space="0" w:color="auto"/>
              <w:right w:val="single" w:sz="6" w:space="0" w:color="auto"/>
            </w:tcBorders>
            <w:vAlign w:val="bottom"/>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1.6</w:t>
            </w:r>
          </w:p>
        </w:tc>
        <w:tc>
          <w:tcPr>
            <w:tcW w:w="853" w:type="dxa"/>
            <w:tcBorders>
              <w:top w:val="nil"/>
              <w:left w:val="single" w:sz="6" w:space="0" w:color="auto"/>
              <w:bottom w:val="single" w:sz="4" w:space="0" w:color="auto"/>
              <w:right w:val="nil"/>
            </w:tcBorders>
            <w:hideMark/>
          </w:tcPr>
          <w:p w:rsidR="00715DBB" w:rsidRDefault="00715DBB">
            <w:pPr>
              <w:autoSpaceDE w:val="0"/>
              <w:autoSpaceDN w:val="0"/>
              <w:adjustRightInd w:val="0"/>
              <w:snapToGrid w:val="0"/>
              <w:spacing w:line="380" w:lineRule="atLeast"/>
              <w:jc w:val="center"/>
              <w:rPr>
                <w:rFonts w:eastAsia="標楷體"/>
                <w:sz w:val="22"/>
              </w:rPr>
            </w:pPr>
            <w:r>
              <w:rPr>
                <w:rFonts w:eastAsia="標楷體"/>
                <w:sz w:val="22"/>
              </w:rPr>
              <w:t>-</w:t>
            </w:r>
          </w:p>
        </w:tc>
      </w:tr>
    </w:tbl>
    <w:p w:rsidR="00A92D89" w:rsidRPr="00715DBB" w:rsidRDefault="00A92D89" w:rsidP="00877AC4">
      <w:pPr>
        <w:autoSpaceDE w:val="0"/>
        <w:autoSpaceDN w:val="0"/>
        <w:adjustRightInd w:val="0"/>
        <w:snapToGrid w:val="0"/>
        <w:spacing w:line="240" w:lineRule="atLeast"/>
        <w:jc w:val="both"/>
        <w:rPr>
          <w:rFonts w:eastAsia="標楷體"/>
          <w:sz w:val="22"/>
          <w:szCs w:val="22"/>
        </w:rPr>
      </w:pPr>
      <w:r w:rsidRPr="00715DBB">
        <w:rPr>
          <w:rFonts w:eastAsia="標楷體"/>
          <w:sz w:val="22"/>
          <w:szCs w:val="22"/>
        </w:rPr>
        <w:t>資料來源：歐洲統計局</w:t>
      </w:r>
      <w:r w:rsidR="00877AC4" w:rsidRPr="00715DBB">
        <w:rPr>
          <w:rFonts w:eastAsia="標楷體"/>
          <w:sz w:val="22"/>
          <w:szCs w:val="22"/>
        </w:rPr>
        <w:t>。</w:t>
      </w:r>
    </w:p>
    <w:p w:rsidR="00380A37" w:rsidRPr="008917A1" w:rsidRDefault="00380A37" w:rsidP="00234C07">
      <w:pPr>
        <w:pStyle w:val="t-3"/>
        <w:snapToGrid w:val="0"/>
        <w:spacing w:beforeLines="50" w:before="180" w:line="500" w:lineRule="atLeast"/>
        <w:ind w:right="-60"/>
      </w:pPr>
      <w:bookmarkStart w:id="53" w:name="_Toc358042574"/>
      <w:r w:rsidRPr="008917A1">
        <w:lastRenderedPageBreak/>
        <w:t>（三）亞太地區</w:t>
      </w:r>
      <w:bookmarkEnd w:id="51"/>
      <w:bookmarkEnd w:id="52"/>
      <w:bookmarkEnd w:id="53"/>
    </w:p>
    <w:p w:rsidR="00D2499A" w:rsidRPr="003111E1" w:rsidRDefault="008917A1" w:rsidP="00E85732">
      <w:pPr>
        <w:pStyle w:val="k3a"/>
        <w:tabs>
          <w:tab w:val="left" w:pos="426"/>
          <w:tab w:val="left" w:pos="540"/>
        </w:tabs>
        <w:spacing w:before="180" w:line="300" w:lineRule="auto"/>
        <w:ind w:leftChars="177" w:left="425" w:firstLineChars="202" w:firstLine="566"/>
        <w:rPr>
          <w:color w:val="FF0000"/>
        </w:rPr>
      </w:pPr>
      <w:r w:rsidRPr="008917A1">
        <w:rPr>
          <w:rFonts w:hint="eastAsia"/>
          <w:szCs w:val="28"/>
        </w:rPr>
        <w:t>亞洲開發銀行</w:t>
      </w:r>
      <w:r w:rsidR="008833E1">
        <w:rPr>
          <w:rFonts w:hint="eastAsia"/>
          <w:szCs w:val="28"/>
        </w:rPr>
        <w:t>（</w:t>
      </w:r>
      <w:r w:rsidRPr="008917A1">
        <w:rPr>
          <w:rFonts w:hint="eastAsia"/>
          <w:szCs w:val="28"/>
        </w:rPr>
        <w:t>ADB</w:t>
      </w:r>
      <w:r w:rsidR="008833E1">
        <w:rPr>
          <w:rFonts w:hint="eastAsia"/>
          <w:szCs w:val="28"/>
        </w:rPr>
        <w:t>）</w:t>
      </w:r>
      <w:r w:rsidRPr="008917A1">
        <w:rPr>
          <w:rFonts w:hint="eastAsia"/>
          <w:szCs w:val="28"/>
        </w:rPr>
        <w:t xml:space="preserve"> 2013</w:t>
      </w:r>
      <w:r w:rsidRPr="008917A1">
        <w:rPr>
          <w:rFonts w:hint="eastAsia"/>
          <w:szCs w:val="28"/>
        </w:rPr>
        <w:t>年</w:t>
      </w:r>
      <w:r w:rsidRPr="008917A1">
        <w:rPr>
          <w:rFonts w:hint="eastAsia"/>
          <w:szCs w:val="28"/>
        </w:rPr>
        <w:t>7</w:t>
      </w:r>
      <w:r w:rsidRPr="008917A1">
        <w:rPr>
          <w:rFonts w:hint="eastAsia"/>
          <w:szCs w:val="28"/>
        </w:rPr>
        <w:t>月</w:t>
      </w:r>
      <w:r w:rsidRPr="008917A1">
        <w:rPr>
          <w:rFonts w:hint="eastAsia"/>
          <w:szCs w:val="28"/>
        </w:rPr>
        <w:t>16</w:t>
      </w:r>
      <w:r w:rsidRPr="008917A1">
        <w:rPr>
          <w:rFonts w:hint="eastAsia"/>
          <w:szCs w:val="28"/>
        </w:rPr>
        <w:t>日發布「亞洲發展前景補充報告</w:t>
      </w:r>
      <w:proofErr w:type="gramStart"/>
      <w:r w:rsidR="008833E1">
        <w:rPr>
          <w:rFonts w:hint="eastAsia"/>
          <w:szCs w:val="28"/>
        </w:rPr>
        <w:t>（</w:t>
      </w:r>
      <w:proofErr w:type="gramEnd"/>
      <w:r w:rsidRPr="008917A1">
        <w:rPr>
          <w:rFonts w:hint="eastAsia"/>
          <w:szCs w:val="28"/>
        </w:rPr>
        <w:t>Asian Development Outlook Supplement</w:t>
      </w:r>
      <w:r w:rsidR="008833E1">
        <w:rPr>
          <w:rFonts w:hint="eastAsia"/>
          <w:szCs w:val="28"/>
        </w:rPr>
        <w:t>)</w:t>
      </w:r>
      <w:r w:rsidRPr="008917A1">
        <w:rPr>
          <w:rFonts w:hint="eastAsia"/>
          <w:szCs w:val="28"/>
        </w:rPr>
        <w:t>」，預測</w:t>
      </w:r>
      <w:r w:rsidRPr="008917A1">
        <w:rPr>
          <w:rFonts w:hint="eastAsia"/>
          <w:szCs w:val="28"/>
        </w:rPr>
        <w:t>2013</w:t>
      </w:r>
      <w:r w:rsidRPr="008917A1">
        <w:rPr>
          <w:rFonts w:hint="eastAsia"/>
          <w:szCs w:val="28"/>
        </w:rPr>
        <w:t>年亞洲開發中國家經濟可望成長</w:t>
      </w:r>
      <w:r w:rsidRPr="008917A1">
        <w:rPr>
          <w:rFonts w:hint="eastAsia"/>
          <w:szCs w:val="28"/>
        </w:rPr>
        <w:t>6.3</w:t>
      </w:r>
      <w:r>
        <w:rPr>
          <w:rFonts w:hint="eastAsia"/>
          <w:szCs w:val="28"/>
        </w:rPr>
        <w:t>％</w:t>
      </w:r>
      <w:r w:rsidRPr="008917A1">
        <w:rPr>
          <w:rFonts w:hint="eastAsia"/>
          <w:szCs w:val="28"/>
        </w:rPr>
        <w:t>，雖下修上次預估值</w:t>
      </w:r>
      <w:r w:rsidRPr="008917A1">
        <w:rPr>
          <w:rFonts w:hint="eastAsia"/>
          <w:szCs w:val="28"/>
        </w:rPr>
        <w:t>0.3</w:t>
      </w:r>
      <w:r w:rsidRPr="008917A1">
        <w:rPr>
          <w:rFonts w:hint="eastAsia"/>
          <w:szCs w:val="28"/>
        </w:rPr>
        <w:t>個百分點，仍優於</w:t>
      </w:r>
      <w:r w:rsidRPr="008917A1">
        <w:rPr>
          <w:rFonts w:hint="eastAsia"/>
          <w:szCs w:val="28"/>
        </w:rPr>
        <w:t>2012</w:t>
      </w:r>
      <w:r w:rsidRPr="008917A1">
        <w:rPr>
          <w:rFonts w:hint="eastAsia"/>
          <w:szCs w:val="28"/>
        </w:rPr>
        <w:t>年的成長</w:t>
      </w:r>
      <w:r w:rsidRPr="008917A1">
        <w:rPr>
          <w:rFonts w:hint="eastAsia"/>
          <w:szCs w:val="28"/>
        </w:rPr>
        <w:t>6.1</w:t>
      </w:r>
      <w:r>
        <w:rPr>
          <w:rFonts w:hint="eastAsia"/>
          <w:szCs w:val="28"/>
        </w:rPr>
        <w:t>％</w:t>
      </w:r>
      <w:r w:rsidRPr="008917A1">
        <w:rPr>
          <w:rFonts w:hint="eastAsia"/>
          <w:szCs w:val="28"/>
        </w:rPr>
        <w:t>，顯示經濟可望逐步回溫，惟全球經濟環境依然脆弱。報告指出，儘管先進國家經濟前景略有改善，但是亞洲開發中國家</w:t>
      </w:r>
      <w:r w:rsidRPr="008917A1">
        <w:rPr>
          <w:rFonts w:hint="eastAsia"/>
          <w:szCs w:val="28"/>
        </w:rPr>
        <w:t>2013</w:t>
      </w:r>
      <w:r w:rsidRPr="008917A1">
        <w:rPr>
          <w:rFonts w:hint="eastAsia"/>
          <w:szCs w:val="28"/>
        </w:rPr>
        <w:t>年上半年仍是欲振乏力，主要因中國大陸經濟放緩以及主要工業化經濟體外需疲軟所致。</w:t>
      </w:r>
    </w:p>
    <w:p w:rsidR="00D2499A" w:rsidRPr="003111E1" w:rsidRDefault="00E85732" w:rsidP="00A96865">
      <w:pPr>
        <w:pStyle w:val="k3a"/>
        <w:tabs>
          <w:tab w:val="left" w:pos="540"/>
        </w:tabs>
        <w:spacing w:before="180" w:line="300" w:lineRule="auto"/>
        <w:ind w:leftChars="0" w:left="0" w:firstLineChars="0" w:firstLine="0"/>
        <w:rPr>
          <w:b/>
          <w:bCs/>
          <w:szCs w:val="28"/>
        </w:rPr>
      </w:pPr>
      <w:r w:rsidRPr="003111E1">
        <w:rPr>
          <w:b/>
          <w:bCs/>
          <w:szCs w:val="28"/>
        </w:rPr>
        <w:t>１、</w:t>
      </w:r>
      <w:r w:rsidR="00D2499A" w:rsidRPr="003111E1">
        <w:rPr>
          <w:b/>
          <w:bCs/>
          <w:szCs w:val="28"/>
        </w:rPr>
        <w:t>日本</w:t>
      </w:r>
    </w:p>
    <w:p w:rsidR="00A92D89" w:rsidRPr="003111E1" w:rsidRDefault="003111E1" w:rsidP="00E85732">
      <w:pPr>
        <w:pStyle w:val="affffc"/>
        <w:numPr>
          <w:ilvl w:val="0"/>
          <w:numId w:val="38"/>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3111E1">
        <w:rPr>
          <w:rFonts w:ascii="Times New Roman" w:eastAsia="標楷體" w:hAnsi="Times New Roman"/>
          <w:color w:val="000000"/>
          <w:kern w:val="0"/>
          <w:sz w:val="28"/>
          <w:szCs w:val="20"/>
        </w:rPr>
        <w:t>日本財務省</w:t>
      </w:r>
      <w:r w:rsidR="00031AAB">
        <w:rPr>
          <w:rFonts w:ascii="Times New Roman" w:eastAsia="標楷體" w:hAnsi="Times New Roman" w:hint="eastAsia"/>
          <w:color w:val="000000"/>
          <w:kern w:val="0"/>
          <w:sz w:val="28"/>
          <w:szCs w:val="20"/>
        </w:rPr>
        <w:t>2013</w:t>
      </w:r>
      <w:r w:rsidR="00031AAB">
        <w:rPr>
          <w:rFonts w:ascii="Times New Roman" w:eastAsia="標楷體" w:hAnsi="Times New Roman" w:hint="eastAsia"/>
          <w:color w:val="000000"/>
          <w:kern w:val="0"/>
          <w:sz w:val="28"/>
          <w:szCs w:val="20"/>
        </w:rPr>
        <w:t>年</w:t>
      </w:r>
      <w:r w:rsidRPr="003111E1">
        <w:rPr>
          <w:rFonts w:ascii="Times New Roman" w:eastAsia="標楷體" w:hAnsi="Times New Roman"/>
          <w:color w:val="000000"/>
          <w:kern w:val="0"/>
          <w:sz w:val="28"/>
          <w:szCs w:val="20"/>
        </w:rPr>
        <w:t>7</w:t>
      </w:r>
      <w:r w:rsidRPr="003111E1">
        <w:rPr>
          <w:rFonts w:ascii="Times New Roman" w:eastAsia="標楷體" w:hAnsi="Times New Roman"/>
          <w:color w:val="000000"/>
          <w:kern w:val="0"/>
          <w:sz w:val="28"/>
          <w:szCs w:val="20"/>
        </w:rPr>
        <w:t>月</w:t>
      </w:r>
      <w:r w:rsidRPr="003111E1">
        <w:rPr>
          <w:rFonts w:ascii="Times New Roman" w:eastAsia="標楷體" w:hAnsi="Times New Roman"/>
          <w:color w:val="000000"/>
          <w:kern w:val="0"/>
          <w:sz w:val="28"/>
          <w:szCs w:val="20"/>
        </w:rPr>
        <w:t>8</w:t>
      </w:r>
      <w:r w:rsidRPr="003111E1">
        <w:rPr>
          <w:rFonts w:ascii="Times New Roman" w:eastAsia="標楷體" w:hAnsi="Times New Roman"/>
          <w:color w:val="000000"/>
          <w:kern w:val="0"/>
          <w:sz w:val="28"/>
          <w:szCs w:val="20"/>
        </w:rPr>
        <w:t>日公布衡量日本國際貿易與投資收入狀況的經常帳順差最新統計，</w:t>
      </w:r>
      <w:r w:rsidRPr="003111E1">
        <w:rPr>
          <w:rFonts w:ascii="Times New Roman" w:eastAsia="標楷體" w:hAnsi="Times New Roman"/>
          <w:color w:val="000000"/>
          <w:kern w:val="0"/>
          <w:sz w:val="28"/>
          <w:szCs w:val="20"/>
        </w:rPr>
        <w:t>5</w:t>
      </w:r>
      <w:r w:rsidRPr="003111E1">
        <w:rPr>
          <w:rFonts w:ascii="Times New Roman" w:eastAsia="標楷體" w:hAnsi="Times New Roman"/>
          <w:color w:val="000000"/>
          <w:kern w:val="0"/>
          <w:sz w:val="28"/>
          <w:szCs w:val="20"/>
        </w:rPr>
        <w:t>月份經常帳順差為</w:t>
      </w:r>
      <w:r w:rsidRPr="003111E1">
        <w:rPr>
          <w:rFonts w:ascii="Times New Roman" w:eastAsia="標楷體" w:hAnsi="Times New Roman"/>
          <w:color w:val="000000"/>
          <w:kern w:val="0"/>
          <w:sz w:val="28"/>
          <w:szCs w:val="20"/>
        </w:rPr>
        <w:t>5,407</w:t>
      </w:r>
      <w:r w:rsidRPr="003111E1">
        <w:rPr>
          <w:rFonts w:ascii="Times New Roman" w:eastAsia="標楷體" w:hAnsi="Times New Roman"/>
          <w:color w:val="000000"/>
          <w:kern w:val="0"/>
          <w:sz w:val="28"/>
          <w:szCs w:val="20"/>
        </w:rPr>
        <w:t>億日圓</w:t>
      </w:r>
      <w:r w:rsidR="008833E1">
        <w:rPr>
          <w:rFonts w:ascii="Times New Roman" w:eastAsia="標楷體" w:hAnsi="Times New Roman" w:hint="eastAsia"/>
          <w:color w:val="000000"/>
          <w:kern w:val="0"/>
          <w:sz w:val="28"/>
          <w:szCs w:val="20"/>
        </w:rPr>
        <w:t>（</w:t>
      </w:r>
      <w:r w:rsidRPr="003111E1">
        <w:rPr>
          <w:rFonts w:ascii="Times New Roman" w:eastAsia="標楷體" w:hAnsi="Times New Roman"/>
          <w:color w:val="000000"/>
          <w:kern w:val="0"/>
          <w:sz w:val="28"/>
          <w:szCs w:val="20"/>
        </w:rPr>
        <w:t>約</w:t>
      </w:r>
      <w:r w:rsidRPr="003111E1">
        <w:rPr>
          <w:rFonts w:ascii="Times New Roman" w:eastAsia="標楷體" w:hAnsi="Times New Roman"/>
          <w:color w:val="000000"/>
          <w:kern w:val="0"/>
          <w:sz w:val="28"/>
          <w:szCs w:val="20"/>
        </w:rPr>
        <w:t>54</w:t>
      </w:r>
      <w:r w:rsidRPr="003111E1">
        <w:rPr>
          <w:rFonts w:ascii="Times New Roman" w:eastAsia="標楷體" w:hAnsi="Times New Roman"/>
          <w:color w:val="000000"/>
          <w:kern w:val="0"/>
          <w:sz w:val="28"/>
          <w:szCs w:val="20"/>
        </w:rPr>
        <w:t>億美元</w:t>
      </w:r>
      <w:r w:rsidR="008833E1">
        <w:rPr>
          <w:rFonts w:ascii="Times New Roman" w:eastAsia="標楷體" w:hAnsi="Times New Roman" w:hint="eastAsia"/>
          <w:color w:val="000000"/>
          <w:kern w:val="0"/>
          <w:sz w:val="28"/>
          <w:szCs w:val="20"/>
        </w:rPr>
        <w:t>）</w:t>
      </w:r>
      <w:r w:rsidRPr="003111E1">
        <w:rPr>
          <w:rFonts w:ascii="Times New Roman" w:eastAsia="標楷體" w:hAnsi="Times New Roman"/>
          <w:color w:val="000000"/>
          <w:kern w:val="0"/>
          <w:sz w:val="28"/>
          <w:szCs w:val="20"/>
        </w:rPr>
        <w:t>較</w:t>
      </w:r>
      <w:r w:rsidR="008833E1">
        <w:rPr>
          <w:rFonts w:ascii="Times New Roman" w:eastAsia="標楷體" w:hAnsi="Times New Roman" w:hint="eastAsia"/>
          <w:color w:val="000000"/>
          <w:kern w:val="0"/>
          <w:sz w:val="28"/>
          <w:szCs w:val="20"/>
        </w:rPr>
        <w:t>上</w:t>
      </w:r>
      <w:r w:rsidRPr="003111E1">
        <w:rPr>
          <w:rFonts w:ascii="Times New Roman" w:eastAsia="標楷體" w:hAnsi="Times New Roman"/>
          <w:color w:val="000000"/>
          <w:kern w:val="0"/>
          <w:sz w:val="28"/>
          <w:szCs w:val="20"/>
        </w:rPr>
        <w:t>年同期大幅成長</w:t>
      </w:r>
      <w:r w:rsidRPr="003111E1">
        <w:rPr>
          <w:rFonts w:ascii="Times New Roman" w:eastAsia="標楷體" w:hAnsi="Times New Roman"/>
          <w:color w:val="000000"/>
          <w:kern w:val="0"/>
          <w:sz w:val="28"/>
          <w:szCs w:val="20"/>
        </w:rPr>
        <w:t>58.1</w:t>
      </w:r>
      <w:r w:rsidR="00CE7968">
        <w:rPr>
          <w:rFonts w:ascii="Times New Roman" w:eastAsia="標楷體" w:hAnsi="Times New Roman" w:hint="eastAsia"/>
          <w:color w:val="000000"/>
          <w:kern w:val="0"/>
          <w:sz w:val="28"/>
          <w:szCs w:val="20"/>
        </w:rPr>
        <w:t>％</w:t>
      </w:r>
      <w:r w:rsidRPr="003111E1">
        <w:rPr>
          <w:rFonts w:ascii="Times New Roman" w:eastAsia="標楷體" w:hAnsi="Times New Roman"/>
          <w:color w:val="000000"/>
          <w:kern w:val="0"/>
          <w:sz w:val="28"/>
          <w:szCs w:val="20"/>
        </w:rPr>
        <w:t>，為</w:t>
      </w:r>
      <w:r w:rsidRPr="003111E1">
        <w:rPr>
          <w:rFonts w:ascii="Times New Roman" w:eastAsia="標楷體" w:hAnsi="Times New Roman"/>
          <w:color w:val="000000"/>
          <w:kern w:val="0"/>
          <w:sz w:val="28"/>
          <w:szCs w:val="20"/>
        </w:rPr>
        <w:t>2010</w:t>
      </w:r>
      <w:r w:rsidRPr="003111E1">
        <w:rPr>
          <w:rFonts w:ascii="Times New Roman" w:eastAsia="標楷體" w:hAnsi="Times New Roman"/>
          <w:color w:val="000000"/>
          <w:kern w:val="0"/>
          <w:sz w:val="28"/>
          <w:szCs w:val="20"/>
        </w:rPr>
        <w:t>年</w:t>
      </w:r>
      <w:r w:rsidRPr="003111E1">
        <w:rPr>
          <w:rFonts w:ascii="Times New Roman" w:eastAsia="標楷體" w:hAnsi="Times New Roman"/>
          <w:color w:val="000000"/>
          <w:kern w:val="0"/>
          <w:sz w:val="28"/>
          <w:szCs w:val="20"/>
        </w:rPr>
        <w:t>10</w:t>
      </w:r>
      <w:r w:rsidRPr="003111E1">
        <w:rPr>
          <w:rFonts w:ascii="Times New Roman" w:eastAsia="標楷體" w:hAnsi="Times New Roman"/>
          <w:color w:val="000000"/>
          <w:kern w:val="0"/>
          <w:sz w:val="28"/>
          <w:szCs w:val="20"/>
        </w:rPr>
        <w:t>月以來首度連兩個月成長。財務省表示，日圓貶值確實是推升海外資產收益價值的關鍵因素，</w:t>
      </w:r>
      <w:r w:rsidRPr="003111E1">
        <w:rPr>
          <w:rFonts w:ascii="Times New Roman" w:eastAsia="標楷體" w:hAnsi="Times New Roman"/>
          <w:color w:val="000000"/>
          <w:kern w:val="0"/>
          <w:sz w:val="28"/>
          <w:szCs w:val="20"/>
        </w:rPr>
        <w:t>5</w:t>
      </w:r>
      <w:r w:rsidRPr="003111E1">
        <w:rPr>
          <w:rFonts w:ascii="Times New Roman" w:eastAsia="標楷體" w:hAnsi="Times New Roman"/>
          <w:color w:val="000000"/>
          <w:kern w:val="0"/>
          <w:sz w:val="28"/>
          <w:szCs w:val="20"/>
        </w:rPr>
        <w:t>月份海外投資收入較</w:t>
      </w:r>
      <w:r w:rsidR="008833E1">
        <w:rPr>
          <w:rFonts w:ascii="Times New Roman" w:eastAsia="標楷體" w:hAnsi="Times New Roman" w:hint="eastAsia"/>
          <w:color w:val="000000"/>
          <w:kern w:val="0"/>
          <w:sz w:val="28"/>
          <w:szCs w:val="20"/>
        </w:rPr>
        <w:t>上</w:t>
      </w:r>
      <w:r w:rsidRPr="003111E1">
        <w:rPr>
          <w:rFonts w:ascii="Times New Roman" w:eastAsia="標楷體" w:hAnsi="Times New Roman"/>
          <w:color w:val="000000"/>
          <w:kern w:val="0"/>
          <w:sz w:val="28"/>
          <w:szCs w:val="20"/>
        </w:rPr>
        <w:t>年同期成長</w:t>
      </w:r>
      <w:r w:rsidRPr="003111E1">
        <w:rPr>
          <w:rFonts w:ascii="Times New Roman" w:eastAsia="標楷體" w:hAnsi="Times New Roman"/>
          <w:color w:val="000000"/>
          <w:kern w:val="0"/>
          <w:sz w:val="28"/>
          <w:szCs w:val="20"/>
        </w:rPr>
        <w:t>8.6</w:t>
      </w:r>
      <w:r w:rsidRPr="003111E1">
        <w:rPr>
          <w:rFonts w:ascii="Times New Roman" w:eastAsia="標楷體" w:hAnsi="Times New Roman"/>
          <w:color w:val="000000"/>
          <w:kern w:val="0"/>
          <w:sz w:val="28"/>
          <w:szCs w:val="20"/>
        </w:rPr>
        <w:t>％。</w:t>
      </w:r>
      <w:proofErr w:type="gramStart"/>
      <w:r w:rsidRPr="003111E1">
        <w:rPr>
          <w:rFonts w:ascii="Times New Roman" w:eastAsia="標楷體" w:hAnsi="Times New Roman"/>
          <w:color w:val="000000"/>
          <w:kern w:val="0"/>
          <w:sz w:val="28"/>
          <w:szCs w:val="20"/>
        </w:rPr>
        <w:t>此外，</w:t>
      </w:r>
      <w:proofErr w:type="gramEnd"/>
      <w:r w:rsidRPr="003111E1">
        <w:rPr>
          <w:rFonts w:ascii="Times New Roman" w:eastAsia="標楷體" w:hAnsi="Times New Roman"/>
          <w:color w:val="000000"/>
          <w:kern w:val="0"/>
          <w:sz w:val="28"/>
          <w:szCs w:val="20"/>
        </w:rPr>
        <w:t>因看好日本經濟復甦，亞洲開發銀行在最新發布的《亞洲發展展望補充報告》也將日本今年經濟成長率預測值由</w:t>
      </w:r>
      <w:r w:rsidRPr="003111E1">
        <w:rPr>
          <w:rFonts w:ascii="Times New Roman" w:eastAsia="標楷體" w:hAnsi="Times New Roman"/>
          <w:color w:val="000000"/>
          <w:kern w:val="0"/>
          <w:sz w:val="28"/>
          <w:szCs w:val="20"/>
        </w:rPr>
        <w:t>4</w:t>
      </w:r>
      <w:r w:rsidRPr="003111E1">
        <w:rPr>
          <w:rFonts w:ascii="Times New Roman" w:eastAsia="標楷體" w:hAnsi="Times New Roman"/>
          <w:color w:val="000000"/>
          <w:kern w:val="0"/>
          <w:sz w:val="28"/>
          <w:szCs w:val="20"/>
        </w:rPr>
        <w:t>月的</w:t>
      </w:r>
      <w:r w:rsidRPr="003111E1">
        <w:rPr>
          <w:rFonts w:ascii="Times New Roman" w:eastAsia="標楷體" w:hAnsi="Times New Roman"/>
          <w:color w:val="000000"/>
          <w:kern w:val="0"/>
          <w:sz w:val="28"/>
          <w:szCs w:val="20"/>
        </w:rPr>
        <w:t>1.2</w:t>
      </w:r>
      <w:r w:rsidRPr="003111E1">
        <w:rPr>
          <w:rFonts w:ascii="Times New Roman" w:eastAsia="標楷體" w:hAnsi="Times New Roman"/>
          <w:color w:val="000000"/>
          <w:kern w:val="0"/>
          <w:sz w:val="28"/>
          <w:szCs w:val="20"/>
        </w:rPr>
        <w:t>％調升至</w:t>
      </w:r>
      <w:r w:rsidRPr="003111E1">
        <w:rPr>
          <w:rFonts w:ascii="Times New Roman" w:eastAsia="標楷體" w:hAnsi="Times New Roman"/>
          <w:color w:val="000000"/>
          <w:kern w:val="0"/>
          <w:sz w:val="28"/>
          <w:szCs w:val="20"/>
        </w:rPr>
        <w:t>1.8</w:t>
      </w:r>
      <w:r w:rsidRPr="003111E1">
        <w:rPr>
          <w:rFonts w:ascii="Times New Roman" w:eastAsia="標楷體" w:hAnsi="Times New Roman"/>
          <w:color w:val="000000"/>
          <w:kern w:val="0"/>
          <w:sz w:val="28"/>
          <w:szCs w:val="20"/>
        </w:rPr>
        <w:t>％。</w:t>
      </w:r>
    </w:p>
    <w:p w:rsidR="00A92D89" w:rsidRPr="003111E1" w:rsidRDefault="003111E1" w:rsidP="00E85732">
      <w:pPr>
        <w:pStyle w:val="affffc"/>
        <w:numPr>
          <w:ilvl w:val="0"/>
          <w:numId w:val="38"/>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3111E1">
        <w:rPr>
          <w:rFonts w:ascii="Times New Roman" w:eastAsia="標楷體" w:hAnsi="Times New Roman"/>
          <w:kern w:val="0"/>
          <w:sz w:val="28"/>
          <w:szCs w:val="20"/>
        </w:rPr>
        <w:t>根據日本財務省最新發布進出口貿易統計，</w:t>
      </w:r>
      <w:r w:rsidRPr="003111E1">
        <w:rPr>
          <w:rFonts w:ascii="Times New Roman" w:eastAsia="標楷體" w:hAnsi="Times New Roman"/>
          <w:kern w:val="0"/>
          <w:sz w:val="28"/>
          <w:szCs w:val="20"/>
        </w:rPr>
        <w:t>6</w:t>
      </w:r>
      <w:r w:rsidRPr="003111E1">
        <w:rPr>
          <w:rFonts w:ascii="Times New Roman" w:eastAsia="標楷體" w:hAnsi="Times New Roman"/>
          <w:kern w:val="0"/>
          <w:sz w:val="28"/>
          <w:szCs w:val="20"/>
        </w:rPr>
        <w:t>月份</w:t>
      </w:r>
      <w:r w:rsidRPr="003111E1">
        <w:rPr>
          <w:rFonts w:ascii="Times New Roman" w:eastAsia="標楷體" w:hAnsi="Times New Roman"/>
          <w:sz w:val="28"/>
          <w:szCs w:val="28"/>
        </w:rPr>
        <w:t>出口較上年同</w:t>
      </w:r>
      <w:r w:rsidR="009E0B50">
        <w:rPr>
          <w:rFonts w:ascii="Times New Roman" w:eastAsia="標楷體" w:hAnsi="Times New Roman" w:hint="eastAsia"/>
          <w:sz w:val="28"/>
          <w:szCs w:val="28"/>
        </w:rPr>
        <w:t>月</w:t>
      </w:r>
      <w:r w:rsidR="00D67FE6">
        <w:rPr>
          <w:rFonts w:ascii="Times New Roman" w:eastAsia="標楷體" w:hAnsi="Times New Roman" w:hint="eastAsia"/>
          <w:sz w:val="28"/>
          <w:szCs w:val="28"/>
        </w:rPr>
        <w:t>增加</w:t>
      </w:r>
      <w:r w:rsidRPr="003111E1">
        <w:rPr>
          <w:rFonts w:ascii="Times New Roman" w:eastAsia="標楷體" w:hAnsi="Times New Roman"/>
          <w:sz w:val="28"/>
          <w:szCs w:val="28"/>
        </w:rPr>
        <w:t>7.4</w:t>
      </w:r>
      <w:r w:rsidRPr="003111E1">
        <w:rPr>
          <w:rFonts w:ascii="Times New Roman" w:eastAsia="標楷體" w:hAnsi="Times New Roman"/>
          <w:sz w:val="28"/>
          <w:szCs w:val="28"/>
        </w:rPr>
        <w:t>％，為連續</w:t>
      </w:r>
      <w:r w:rsidRPr="003111E1">
        <w:rPr>
          <w:rFonts w:ascii="Times New Roman" w:eastAsia="標楷體" w:hAnsi="Times New Roman"/>
          <w:sz w:val="28"/>
          <w:szCs w:val="28"/>
        </w:rPr>
        <w:t>4</w:t>
      </w:r>
      <w:r w:rsidRPr="003111E1">
        <w:rPr>
          <w:rFonts w:ascii="Times New Roman" w:eastAsia="標楷體" w:hAnsi="Times New Roman"/>
          <w:sz w:val="28"/>
          <w:szCs w:val="28"/>
        </w:rPr>
        <w:t>個月成長；進口則</w:t>
      </w:r>
      <w:r w:rsidR="00D67FE6">
        <w:rPr>
          <w:rFonts w:ascii="Times New Roman" w:eastAsia="標楷體" w:hAnsi="Times New Roman" w:hint="eastAsia"/>
          <w:sz w:val="28"/>
          <w:szCs w:val="28"/>
        </w:rPr>
        <w:t>增加</w:t>
      </w:r>
      <w:r w:rsidRPr="003111E1">
        <w:rPr>
          <w:rFonts w:ascii="Times New Roman" w:eastAsia="標楷體" w:hAnsi="Times New Roman"/>
          <w:sz w:val="28"/>
          <w:szCs w:val="28"/>
        </w:rPr>
        <w:t>11.8</w:t>
      </w:r>
      <w:r w:rsidRPr="003111E1">
        <w:rPr>
          <w:rFonts w:ascii="Times New Roman" w:eastAsia="標楷體" w:hAnsi="Times New Roman"/>
          <w:sz w:val="28"/>
          <w:szCs w:val="28"/>
        </w:rPr>
        <w:t>％，貿易</w:t>
      </w:r>
      <w:r w:rsidR="007F4E4C">
        <w:rPr>
          <w:rFonts w:ascii="Times New Roman" w:eastAsia="標楷體" w:hAnsi="Times New Roman" w:hint="eastAsia"/>
          <w:sz w:val="28"/>
          <w:szCs w:val="28"/>
        </w:rPr>
        <w:t>入超</w:t>
      </w:r>
      <w:r w:rsidRPr="003111E1">
        <w:rPr>
          <w:rFonts w:ascii="Times New Roman" w:eastAsia="標楷體" w:hAnsi="Times New Roman"/>
          <w:sz w:val="28"/>
          <w:szCs w:val="28"/>
        </w:rPr>
        <w:t>約為</w:t>
      </w:r>
      <w:r w:rsidRPr="003111E1">
        <w:rPr>
          <w:rFonts w:ascii="Times New Roman" w:eastAsia="標楷體" w:hAnsi="Times New Roman"/>
          <w:sz w:val="28"/>
          <w:szCs w:val="28"/>
        </w:rPr>
        <w:t>1,807.8</w:t>
      </w:r>
      <w:r w:rsidRPr="003111E1">
        <w:rPr>
          <w:rFonts w:ascii="Times New Roman" w:eastAsia="標楷體" w:hAnsi="Times New Roman"/>
          <w:sz w:val="28"/>
          <w:szCs w:val="28"/>
        </w:rPr>
        <w:t>億日圓，為連續</w:t>
      </w:r>
      <w:r w:rsidRPr="003111E1">
        <w:rPr>
          <w:rFonts w:ascii="Times New Roman" w:eastAsia="標楷體" w:hAnsi="Times New Roman"/>
          <w:sz w:val="28"/>
          <w:szCs w:val="28"/>
        </w:rPr>
        <w:t>12</w:t>
      </w:r>
      <w:r w:rsidRPr="003111E1">
        <w:rPr>
          <w:rFonts w:ascii="Times New Roman" w:eastAsia="標楷體" w:hAnsi="Times New Roman"/>
          <w:sz w:val="28"/>
          <w:szCs w:val="28"/>
        </w:rPr>
        <w:t>個月呈現</w:t>
      </w:r>
      <w:r w:rsidR="007F4E4C">
        <w:rPr>
          <w:rFonts w:ascii="Times New Roman" w:eastAsia="標楷體" w:hAnsi="Times New Roman" w:hint="eastAsia"/>
          <w:sz w:val="28"/>
          <w:szCs w:val="28"/>
        </w:rPr>
        <w:t>入超</w:t>
      </w:r>
      <w:r w:rsidRPr="003111E1">
        <w:rPr>
          <w:rFonts w:ascii="Times New Roman" w:eastAsia="標楷體" w:hAnsi="Times New Roman"/>
          <w:sz w:val="28"/>
          <w:szCs w:val="28"/>
        </w:rPr>
        <w:t>，創</w:t>
      </w:r>
      <w:r w:rsidRPr="003111E1">
        <w:rPr>
          <w:rFonts w:ascii="Times New Roman" w:eastAsia="標楷體" w:hAnsi="Times New Roman"/>
          <w:sz w:val="28"/>
          <w:szCs w:val="28"/>
        </w:rPr>
        <w:t>30</w:t>
      </w:r>
      <w:r w:rsidRPr="003111E1">
        <w:rPr>
          <w:rFonts w:ascii="Times New Roman" w:eastAsia="標楷體" w:hAnsi="Times New Roman"/>
          <w:sz w:val="28"/>
          <w:szCs w:val="28"/>
        </w:rPr>
        <w:t>年來最長</w:t>
      </w:r>
      <w:r w:rsidR="007F4E4C">
        <w:rPr>
          <w:rFonts w:ascii="Times New Roman" w:eastAsia="標楷體" w:hAnsi="Times New Roman" w:hint="eastAsia"/>
          <w:sz w:val="28"/>
          <w:szCs w:val="28"/>
        </w:rPr>
        <w:t>入超</w:t>
      </w:r>
      <w:r w:rsidRPr="003111E1">
        <w:rPr>
          <w:rFonts w:ascii="Times New Roman" w:eastAsia="標楷體" w:hAnsi="Times New Roman"/>
          <w:sz w:val="28"/>
          <w:szCs w:val="28"/>
        </w:rPr>
        <w:t>紀錄。據財務省表示，出口</w:t>
      </w:r>
      <w:r w:rsidR="007F4E4C">
        <w:rPr>
          <w:rFonts w:ascii="Times New Roman" w:eastAsia="標楷體" w:hAnsi="Times New Roman" w:hint="eastAsia"/>
          <w:sz w:val="28"/>
          <w:szCs w:val="28"/>
        </w:rPr>
        <w:t>增加</w:t>
      </w:r>
      <w:r w:rsidRPr="003111E1">
        <w:rPr>
          <w:rFonts w:ascii="Times New Roman" w:eastAsia="標楷體" w:hAnsi="Times New Roman"/>
          <w:sz w:val="28"/>
          <w:szCs w:val="28"/>
        </w:rPr>
        <w:t>係因對主要貿易夥伴出口擴增，對美國出口年增</w:t>
      </w:r>
      <w:r w:rsidRPr="003111E1">
        <w:rPr>
          <w:rFonts w:ascii="Times New Roman" w:eastAsia="標楷體" w:hAnsi="Times New Roman"/>
          <w:sz w:val="28"/>
          <w:szCs w:val="28"/>
        </w:rPr>
        <w:t>14.6</w:t>
      </w:r>
      <w:r w:rsidRPr="003111E1">
        <w:rPr>
          <w:rFonts w:ascii="Times New Roman" w:eastAsia="標楷體" w:hAnsi="Times New Roman"/>
          <w:sz w:val="28"/>
          <w:szCs w:val="28"/>
        </w:rPr>
        <w:t>％，連續</w:t>
      </w:r>
      <w:r w:rsidRPr="003111E1">
        <w:rPr>
          <w:rFonts w:ascii="Times New Roman" w:eastAsia="標楷體" w:hAnsi="Times New Roman"/>
          <w:sz w:val="28"/>
          <w:szCs w:val="28"/>
        </w:rPr>
        <w:t>6</w:t>
      </w:r>
      <w:r w:rsidRPr="003111E1">
        <w:rPr>
          <w:rFonts w:ascii="Times New Roman" w:eastAsia="標楷體" w:hAnsi="Times New Roman"/>
          <w:sz w:val="28"/>
          <w:szCs w:val="28"/>
        </w:rPr>
        <w:t>個月成長，其中汽車出口</w:t>
      </w:r>
      <w:r w:rsidR="00D67FE6">
        <w:rPr>
          <w:rFonts w:ascii="Times New Roman" w:eastAsia="標楷體" w:hAnsi="Times New Roman" w:hint="eastAsia"/>
          <w:sz w:val="28"/>
          <w:szCs w:val="28"/>
        </w:rPr>
        <w:t>增加</w:t>
      </w:r>
      <w:r w:rsidRPr="003111E1">
        <w:rPr>
          <w:rFonts w:ascii="Times New Roman" w:eastAsia="標楷體" w:hAnsi="Times New Roman"/>
          <w:sz w:val="28"/>
          <w:szCs w:val="28"/>
        </w:rPr>
        <w:t>29</w:t>
      </w:r>
      <w:r w:rsidRPr="003111E1">
        <w:rPr>
          <w:rFonts w:ascii="Times New Roman" w:eastAsia="標楷體" w:hAnsi="Times New Roman"/>
          <w:sz w:val="28"/>
          <w:szCs w:val="28"/>
        </w:rPr>
        <w:t>％；對歐盟</w:t>
      </w:r>
      <w:r w:rsidR="007F4E4C">
        <w:rPr>
          <w:rFonts w:ascii="Times New Roman" w:eastAsia="標楷體" w:hAnsi="Times New Roman" w:hint="eastAsia"/>
          <w:sz w:val="28"/>
          <w:szCs w:val="28"/>
        </w:rPr>
        <w:t>增加</w:t>
      </w:r>
      <w:r w:rsidRPr="003111E1">
        <w:rPr>
          <w:rFonts w:ascii="Times New Roman" w:eastAsia="標楷體" w:hAnsi="Times New Roman"/>
          <w:sz w:val="28"/>
          <w:szCs w:val="28"/>
        </w:rPr>
        <w:t>8.6</w:t>
      </w:r>
      <w:r w:rsidR="00CE7968">
        <w:rPr>
          <w:rFonts w:ascii="Times New Roman" w:eastAsia="標楷體" w:hAnsi="Times New Roman" w:hint="eastAsia"/>
          <w:sz w:val="28"/>
          <w:szCs w:val="28"/>
        </w:rPr>
        <w:t>％</w:t>
      </w:r>
      <w:r w:rsidRPr="003111E1">
        <w:rPr>
          <w:rFonts w:ascii="Times New Roman" w:eastAsia="標楷體" w:hAnsi="Times New Roman"/>
          <w:sz w:val="28"/>
          <w:szCs w:val="28"/>
        </w:rPr>
        <w:t>，其中船舶類更大幅成長</w:t>
      </w:r>
      <w:r w:rsidRPr="003111E1">
        <w:rPr>
          <w:rFonts w:ascii="Times New Roman" w:eastAsia="標楷體" w:hAnsi="Times New Roman"/>
          <w:sz w:val="28"/>
          <w:szCs w:val="28"/>
        </w:rPr>
        <w:t>1.14</w:t>
      </w:r>
      <w:r w:rsidRPr="003111E1">
        <w:rPr>
          <w:rFonts w:ascii="Times New Roman" w:eastAsia="標楷體" w:hAnsi="Times New Roman"/>
          <w:sz w:val="28"/>
          <w:szCs w:val="28"/>
        </w:rPr>
        <w:t>倍；對中國大陸則增加</w:t>
      </w:r>
      <w:r w:rsidRPr="003111E1">
        <w:rPr>
          <w:rFonts w:ascii="Times New Roman" w:eastAsia="標楷體" w:hAnsi="Times New Roman"/>
          <w:sz w:val="28"/>
          <w:szCs w:val="28"/>
        </w:rPr>
        <w:t>4.8</w:t>
      </w:r>
      <w:r w:rsidRPr="003111E1">
        <w:rPr>
          <w:rFonts w:ascii="Times New Roman" w:eastAsia="標楷體" w:hAnsi="Times New Roman"/>
          <w:sz w:val="28"/>
          <w:szCs w:val="28"/>
        </w:rPr>
        <w:t>％；進口則因液化天然氣、原油及半導體等電子產品擴增所致。</w:t>
      </w:r>
      <w:r w:rsidRPr="003111E1">
        <w:rPr>
          <w:rFonts w:ascii="Times New Roman" w:eastAsia="標楷體" w:hAnsi="Times New Roman"/>
          <w:sz w:val="28"/>
          <w:szCs w:val="28"/>
        </w:rPr>
        <w:t>2013</w:t>
      </w:r>
      <w:r w:rsidRPr="003111E1">
        <w:rPr>
          <w:rFonts w:ascii="Times New Roman" w:eastAsia="標楷體" w:hAnsi="Times New Roman"/>
          <w:sz w:val="28"/>
          <w:szCs w:val="28"/>
        </w:rPr>
        <w:t>年</w:t>
      </w:r>
      <w:r w:rsidRPr="003111E1">
        <w:rPr>
          <w:rFonts w:ascii="Times New Roman" w:eastAsia="標楷體" w:hAnsi="Times New Roman"/>
          <w:sz w:val="28"/>
          <w:szCs w:val="28"/>
        </w:rPr>
        <w:t>5</w:t>
      </w:r>
      <w:r w:rsidRPr="003111E1">
        <w:rPr>
          <w:rFonts w:ascii="Times New Roman" w:eastAsia="標楷體" w:hAnsi="Times New Roman"/>
          <w:sz w:val="28"/>
          <w:szCs w:val="28"/>
        </w:rPr>
        <w:t>月工業生產較上年同月衰退</w:t>
      </w:r>
      <w:r w:rsidRPr="003111E1">
        <w:rPr>
          <w:rFonts w:ascii="Times New Roman" w:eastAsia="標楷體" w:hAnsi="Times New Roman"/>
          <w:sz w:val="28"/>
          <w:szCs w:val="28"/>
        </w:rPr>
        <w:t>1.1</w:t>
      </w:r>
      <w:r w:rsidRPr="003111E1">
        <w:rPr>
          <w:rFonts w:ascii="Times New Roman" w:eastAsia="標楷體" w:hAnsi="Times New Roman"/>
          <w:sz w:val="28"/>
          <w:szCs w:val="28"/>
        </w:rPr>
        <w:t>％，消費者物價指數下跌</w:t>
      </w:r>
      <w:r w:rsidRPr="003111E1">
        <w:rPr>
          <w:rFonts w:ascii="Times New Roman" w:eastAsia="標楷體" w:hAnsi="Times New Roman"/>
          <w:sz w:val="28"/>
          <w:szCs w:val="28"/>
        </w:rPr>
        <w:t>0.3</w:t>
      </w:r>
      <w:r w:rsidRPr="003111E1">
        <w:rPr>
          <w:rFonts w:ascii="Times New Roman" w:eastAsia="標楷體" w:hAnsi="Times New Roman"/>
          <w:sz w:val="28"/>
          <w:szCs w:val="28"/>
        </w:rPr>
        <w:t>％，雖仍維持負成長，惟衰退程度已趨緩；失業率則仍維持</w:t>
      </w:r>
      <w:r w:rsidRPr="003111E1">
        <w:rPr>
          <w:rFonts w:ascii="Times New Roman" w:eastAsia="標楷體" w:hAnsi="Times New Roman"/>
          <w:sz w:val="28"/>
          <w:szCs w:val="28"/>
        </w:rPr>
        <w:t>4.1</w:t>
      </w:r>
      <w:r w:rsidRPr="003111E1">
        <w:rPr>
          <w:rFonts w:ascii="Times New Roman" w:eastAsia="標楷體" w:hAnsi="Times New Roman"/>
          <w:sz w:val="28"/>
          <w:szCs w:val="28"/>
        </w:rPr>
        <w:t>％</w:t>
      </w:r>
      <w:r w:rsidRPr="003111E1">
        <w:rPr>
          <w:rFonts w:ascii="Times New Roman" w:eastAsia="標楷體" w:hAnsi="Times New Roman"/>
          <w:kern w:val="0"/>
          <w:sz w:val="28"/>
          <w:szCs w:val="20"/>
        </w:rPr>
        <w:t>。</w:t>
      </w:r>
    </w:p>
    <w:p w:rsidR="00E85732" w:rsidRPr="003111E1" w:rsidRDefault="003111E1" w:rsidP="00E85732">
      <w:pPr>
        <w:pStyle w:val="affffc"/>
        <w:numPr>
          <w:ilvl w:val="0"/>
          <w:numId w:val="38"/>
        </w:numPr>
        <w:snapToGrid w:val="0"/>
        <w:spacing w:before="180" w:line="300" w:lineRule="auto"/>
        <w:ind w:leftChars="0" w:left="709" w:right="-227" w:firstLineChars="0" w:hanging="567"/>
        <w:rPr>
          <w:rFonts w:ascii="Times New Roman" w:eastAsia="標楷體" w:hAnsi="Times New Roman"/>
          <w:color w:val="FF0000"/>
          <w:kern w:val="0"/>
          <w:sz w:val="28"/>
          <w:szCs w:val="20"/>
        </w:rPr>
      </w:pPr>
      <w:r w:rsidRPr="003111E1">
        <w:rPr>
          <w:rFonts w:ascii="Times New Roman" w:eastAsia="標楷體" w:hAnsi="Times New Roman"/>
          <w:color w:val="000000"/>
          <w:kern w:val="0"/>
          <w:sz w:val="28"/>
          <w:szCs w:val="20"/>
        </w:rPr>
        <w:t>根據</w:t>
      </w:r>
      <w:r w:rsidRPr="003111E1">
        <w:rPr>
          <w:rFonts w:ascii="Times New Roman" w:eastAsia="標楷體" w:hAnsi="Times New Roman"/>
          <w:kern w:val="0"/>
          <w:sz w:val="28"/>
          <w:szCs w:val="20"/>
        </w:rPr>
        <w:t>日本銀行</w:t>
      </w:r>
      <w:r w:rsidR="008833E1">
        <w:rPr>
          <w:rFonts w:ascii="Times New Roman" w:eastAsia="標楷體" w:hAnsi="Times New Roman" w:hint="eastAsia"/>
          <w:kern w:val="0"/>
          <w:sz w:val="28"/>
          <w:szCs w:val="20"/>
        </w:rPr>
        <w:t>（</w:t>
      </w:r>
      <w:r w:rsidRPr="003111E1">
        <w:rPr>
          <w:rFonts w:ascii="Times New Roman" w:eastAsia="標楷體" w:hAnsi="Times New Roman"/>
          <w:kern w:val="0"/>
          <w:sz w:val="28"/>
          <w:szCs w:val="20"/>
        </w:rPr>
        <w:t>日本中央銀行，以下稱日銀</w:t>
      </w:r>
      <w:r w:rsidR="008833E1">
        <w:rPr>
          <w:rFonts w:ascii="Times New Roman" w:eastAsia="標楷體" w:hAnsi="Times New Roman" w:hint="eastAsia"/>
          <w:kern w:val="0"/>
          <w:sz w:val="28"/>
          <w:szCs w:val="20"/>
        </w:rPr>
        <w:t>）</w:t>
      </w:r>
      <w:r w:rsidRPr="003111E1">
        <w:rPr>
          <w:rFonts w:ascii="Times New Roman" w:eastAsia="標楷體" w:hAnsi="Times New Roman"/>
          <w:kern w:val="0"/>
          <w:sz w:val="28"/>
          <w:szCs w:val="20"/>
        </w:rPr>
        <w:t>7</w:t>
      </w:r>
      <w:r w:rsidRPr="003111E1">
        <w:rPr>
          <w:rFonts w:ascii="Times New Roman" w:eastAsia="標楷體" w:hAnsi="Times New Roman"/>
          <w:kern w:val="0"/>
          <w:sz w:val="28"/>
          <w:szCs w:val="20"/>
        </w:rPr>
        <w:t>月</w:t>
      </w:r>
      <w:r w:rsidRPr="003111E1">
        <w:rPr>
          <w:rFonts w:ascii="Times New Roman" w:eastAsia="標楷體" w:hAnsi="Times New Roman"/>
          <w:kern w:val="0"/>
          <w:sz w:val="28"/>
          <w:szCs w:val="20"/>
        </w:rPr>
        <w:t>11</w:t>
      </w:r>
      <w:r w:rsidRPr="003111E1">
        <w:rPr>
          <w:rFonts w:ascii="Times New Roman" w:eastAsia="標楷體" w:hAnsi="Times New Roman"/>
          <w:kern w:val="0"/>
          <w:sz w:val="28"/>
          <w:szCs w:val="20"/>
        </w:rPr>
        <w:t>日決策會議，基於日圓貶值拉抬出口，加上消費支出增溫及通縮壓力減緩，日</w:t>
      </w:r>
      <w:r w:rsidRPr="003111E1">
        <w:rPr>
          <w:rFonts w:ascii="Times New Roman" w:eastAsia="標楷體" w:hAnsi="Times New Roman"/>
          <w:kern w:val="0"/>
          <w:sz w:val="28"/>
          <w:szCs w:val="20"/>
        </w:rPr>
        <w:lastRenderedPageBreak/>
        <w:t>銀首度在每月的經濟評估中，肯定日本「開始溫和復甦」，此係</w:t>
      </w:r>
      <w:r w:rsidRPr="003111E1">
        <w:rPr>
          <w:rFonts w:ascii="Times New Roman" w:eastAsia="標楷體" w:hAnsi="Times New Roman"/>
          <w:kern w:val="0"/>
          <w:sz w:val="28"/>
          <w:szCs w:val="20"/>
        </w:rPr>
        <w:t>2</w:t>
      </w:r>
      <w:r w:rsidRPr="003111E1">
        <w:rPr>
          <w:rFonts w:ascii="Times New Roman" w:eastAsia="標楷體" w:hAnsi="Times New Roman"/>
          <w:kern w:val="0"/>
          <w:sz w:val="28"/>
          <w:szCs w:val="20"/>
        </w:rPr>
        <w:t>年多來日銀對景氣最樂觀之用詞。</w:t>
      </w:r>
      <w:proofErr w:type="gramStart"/>
      <w:r w:rsidRPr="003111E1">
        <w:rPr>
          <w:rFonts w:ascii="Times New Roman" w:eastAsia="標楷體" w:hAnsi="Times New Roman"/>
          <w:kern w:val="0"/>
          <w:sz w:val="28"/>
          <w:szCs w:val="20"/>
        </w:rPr>
        <w:t>此外，</w:t>
      </w:r>
      <w:proofErr w:type="gramEnd"/>
      <w:r w:rsidRPr="003111E1">
        <w:rPr>
          <w:rFonts w:ascii="Times New Roman" w:eastAsia="標楷體" w:hAnsi="Times New Roman"/>
          <w:kern w:val="0"/>
          <w:sz w:val="28"/>
          <w:szCs w:val="20"/>
        </w:rPr>
        <w:t>日本內閣府闡述經濟與公共財政現況的</w:t>
      </w:r>
      <w:r w:rsidRPr="003111E1">
        <w:rPr>
          <w:rFonts w:ascii="Times New Roman" w:eastAsia="標楷體" w:hAnsi="Times New Roman"/>
          <w:color w:val="000000"/>
          <w:kern w:val="0"/>
          <w:sz w:val="28"/>
          <w:szCs w:val="20"/>
        </w:rPr>
        <w:t>《</w:t>
      </w:r>
      <w:r w:rsidRPr="003111E1">
        <w:rPr>
          <w:rFonts w:ascii="Times New Roman" w:eastAsia="標楷體" w:hAnsi="Times New Roman"/>
          <w:kern w:val="0"/>
          <w:sz w:val="28"/>
          <w:szCs w:val="20"/>
        </w:rPr>
        <w:t>2013</w:t>
      </w:r>
      <w:r w:rsidRPr="003111E1">
        <w:rPr>
          <w:rFonts w:ascii="Times New Roman" w:eastAsia="標楷體" w:hAnsi="Times New Roman"/>
          <w:kern w:val="0"/>
          <w:sz w:val="28"/>
          <w:szCs w:val="20"/>
        </w:rPr>
        <w:t>年白皮書</w:t>
      </w:r>
      <w:r w:rsidRPr="003111E1">
        <w:rPr>
          <w:rFonts w:ascii="Times New Roman" w:eastAsia="標楷體" w:hAnsi="Times New Roman"/>
          <w:color w:val="000000"/>
          <w:kern w:val="0"/>
          <w:sz w:val="28"/>
          <w:szCs w:val="20"/>
        </w:rPr>
        <w:t>》</w:t>
      </w:r>
      <w:r w:rsidRPr="003111E1">
        <w:rPr>
          <w:rFonts w:ascii="Times New Roman" w:eastAsia="標楷體" w:hAnsi="Times New Roman"/>
          <w:kern w:val="0"/>
          <w:sz w:val="28"/>
          <w:szCs w:val="20"/>
        </w:rPr>
        <w:t>也指出，在貨物以及服務支出持續上揚狀況下，日本長年通縮情勢將有扭轉跡象。另外，日本東京等大都會區今年前</w:t>
      </w:r>
      <w:r w:rsidRPr="003111E1">
        <w:rPr>
          <w:rFonts w:ascii="Times New Roman" w:eastAsia="標楷體" w:hAnsi="Times New Roman"/>
          <w:kern w:val="0"/>
          <w:sz w:val="28"/>
          <w:szCs w:val="20"/>
        </w:rPr>
        <w:t>5</w:t>
      </w:r>
      <w:r w:rsidRPr="003111E1">
        <w:rPr>
          <w:rFonts w:ascii="Times New Roman" w:eastAsia="標楷體" w:hAnsi="Times New Roman"/>
          <w:kern w:val="0"/>
          <w:sz w:val="28"/>
          <w:szCs w:val="20"/>
        </w:rPr>
        <w:t>個月辦公大樓、倉儲設施及零售店面等商業房地產成交金額亦較去年同期大幅成長</w:t>
      </w:r>
      <w:proofErr w:type="gramStart"/>
      <w:r w:rsidRPr="003111E1">
        <w:rPr>
          <w:rFonts w:ascii="Times New Roman" w:eastAsia="標楷體" w:hAnsi="Times New Roman"/>
          <w:kern w:val="0"/>
          <w:sz w:val="28"/>
          <w:szCs w:val="20"/>
        </w:rPr>
        <w:t>7</w:t>
      </w:r>
      <w:r w:rsidRPr="003111E1">
        <w:rPr>
          <w:rFonts w:ascii="Times New Roman" w:eastAsia="標楷體" w:hAnsi="Times New Roman"/>
          <w:kern w:val="0"/>
          <w:sz w:val="28"/>
          <w:szCs w:val="20"/>
        </w:rPr>
        <w:t>成</w:t>
      </w:r>
      <w:proofErr w:type="gramEnd"/>
      <w:r w:rsidRPr="003111E1">
        <w:rPr>
          <w:rFonts w:ascii="Times New Roman" w:eastAsia="標楷體" w:hAnsi="Times New Roman"/>
          <w:kern w:val="0"/>
          <w:sz w:val="28"/>
          <w:szCs w:val="20"/>
        </w:rPr>
        <w:t>，顯示在「安</w:t>
      </w:r>
      <w:proofErr w:type="gramStart"/>
      <w:r w:rsidRPr="003111E1">
        <w:rPr>
          <w:rFonts w:ascii="Times New Roman" w:eastAsia="標楷體" w:hAnsi="Times New Roman"/>
          <w:kern w:val="0"/>
          <w:sz w:val="28"/>
          <w:szCs w:val="20"/>
        </w:rPr>
        <w:t>倍</w:t>
      </w:r>
      <w:proofErr w:type="gramEnd"/>
      <w:r w:rsidRPr="003111E1">
        <w:rPr>
          <w:rFonts w:ascii="Times New Roman" w:eastAsia="標楷體" w:hAnsi="Times New Roman"/>
          <w:kern w:val="0"/>
          <w:sz w:val="28"/>
          <w:szCs w:val="20"/>
        </w:rPr>
        <w:t>經濟學」激勵下，投資信心恢復，帶動日本的商業及房地產市場逐漸邁向復甦。</w:t>
      </w:r>
    </w:p>
    <w:p w:rsidR="00A92D89" w:rsidRPr="003111E1" w:rsidRDefault="00A92D89" w:rsidP="008917A1">
      <w:pPr>
        <w:snapToGrid w:val="0"/>
        <w:spacing w:before="120" w:line="300" w:lineRule="auto"/>
        <w:ind w:right="-227"/>
        <w:jc w:val="center"/>
        <w:rPr>
          <w:rFonts w:eastAsia="標楷體"/>
          <w:sz w:val="28"/>
          <w:szCs w:val="32"/>
          <w:lang w:val="zh-TW"/>
        </w:rPr>
      </w:pPr>
      <w:r w:rsidRPr="003111E1">
        <w:rPr>
          <w:rFonts w:eastAsia="標楷體"/>
          <w:b/>
          <w:bCs/>
          <w:sz w:val="28"/>
          <w:szCs w:val="32"/>
          <w:lang w:val="zh-TW"/>
        </w:rPr>
        <w:t>表</w:t>
      </w:r>
      <w:r w:rsidRPr="003111E1">
        <w:rPr>
          <w:rFonts w:eastAsia="標楷體"/>
          <w:b/>
          <w:bCs/>
          <w:sz w:val="28"/>
          <w:szCs w:val="32"/>
          <w:lang w:val="zh-TW"/>
        </w:rPr>
        <w:t xml:space="preserve">1-3-1 </w:t>
      </w:r>
      <w:r w:rsidRPr="003111E1">
        <w:rPr>
          <w:rFonts w:eastAsia="標楷體"/>
          <w:b/>
          <w:bCs/>
          <w:sz w:val="28"/>
          <w:szCs w:val="32"/>
          <w:lang w:val="zh-TW"/>
        </w:rPr>
        <w:t>日本重要經濟指標</w:t>
      </w:r>
    </w:p>
    <w:p w:rsidR="00A92D89" w:rsidRPr="003111E1" w:rsidRDefault="00A92D89" w:rsidP="00A92D89">
      <w:pPr>
        <w:snapToGrid w:val="0"/>
        <w:ind w:rightChars="-300" w:right="-720"/>
        <w:jc w:val="right"/>
        <w:rPr>
          <w:rFonts w:eastAsia="標楷體"/>
          <w:lang w:val="zh-TW"/>
        </w:rPr>
      </w:pPr>
      <w:r w:rsidRPr="003111E1">
        <w:rPr>
          <w:rFonts w:eastAsia="標楷體"/>
          <w:lang w:val="zh-TW"/>
        </w:rPr>
        <w:t>單位：兆日圓；％</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3111E1" w:rsidRPr="003111E1" w:rsidTr="00FF4D71">
        <w:trPr>
          <w:cantSplit/>
        </w:trPr>
        <w:tc>
          <w:tcPr>
            <w:tcW w:w="1288" w:type="dxa"/>
            <w:vMerge w:val="restart"/>
            <w:tcBorders>
              <w:top w:val="single" w:sz="6" w:space="0" w:color="auto"/>
              <w:left w:val="nil"/>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lang w:val="zh-TW"/>
              </w:rPr>
              <w:t>年</w:t>
            </w:r>
            <w:r w:rsidRPr="003111E1">
              <w:rPr>
                <w:rFonts w:eastAsia="標楷體"/>
                <w:sz w:val="22"/>
                <w:szCs w:val="22"/>
                <w:lang w:val="zh-TW"/>
              </w:rPr>
              <w:t>(</w:t>
            </w:r>
            <w:r w:rsidRPr="003111E1">
              <w:rPr>
                <w:rFonts w:eastAsia="標楷體"/>
                <w:sz w:val="22"/>
                <w:szCs w:val="22"/>
                <w:lang w:val="zh-TW"/>
              </w:rPr>
              <w:t>月</w:t>
            </w:r>
            <w:r w:rsidRPr="003111E1">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lang w:val="zh-TW"/>
              </w:rPr>
            </w:pPr>
            <w:r w:rsidRPr="003111E1">
              <w:rPr>
                <w:rFonts w:eastAsia="標楷體"/>
                <w:sz w:val="22"/>
                <w:szCs w:val="22"/>
                <w:lang w:val="zh-TW"/>
              </w:rPr>
              <w:t>實質</w:t>
            </w:r>
          </w:p>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lang w:val="zh-TW"/>
              </w:rPr>
              <w:t>GD</w:t>
            </w:r>
            <w:r w:rsidRPr="003111E1">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lang w:val="zh-TW"/>
              </w:rPr>
            </w:pPr>
            <w:r w:rsidRPr="003111E1">
              <w:rPr>
                <w:rFonts w:eastAsia="標楷體"/>
                <w:sz w:val="22"/>
                <w:szCs w:val="22"/>
                <w:lang w:val="zh-TW"/>
              </w:rPr>
              <w:t>工業</w:t>
            </w:r>
          </w:p>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0"/>
              </w:rPr>
            </w:pPr>
            <w:r w:rsidRPr="003111E1">
              <w:rPr>
                <w:rFonts w:eastAsia="標楷體"/>
                <w:sz w:val="22"/>
                <w:szCs w:val="20"/>
              </w:rPr>
              <w:t>貿</w:t>
            </w:r>
            <w:r w:rsidRPr="003111E1">
              <w:rPr>
                <w:rFonts w:eastAsia="標楷體"/>
                <w:sz w:val="22"/>
                <w:szCs w:val="20"/>
              </w:rPr>
              <w:t xml:space="preserve">    </w:t>
            </w:r>
            <w:r w:rsidRPr="003111E1">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lang w:val="zh-TW"/>
              </w:rPr>
            </w:pPr>
            <w:r w:rsidRPr="003111E1">
              <w:rPr>
                <w:rFonts w:eastAsia="標楷體"/>
                <w:sz w:val="22"/>
                <w:szCs w:val="22"/>
                <w:lang w:val="zh-TW"/>
              </w:rPr>
              <w:t>消費者</w:t>
            </w:r>
          </w:p>
          <w:p w:rsidR="003111E1" w:rsidRPr="003111E1" w:rsidRDefault="003111E1" w:rsidP="00FF4D71">
            <w:pPr>
              <w:autoSpaceDE w:val="0"/>
              <w:autoSpaceDN w:val="0"/>
              <w:adjustRightInd w:val="0"/>
              <w:snapToGrid w:val="0"/>
              <w:spacing w:line="280" w:lineRule="exact"/>
              <w:jc w:val="center"/>
              <w:rPr>
                <w:rFonts w:eastAsia="標楷體"/>
                <w:sz w:val="22"/>
                <w:szCs w:val="22"/>
                <w:lang w:val="zh-TW"/>
              </w:rPr>
            </w:pPr>
            <w:r w:rsidRPr="003111E1">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lang w:val="zh-TW"/>
              </w:rPr>
            </w:pPr>
            <w:r w:rsidRPr="003111E1">
              <w:rPr>
                <w:rFonts w:eastAsia="標楷體"/>
                <w:sz w:val="22"/>
                <w:szCs w:val="22"/>
                <w:lang w:val="zh-TW"/>
              </w:rPr>
              <w:t>失業率</w:t>
            </w:r>
          </w:p>
        </w:tc>
      </w:tr>
      <w:tr w:rsidR="003111E1" w:rsidRPr="003111E1" w:rsidTr="00FF4D71">
        <w:trPr>
          <w:cantSplit/>
          <w:trHeight w:val="284"/>
        </w:trPr>
        <w:tc>
          <w:tcPr>
            <w:tcW w:w="1288" w:type="dxa"/>
            <w:vMerge/>
            <w:tcBorders>
              <w:left w:val="nil"/>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3111E1" w:rsidRPr="003111E1" w:rsidRDefault="003111E1" w:rsidP="00031AAB">
            <w:pPr>
              <w:autoSpaceDE w:val="0"/>
              <w:autoSpaceDN w:val="0"/>
              <w:adjustRightInd w:val="0"/>
              <w:snapToGrid w:val="0"/>
              <w:spacing w:line="280" w:lineRule="exact"/>
              <w:jc w:val="center"/>
              <w:rPr>
                <w:rFonts w:eastAsia="標楷體"/>
                <w:sz w:val="20"/>
                <w:szCs w:val="22"/>
                <w:shd w:val="clear" w:color="auto" w:fill="FFFF99"/>
              </w:rPr>
            </w:pPr>
            <w:r w:rsidRPr="003111E1">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r>
      <w:tr w:rsidR="003111E1" w:rsidRPr="003111E1" w:rsidTr="00FF4D71">
        <w:trPr>
          <w:cantSplit/>
          <w:trHeight w:val="368"/>
        </w:trPr>
        <w:tc>
          <w:tcPr>
            <w:tcW w:w="1288" w:type="dxa"/>
            <w:vMerge/>
            <w:tcBorders>
              <w:left w:val="nil"/>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3111E1" w:rsidRPr="003111E1" w:rsidRDefault="00D67FE6" w:rsidP="00FF4D71">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003111E1" w:rsidRPr="003111E1">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280" w:lineRule="exact"/>
              <w:jc w:val="center"/>
              <w:rPr>
                <w:rFonts w:eastAsia="標楷體"/>
                <w:sz w:val="22"/>
                <w:szCs w:val="22"/>
              </w:rPr>
            </w:pPr>
            <w:r w:rsidRPr="003111E1">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3111E1" w:rsidRPr="003111E1" w:rsidRDefault="00D67FE6" w:rsidP="00FF4D71">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003111E1" w:rsidRPr="003111E1">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both"/>
              <w:rPr>
                <w:rFonts w:eastAsia="標楷體"/>
                <w:sz w:val="22"/>
              </w:rPr>
            </w:pP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2009</w:t>
            </w:r>
            <w:r w:rsidRPr="003111E1">
              <w:rPr>
                <w:rFonts w:eastAsia="標楷體"/>
                <w:sz w:val="22"/>
              </w:rPr>
              <w:t>年</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-5.5</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-21.8</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54.2</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-33.1</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51.4</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-34.9</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2.8</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-1.4</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5.1</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2010</w:t>
            </w:r>
            <w:r w:rsidRPr="003111E1">
              <w:rPr>
                <w:rFonts w:eastAsia="標楷體"/>
                <w:sz w:val="22"/>
              </w:rPr>
              <w:t>年</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4.7</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16.4</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67.4</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24.4</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60.6</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17.7</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6.8</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-0.7</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5.1</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2011</w:t>
            </w:r>
            <w:r w:rsidRPr="003111E1">
              <w:rPr>
                <w:rFonts w:eastAsia="標楷體"/>
                <w:sz w:val="22"/>
              </w:rPr>
              <w:t>年</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-0.6</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-2.3</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65.7</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-2.5</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67.9</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12.0</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-2.2</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-0.3</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4.6</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2012</w:t>
            </w:r>
            <w:r w:rsidRPr="003111E1">
              <w:rPr>
                <w:rFonts w:eastAsia="標楷體"/>
                <w:sz w:val="22"/>
              </w:rPr>
              <w:t>年</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1.9</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-0.3</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63.8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-2.7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70.7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3.8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-6.9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0.0</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6</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-0.6(II)</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-1.5</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5.64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-2.3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5.59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-2.2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0.06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-0.2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7</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-0.8</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5.31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-8.1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5.84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2.3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-0.53 </w:t>
            </w:r>
          </w:p>
        </w:tc>
        <w:tc>
          <w:tcPr>
            <w:tcW w:w="854" w:type="dxa"/>
            <w:tcBorders>
              <w:left w:val="single" w:sz="6" w:space="0" w:color="auto"/>
              <w:right w:val="single" w:sz="6" w:space="0" w:color="auto"/>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-0.4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8</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-4.6</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5.04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-5.8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5.81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-5.2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-0.77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-0.4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4.2</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9</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-3.6(III)</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-8.1</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5.36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-10.3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5.93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4.2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-0.57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-0.3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10</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-4.5</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5.15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-6.5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5.70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-1.5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-0.56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-0.4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4.2</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11</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-5.5</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4.98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-4.1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5.94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0.9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-0.96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-0.2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4.2</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12</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0"/>
              </w:rPr>
            </w:pPr>
            <w:r w:rsidRPr="003111E1">
              <w:rPr>
                <w:rFonts w:eastAsia="標楷體"/>
                <w:sz w:val="22"/>
              </w:rPr>
              <w:t>1.2(IV)</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-7.9</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5.30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-5.8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5.94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1.9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-0.65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-0.1 </w:t>
            </w: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2013</w:t>
            </w:r>
            <w:r w:rsidRPr="003111E1">
              <w:rPr>
                <w:rFonts w:eastAsia="標楷體"/>
                <w:sz w:val="22"/>
              </w:rPr>
              <w:t>年</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3111E1" w:rsidRPr="003111E1" w:rsidRDefault="003111E1" w:rsidP="00FF4D71">
            <w:pPr>
              <w:autoSpaceDE w:val="0"/>
              <w:autoSpaceDN w:val="0"/>
              <w:adjustRightInd w:val="0"/>
              <w:snapToGrid w:val="0"/>
              <w:spacing w:line="380" w:lineRule="exact"/>
              <w:jc w:val="center"/>
              <w:rPr>
                <w:rFonts w:eastAsia="標楷體"/>
                <w:sz w:val="22"/>
                <w:szCs w:val="22"/>
              </w:rPr>
            </w:pP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1</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-5.8</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4.80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6.3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6.43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7.1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-1.63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-0.3</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4.2</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2</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-10.5</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5.28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-2.9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6.06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12.0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-0.78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-0.7</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4.3</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3</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4.1(I)</w:t>
            </w: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-6.7</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6.27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1.1 </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6.63 </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5.6 </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 xml:space="preserve">-0.36 </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-0.9</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4.1</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4</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-3.4</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5.78</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3.8</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6.66</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9.4</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-0.88</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-0.7</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4.1</w:t>
            </w:r>
          </w:p>
        </w:tc>
      </w:tr>
      <w:tr w:rsidR="003111E1" w:rsidRPr="003111E1" w:rsidTr="00FF4D71">
        <w:trPr>
          <w:cantSplit/>
        </w:trPr>
        <w:tc>
          <w:tcPr>
            <w:tcW w:w="1288" w:type="dxa"/>
            <w:tcBorders>
              <w:left w:val="nil"/>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5</w:t>
            </w:r>
            <w:r w:rsidRPr="003111E1">
              <w:rPr>
                <w:rFonts w:eastAsia="標楷體"/>
                <w:sz w:val="22"/>
              </w:rPr>
              <w:t>月</w:t>
            </w:r>
          </w:p>
        </w:tc>
        <w:tc>
          <w:tcPr>
            <w:tcW w:w="108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-1.1</w:t>
            </w:r>
          </w:p>
        </w:tc>
        <w:tc>
          <w:tcPr>
            <w:tcW w:w="84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5.77</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10.1</w:t>
            </w:r>
          </w:p>
        </w:tc>
        <w:tc>
          <w:tcPr>
            <w:tcW w:w="853"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6.76</w:t>
            </w:r>
          </w:p>
        </w:tc>
        <w:tc>
          <w:tcPr>
            <w:tcW w:w="78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10.1</w:t>
            </w:r>
          </w:p>
        </w:tc>
        <w:tc>
          <w:tcPr>
            <w:tcW w:w="910"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-0.99</w:t>
            </w:r>
          </w:p>
        </w:tc>
        <w:tc>
          <w:tcPr>
            <w:tcW w:w="854" w:type="dxa"/>
            <w:tcBorders>
              <w:left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-0.3</w:t>
            </w:r>
          </w:p>
        </w:tc>
        <w:tc>
          <w:tcPr>
            <w:tcW w:w="835" w:type="dxa"/>
            <w:tcBorders>
              <w:left w:val="single" w:sz="6" w:space="0" w:color="auto"/>
              <w:right w:val="nil"/>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4.1</w:t>
            </w:r>
          </w:p>
        </w:tc>
      </w:tr>
      <w:tr w:rsidR="003111E1" w:rsidRPr="003111E1" w:rsidTr="00FF4D71">
        <w:trPr>
          <w:cantSplit/>
        </w:trPr>
        <w:tc>
          <w:tcPr>
            <w:tcW w:w="1288" w:type="dxa"/>
            <w:tcBorders>
              <w:left w:val="nil"/>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r w:rsidRPr="003111E1">
              <w:rPr>
                <w:rFonts w:eastAsia="標楷體"/>
                <w:sz w:val="22"/>
              </w:rPr>
              <w:t>6</w:t>
            </w:r>
            <w:r w:rsidRPr="003111E1">
              <w:rPr>
                <w:rFonts w:eastAsia="標楷體"/>
                <w:sz w:val="22"/>
              </w:rPr>
              <w:t>月</w:t>
            </w:r>
          </w:p>
        </w:tc>
        <w:tc>
          <w:tcPr>
            <w:tcW w:w="1080"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3111E1" w:rsidRPr="003111E1" w:rsidRDefault="009E0B50" w:rsidP="00FF4D7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6.61</w:t>
            </w:r>
          </w:p>
        </w:tc>
        <w:tc>
          <w:tcPr>
            <w:tcW w:w="784"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7.4</w:t>
            </w:r>
          </w:p>
        </w:tc>
        <w:tc>
          <w:tcPr>
            <w:tcW w:w="853"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6.24</w:t>
            </w:r>
          </w:p>
        </w:tc>
        <w:tc>
          <w:tcPr>
            <w:tcW w:w="784"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11.8</w:t>
            </w:r>
          </w:p>
        </w:tc>
        <w:tc>
          <w:tcPr>
            <w:tcW w:w="910" w:type="dxa"/>
            <w:tcBorders>
              <w:left w:val="single" w:sz="6" w:space="0" w:color="auto"/>
              <w:bottom w:val="single" w:sz="6" w:space="0" w:color="auto"/>
              <w:right w:val="single" w:sz="6" w:space="0" w:color="auto"/>
            </w:tcBorders>
            <w:vAlign w:val="center"/>
          </w:tcPr>
          <w:p w:rsidR="003111E1" w:rsidRPr="003111E1" w:rsidRDefault="003111E1" w:rsidP="00FF4D71">
            <w:pPr>
              <w:autoSpaceDE w:val="0"/>
              <w:autoSpaceDN w:val="0"/>
              <w:adjustRightInd w:val="0"/>
              <w:snapToGrid w:val="0"/>
              <w:spacing w:line="380" w:lineRule="exact"/>
              <w:jc w:val="center"/>
              <w:rPr>
                <w:rFonts w:eastAsia="標楷體"/>
                <w:sz w:val="22"/>
                <w:szCs w:val="22"/>
              </w:rPr>
            </w:pPr>
            <w:r w:rsidRPr="003111E1">
              <w:rPr>
                <w:rFonts w:eastAsia="標楷體"/>
                <w:sz w:val="22"/>
                <w:szCs w:val="22"/>
              </w:rPr>
              <w:t>-0.18</w:t>
            </w:r>
          </w:p>
        </w:tc>
        <w:tc>
          <w:tcPr>
            <w:tcW w:w="854" w:type="dxa"/>
            <w:tcBorders>
              <w:left w:val="single" w:sz="6" w:space="0" w:color="auto"/>
              <w:bottom w:val="single" w:sz="6" w:space="0" w:color="auto"/>
              <w:right w:val="single" w:sz="6" w:space="0" w:color="auto"/>
            </w:tcBorders>
            <w:vAlign w:val="center"/>
          </w:tcPr>
          <w:p w:rsidR="003111E1" w:rsidRPr="003111E1" w:rsidRDefault="009E0B50" w:rsidP="00FF4D7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3111E1" w:rsidRPr="003111E1" w:rsidRDefault="009E0B50" w:rsidP="00FF4D7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3111E1" w:rsidRPr="003111E1" w:rsidRDefault="003111E1" w:rsidP="003111E1">
      <w:pPr>
        <w:widowControl/>
        <w:snapToGrid w:val="0"/>
        <w:spacing w:line="280" w:lineRule="exact"/>
        <w:ind w:left="447" w:rightChars="-295" w:right="-708" w:hangingChars="203" w:hanging="447"/>
        <w:rPr>
          <w:rFonts w:eastAsia="標楷體"/>
          <w:kern w:val="0"/>
          <w:sz w:val="22"/>
          <w:szCs w:val="22"/>
        </w:rPr>
      </w:pPr>
      <w:proofErr w:type="gramStart"/>
      <w:r w:rsidRPr="003111E1">
        <w:rPr>
          <w:rFonts w:eastAsia="標楷體"/>
          <w:kern w:val="0"/>
          <w:sz w:val="22"/>
          <w:szCs w:val="22"/>
        </w:rPr>
        <w:t>註</w:t>
      </w:r>
      <w:proofErr w:type="gramEnd"/>
      <w:r w:rsidRPr="003111E1">
        <w:rPr>
          <w:rFonts w:eastAsia="標楷體"/>
          <w:kern w:val="0"/>
          <w:sz w:val="22"/>
          <w:szCs w:val="22"/>
        </w:rPr>
        <w:t>：除實質</w:t>
      </w:r>
      <w:r w:rsidRPr="003111E1">
        <w:rPr>
          <w:rFonts w:eastAsia="標楷體"/>
          <w:kern w:val="0"/>
          <w:sz w:val="22"/>
          <w:szCs w:val="22"/>
        </w:rPr>
        <w:t>GDP</w:t>
      </w:r>
      <w:r w:rsidRPr="003111E1">
        <w:rPr>
          <w:rFonts w:eastAsia="標楷體"/>
          <w:kern w:val="0"/>
          <w:sz w:val="22"/>
          <w:szCs w:val="22"/>
        </w:rPr>
        <w:t>經濟成長率為較前期比換算為年率、失業率為與前月相比之季節</w:t>
      </w:r>
      <w:proofErr w:type="gramStart"/>
      <w:r w:rsidRPr="003111E1">
        <w:rPr>
          <w:rFonts w:eastAsia="標楷體"/>
          <w:kern w:val="0"/>
          <w:sz w:val="22"/>
          <w:szCs w:val="22"/>
        </w:rPr>
        <w:t>調整值外</w:t>
      </w:r>
      <w:proofErr w:type="gramEnd"/>
      <w:r w:rsidRPr="003111E1">
        <w:rPr>
          <w:rFonts w:eastAsia="標楷體"/>
          <w:kern w:val="0"/>
          <w:sz w:val="22"/>
          <w:szCs w:val="22"/>
        </w:rPr>
        <w:t>，其餘成長率皆為與上年同期相比資料。</w:t>
      </w:r>
    </w:p>
    <w:p w:rsidR="003111E1" w:rsidRPr="003111E1" w:rsidRDefault="003111E1" w:rsidP="003111E1">
      <w:pPr>
        <w:widowControl/>
        <w:snapToGrid w:val="0"/>
        <w:spacing w:line="280" w:lineRule="exact"/>
        <w:ind w:left="110" w:rightChars="-295" w:right="-708" w:hangingChars="50" w:hanging="110"/>
        <w:rPr>
          <w:rFonts w:eastAsia="標楷體"/>
          <w:kern w:val="0"/>
          <w:sz w:val="22"/>
          <w:szCs w:val="22"/>
        </w:rPr>
      </w:pPr>
      <w:r w:rsidRPr="003111E1">
        <w:rPr>
          <w:rFonts w:eastAsia="標楷體"/>
          <w:kern w:val="0"/>
          <w:sz w:val="22"/>
          <w:szCs w:val="22"/>
        </w:rPr>
        <w:t>資料來源：日本內閣府、經濟產業省、財務省、總務省。</w:t>
      </w:r>
    </w:p>
    <w:p w:rsidR="00E85732" w:rsidRPr="003111E1" w:rsidRDefault="00E85732" w:rsidP="00877AC4">
      <w:pPr>
        <w:widowControl/>
        <w:snapToGrid w:val="0"/>
        <w:spacing w:line="280" w:lineRule="exact"/>
        <w:rPr>
          <w:rFonts w:eastAsia="標楷體"/>
          <w:color w:val="FF0000"/>
          <w:kern w:val="0"/>
          <w:sz w:val="22"/>
          <w:szCs w:val="22"/>
        </w:rPr>
      </w:pPr>
    </w:p>
    <w:p w:rsidR="00E85732" w:rsidRPr="003111E1" w:rsidRDefault="00E85732" w:rsidP="00877AC4">
      <w:pPr>
        <w:widowControl/>
        <w:snapToGrid w:val="0"/>
        <w:spacing w:line="280" w:lineRule="exact"/>
        <w:rPr>
          <w:rFonts w:eastAsia="標楷體"/>
          <w:color w:val="FF0000"/>
          <w:kern w:val="0"/>
          <w:sz w:val="22"/>
          <w:szCs w:val="22"/>
        </w:rPr>
      </w:pPr>
    </w:p>
    <w:p w:rsidR="00F82458" w:rsidRPr="00715DBB" w:rsidRDefault="00E85732" w:rsidP="00A96865">
      <w:pPr>
        <w:pStyle w:val="k3a"/>
        <w:tabs>
          <w:tab w:val="left" w:pos="540"/>
        </w:tabs>
        <w:spacing w:beforeLines="150" w:before="540" w:line="300" w:lineRule="auto"/>
        <w:ind w:leftChars="0" w:left="0" w:firstLineChars="0" w:firstLine="0"/>
        <w:rPr>
          <w:b/>
          <w:bCs/>
          <w:szCs w:val="28"/>
        </w:rPr>
      </w:pPr>
      <w:r w:rsidRPr="00715DBB">
        <w:rPr>
          <w:b/>
          <w:bCs/>
          <w:szCs w:val="28"/>
        </w:rPr>
        <w:lastRenderedPageBreak/>
        <w:t>２、</w:t>
      </w:r>
      <w:r w:rsidR="00F82458" w:rsidRPr="00715DBB">
        <w:rPr>
          <w:b/>
          <w:bCs/>
          <w:szCs w:val="28"/>
        </w:rPr>
        <w:t>南韓</w:t>
      </w:r>
    </w:p>
    <w:p w:rsidR="00715DBB" w:rsidRPr="00715DBB" w:rsidRDefault="00715DBB" w:rsidP="00E85732">
      <w:pPr>
        <w:pStyle w:val="affffc"/>
        <w:numPr>
          <w:ilvl w:val="0"/>
          <w:numId w:val="40"/>
        </w:numPr>
        <w:snapToGrid w:val="0"/>
        <w:spacing w:before="180" w:line="300" w:lineRule="auto"/>
        <w:ind w:leftChars="0" w:left="709" w:right="-227" w:firstLineChars="0" w:hanging="567"/>
        <w:rPr>
          <w:rFonts w:ascii="Times New Roman" w:eastAsia="標楷體" w:hAnsi="Times New Roman"/>
          <w:sz w:val="28"/>
          <w:szCs w:val="28"/>
        </w:rPr>
      </w:pPr>
      <w:r w:rsidRPr="00715DBB">
        <w:rPr>
          <w:rFonts w:ascii="Times New Roman" w:eastAsia="標楷體" w:hAnsi="Times New Roman"/>
          <w:color w:val="000000" w:themeColor="text1"/>
          <w:sz w:val="28"/>
          <w:szCs w:val="28"/>
        </w:rPr>
        <w:t>韓國</w:t>
      </w:r>
      <w:r w:rsidRPr="00715DBB">
        <w:rPr>
          <w:rFonts w:ascii="Times New Roman" w:eastAsia="標楷體" w:hAnsi="Times New Roman"/>
          <w:color w:val="000000" w:themeColor="text1"/>
          <w:sz w:val="28"/>
          <w:szCs w:val="28"/>
        </w:rPr>
        <w:t>2013</w:t>
      </w:r>
      <w:r w:rsidRPr="00715DBB">
        <w:rPr>
          <w:rFonts w:ascii="Times New Roman" w:eastAsia="標楷體" w:hAnsi="Times New Roman"/>
          <w:color w:val="000000" w:themeColor="text1"/>
          <w:sz w:val="28"/>
          <w:szCs w:val="28"/>
        </w:rPr>
        <w:t>年</w:t>
      </w:r>
      <w:r w:rsidRPr="00715DBB">
        <w:rPr>
          <w:rFonts w:ascii="Times New Roman" w:eastAsia="標楷體" w:hAnsi="Times New Roman"/>
          <w:color w:val="000000" w:themeColor="text1"/>
          <w:sz w:val="28"/>
          <w:szCs w:val="28"/>
        </w:rPr>
        <w:t>6</w:t>
      </w:r>
      <w:r w:rsidRPr="00715DBB">
        <w:rPr>
          <w:rFonts w:ascii="Times New Roman" w:eastAsia="標楷體" w:hAnsi="Times New Roman"/>
          <w:color w:val="000000" w:themeColor="text1"/>
          <w:sz w:val="28"/>
          <w:szCs w:val="28"/>
        </w:rPr>
        <w:t>月出口為</w:t>
      </w:r>
      <w:r w:rsidRPr="00715DBB">
        <w:rPr>
          <w:rFonts w:ascii="Times New Roman" w:eastAsia="標楷體" w:hAnsi="Times New Roman"/>
          <w:color w:val="000000" w:themeColor="text1"/>
          <w:sz w:val="28"/>
          <w:szCs w:val="28"/>
        </w:rPr>
        <w:t>467.3</w:t>
      </w:r>
      <w:r w:rsidRPr="00715DBB">
        <w:rPr>
          <w:rFonts w:ascii="Times New Roman" w:eastAsia="標楷體" w:hAnsi="Times New Roman"/>
          <w:color w:val="000000" w:themeColor="text1"/>
          <w:sz w:val="28"/>
          <w:szCs w:val="28"/>
        </w:rPr>
        <w:t>億美元，較上年同月</w:t>
      </w:r>
      <w:r w:rsidR="008B1A60">
        <w:rPr>
          <w:rFonts w:ascii="Times New Roman" w:eastAsia="標楷體" w:hAnsi="Times New Roman" w:hint="eastAsia"/>
          <w:color w:val="000000" w:themeColor="text1"/>
          <w:sz w:val="28"/>
          <w:szCs w:val="28"/>
        </w:rPr>
        <w:t>減少</w:t>
      </w:r>
      <w:r w:rsidRPr="00715DBB">
        <w:rPr>
          <w:rFonts w:ascii="Times New Roman" w:eastAsia="標楷體" w:hAnsi="Times New Roman"/>
          <w:color w:val="000000" w:themeColor="text1"/>
          <w:sz w:val="28"/>
          <w:szCs w:val="28"/>
        </w:rPr>
        <w:t>0.9</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；進口為</w:t>
      </w:r>
      <w:r w:rsidRPr="00715DBB">
        <w:rPr>
          <w:rFonts w:ascii="Times New Roman" w:eastAsia="標楷體" w:hAnsi="Times New Roman"/>
          <w:color w:val="000000" w:themeColor="text1"/>
          <w:sz w:val="28"/>
          <w:szCs w:val="28"/>
        </w:rPr>
        <w:t>412.2</w:t>
      </w:r>
      <w:r w:rsidRPr="00715DBB">
        <w:rPr>
          <w:rFonts w:ascii="Times New Roman" w:eastAsia="標楷體" w:hAnsi="Times New Roman"/>
          <w:color w:val="000000" w:themeColor="text1"/>
          <w:sz w:val="28"/>
          <w:szCs w:val="28"/>
        </w:rPr>
        <w:t>億美元，較上年同月</w:t>
      </w:r>
      <w:r w:rsidR="008B1A60">
        <w:rPr>
          <w:rFonts w:ascii="Times New Roman" w:eastAsia="標楷體" w:hAnsi="Times New Roman" w:hint="eastAsia"/>
          <w:color w:val="000000" w:themeColor="text1"/>
          <w:sz w:val="28"/>
          <w:szCs w:val="28"/>
        </w:rPr>
        <w:t>減少</w:t>
      </w:r>
      <w:r w:rsidRPr="00715DBB">
        <w:rPr>
          <w:rFonts w:ascii="Times New Roman" w:eastAsia="標楷體" w:hAnsi="Times New Roman"/>
          <w:color w:val="000000" w:themeColor="text1"/>
          <w:sz w:val="28"/>
          <w:szCs w:val="28"/>
        </w:rPr>
        <w:t>1.8</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，貿易</w:t>
      </w:r>
      <w:r w:rsidR="008B1A60">
        <w:rPr>
          <w:rFonts w:ascii="Times New Roman" w:eastAsia="標楷體" w:hAnsi="Times New Roman" w:hint="eastAsia"/>
          <w:color w:val="000000" w:themeColor="text1"/>
          <w:sz w:val="28"/>
          <w:szCs w:val="28"/>
        </w:rPr>
        <w:t>出超</w:t>
      </w:r>
      <w:r w:rsidRPr="00715DBB">
        <w:rPr>
          <w:rFonts w:ascii="Times New Roman" w:eastAsia="標楷體" w:hAnsi="Times New Roman"/>
          <w:color w:val="000000" w:themeColor="text1"/>
          <w:sz w:val="28"/>
          <w:szCs w:val="28"/>
        </w:rPr>
        <w:t>55.2</w:t>
      </w:r>
      <w:r w:rsidRPr="00715DBB">
        <w:rPr>
          <w:rFonts w:ascii="Times New Roman" w:eastAsia="標楷體" w:hAnsi="Times New Roman"/>
          <w:color w:val="000000" w:themeColor="text1"/>
          <w:sz w:val="28"/>
          <w:szCs w:val="28"/>
        </w:rPr>
        <w:t>億美元。主要出口商品中，以無線通信機器（</w:t>
      </w:r>
      <w:r w:rsidRPr="00715DBB">
        <w:rPr>
          <w:rFonts w:ascii="Times New Roman" w:eastAsia="標楷體" w:hAnsi="Times New Roman"/>
          <w:color w:val="000000" w:themeColor="text1"/>
          <w:sz w:val="28"/>
          <w:szCs w:val="28"/>
        </w:rPr>
        <w:t>30</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）、家電（</w:t>
      </w:r>
      <w:r w:rsidRPr="00715DBB">
        <w:rPr>
          <w:rFonts w:ascii="Times New Roman" w:eastAsia="標楷體" w:hAnsi="Times New Roman"/>
          <w:color w:val="000000" w:themeColor="text1"/>
          <w:sz w:val="28"/>
          <w:szCs w:val="28"/>
        </w:rPr>
        <w:t>10.3</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hAnsi="Times New Roman"/>
          <w:color w:val="000000" w:themeColor="text1"/>
          <w:sz w:val="28"/>
          <w:szCs w:val="28"/>
        </w:rPr>
        <w:t>、</w:t>
      </w:r>
      <w:r w:rsidRPr="00715DBB">
        <w:rPr>
          <w:rFonts w:ascii="Times New Roman" w:eastAsia="標楷體" w:hAnsi="Times New Roman"/>
          <w:color w:val="000000" w:themeColor="text1"/>
          <w:sz w:val="28"/>
          <w:szCs w:val="28"/>
        </w:rPr>
        <w:t>半導體（</w:t>
      </w:r>
      <w:r w:rsidRPr="00715DBB">
        <w:rPr>
          <w:rFonts w:ascii="Times New Roman" w:eastAsia="標楷體" w:hAnsi="Times New Roman"/>
          <w:color w:val="000000" w:themeColor="text1"/>
          <w:sz w:val="28"/>
          <w:szCs w:val="28"/>
        </w:rPr>
        <w:t>8.6</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）等</w:t>
      </w:r>
      <w:r w:rsidR="008B1A60">
        <w:rPr>
          <w:rFonts w:ascii="Times New Roman" w:eastAsia="標楷體" w:hAnsi="Times New Roman" w:hint="eastAsia"/>
          <w:color w:val="000000" w:themeColor="text1"/>
          <w:sz w:val="28"/>
          <w:szCs w:val="28"/>
        </w:rPr>
        <w:t>增加</w:t>
      </w:r>
      <w:r w:rsidRPr="00715DBB">
        <w:rPr>
          <w:rFonts w:ascii="Times New Roman" w:eastAsia="標楷體" w:hAnsi="Times New Roman"/>
          <w:color w:val="000000" w:themeColor="text1"/>
          <w:sz w:val="28"/>
          <w:szCs w:val="28"/>
        </w:rPr>
        <w:t>最多。另對主要地區出口</w:t>
      </w:r>
      <w:r w:rsidRPr="00715DBB">
        <w:rPr>
          <w:rFonts w:ascii="Times New Roman" w:hAnsi="Times New Roman"/>
          <w:color w:val="000000" w:themeColor="text1"/>
          <w:sz w:val="28"/>
          <w:szCs w:val="28"/>
        </w:rPr>
        <w:t>，</w:t>
      </w:r>
      <w:r w:rsidRPr="00715DBB">
        <w:rPr>
          <w:rFonts w:ascii="Times New Roman" w:eastAsia="標楷體" w:hAnsi="Times New Roman"/>
          <w:color w:val="000000" w:themeColor="text1"/>
          <w:sz w:val="28"/>
          <w:szCs w:val="28"/>
        </w:rPr>
        <w:t>如美國</w:t>
      </w:r>
      <w:r w:rsidRPr="00715DBB">
        <w:rPr>
          <w:rFonts w:ascii="Times New Roman" w:eastAsia="標楷體" w:hAnsi="Times New Roman"/>
          <w:color w:val="000000" w:themeColor="text1"/>
          <w:sz w:val="28"/>
          <w:szCs w:val="28"/>
        </w:rPr>
        <w:t xml:space="preserve"> (2.8</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eastAsia="標楷體" w:hAnsi="Times New Roman"/>
          <w:color w:val="000000" w:themeColor="text1"/>
          <w:sz w:val="28"/>
          <w:szCs w:val="28"/>
        </w:rPr>
        <w:t>、中國大陸</w:t>
      </w:r>
      <w:r w:rsidRPr="00715DBB">
        <w:rPr>
          <w:rFonts w:ascii="Times New Roman" w:eastAsia="標楷體" w:hAnsi="Times New Roman"/>
          <w:color w:val="000000" w:themeColor="text1"/>
          <w:sz w:val="28"/>
          <w:szCs w:val="28"/>
        </w:rPr>
        <w:t xml:space="preserve"> (10.1</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eastAsia="標楷體" w:hAnsi="Times New Roman"/>
          <w:color w:val="000000" w:themeColor="text1"/>
          <w:sz w:val="28"/>
          <w:szCs w:val="28"/>
        </w:rPr>
        <w:t>、東協</w:t>
      </w:r>
      <w:r w:rsidRPr="00715DBB">
        <w:rPr>
          <w:rFonts w:ascii="Times New Roman" w:eastAsia="標楷體" w:hAnsi="Times New Roman"/>
          <w:color w:val="000000" w:themeColor="text1"/>
          <w:sz w:val="28"/>
          <w:szCs w:val="28"/>
        </w:rPr>
        <w:t xml:space="preserve"> (11</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eastAsia="標楷體" w:hAnsi="Times New Roman"/>
          <w:color w:val="000000" w:themeColor="text1"/>
          <w:sz w:val="28"/>
          <w:szCs w:val="28"/>
        </w:rPr>
        <w:t>等</w:t>
      </w:r>
      <w:r w:rsidR="008B1A60">
        <w:rPr>
          <w:rFonts w:ascii="Times New Roman" w:eastAsia="標楷體" w:hAnsi="Times New Roman" w:hint="eastAsia"/>
          <w:color w:val="000000" w:themeColor="text1"/>
          <w:sz w:val="28"/>
          <w:szCs w:val="28"/>
        </w:rPr>
        <w:t>增加</w:t>
      </w:r>
      <w:r w:rsidRPr="00715DBB">
        <w:rPr>
          <w:rFonts w:ascii="Times New Roman" w:eastAsia="標楷體" w:hAnsi="Times New Roman"/>
          <w:color w:val="000000" w:themeColor="text1"/>
          <w:sz w:val="28"/>
          <w:szCs w:val="28"/>
        </w:rPr>
        <w:t>，對歐盟</w:t>
      </w:r>
      <w:r w:rsidRPr="00715DBB">
        <w:rPr>
          <w:rFonts w:ascii="Times New Roman" w:eastAsia="標楷體" w:hAnsi="Times New Roman"/>
          <w:color w:val="000000" w:themeColor="text1"/>
          <w:sz w:val="28"/>
          <w:szCs w:val="28"/>
        </w:rPr>
        <w:t>(-5.3</w:t>
      </w:r>
      <w:r>
        <w:rPr>
          <w:rFonts w:ascii="Times New Roman" w:eastAsia="標楷體" w:hAnsi="Times New Roman" w:hint="eastAsia"/>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eastAsia="標楷體" w:hAnsi="Times New Roman"/>
          <w:color w:val="000000" w:themeColor="text1"/>
          <w:sz w:val="28"/>
          <w:szCs w:val="28"/>
        </w:rPr>
        <w:t>、</w:t>
      </w:r>
      <w:r w:rsidRPr="00715DBB">
        <w:rPr>
          <w:rFonts w:ascii="Times New Roman" w:eastAsia="標楷體" w:hAnsi="Times New Roman"/>
          <w:sz w:val="28"/>
          <w:szCs w:val="28"/>
        </w:rPr>
        <w:t>日本</w:t>
      </w:r>
      <w:r w:rsidRPr="00715DBB">
        <w:rPr>
          <w:rFonts w:ascii="Times New Roman" w:eastAsia="標楷體" w:hAnsi="Times New Roman"/>
          <w:sz w:val="28"/>
          <w:szCs w:val="28"/>
        </w:rPr>
        <w:t>(-10.8</w:t>
      </w:r>
      <w:r w:rsidRPr="00715DBB">
        <w:rPr>
          <w:rFonts w:ascii="Times New Roman" w:eastAsia="標楷體" w:hAnsi="Times New Roman"/>
          <w:sz w:val="28"/>
          <w:szCs w:val="28"/>
        </w:rPr>
        <w:t>％</w:t>
      </w:r>
      <w:r w:rsidRPr="00715DBB">
        <w:rPr>
          <w:rFonts w:ascii="Times New Roman" w:eastAsia="標楷體" w:hAnsi="Times New Roman"/>
          <w:sz w:val="28"/>
          <w:szCs w:val="28"/>
        </w:rPr>
        <w:t>)</w:t>
      </w:r>
      <w:r w:rsidRPr="00715DBB">
        <w:rPr>
          <w:rFonts w:ascii="Times New Roman" w:eastAsia="標楷體" w:hAnsi="Times New Roman"/>
          <w:sz w:val="28"/>
          <w:szCs w:val="28"/>
        </w:rPr>
        <w:t>則</w:t>
      </w:r>
      <w:r w:rsidR="008B1A60">
        <w:rPr>
          <w:rFonts w:ascii="Times New Roman" w:eastAsia="標楷體" w:hAnsi="Times New Roman" w:hint="eastAsia"/>
          <w:sz w:val="28"/>
          <w:szCs w:val="28"/>
        </w:rPr>
        <w:t>減少</w:t>
      </w:r>
      <w:r w:rsidRPr="00715DBB">
        <w:rPr>
          <w:rFonts w:ascii="Times New Roman" w:eastAsia="標楷體" w:hAnsi="Times New Roman"/>
          <w:sz w:val="28"/>
          <w:szCs w:val="28"/>
        </w:rPr>
        <w:t>。</w:t>
      </w:r>
    </w:p>
    <w:p w:rsidR="00A92D89" w:rsidRPr="00715DBB" w:rsidRDefault="00715DBB" w:rsidP="00E85732">
      <w:pPr>
        <w:pStyle w:val="affffc"/>
        <w:numPr>
          <w:ilvl w:val="0"/>
          <w:numId w:val="40"/>
        </w:numPr>
        <w:snapToGrid w:val="0"/>
        <w:spacing w:before="180" w:line="300" w:lineRule="auto"/>
        <w:ind w:leftChars="0" w:left="709" w:right="-227" w:firstLineChars="0" w:hanging="567"/>
        <w:rPr>
          <w:rFonts w:ascii="Times New Roman" w:eastAsia="標楷體" w:hAnsi="Times New Roman"/>
          <w:sz w:val="28"/>
          <w:szCs w:val="28"/>
        </w:rPr>
      </w:pPr>
      <w:r w:rsidRPr="00715DBB">
        <w:rPr>
          <w:rFonts w:ascii="Times New Roman" w:eastAsia="標楷體" w:hAnsi="Times New Roman"/>
          <w:kern w:val="0"/>
          <w:sz w:val="28"/>
          <w:szCs w:val="20"/>
        </w:rPr>
        <w:t>2013</w:t>
      </w:r>
      <w:r w:rsidRPr="00715DBB">
        <w:rPr>
          <w:rFonts w:ascii="Times New Roman" w:eastAsia="標楷體" w:hAnsi="Times New Roman"/>
          <w:kern w:val="0"/>
          <w:sz w:val="28"/>
          <w:szCs w:val="20"/>
        </w:rPr>
        <w:t>年</w:t>
      </w:r>
      <w:r w:rsidRPr="00715DBB">
        <w:rPr>
          <w:rFonts w:ascii="Times New Roman" w:eastAsia="標楷體" w:hAnsi="Times New Roman"/>
          <w:kern w:val="0"/>
          <w:sz w:val="28"/>
          <w:szCs w:val="20"/>
        </w:rPr>
        <w:t>5</w:t>
      </w:r>
      <w:r w:rsidRPr="00715DBB">
        <w:rPr>
          <w:rFonts w:ascii="Times New Roman" w:eastAsia="標楷體" w:hAnsi="Times New Roman"/>
          <w:kern w:val="0"/>
          <w:sz w:val="28"/>
          <w:szCs w:val="20"/>
        </w:rPr>
        <w:t>月韓國工業生產衰退</w:t>
      </w:r>
      <w:r w:rsidRPr="00715DBB">
        <w:rPr>
          <w:rFonts w:ascii="Times New Roman" w:eastAsia="標楷體" w:hAnsi="Times New Roman"/>
          <w:kern w:val="0"/>
          <w:sz w:val="28"/>
          <w:szCs w:val="20"/>
        </w:rPr>
        <w:t>1.4</w:t>
      </w:r>
      <w:r w:rsidRPr="00715DBB">
        <w:rPr>
          <w:rFonts w:ascii="Times New Roman" w:eastAsia="標楷體" w:hAnsi="Times New Roman"/>
          <w:kern w:val="0"/>
          <w:sz w:val="28"/>
          <w:szCs w:val="20"/>
        </w:rPr>
        <w:t>％；</w:t>
      </w:r>
      <w:r w:rsidRPr="00715DBB">
        <w:rPr>
          <w:rFonts w:ascii="Times New Roman" w:eastAsia="標楷體" w:hAnsi="Times New Roman"/>
          <w:kern w:val="0"/>
          <w:sz w:val="28"/>
          <w:szCs w:val="20"/>
        </w:rPr>
        <w:t>6</w:t>
      </w:r>
      <w:r w:rsidRPr="00715DBB">
        <w:rPr>
          <w:rFonts w:ascii="Times New Roman" w:eastAsia="標楷體" w:hAnsi="Times New Roman"/>
          <w:kern w:val="0"/>
          <w:sz w:val="28"/>
          <w:szCs w:val="20"/>
        </w:rPr>
        <w:t>月失業率微幅上升至</w:t>
      </w:r>
      <w:r w:rsidRPr="00715DBB">
        <w:rPr>
          <w:rFonts w:ascii="Times New Roman" w:eastAsia="標楷體" w:hAnsi="Times New Roman"/>
          <w:kern w:val="0"/>
          <w:sz w:val="28"/>
          <w:szCs w:val="20"/>
        </w:rPr>
        <w:t>3.1</w:t>
      </w:r>
      <w:r w:rsidRPr="00715DBB">
        <w:rPr>
          <w:rFonts w:ascii="Times New Roman" w:eastAsia="標楷體" w:hAnsi="Times New Roman"/>
          <w:kern w:val="0"/>
          <w:sz w:val="28"/>
          <w:szCs w:val="20"/>
        </w:rPr>
        <w:t>％，消費者物價上漲率</w:t>
      </w:r>
      <w:r w:rsidRPr="00715DBB">
        <w:rPr>
          <w:rFonts w:ascii="Times New Roman" w:eastAsia="標楷體" w:hAnsi="Times New Roman"/>
          <w:kern w:val="0"/>
          <w:sz w:val="28"/>
          <w:szCs w:val="20"/>
        </w:rPr>
        <w:t>1.0</w:t>
      </w:r>
      <w:r w:rsidRPr="00715DBB">
        <w:rPr>
          <w:rFonts w:ascii="Times New Roman" w:eastAsia="標楷體" w:hAnsi="Times New Roman"/>
          <w:kern w:val="0"/>
          <w:sz w:val="28"/>
          <w:szCs w:val="20"/>
        </w:rPr>
        <w:t>％持平</w:t>
      </w:r>
      <w:r w:rsidR="00EC3CDE" w:rsidRPr="00715DBB">
        <w:rPr>
          <w:rFonts w:ascii="Times New Roman" w:eastAsia="標楷體" w:hAnsi="Times New Roman"/>
          <w:kern w:val="0"/>
          <w:sz w:val="28"/>
          <w:szCs w:val="20"/>
        </w:rPr>
        <w:t>。</w:t>
      </w:r>
    </w:p>
    <w:p w:rsidR="00A92D89" w:rsidRPr="00715DBB" w:rsidRDefault="00715DBB" w:rsidP="00E85732">
      <w:pPr>
        <w:pStyle w:val="affffc"/>
        <w:numPr>
          <w:ilvl w:val="0"/>
          <w:numId w:val="40"/>
        </w:numPr>
        <w:snapToGrid w:val="0"/>
        <w:spacing w:before="180" w:line="300" w:lineRule="auto"/>
        <w:ind w:leftChars="0" w:left="709" w:right="-227" w:firstLineChars="0" w:hanging="567"/>
        <w:rPr>
          <w:rFonts w:ascii="Times New Roman" w:eastAsia="標楷體" w:hAnsi="Times New Roman"/>
          <w:sz w:val="28"/>
          <w:szCs w:val="28"/>
        </w:rPr>
      </w:pPr>
      <w:r w:rsidRPr="00715DBB">
        <w:rPr>
          <w:rFonts w:ascii="Times New Roman" w:eastAsia="標楷體" w:hAnsi="Times New Roman"/>
          <w:sz w:val="28"/>
          <w:szCs w:val="28"/>
        </w:rPr>
        <w:t>韓國政府發表</w:t>
      </w:r>
      <w:r w:rsidRPr="00715DBB">
        <w:rPr>
          <w:rFonts w:ascii="Times New Roman" w:eastAsia="標楷體" w:hAnsi="Times New Roman"/>
          <w:sz w:val="28"/>
          <w:szCs w:val="28"/>
        </w:rPr>
        <w:t>2013</w:t>
      </w:r>
      <w:r w:rsidRPr="00715DBB">
        <w:rPr>
          <w:rFonts w:ascii="Times New Roman" w:eastAsia="標楷體" w:hAnsi="Times New Roman"/>
          <w:sz w:val="28"/>
          <w:szCs w:val="28"/>
        </w:rPr>
        <w:t>年下半年經濟政策方向，展望下半年度經濟成長率可望達</w:t>
      </w:r>
      <w:r w:rsidRPr="00715DBB">
        <w:rPr>
          <w:rFonts w:ascii="Times New Roman" w:eastAsia="標楷體" w:hAnsi="Times New Roman"/>
          <w:sz w:val="28"/>
          <w:szCs w:val="28"/>
        </w:rPr>
        <w:t>3</w:t>
      </w:r>
      <w:r w:rsidRPr="00715DBB">
        <w:rPr>
          <w:rFonts w:ascii="Times New Roman" w:eastAsia="標楷體" w:hAnsi="Times New Roman"/>
          <w:sz w:val="28"/>
          <w:szCs w:val="28"/>
        </w:rPr>
        <w:t>％，年平均成長率可望達</w:t>
      </w:r>
      <w:r w:rsidRPr="00715DBB">
        <w:rPr>
          <w:rFonts w:ascii="Times New Roman" w:eastAsia="標楷體" w:hAnsi="Times New Roman"/>
          <w:sz w:val="28"/>
          <w:szCs w:val="28"/>
        </w:rPr>
        <w:t>2.7</w:t>
      </w:r>
      <w:r w:rsidRPr="00715DBB">
        <w:rPr>
          <w:rFonts w:ascii="Times New Roman" w:eastAsia="標楷體" w:hAnsi="Times New Roman"/>
          <w:sz w:val="28"/>
          <w:szCs w:val="28"/>
        </w:rPr>
        <w:t>％。為促使民生經濟復甦成果見效，推動</w:t>
      </w:r>
      <w:r w:rsidRPr="00715DBB">
        <w:rPr>
          <w:rFonts w:ascii="Times New Roman" w:eastAsia="標楷體" w:hAnsi="Times New Roman"/>
          <w:sz w:val="28"/>
          <w:szCs w:val="28"/>
        </w:rPr>
        <w:t xml:space="preserve">8 </w:t>
      </w:r>
      <w:r w:rsidRPr="00715DBB">
        <w:rPr>
          <w:rFonts w:ascii="Times New Roman" w:eastAsia="標楷體" w:hAnsi="Times New Roman"/>
          <w:sz w:val="28"/>
          <w:szCs w:val="28"/>
        </w:rPr>
        <w:t>大核心課題，包括：活絡投資及支援中小企業，改善內需及出口環境；加強削減量化寬鬆等風險之管理及應變；減輕居住費用等生活費之負擔；執行僱用率達</w:t>
      </w:r>
      <w:r w:rsidRPr="00715DBB">
        <w:rPr>
          <w:rFonts w:ascii="Times New Roman" w:eastAsia="標楷體" w:hAnsi="Times New Roman"/>
          <w:sz w:val="28"/>
          <w:szCs w:val="28"/>
        </w:rPr>
        <w:t>70</w:t>
      </w:r>
      <w:r w:rsidR="00CE7968">
        <w:rPr>
          <w:rFonts w:ascii="Times New Roman" w:eastAsia="標楷體" w:hAnsi="Times New Roman" w:hint="eastAsia"/>
          <w:sz w:val="28"/>
          <w:szCs w:val="28"/>
        </w:rPr>
        <w:t>％</w:t>
      </w:r>
      <w:r w:rsidRPr="00715DBB">
        <w:rPr>
          <w:rFonts w:ascii="Times New Roman" w:eastAsia="標楷體" w:hAnsi="Times New Roman"/>
          <w:sz w:val="28"/>
          <w:szCs w:val="28"/>
        </w:rPr>
        <w:t>目標之路線圖；透過服務產業，強化經濟；各部會合作</w:t>
      </w:r>
      <w:r w:rsidRPr="00715DBB">
        <w:rPr>
          <w:rFonts w:ascii="Times New Roman" w:hAnsi="Times New Roman"/>
          <w:sz w:val="28"/>
          <w:szCs w:val="28"/>
        </w:rPr>
        <w:t>，</w:t>
      </w:r>
      <w:r w:rsidRPr="00715DBB">
        <w:rPr>
          <w:rFonts w:ascii="Times New Roman" w:eastAsia="標楷體" w:hAnsi="Times New Roman"/>
          <w:sz w:val="28"/>
          <w:szCs w:val="28"/>
        </w:rPr>
        <w:t>與市場溝通；加強管理財政危險；強化以國民及所有部會參與成果為重點之政策檢查體制。</w:t>
      </w:r>
    </w:p>
    <w:p w:rsidR="00A92D89" w:rsidRPr="00715DBB" w:rsidRDefault="00715DBB" w:rsidP="00E85732">
      <w:pPr>
        <w:pStyle w:val="affffc"/>
        <w:numPr>
          <w:ilvl w:val="0"/>
          <w:numId w:val="40"/>
        </w:numPr>
        <w:snapToGrid w:val="0"/>
        <w:spacing w:before="180" w:line="300" w:lineRule="auto"/>
        <w:ind w:leftChars="0" w:left="709" w:right="-227" w:firstLineChars="0" w:hanging="567"/>
        <w:rPr>
          <w:rFonts w:ascii="Times New Roman" w:eastAsia="標楷體" w:hAnsi="Times New Roman"/>
          <w:sz w:val="28"/>
          <w:szCs w:val="28"/>
        </w:rPr>
      </w:pPr>
      <w:r w:rsidRPr="00715DBB">
        <w:rPr>
          <w:rFonts w:ascii="Times New Roman" w:eastAsia="標楷體" w:hAnsi="Times New Roman"/>
          <w:sz w:val="28"/>
          <w:szCs w:val="28"/>
        </w:rPr>
        <w:t>韓國為活絡出口，因應市場不確定性所導致之風險，以及為企業找尋新的出口市場機會，發表</w:t>
      </w:r>
      <w:r w:rsidRPr="00715DBB">
        <w:rPr>
          <w:rFonts w:ascii="Times New Roman" w:eastAsia="標楷體" w:hAnsi="Times New Roman"/>
          <w:sz w:val="28"/>
          <w:szCs w:val="28"/>
        </w:rPr>
        <w:t>2013</w:t>
      </w:r>
      <w:r w:rsidRPr="00715DBB">
        <w:rPr>
          <w:rFonts w:ascii="Times New Roman" w:eastAsia="標楷體" w:hAnsi="Times New Roman"/>
          <w:sz w:val="28"/>
          <w:szCs w:val="28"/>
        </w:rPr>
        <w:t>年「下半年度擴大出口方案</w:t>
      </w:r>
      <w:r w:rsidR="00031AAB">
        <w:rPr>
          <w:rFonts w:ascii="標楷體" w:eastAsia="標楷體" w:hAnsi="標楷體" w:hint="eastAsia"/>
          <w:sz w:val="28"/>
          <w:szCs w:val="28"/>
        </w:rPr>
        <w:t>」</w:t>
      </w:r>
      <w:r w:rsidR="00031AAB">
        <w:rPr>
          <w:rFonts w:ascii="Times New Roman" w:eastAsia="標楷體" w:hAnsi="Times New Roman" w:hint="eastAsia"/>
          <w:sz w:val="28"/>
          <w:szCs w:val="28"/>
        </w:rPr>
        <w:t>，</w:t>
      </w:r>
      <w:r w:rsidRPr="00715DBB">
        <w:rPr>
          <w:rFonts w:ascii="Times New Roman" w:eastAsia="標楷體" w:hAnsi="Times New Roman"/>
          <w:sz w:val="28"/>
          <w:szCs w:val="28"/>
        </w:rPr>
        <w:t>支援因應匯率風險、支援因伊朗貿易制裁受損之出口企業</w:t>
      </w:r>
      <w:r w:rsidRPr="00715DBB">
        <w:rPr>
          <w:rFonts w:ascii="Times New Roman" w:eastAsia="標楷體" w:hAnsi="Times New Roman" w:hint="eastAsia"/>
          <w:sz w:val="28"/>
          <w:szCs w:val="28"/>
        </w:rPr>
        <w:t>、</w:t>
      </w:r>
      <w:r w:rsidRPr="00715DBB">
        <w:rPr>
          <w:rFonts w:ascii="Times New Roman" w:eastAsia="標楷體" w:hAnsi="Times New Roman"/>
          <w:sz w:val="28"/>
          <w:szCs w:val="28"/>
        </w:rPr>
        <w:t>加強海外行銷及資訊提供</w:t>
      </w:r>
      <w:r w:rsidRPr="00715DBB">
        <w:rPr>
          <w:rFonts w:ascii="Times New Roman" w:eastAsia="標楷體" w:hAnsi="Times New Roman" w:hint="eastAsia"/>
          <w:sz w:val="28"/>
          <w:szCs w:val="28"/>
        </w:rPr>
        <w:t>、</w:t>
      </w:r>
      <w:r w:rsidRPr="00715DBB">
        <w:rPr>
          <w:rFonts w:ascii="Times New Roman" w:eastAsia="標楷體" w:hAnsi="Times New Roman"/>
          <w:sz w:val="28"/>
          <w:szCs w:val="28"/>
        </w:rPr>
        <w:t>推動進軍中國大陸內需市場</w:t>
      </w:r>
      <w:r w:rsidRPr="00715DBB">
        <w:rPr>
          <w:rFonts w:ascii="Times New Roman" w:eastAsia="標楷體" w:hAnsi="Times New Roman" w:hint="eastAsia"/>
          <w:sz w:val="28"/>
          <w:szCs w:val="28"/>
        </w:rPr>
        <w:t>，以及</w:t>
      </w:r>
      <w:r w:rsidRPr="00715DBB">
        <w:rPr>
          <w:rFonts w:ascii="Times New Roman" w:eastAsia="標楷體" w:hAnsi="Times New Roman"/>
          <w:sz w:val="28"/>
          <w:szCs w:val="28"/>
        </w:rPr>
        <w:t>解決出口企業面臨之窒礙難行問題。</w:t>
      </w:r>
    </w:p>
    <w:p w:rsidR="001660B1" w:rsidRPr="003111E1" w:rsidRDefault="001660B1" w:rsidP="00C55EF7">
      <w:pPr>
        <w:snapToGrid w:val="0"/>
        <w:spacing w:before="60" w:line="300" w:lineRule="auto"/>
        <w:ind w:right="-227"/>
        <w:jc w:val="both"/>
        <w:rPr>
          <w:rFonts w:eastAsia="標楷體"/>
          <w:color w:val="FF0000"/>
          <w:sz w:val="28"/>
          <w:szCs w:val="28"/>
        </w:rPr>
      </w:pPr>
    </w:p>
    <w:p w:rsidR="001660B1" w:rsidRPr="003111E1" w:rsidRDefault="001660B1" w:rsidP="00C55EF7">
      <w:pPr>
        <w:snapToGrid w:val="0"/>
        <w:spacing w:before="60" w:line="300" w:lineRule="auto"/>
        <w:ind w:right="-227"/>
        <w:jc w:val="both"/>
        <w:rPr>
          <w:rFonts w:eastAsia="標楷體"/>
          <w:color w:val="FF0000"/>
          <w:sz w:val="28"/>
          <w:szCs w:val="28"/>
        </w:rPr>
      </w:pPr>
    </w:p>
    <w:p w:rsidR="00EC3CDE" w:rsidRPr="003111E1" w:rsidRDefault="00EC3CDE" w:rsidP="00C55EF7">
      <w:pPr>
        <w:snapToGrid w:val="0"/>
        <w:spacing w:before="60" w:line="300" w:lineRule="auto"/>
        <w:ind w:right="-227"/>
        <w:jc w:val="both"/>
        <w:rPr>
          <w:rFonts w:eastAsia="標楷體"/>
          <w:color w:val="FF0000"/>
          <w:sz w:val="28"/>
          <w:szCs w:val="28"/>
        </w:rPr>
      </w:pPr>
    </w:p>
    <w:p w:rsidR="00EC3CDE" w:rsidRPr="003111E1" w:rsidRDefault="00EC3CDE" w:rsidP="00C55EF7">
      <w:pPr>
        <w:snapToGrid w:val="0"/>
        <w:spacing w:before="60" w:line="300" w:lineRule="auto"/>
        <w:ind w:right="-227"/>
        <w:jc w:val="both"/>
        <w:rPr>
          <w:rFonts w:eastAsia="標楷體"/>
          <w:color w:val="FF0000"/>
          <w:sz w:val="28"/>
          <w:szCs w:val="28"/>
        </w:rPr>
      </w:pPr>
    </w:p>
    <w:p w:rsidR="001660B1" w:rsidRPr="003111E1" w:rsidRDefault="001660B1" w:rsidP="00C55EF7">
      <w:pPr>
        <w:snapToGrid w:val="0"/>
        <w:spacing w:before="60" w:line="300" w:lineRule="auto"/>
        <w:ind w:right="-227"/>
        <w:jc w:val="both"/>
        <w:rPr>
          <w:rFonts w:eastAsia="標楷體"/>
          <w:color w:val="FF0000"/>
          <w:sz w:val="28"/>
          <w:szCs w:val="28"/>
        </w:rPr>
      </w:pPr>
    </w:p>
    <w:p w:rsidR="001660B1" w:rsidRPr="003111E1" w:rsidRDefault="001660B1" w:rsidP="00C55EF7">
      <w:pPr>
        <w:snapToGrid w:val="0"/>
        <w:spacing w:before="60" w:line="300" w:lineRule="auto"/>
        <w:ind w:right="-227"/>
        <w:jc w:val="both"/>
        <w:rPr>
          <w:rFonts w:eastAsia="標楷體"/>
          <w:color w:val="FF0000"/>
          <w:sz w:val="28"/>
          <w:szCs w:val="28"/>
        </w:rPr>
      </w:pPr>
    </w:p>
    <w:p w:rsidR="001660B1" w:rsidRPr="003111E1" w:rsidRDefault="001660B1" w:rsidP="00C55EF7">
      <w:pPr>
        <w:snapToGrid w:val="0"/>
        <w:spacing w:before="60" w:line="300" w:lineRule="auto"/>
        <w:ind w:right="-227"/>
        <w:jc w:val="both"/>
        <w:rPr>
          <w:rFonts w:eastAsia="標楷體"/>
          <w:color w:val="FF0000"/>
          <w:sz w:val="28"/>
          <w:szCs w:val="28"/>
        </w:rPr>
      </w:pPr>
    </w:p>
    <w:p w:rsidR="00A92D89" w:rsidRPr="00715DBB" w:rsidRDefault="00A92D89" w:rsidP="00FB20F7">
      <w:pPr>
        <w:snapToGrid w:val="0"/>
        <w:spacing w:before="120" w:line="300" w:lineRule="auto"/>
        <w:ind w:right="-227"/>
        <w:jc w:val="both"/>
        <w:rPr>
          <w:rFonts w:eastAsia="標楷體"/>
          <w:sz w:val="28"/>
          <w:szCs w:val="28"/>
        </w:rPr>
      </w:pPr>
      <w:r w:rsidRPr="00715DBB">
        <w:rPr>
          <w:rFonts w:eastAsia="標楷體"/>
          <w:sz w:val="28"/>
          <w:szCs w:val="28"/>
        </w:rPr>
        <w:lastRenderedPageBreak/>
        <w:t xml:space="preserve">             </w:t>
      </w:r>
      <w:r w:rsidRPr="00715DBB">
        <w:rPr>
          <w:rFonts w:eastAsia="標楷體"/>
          <w:b/>
          <w:bCs/>
          <w:sz w:val="28"/>
          <w:szCs w:val="32"/>
          <w:lang w:val="zh-TW"/>
        </w:rPr>
        <w:t>表</w:t>
      </w:r>
      <w:r w:rsidRPr="00715DBB">
        <w:rPr>
          <w:rFonts w:eastAsia="標楷體"/>
          <w:b/>
          <w:bCs/>
          <w:sz w:val="28"/>
          <w:szCs w:val="32"/>
          <w:lang w:val="zh-TW"/>
        </w:rPr>
        <w:t xml:space="preserve">1-3-2   </w:t>
      </w:r>
      <w:r w:rsidRPr="00715DBB">
        <w:rPr>
          <w:rFonts w:eastAsia="標楷體"/>
          <w:b/>
          <w:bCs/>
          <w:sz w:val="28"/>
          <w:szCs w:val="32"/>
          <w:lang w:val="zh-TW"/>
        </w:rPr>
        <w:t>南韓重要經濟指標</w:t>
      </w:r>
    </w:p>
    <w:p w:rsidR="00A92D89" w:rsidRPr="00715DBB" w:rsidRDefault="00A92D89" w:rsidP="00A92D89">
      <w:pPr>
        <w:snapToGrid w:val="0"/>
        <w:jc w:val="right"/>
        <w:rPr>
          <w:rFonts w:eastAsia="標楷體"/>
          <w:szCs w:val="28"/>
        </w:rPr>
      </w:pPr>
      <w:r w:rsidRPr="00715DBB">
        <w:rPr>
          <w:rFonts w:eastAsia="標楷體"/>
          <w:sz w:val="28"/>
          <w:szCs w:val="32"/>
          <w:lang w:val="zh-TW"/>
        </w:rPr>
        <w:t xml:space="preserve">           </w:t>
      </w:r>
      <w:r w:rsidRPr="00715DBB">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715DBB" w:rsidRPr="00715DBB" w:rsidTr="008917A1">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年</w:t>
            </w:r>
            <w:r w:rsidRPr="00715DBB">
              <w:rPr>
                <w:rFonts w:eastAsia="標楷體"/>
                <w:sz w:val="22"/>
                <w:szCs w:val="22"/>
              </w:rPr>
              <w:t>(</w:t>
            </w:r>
            <w:r w:rsidRPr="00715DBB">
              <w:rPr>
                <w:rFonts w:eastAsia="標楷體" w:hint="eastAsia"/>
                <w:sz w:val="22"/>
                <w:szCs w:val="22"/>
                <w:lang w:val="zh-TW"/>
              </w:rPr>
              <w:t>月</w:t>
            </w:r>
            <w:r w:rsidRPr="00715DBB">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實質</w:t>
            </w:r>
          </w:p>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工業</w:t>
            </w:r>
          </w:p>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0"/>
              </w:rPr>
            </w:pPr>
            <w:r w:rsidRPr="00715DBB">
              <w:rPr>
                <w:rFonts w:eastAsia="標楷體" w:hint="eastAsia"/>
                <w:sz w:val="22"/>
                <w:szCs w:val="20"/>
              </w:rPr>
              <w:t>貿</w:t>
            </w:r>
            <w:r w:rsidRPr="00715DBB">
              <w:rPr>
                <w:rFonts w:eastAsia="標楷體"/>
                <w:sz w:val="22"/>
                <w:szCs w:val="20"/>
              </w:rPr>
              <w:t xml:space="preserve">    </w:t>
            </w:r>
            <w:r w:rsidRPr="00715DBB">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lang w:val="zh-TW"/>
              </w:rPr>
            </w:pPr>
            <w:r w:rsidRPr="00715DBB">
              <w:rPr>
                <w:rFonts w:eastAsia="標楷體" w:hint="eastAsia"/>
                <w:sz w:val="22"/>
                <w:szCs w:val="22"/>
                <w:lang w:val="zh-TW"/>
              </w:rPr>
              <w:t>消費者</w:t>
            </w:r>
          </w:p>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lang w:val="zh-TW"/>
              </w:rPr>
              <w:t>失業率</w:t>
            </w:r>
          </w:p>
        </w:tc>
      </w:tr>
      <w:tr w:rsidR="00715DBB" w:rsidRPr="00715DBB" w:rsidTr="008917A1">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715DBB" w:rsidRPr="00715DBB" w:rsidRDefault="00715DBB" w:rsidP="00715DBB">
            <w:pPr>
              <w:tabs>
                <w:tab w:val="left" w:pos="403"/>
                <w:tab w:val="center" w:pos="861"/>
              </w:tabs>
              <w:autoSpaceDE w:val="0"/>
              <w:autoSpaceDN w:val="0"/>
              <w:adjustRightInd w:val="0"/>
              <w:snapToGrid w:val="0"/>
              <w:spacing w:line="380" w:lineRule="exact"/>
              <w:rPr>
                <w:rFonts w:eastAsia="標楷體"/>
                <w:sz w:val="22"/>
                <w:szCs w:val="22"/>
              </w:rPr>
            </w:pPr>
            <w:r w:rsidRPr="00715DBB">
              <w:rPr>
                <w:rFonts w:eastAsia="標楷體"/>
                <w:sz w:val="22"/>
                <w:szCs w:val="22"/>
              </w:rPr>
              <w:tab/>
            </w:r>
            <w:r w:rsidRPr="00715DBB">
              <w:rPr>
                <w:rFonts w:eastAsia="標楷體"/>
                <w:sz w:val="22"/>
                <w:szCs w:val="22"/>
              </w:rPr>
              <w:tab/>
            </w:r>
            <w:r w:rsidRPr="00715DBB">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autoSpaceDE w:val="0"/>
              <w:autoSpaceDN w:val="0"/>
              <w:adjustRightInd w:val="0"/>
              <w:snapToGrid w:val="0"/>
              <w:spacing w:beforeLines="30" w:before="108" w:line="380" w:lineRule="exact"/>
              <w:jc w:val="center"/>
              <w:rPr>
                <w:rFonts w:eastAsia="標楷體"/>
                <w:sz w:val="22"/>
                <w:szCs w:val="22"/>
                <w:shd w:val="clear" w:color="auto" w:fill="FFFF99"/>
              </w:rPr>
            </w:pPr>
            <w:r w:rsidRPr="00715DBB">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15DBB" w:rsidRPr="00715DBB" w:rsidRDefault="00715DBB" w:rsidP="00715DBB">
            <w:pPr>
              <w:widowControl/>
              <w:spacing w:line="380" w:lineRule="exact"/>
              <w:rPr>
                <w:rFonts w:eastAsia="標楷體"/>
                <w:sz w:val="22"/>
                <w:szCs w:val="22"/>
              </w:rPr>
            </w:pPr>
          </w:p>
        </w:tc>
      </w:tr>
      <w:tr w:rsidR="00715DBB" w:rsidRPr="00715DBB" w:rsidTr="008917A1">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715DBB" w:rsidRPr="00715DBB" w:rsidRDefault="00D67FE6" w:rsidP="00715DBB">
            <w:pPr>
              <w:autoSpaceDE w:val="0"/>
              <w:autoSpaceDN w:val="0"/>
              <w:adjustRightInd w:val="0"/>
              <w:snapToGrid w:val="0"/>
              <w:spacing w:line="380" w:lineRule="exact"/>
              <w:jc w:val="center"/>
              <w:rPr>
                <w:rFonts w:eastAsia="標楷體"/>
                <w:sz w:val="22"/>
                <w:szCs w:val="22"/>
              </w:rPr>
            </w:pPr>
            <w:r>
              <w:rPr>
                <w:rFonts w:eastAsia="標楷體" w:hint="eastAsia"/>
                <w:sz w:val="22"/>
                <w:szCs w:val="22"/>
              </w:rPr>
              <w:t>年增</w:t>
            </w:r>
            <w:r w:rsidR="00715DBB" w:rsidRPr="00715DBB">
              <w:rPr>
                <w:rFonts w:eastAsia="標楷體" w:hint="eastAsia"/>
                <w:sz w:val="22"/>
                <w:szCs w:val="22"/>
              </w:rPr>
              <w:t>率</w:t>
            </w:r>
          </w:p>
        </w:tc>
        <w:tc>
          <w:tcPr>
            <w:tcW w:w="909" w:type="dxa"/>
            <w:tcBorders>
              <w:top w:val="single" w:sz="6" w:space="0" w:color="auto"/>
              <w:left w:val="single" w:sz="6" w:space="0" w:color="auto"/>
              <w:bottom w:val="single" w:sz="6" w:space="0" w:color="auto"/>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715DBB" w:rsidRPr="00715DBB" w:rsidRDefault="00D67FE6" w:rsidP="00715DBB">
            <w:pPr>
              <w:autoSpaceDE w:val="0"/>
              <w:autoSpaceDN w:val="0"/>
              <w:adjustRightInd w:val="0"/>
              <w:snapToGrid w:val="0"/>
              <w:spacing w:line="380" w:lineRule="exact"/>
              <w:jc w:val="center"/>
              <w:rPr>
                <w:rFonts w:eastAsia="標楷體"/>
                <w:sz w:val="22"/>
                <w:szCs w:val="22"/>
              </w:rPr>
            </w:pPr>
            <w:r>
              <w:rPr>
                <w:rFonts w:eastAsia="標楷體" w:hint="eastAsia"/>
                <w:sz w:val="22"/>
                <w:szCs w:val="22"/>
              </w:rPr>
              <w:t>年增</w:t>
            </w:r>
            <w:r w:rsidR="00715DBB" w:rsidRPr="00715DBB">
              <w:rPr>
                <w:rFonts w:eastAsia="標楷體" w:hint="eastAsia"/>
                <w:sz w:val="22"/>
                <w:szCs w:val="22"/>
              </w:rPr>
              <w:t>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15DBB" w:rsidRPr="00715DBB" w:rsidRDefault="00715DBB" w:rsidP="00715DBB">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15DBB" w:rsidRPr="00715DBB" w:rsidRDefault="00715DBB" w:rsidP="00715DBB">
            <w:pPr>
              <w:widowControl/>
              <w:spacing w:line="380" w:lineRule="exact"/>
              <w:rPr>
                <w:rFonts w:eastAsia="標楷體"/>
                <w:sz w:val="22"/>
                <w:szCs w:val="22"/>
              </w:rPr>
            </w:pP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2009</w:t>
            </w:r>
            <w:r w:rsidRPr="00715DBB">
              <w:rPr>
                <w:rFonts w:eastAsia="標楷體" w:hint="eastAsia"/>
                <w:sz w:val="22"/>
              </w:rPr>
              <w:t>年</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0.3</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2.8</w:t>
            </w:r>
          </w:p>
        </w:tc>
        <w:tc>
          <w:tcPr>
            <w:tcW w:w="720" w:type="dxa"/>
            <w:tcBorders>
              <w:top w:val="nil"/>
              <w:left w:val="single" w:sz="6" w:space="0" w:color="auto"/>
              <w:bottom w:val="nil"/>
              <w:right w:val="nil"/>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3.6</w:t>
            </w:r>
          </w:p>
        </w:tc>
      </w:tr>
      <w:tr w:rsidR="00715DBB" w:rsidRPr="00715DBB" w:rsidTr="008917A1">
        <w:trPr>
          <w:cantSplit/>
          <w:trHeight w:val="186"/>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2010</w:t>
            </w:r>
            <w:r w:rsidRPr="00715DBB">
              <w:rPr>
                <w:rFonts w:eastAsia="標楷體" w:hint="eastAsia"/>
                <w:sz w:val="22"/>
              </w:rPr>
              <w:t>年</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6.2</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4,663.8</w:t>
            </w:r>
          </w:p>
        </w:tc>
        <w:tc>
          <w:tcPr>
            <w:tcW w:w="964"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28.3</w:t>
            </w:r>
          </w:p>
        </w:tc>
        <w:tc>
          <w:tcPr>
            <w:tcW w:w="909"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4,252.1</w:t>
            </w:r>
          </w:p>
        </w:tc>
        <w:tc>
          <w:tcPr>
            <w:tcW w:w="870"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31.6</w:t>
            </w:r>
          </w:p>
        </w:tc>
        <w:tc>
          <w:tcPr>
            <w:tcW w:w="818"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3.0</w:t>
            </w:r>
          </w:p>
        </w:tc>
        <w:tc>
          <w:tcPr>
            <w:tcW w:w="720" w:type="dxa"/>
            <w:tcBorders>
              <w:top w:val="nil"/>
              <w:left w:val="single" w:sz="6" w:space="0" w:color="auto"/>
              <w:bottom w:val="nil"/>
              <w:right w:val="nil"/>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3.7</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2011</w:t>
            </w:r>
            <w:r w:rsidRPr="00715DBB">
              <w:rPr>
                <w:rFonts w:eastAsia="標楷體" w:hint="eastAsia"/>
                <w:sz w:val="22"/>
              </w:rPr>
              <w:t>年</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3.</w:t>
            </w:r>
            <w:r w:rsidRPr="00715DBB">
              <w:rPr>
                <w:rFonts w:eastAsia="標楷體" w:hint="eastAsia"/>
                <w:sz w:val="22"/>
              </w:rPr>
              <w:t>7</w:t>
            </w:r>
          </w:p>
        </w:tc>
        <w:tc>
          <w:tcPr>
            <w:tcW w:w="682"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6.8</w:t>
            </w:r>
          </w:p>
        </w:tc>
        <w:tc>
          <w:tcPr>
            <w:tcW w:w="856"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5,565.1</w:t>
            </w:r>
          </w:p>
        </w:tc>
        <w:tc>
          <w:tcPr>
            <w:tcW w:w="964"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19.3</w:t>
            </w:r>
          </w:p>
        </w:tc>
        <w:tc>
          <w:tcPr>
            <w:tcW w:w="909"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5,243.8</w:t>
            </w:r>
          </w:p>
        </w:tc>
        <w:tc>
          <w:tcPr>
            <w:tcW w:w="870"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4.0</w:t>
            </w:r>
          </w:p>
        </w:tc>
        <w:tc>
          <w:tcPr>
            <w:tcW w:w="720" w:type="dxa"/>
            <w:tcBorders>
              <w:top w:val="nil"/>
              <w:left w:val="single" w:sz="6" w:space="0" w:color="auto"/>
              <w:bottom w:val="nil"/>
              <w:right w:val="nil"/>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3.4</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2012</w:t>
            </w:r>
            <w:r w:rsidRPr="00715DBB">
              <w:rPr>
                <w:rFonts w:eastAsia="標楷體" w:hint="eastAsia"/>
                <w:sz w:val="22"/>
              </w:rPr>
              <w:t>年</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0.9</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2.2</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3.2</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6</w:t>
            </w:r>
            <w:r w:rsidRPr="00715DBB">
              <w:rPr>
                <w:rFonts w:eastAsia="標楷體" w:hint="eastAsia"/>
                <w:sz w:val="22"/>
              </w:rPr>
              <w:t>月</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w:t>
            </w:r>
            <w:r w:rsidRPr="00715DBB">
              <w:rPr>
                <w:rFonts w:eastAsia="標楷體" w:hint="eastAsia"/>
                <w:sz w:val="22"/>
              </w:rPr>
              <w:t>4</w:t>
            </w:r>
            <w:r w:rsidRPr="00715DBB">
              <w:rPr>
                <w:rFonts w:eastAsia="標楷體"/>
                <w:sz w:val="22"/>
              </w:rPr>
              <w:t>(II)</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0.6</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471.6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0.9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419.9</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-6.3</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51.7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2.2</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3.2</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7</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-0.3</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446.7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-8.7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419.8</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-5.2</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26.9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1.5</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3.1</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8</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-2.1</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430.5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411.2</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-9.4</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19.3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1.2</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3.0</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9</w:t>
            </w:r>
            <w:r w:rsidRPr="00715DBB">
              <w:rPr>
                <w:rFonts w:eastAsia="標楷體" w:hint="eastAsia"/>
                <w:sz w:val="22"/>
              </w:rPr>
              <w:t>月</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w:t>
            </w:r>
            <w:r w:rsidRPr="00715DBB">
              <w:rPr>
                <w:rFonts w:eastAsia="標楷體" w:hint="eastAsia"/>
                <w:sz w:val="22"/>
              </w:rPr>
              <w:t>6</w:t>
            </w:r>
            <w:r w:rsidRPr="00715DBB">
              <w:rPr>
                <w:rFonts w:eastAsia="標楷體"/>
                <w:sz w:val="22"/>
              </w:rPr>
              <w:t>(</w:t>
            </w:r>
            <w:r w:rsidRPr="00715DBB">
              <w:rPr>
                <w:rFonts w:eastAsia="標楷體"/>
                <w:sz w:val="22"/>
              </w:rPr>
              <w:fldChar w:fldCharType="begin"/>
            </w:r>
            <w:r w:rsidRPr="00715DBB">
              <w:rPr>
                <w:rFonts w:eastAsia="標楷體"/>
                <w:sz w:val="22"/>
              </w:rPr>
              <w:instrText xml:space="preserve"> = 3 \* ROMAN </w:instrText>
            </w:r>
            <w:r w:rsidRPr="00715DBB">
              <w:rPr>
                <w:rFonts w:eastAsia="標楷體"/>
                <w:sz w:val="22"/>
              </w:rPr>
              <w:fldChar w:fldCharType="separate"/>
            </w:r>
            <w:r w:rsidRPr="00715DBB">
              <w:rPr>
                <w:rFonts w:eastAsia="標楷體"/>
                <w:noProof/>
                <w:sz w:val="22"/>
              </w:rPr>
              <w:t>III</w:t>
            </w:r>
            <w:r w:rsidRPr="00715DBB">
              <w:rPr>
                <w:rFonts w:eastAsia="標楷體"/>
                <w:sz w:val="22"/>
              </w:rPr>
              <w:fldChar w:fldCharType="end"/>
            </w:r>
            <w:r w:rsidRPr="00715DBB">
              <w:rPr>
                <w:rFonts w:eastAsia="標楷體"/>
                <w:sz w:val="22"/>
              </w:rPr>
              <w:t>)</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-0.8</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454.1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-2.4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425.6</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-6.0</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28.5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2.0</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2.9</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10</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-1.9</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470.9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1.0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433.8</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1.6</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37.1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2.1</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2.8</w:t>
            </w:r>
          </w:p>
        </w:tc>
      </w:tr>
      <w:tr w:rsidR="00715DBB" w:rsidRPr="00715DBB" w:rsidTr="008917A1">
        <w:trPr>
          <w:cantSplit/>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11</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2.1</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478.1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3.9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433.8</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44.3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1.6</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2.8</w:t>
            </w:r>
          </w:p>
        </w:tc>
      </w:tr>
      <w:tr w:rsidR="00715DBB" w:rsidRPr="00715DBB" w:rsidTr="008917A1">
        <w:trPr>
          <w:cantSplit/>
          <w:trHeight w:val="141"/>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12</w:t>
            </w:r>
            <w:r w:rsidRPr="00715DBB">
              <w:rPr>
                <w:rFonts w:eastAsia="標楷體" w:hint="eastAsia"/>
                <w:sz w:val="22"/>
              </w:rPr>
              <w:t>月</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1.5(IV)</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-0.4</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448.8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430.7</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snapToGrid w:val="0"/>
              <w:spacing w:line="380" w:lineRule="exact"/>
              <w:jc w:val="center"/>
              <w:rPr>
                <w:rFonts w:eastAsia="標楷體"/>
                <w:sz w:val="22"/>
                <w:szCs w:val="22"/>
              </w:rPr>
            </w:pPr>
            <w:r w:rsidRPr="00715DBB">
              <w:rPr>
                <w:rFonts w:eastAsia="標楷體"/>
                <w:sz w:val="22"/>
                <w:szCs w:val="22"/>
              </w:rPr>
              <w:t>-5.3</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18.1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1.4</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2.9</w:t>
            </w:r>
          </w:p>
        </w:tc>
      </w:tr>
      <w:tr w:rsidR="00715DBB" w:rsidRPr="00715DBB" w:rsidTr="008917A1">
        <w:trPr>
          <w:cantSplit/>
          <w:trHeight w:val="141"/>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2013</w:t>
            </w:r>
            <w:r w:rsidRPr="00715DBB">
              <w:rPr>
                <w:rFonts w:eastAsia="標楷體" w:hint="eastAsia"/>
                <w:sz w:val="22"/>
              </w:rPr>
              <w:t>年</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715DBB" w:rsidRPr="00715DBB" w:rsidRDefault="00715DBB" w:rsidP="00715DBB">
            <w:pPr>
              <w:autoSpaceDE w:val="0"/>
              <w:autoSpaceDN w:val="0"/>
              <w:adjustRightInd w:val="0"/>
              <w:snapToGrid w:val="0"/>
              <w:spacing w:line="380" w:lineRule="exact"/>
              <w:jc w:val="center"/>
              <w:rPr>
                <w:rFonts w:eastAsia="標楷體"/>
                <w:sz w:val="22"/>
                <w:szCs w:val="22"/>
              </w:rPr>
            </w:pPr>
          </w:p>
        </w:tc>
      </w:tr>
      <w:tr w:rsidR="00715DBB" w:rsidRPr="00715DBB" w:rsidTr="008917A1">
        <w:trPr>
          <w:cantSplit/>
          <w:trHeight w:val="141"/>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1</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hint="eastAsia"/>
                <w:sz w:val="22"/>
                <w:szCs w:val="22"/>
              </w:rPr>
              <w:t>7.7</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457.0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10.9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452.0</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3.9</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5.0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1.5</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3.4</w:t>
            </w:r>
          </w:p>
        </w:tc>
      </w:tr>
      <w:tr w:rsidR="00715DBB" w:rsidRPr="00715DBB" w:rsidTr="008917A1">
        <w:trPr>
          <w:cantSplit/>
          <w:trHeight w:val="141"/>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2</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-9.</w:t>
            </w:r>
            <w:r w:rsidRPr="00715DBB">
              <w:rPr>
                <w:rFonts w:eastAsia="標楷體" w:hint="eastAsia"/>
                <w:sz w:val="22"/>
                <w:szCs w:val="22"/>
              </w:rPr>
              <w:t>5</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423.4 </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-8.6 </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403.2</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-10.6</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 xml:space="preserve">20.2 </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1.4</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4.0</w:t>
            </w:r>
          </w:p>
        </w:tc>
      </w:tr>
      <w:tr w:rsidR="00715DBB" w:rsidRPr="00715DBB" w:rsidTr="008917A1">
        <w:trPr>
          <w:cantSplit/>
          <w:trHeight w:val="141"/>
        </w:trPr>
        <w:tc>
          <w:tcPr>
            <w:tcW w:w="907" w:type="dxa"/>
            <w:tcBorders>
              <w:top w:val="nil"/>
              <w:left w:val="nil"/>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sz w:val="22"/>
              </w:rPr>
              <w:t>3</w:t>
            </w:r>
            <w:r w:rsidRPr="00715DBB">
              <w:rPr>
                <w:rFonts w:eastAsia="標楷體" w:hint="eastAsia"/>
                <w:sz w:val="22"/>
              </w:rPr>
              <w:t>月</w:t>
            </w:r>
          </w:p>
        </w:tc>
        <w:tc>
          <w:tcPr>
            <w:tcW w:w="941" w:type="dxa"/>
            <w:tcBorders>
              <w:top w:val="nil"/>
              <w:left w:val="single" w:sz="6" w:space="0" w:color="auto"/>
              <w:bottom w:val="nil"/>
              <w:right w:val="single" w:sz="6" w:space="0" w:color="auto"/>
            </w:tcBorders>
            <w:hideMark/>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hint="eastAsia"/>
                <w:sz w:val="22"/>
              </w:rPr>
              <w:t>1.5</w:t>
            </w:r>
            <w:r w:rsidRPr="00715DBB">
              <w:rPr>
                <w:rFonts w:eastAsia="標楷體"/>
                <w:sz w:val="22"/>
              </w:rPr>
              <w:t xml:space="preserve"> (I)</w:t>
            </w:r>
          </w:p>
        </w:tc>
        <w:tc>
          <w:tcPr>
            <w:tcW w:w="682"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w:t>
            </w:r>
            <w:r w:rsidRPr="00715DBB">
              <w:rPr>
                <w:rFonts w:eastAsia="標楷體" w:hint="eastAsia"/>
                <w:sz w:val="22"/>
                <w:szCs w:val="22"/>
              </w:rPr>
              <w:t>2.9</w:t>
            </w:r>
          </w:p>
        </w:tc>
        <w:tc>
          <w:tcPr>
            <w:tcW w:w="856"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47</w:t>
            </w:r>
            <w:r w:rsidRPr="00715DBB">
              <w:rPr>
                <w:rFonts w:eastAsia="標楷體" w:hint="eastAsia"/>
                <w:sz w:val="22"/>
                <w:szCs w:val="22"/>
              </w:rPr>
              <w:t>4</w:t>
            </w:r>
            <w:r w:rsidRPr="00715DBB">
              <w:rPr>
                <w:rFonts w:eastAsia="標楷體"/>
                <w:sz w:val="22"/>
                <w:szCs w:val="22"/>
              </w:rPr>
              <w:t>.</w:t>
            </w:r>
            <w:r w:rsidRPr="00715DBB">
              <w:rPr>
                <w:rFonts w:eastAsia="標楷體" w:hint="eastAsia"/>
                <w:sz w:val="22"/>
                <w:szCs w:val="22"/>
              </w:rPr>
              <w:t>4</w:t>
            </w:r>
          </w:p>
        </w:tc>
        <w:tc>
          <w:tcPr>
            <w:tcW w:w="964"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0.</w:t>
            </w:r>
            <w:r w:rsidRPr="00715DBB">
              <w:rPr>
                <w:rFonts w:eastAsia="標楷體" w:hint="eastAsia"/>
                <w:sz w:val="22"/>
                <w:szCs w:val="22"/>
              </w:rPr>
              <w:t>2</w:t>
            </w:r>
          </w:p>
        </w:tc>
        <w:tc>
          <w:tcPr>
            <w:tcW w:w="909"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441.</w:t>
            </w:r>
            <w:r w:rsidRPr="00715DBB">
              <w:rPr>
                <w:rFonts w:eastAsia="標楷體" w:hint="eastAsia"/>
                <w:sz w:val="22"/>
                <w:szCs w:val="22"/>
              </w:rPr>
              <w:t>5</w:t>
            </w:r>
          </w:p>
        </w:tc>
        <w:tc>
          <w:tcPr>
            <w:tcW w:w="870"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-2.0</w:t>
            </w:r>
          </w:p>
        </w:tc>
        <w:tc>
          <w:tcPr>
            <w:tcW w:w="818" w:type="dxa"/>
            <w:tcBorders>
              <w:top w:val="nil"/>
              <w:left w:val="single" w:sz="6" w:space="0" w:color="auto"/>
              <w:bottom w:val="nil"/>
              <w:right w:val="single" w:sz="6" w:space="0" w:color="auto"/>
            </w:tcBorders>
            <w:vAlign w:val="bottom"/>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33.6</w:t>
            </w:r>
          </w:p>
        </w:tc>
        <w:tc>
          <w:tcPr>
            <w:tcW w:w="823" w:type="dxa"/>
            <w:tcBorders>
              <w:top w:val="nil"/>
              <w:left w:val="single" w:sz="6" w:space="0" w:color="auto"/>
              <w:bottom w:val="nil"/>
              <w:right w:val="single" w:sz="6" w:space="0" w:color="auto"/>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1.3</w:t>
            </w:r>
          </w:p>
        </w:tc>
        <w:tc>
          <w:tcPr>
            <w:tcW w:w="720" w:type="dxa"/>
            <w:tcBorders>
              <w:top w:val="nil"/>
              <w:left w:val="single" w:sz="6" w:space="0" w:color="auto"/>
              <w:bottom w:val="nil"/>
              <w:right w:val="nil"/>
            </w:tcBorders>
            <w:vAlign w:val="center"/>
            <w:hideMark/>
          </w:tcPr>
          <w:p w:rsidR="00715DBB" w:rsidRPr="00715DBB" w:rsidRDefault="00715DBB" w:rsidP="00715DBB">
            <w:pPr>
              <w:autoSpaceDE w:val="0"/>
              <w:autoSpaceDN w:val="0"/>
              <w:adjustRightInd w:val="0"/>
              <w:snapToGrid w:val="0"/>
              <w:spacing w:line="380" w:lineRule="exact"/>
              <w:jc w:val="center"/>
              <w:rPr>
                <w:rFonts w:eastAsia="標楷體"/>
                <w:sz w:val="22"/>
                <w:szCs w:val="22"/>
              </w:rPr>
            </w:pPr>
            <w:r w:rsidRPr="00715DBB">
              <w:rPr>
                <w:rFonts w:eastAsia="標楷體"/>
                <w:sz w:val="22"/>
                <w:szCs w:val="22"/>
              </w:rPr>
              <w:t>3.5</w:t>
            </w:r>
          </w:p>
        </w:tc>
      </w:tr>
      <w:tr w:rsidR="00715DBB" w:rsidRPr="00715DBB" w:rsidTr="008917A1">
        <w:trPr>
          <w:cantSplit/>
          <w:trHeight w:val="141"/>
        </w:trPr>
        <w:tc>
          <w:tcPr>
            <w:tcW w:w="907" w:type="dxa"/>
            <w:tcBorders>
              <w:top w:val="nil"/>
              <w:left w:val="nil"/>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hint="eastAsia"/>
                <w:sz w:val="22"/>
              </w:rPr>
              <w:t>4</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1.6</w:t>
            </w:r>
          </w:p>
        </w:tc>
        <w:tc>
          <w:tcPr>
            <w:tcW w:w="856"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3.2</w:t>
            </w:r>
          </w:p>
        </w:tc>
      </w:tr>
      <w:tr w:rsidR="00715DBB" w:rsidRPr="00715DBB" w:rsidTr="008917A1">
        <w:trPr>
          <w:cantSplit/>
          <w:trHeight w:val="141"/>
        </w:trPr>
        <w:tc>
          <w:tcPr>
            <w:tcW w:w="907" w:type="dxa"/>
            <w:tcBorders>
              <w:top w:val="nil"/>
              <w:left w:val="nil"/>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hint="eastAsia"/>
                <w:sz w:val="22"/>
              </w:rPr>
              <w:t>5</w:t>
            </w:r>
            <w:r w:rsidRPr="00715DBB">
              <w:rPr>
                <w:rFonts w:eastAsia="標楷體" w:hint="eastAsia"/>
                <w:sz w:val="22"/>
              </w:rPr>
              <w:t>月</w:t>
            </w:r>
          </w:p>
        </w:tc>
        <w:tc>
          <w:tcPr>
            <w:tcW w:w="941" w:type="dxa"/>
            <w:tcBorders>
              <w:top w:val="nil"/>
              <w:left w:val="single" w:sz="6" w:space="0" w:color="auto"/>
              <w:bottom w:val="nil"/>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-1.4</w:t>
            </w:r>
          </w:p>
        </w:tc>
        <w:tc>
          <w:tcPr>
            <w:tcW w:w="856"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3.0</w:t>
            </w:r>
          </w:p>
        </w:tc>
      </w:tr>
      <w:tr w:rsidR="00715DBB" w:rsidRPr="00715DBB" w:rsidTr="008917A1">
        <w:trPr>
          <w:cantSplit/>
          <w:trHeight w:val="141"/>
        </w:trPr>
        <w:tc>
          <w:tcPr>
            <w:tcW w:w="907" w:type="dxa"/>
            <w:tcBorders>
              <w:top w:val="nil"/>
              <w:left w:val="nil"/>
              <w:bottom w:val="single" w:sz="6" w:space="0" w:color="auto"/>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r w:rsidRPr="00715DBB">
              <w:rPr>
                <w:rFonts w:eastAsia="標楷體" w:hint="eastAsia"/>
                <w:sz w:val="22"/>
              </w:rPr>
              <w:t>6</w:t>
            </w:r>
            <w:r w:rsidRPr="00715DBB">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715DBB" w:rsidRPr="00715DBB" w:rsidRDefault="00715DBB" w:rsidP="00715DB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467.3</w:t>
            </w:r>
          </w:p>
        </w:tc>
        <w:tc>
          <w:tcPr>
            <w:tcW w:w="964" w:type="dxa"/>
            <w:tcBorders>
              <w:top w:val="nil"/>
              <w:left w:val="single" w:sz="6" w:space="0" w:color="auto"/>
              <w:bottom w:val="single" w:sz="6" w:space="0" w:color="auto"/>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-0.9</w:t>
            </w:r>
          </w:p>
        </w:tc>
        <w:tc>
          <w:tcPr>
            <w:tcW w:w="909" w:type="dxa"/>
            <w:tcBorders>
              <w:top w:val="nil"/>
              <w:left w:val="single" w:sz="6" w:space="0" w:color="auto"/>
              <w:bottom w:val="single" w:sz="6" w:space="0" w:color="auto"/>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412.2</w:t>
            </w:r>
          </w:p>
        </w:tc>
        <w:tc>
          <w:tcPr>
            <w:tcW w:w="870" w:type="dxa"/>
            <w:tcBorders>
              <w:top w:val="nil"/>
              <w:left w:val="single" w:sz="6" w:space="0" w:color="auto"/>
              <w:bottom w:val="single" w:sz="6" w:space="0" w:color="auto"/>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-1.8</w:t>
            </w:r>
          </w:p>
        </w:tc>
        <w:tc>
          <w:tcPr>
            <w:tcW w:w="818" w:type="dxa"/>
            <w:tcBorders>
              <w:top w:val="nil"/>
              <w:left w:val="single" w:sz="6" w:space="0" w:color="auto"/>
              <w:bottom w:val="single" w:sz="6" w:space="0" w:color="auto"/>
              <w:right w:val="single" w:sz="6" w:space="0" w:color="auto"/>
            </w:tcBorders>
            <w:vAlign w:val="bottom"/>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55.2</w:t>
            </w:r>
          </w:p>
        </w:tc>
        <w:tc>
          <w:tcPr>
            <w:tcW w:w="823" w:type="dxa"/>
            <w:tcBorders>
              <w:top w:val="nil"/>
              <w:left w:val="single" w:sz="6" w:space="0" w:color="auto"/>
              <w:bottom w:val="single" w:sz="6" w:space="0" w:color="auto"/>
              <w:right w:val="single" w:sz="6" w:space="0" w:color="auto"/>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1.0</w:t>
            </w:r>
          </w:p>
        </w:tc>
        <w:tc>
          <w:tcPr>
            <w:tcW w:w="720" w:type="dxa"/>
            <w:tcBorders>
              <w:top w:val="nil"/>
              <w:left w:val="single" w:sz="6" w:space="0" w:color="auto"/>
              <w:bottom w:val="single" w:sz="6" w:space="0" w:color="auto"/>
              <w:right w:val="nil"/>
            </w:tcBorders>
            <w:vAlign w:val="center"/>
          </w:tcPr>
          <w:p w:rsidR="00715DBB" w:rsidRPr="00715DBB" w:rsidRDefault="00715DBB" w:rsidP="00715DBB">
            <w:pPr>
              <w:autoSpaceDE w:val="0"/>
              <w:autoSpaceDN w:val="0"/>
              <w:adjustRightInd w:val="0"/>
              <w:snapToGrid w:val="0"/>
              <w:spacing w:line="380" w:lineRule="exact"/>
              <w:jc w:val="center"/>
              <w:rPr>
                <w:rFonts w:eastAsia="標楷體"/>
                <w:color w:val="000000" w:themeColor="text1"/>
                <w:sz w:val="22"/>
                <w:szCs w:val="22"/>
              </w:rPr>
            </w:pPr>
            <w:r w:rsidRPr="00715DBB">
              <w:rPr>
                <w:rFonts w:eastAsia="標楷體" w:hint="eastAsia"/>
                <w:color w:val="000000" w:themeColor="text1"/>
                <w:sz w:val="22"/>
                <w:szCs w:val="22"/>
              </w:rPr>
              <w:t>3.1</w:t>
            </w:r>
          </w:p>
        </w:tc>
      </w:tr>
    </w:tbl>
    <w:p w:rsidR="00A92D89" w:rsidRPr="00715DBB" w:rsidRDefault="00A92D89" w:rsidP="00A92D89">
      <w:pPr>
        <w:rPr>
          <w:sz w:val="22"/>
          <w:szCs w:val="22"/>
        </w:rPr>
      </w:pPr>
      <w:r w:rsidRPr="00715DBB">
        <w:rPr>
          <w:rFonts w:eastAsia="標楷體"/>
          <w:kern w:val="0"/>
          <w:sz w:val="22"/>
          <w:szCs w:val="22"/>
        </w:rPr>
        <w:t>資料來源：韓國知識經濟部、韓國企劃財政部、韓國銀行、韓國統計局。</w:t>
      </w:r>
    </w:p>
    <w:p w:rsidR="006C04B8" w:rsidRPr="00652702" w:rsidRDefault="00E85732" w:rsidP="00652702">
      <w:pPr>
        <w:pStyle w:val="k3a"/>
        <w:numPr>
          <w:ilvl w:val="3"/>
          <w:numId w:val="0"/>
        </w:numPr>
        <w:tabs>
          <w:tab w:val="left" w:pos="709"/>
        </w:tabs>
        <w:spacing w:before="180" w:line="300" w:lineRule="auto"/>
        <w:rPr>
          <w:b/>
          <w:bCs/>
          <w:szCs w:val="28"/>
        </w:rPr>
      </w:pPr>
      <w:r w:rsidRPr="008917A1">
        <w:rPr>
          <w:b/>
          <w:bCs/>
          <w:szCs w:val="28"/>
        </w:rPr>
        <w:t>３</w:t>
      </w:r>
      <w:r w:rsidRPr="00652702">
        <w:rPr>
          <w:b/>
          <w:bCs/>
          <w:szCs w:val="28"/>
        </w:rPr>
        <w:t>、</w:t>
      </w:r>
      <w:r w:rsidR="006C04B8" w:rsidRPr="00652702">
        <w:rPr>
          <w:b/>
          <w:bCs/>
          <w:szCs w:val="28"/>
        </w:rPr>
        <w:t>新加坡</w:t>
      </w:r>
    </w:p>
    <w:p w:rsidR="000E6D86" w:rsidRPr="00652702" w:rsidRDefault="008917A1" w:rsidP="00652702">
      <w:pPr>
        <w:pStyle w:val="affffc"/>
        <w:numPr>
          <w:ilvl w:val="0"/>
          <w:numId w:val="41"/>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新加坡貿工部</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7</w:t>
      </w:r>
      <w:r w:rsidRPr="00652702">
        <w:rPr>
          <w:rFonts w:ascii="Times New Roman" w:eastAsia="標楷體" w:hAnsi="Times New Roman"/>
          <w:sz w:val="28"/>
          <w:szCs w:val="28"/>
        </w:rPr>
        <w:t>月</w:t>
      </w:r>
      <w:r w:rsidRPr="00652702">
        <w:rPr>
          <w:rFonts w:ascii="Times New Roman" w:eastAsia="標楷體" w:hAnsi="Times New Roman"/>
          <w:sz w:val="28"/>
          <w:szCs w:val="28"/>
        </w:rPr>
        <w:t>12</w:t>
      </w:r>
      <w:r w:rsidRPr="00652702">
        <w:rPr>
          <w:rFonts w:ascii="Times New Roman" w:eastAsia="標楷體" w:hAnsi="Times New Roman"/>
          <w:sz w:val="28"/>
          <w:szCs w:val="28"/>
        </w:rPr>
        <w:t>日發布初步統計指出，新加坡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年第</w:t>
      </w:r>
      <w:r w:rsidRPr="00652702">
        <w:rPr>
          <w:rFonts w:ascii="Times New Roman" w:eastAsia="標楷體" w:hAnsi="Times New Roman"/>
          <w:sz w:val="28"/>
          <w:szCs w:val="28"/>
        </w:rPr>
        <w:t>2</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年增率</w:t>
      </w:r>
      <w:r w:rsidRPr="00652702">
        <w:rPr>
          <w:rFonts w:ascii="Times New Roman" w:eastAsia="標楷體" w:hAnsi="Times New Roman"/>
          <w:sz w:val="28"/>
          <w:szCs w:val="28"/>
        </w:rPr>
        <w:t>3.7</w:t>
      </w:r>
      <w:r w:rsidR="00652702">
        <w:rPr>
          <w:rFonts w:ascii="Times New Roman" w:eastAsia="標楷體" w:hAnsi="Times New Roman" w:hint="eastAsia"/>
          <w:sz w:val="28"/>
          <w:szCs w:val="28"/>
        </w:rPr>
        <w:t>％</w:t>
      </w:r>
      <w:r w:rsidRPr="00652702">
        <w:rPr>
          <w:rFonts w:ascii="Times New Roman" w:eastAsia="標楷體" w:hAnsi="Times New Roman"/>
          <w:sz w:val="28"/>
          <w:szCs w:val="28"/>
        </w:rPr>
        <w:t>，遠高於前季的</w:t>
      </w:r>
      <w:r w:rsidRPr="00652702">
        <w:rPr>
          <w:rFonts w:ascii="Times New Roman" w:eastAsia="標楷體" w:hAnsi="Times New Roman"/>
          <w:sz w:val="28"/>
          <w:szCs w:val="28"/>
        </w:rPr>
        <w:t>0.2</w:t>
      </w:r>
      <w:r w:rsidR="00652702">
        <w:rPr>
          <w:rFonts w:ascii="Times New Roman" w:eastAsia="標楷體" w:hAnsi="Times New Roman" w:hint="eastAsia"/>
          <w:sz w:val="28"/>
          <w:szCs w:val="28"/>
        </w:rPr>
        <w:t>％</w:t>
      </w:r>
      <w:r w:rsidRPr="00652702">
        <w:rPr>
          <w:rFonts w:ascii="Times New Roman" w:eastAsia="標楷體" w:hAnsi="Times New Roman"/>
          <w:sz w:val="28"/>
          <w:szCs w:val="28"/>
        </w:rPr>
        <w:t>。其中生物醫藥業及電子業產值強勁成長，是新加坡今年第</w:t>
      </w:r>
      <w:r w:rsidRPr="00652702">
        <w:rPr>
          <w:rFonts w:ascii="Times New Roman" w:eastAsia="標楷體" w:hAnsi="Times New Roman"/>
          <w:sz w:val="28"/>
          <w:szCs w:val="28"/>
        </w:rPr>
        <w:t>2</w:t>
      </w:r>
      <w:r w:rsidRPr="00652702">
        <w:rPr>
          <w:rFonts w:ascii="Times New Roman" w:eastAsia="標楷體" w:hAnsi="Times New Roman"/>
          <w:sz w:val="28"/>
          <w:szCs w:val="28"/>
        </w:rPr>
        <w:t>季經濟成長率大幅提高的主因。新加坡政府對</w:t>
      </w:r>
      <w:r w:rsidRPr="00652702">
        <w:rPr>
          <w:rFonts w:ascii="Times New Roman" w:eastAsia="標楷體" w:hAnsi="Times New Roman"/>
          <w:sz w:val="28"/>
          <w:szCs w:val="28"/>
        </w:rPr>
        <w:t>2013</w:t>
      </w:r>
      <w:r w:rsidRPr="00652702">
        <w:rPr>
          <w:rFonts w:ascii="Times New Roman" w:eastAsia="標楷體" w:hAnsi="Times New Roman"/>
          <w:sz w:val="28"/>
          <w:szCs w:val="28"/>
        </w:rPr>
        <w:t>全年經濟成長率預測仍維持在</w:t>
      </w:r>
      <w:r w:rsidRPr="00652702">
        <w:rPr>
          <w:rFonts w:ascii="Times New Roman" w:eastAsia="標楷體" w:hAnsi="Times New Roman"/>
          <w:sz w:val="28"/>
          <w:szCs w:val="28"/>
        </w:rPr>
        <w:t>1</w:t>
      </w:r>
      <w:r w:rsidR="00652702">
        <w:rPr>
          <w:rFonts w:ascii="Times New Roman" w:eastAsia="標楷體" w:hAnsi="Times New Roman" w:hint="eastAsia"/>
          <w:sz w:val="28"/>
          <w:szCs w:val="28"/>
        </w:rPr>
        <w:t>％</w:t>
      </w:r>
      <w:r w:rsidR="00652702">
        <w:rPr>
          <w:rFonts w:ascii="Times New Roman" w:eastAsia="標楷體" w:hAnsi="Times New Roman" w:hint="eastAsia"/>
          <w:sz w:val="28"/>
          <w:szCs w:val="28"/>
        </w:rPr>
        <w:t>~</w:t>
      </w:r>
      <w:r w:rsidRPr="00652702">
        <w:rPr>
          <w:rFonts w:ascii="Times New Roman" w:eastAsia="標楷體" w:hAnsi="Times New Roman"/>
          <w:sz w:val="28"/>
          <w:szCs w:val="28"/>
        </w:rPr>
        <w:t>3</w:t>
      </w:r>
      <w:r w:rsidR="00652702">
        <w:rPr>
          <w:rFonts w:ascii="Times New Roman" w:eastAsia="標楷體" w:hAnsi="Times New Roman" w:hint="eastAsia"/>
          <w:sz w:val="28"/>
          <w:szCs w:val="28"/>
        </w:rPr>
        <w:t>％</w:t>
      </w:r>
      <w:r w:rsidRPr="00652702">
        <w:rPr>
          <w:rFonts w:ascii="Times New Roman" w:eastAsia="標楷體" w:hAnsi="Times New Roman"/>
          <w:sz w:val="28"/>
          <w:szCs w:val="28"/>
        </w:rPr>
        <w:t>。</w:t>
      </w:r>
    </w:p>
    <w:p w:rsidR="002B093E" w:rsidRPr="00652702" w:rsidRDefault="008917A1" w:rsidP="00652702">
      <w:pPr>
        <w:pStyle w:val="affffc"/>
        <w:numPr>
          <w:ilvl w:val="0"/>
          <w:numId w:val="41"/>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6</w:t>
      </w:r>
      <w:r w:rsidRPr="00652702">
        <w:rPr>
          <w:rFonts w:ascii="Times New Roman" w:eastAsia="標楷體" w:hAnsi="Times New Roman"/>
          <w:sz w:val="28"/>
          <w:szCs w:val="28"/>
        </w:rPr>
        <w:t>月份出口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2.9</w:t>
      </w:r>
      <w:r w:rsidR="00652702">
        <w:rPr>
          <w:rFonts w:ascii="Times New Roman" w:eastAsia="標楷體" w:hAnsi="Times New Roman" w:hint="eastAsia"/>
          <w:sz w:val="28"/>
          <w:szCs w:val="28"/>
        </w:rPr>
        <w:t>％</w:t>
      </w:r>
      <w:r w:rsidRPr="00652702">
        <w:rPr>
          <w:rFonts w:ascii="Times New Roman" w:eastAsia="標楷體" w:hAnsi="Times New Roman"/>
          <w:sz w:val="28"/>
          <w:szCs w:val="28"/>
        </w:rPr>
        <w:t>，進口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9.5</w:t>
      </w:r>
      <w:r w:rsidR="00652702">
        <w:rPr>
          <w:rFonts w:ascii="Times New Roman" w:eastAsia="標楷體" w:hAnsi="Times New Roman" w:hint="eastAsia"/>
          <w:sz w:val="28"/>
          <w:szCs w:val="28"/>
        </w:rPr>
        <w:t>％</w:t>
      </w:r>
      <w:r w:rsidRPr="00652702">
        <w:rPr>
          <w:rFonts w:ascii="Times New Roman" w:eastAsia="標楷體" w:hAnsi="Times New Roman"/>
          <w:sz w:val="28"/>
          <w:szCs w:val="28"/>
        </w:rPr>
        <w:t>，貿易</w:t>
      </w:r>
      <w:r w:rsidR="00805CC8">
        <w:rPr>
          <w:rFonts w:ascii="Times New Roman" w:eastAsia="標楷體" w:hAnsi="Times New Roman" w:hint="eastAsia"/>
          <w:sz w:val="28"/>
          <w:szCs w:val="28"/>
        </w:rPr>
        <w:t>出超</w:t>
      </w:r>
      <w:proofErr w:type="gramStart"/>
      <w:r w:rsidRPr="00652702">
        <w:rPr>
          <w:rFonts w:ascii="Times New Roman" w:eastAsia="標楷體" w:hAnsi="Times New Roman"/>
          <w:sz w:val="28"/>
          <w:szCs w:val="28"/>
        </w:rPr>
        <w:t>46.5</w:t>
      </w:r>
      <w:r w:rsidRPr="00652702">
        <w:rPr>
          <w:rFonts w:ascii="Times New Roman" w:eastAsia="標楷體" w:hAnsi="Times New Roman"/>
          <w:sz w:val="28"/>
          <w:szCs w:val="28"/>
        </w:rPr>
        <w:t>億星元</w:t>
      </w:r>
      <w:proofErr w:type="gramEnd"/>
      <w:r w:rsidRPr="00652702">
        <w:rPr>
          <w:rFonts w:ascii="Times New Roman" w:eastAsia="標楷體" w:hAnsi="Times New Roman"/>
          <w:sz w:val="28"/>
          <w:szCs w:val="28"/>
        </w:rPr>
        <w:t>。石油產品出口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0.9</w:t>
      </w:r>
      <w:r w:rsidR="00652702">
        <w:rPr>
          <w:rFonts w:ascii="Times New Roman" w:eastAsia="標楷體" w:hAnsi="Times New Roman" w:hint="eastAsia"/>
          <w:sz w:val="28"/>
          <w:szCs w:val="28"/>
        </w:rPr>
        <w:t>％</w:t>
      </w:r>
      <w:r w:rsidRPr="00652702">
        <w:rPr>
          <w:rFonts w:ascii="Times New Roman" w:eastAsia="標楷體" w:hAnsi="Times New Roman"/>
          <w:sz w:val="28"/>
          <w:szCs w:val="28"/>
        </w:rPr>
        <w:t>，非石油產品出口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8.8</w:t>
      </w:r>
      <w:r w:rsidR="00652702">
        <w:rPr>
          <w:rFonts w:ascii="Times New Roman" w:eastAsia="標楷體" w:hAnsi="Times New Roman" w:hint="eastAsia"/>
          <w:sz w:val="28"/>
          <w:szCs w:val="28"/>
        </w:rPr>
        <w:t>％</w:t>
      </w:r>
      <w:r w:rsidRPr="00652702">
        <w:rPr>
          <w:rFonts w:ascii="Times New Roman" w:eastAsia="標楷體" w:hAnsi="Times New Roman"/>
          <w:sz w:val="28"/>
          <w:szCs w:val="28"/>
        </w:rPr>
        <w:t>，其中電子產品出口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12.4</w:t>
      </w:r>
      <w:r w:rsidR="00652702">
        <w:rPr>
          <w:rFonts w:ascii="Times New Roman" w:eastAsia="標楷體" w:hAnsi="Times New Roman" w:hint="eastAsia"/>
          <w:sz w:val="28"/>
          <w:szCs w:val="28"/>
        </w:rPr>
        <w:t>％</w:t>
      </w:r>
      <w:r w:rsidRPr="00652702">
        <w:rPr>
          <w:rFonts w:ascii="Times New Roman" w:eastAsia="標楷體" w:hAnsi="Times New Roman"/>
          <w:sz w:val="28"/>
          <w:szCs w:val="28"/>
        </w:rPr>
        <w:t>，非電子產品出口</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7.1</w:t>
      </w:r>
      <w:r w:rsidR="00652702">
        <w:rPr>
          <w:rFonts w:ascii="Times New Roman" w:eastAsia="標楷體" w:hAnsi="Times New Roman" w:hint="eastAsia"/>
          <w:sz w:val="28"/>
          <w:szCs w:val="28"/>
        </w:rPr>
        <w:t>％</w:t>
      </w:r>
      <w:r w:rsidRPr="00652702">
        <w:rPr>
          <w:rFonts w:ascii="Times New Roman" w:eastAsia="標楷體" w:hAnsi="Times New Roman"/>
          <w:sz w:val="28"/>
          <w:szCs w:val="28"/>
        </w:rPr>
        <w:t>。</w:t>
      </w:r>
    </w:p>
    <w:p w:rsidR="000E6D86" w:rsidRPr="00652702" w:rsidRDefault="008917A1" w:rsidP="00652702">
      <w:pPr>
        <w:pStyle w:val="affffc"/>
        <w:numPr>
          <w:ilvl w:val="0"/>
          <w:numId w:val="41"/>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lastRenderedPageBreak/>
        <w:t>儘管新加坡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6</w:t>
      </w:r>
      <w:r w:rsidRPr="00652702">
        <w:rPr>
          <w:rFonts w:ascii="Times New Roman" w:eastAsia="標楷體" w:hAnsi="Times New Roman"/>
          <w:sz w:val="28"/>
          <w:szCs w:val="28"/>
        </w:rPr>
        <w:t>月運輸價格與通訊價格下降，但因其餘主要商品價格均呈現不同程度上漲，使得新加坡</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6</w:t>
      </w:r>
      <w:r w:rsidRPr="00652702">
        <w:rPr>
          <w:rFonts w:ascii="Times New Roman" w:eastAsia="標楷體" w:hAnsi="Times New Roman"/>
          <w:sz w:val="28"/>
          <w:szCs w:val="28"/>
        </w:rPr>
        <w:t>月份消費者物價指數（</w:t>
      </w:r>
      <w:r w:rsidRPr="00652702">
        <w:rPr>
          <w:rFonts w:ascii="Times New Roman" w:eastAsia="標楷體" w:hAnsi="Times New Roman"/>
          <w:sz w:val="28"/>
          <w:szCs w:val="28"/>
        </w:rPr>
        <w:t>CPI</w:t>
      </w:r>
      <w:r w:rsidRPr="00652702">
        <w:rPr>
          <w:rFonts w:ascii="Times New Roman" w:eastAsia="標楷體" w:hAnsi="Times New Roman"/>
          <w:sz w:val="28"/>
          <w:szCs w:val="28"/>
        </w:rPr>
        <w:t>）上漲率</w:t>
      </w:r>
      <w:r w:rsidRPr="00652702">
        <w:rPr>
          <w:rFonts w:ascii="Times New Roman" w:eastAsia="標楷體" w:hAnsi="Times New Roman"/>
          <w:sz w:val="28"/>
          <w:szCs w:val="28"/>
        </w:rPr>
        <w:t>1.8</w:t>
      </w:r>
      <w:r w:rsidR="00652702">
        <w:rPr>
          <w:rFonts w:ascii="Times New Roman" w:eastAsia="標楷體" w:hAnsi="Times New Roman" w:hint="eastAsia"/>
          <w:sz w:val="28"/>
          <w:szCs w:val="28"/>
        </w:rPr>
        <w:t>％</w:t>
      </w:r>
      <w:r w:rsidRPr="00652702">
        <w:rPr>
          <w:rFonts w:ascii="Times New Roman" w:eastAsia="標楷體" w:hAnsi="Times New Roman"/>
          <w:sz w:val="28"/>
          <w:szCs w:val="28"/>
        </w:rPr>
        <w:t>，漲幅較</w:t>
      </w:r>
      <w:r w:rsidRPr="00652702">
        <w:rPr>
          <w:rFonts w:ascii="Times New Roman" w:eastAsia="標楷體" w:hAnsi="Times New Roman"/>
          <w:sz w:val="28"/>
          <w:szCs w:val="28"/>
        </w:rPr>
        <w:t>5</w:t>
      </w:r>
      <w:r w:rsidRPr="00652702">
        <w:rPr>
          <w:rFonts w:ascii="Times New Roman" w:eastAsia="標楷體" w:hAnsi="Times New Roman"/>
          <w:sz w:val="28"/>
          <w:szCs w:val="28"/>
        </w:rPr>
        <w:t>月增加</w:t>
      </w:r>
      <w:r w:rsidRPr="00652702">
        <w:rPr>
          <w:rFonts w:ascii="Times New Roman" w:eastAsia="標楷體" w:hAnsi="Times New Roman"/>
          <w:sz w:val="28"/>
          <w:szCs w:val="28"/>
        </w:rPr>
        <w:t>0.2</w:t>
      </w:r>
      <w:r w:rsidRPr="00652702">
        <w:rPr>
          <w:rFonts w:ascii="Times New Roman" w:eastAsia="標楷體" w:hAnsi="Times New Roman"/>
          <w:sz w:val="28"/>
          <w:szCs w:val="28"/>
        </w:rPr>
        <w:t>個百分點。</w:t>
      </w:r>
    </w:p>
    <w:p w:rsidR="00E85732" w:rsidRPr="00652702" w:rsidRDefault="008917A1" w:rsidP="00652702">
      <w:pPr>
        <w:pStyle w:val="affffc"/>
        <w:numPr>
          <w:ilvl w:val="0"/>
          <w:numId w:val="41"/>
        </w:numPr>
        <w:snapToGrid w:val="0"/>
        <w:spacing w:beforeLines="25" w:before="9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新加坡經濟發展局</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6</w:t>
      </w:r>
      <w:r w:rsidRPr="00652702">
        <w:rPr>
          <w:rFonts w:ascii="Times New Roman" w:eastAsia="標楷體" w:hAnsi="Times New Roman"/>
          <w:sz w:val="28"/>
          <w:szCs w:val="28"/>
        </w:rPr>
        <w:t>月</w:t>
      </w:r>
      <w:r w:rsidRPr="00652702">
        <w:rPr>
          <w:rFonts w:ascii="Times New Roman" w:eastAsia="標楷體" w:hAnsi="Times New Roman"/>
          <w:sz w:val="28"/>
          <w:szCs w:val="28"/>
        </w:rPr>
        <w:t>26</w:t>
      </w:r>
      <w:r w:rsidRPr="00652702">
        <w:rPr>
          <w:rFonts w:ascii="Times New Roman" w:eastAsia="標楷體" w:hAnsi="Times New Roman"/>
          <w:sz w:val="28"/>
          <w:szCs w:val="28"/>
        </w:rPr>
        <w:t>日公布</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5</w:t>
      </w:r>
      <w:r w:rsidRPr="00652702">
        <w:rPr>
          <w:rFonts w:ascii="Times New Roman" w:eastAsia="標楷體" w:hAnsi="Times New Roman"/>
          <w:sz w:val="28"/>
          <w:szCs w:val="28"/>
        </w:rPr>
        <w:t>月份製造業產值較</w:t>
      </w:r>
      <w:r w:rsidR="009E0B50">
        <w:rPr>
          <w:rFonts w:ascii="Times New Roman" w:eastAsia="標楷體" w:hAnsi="Times New Roman" w:hint="eastAsia"/>
          <w:sz w:val="28"/>
          <w:szCs w:val="28"/>
        </w:rPr>
        <w:t>上</w:t>
      </w:r>
      <w:r w:rsidRPr="00652702">
        <w:rPr>
          <w:rFonts w:ascii="Times New Roman" w:eastAsia="標楷體" w:hAnsi="Times New Roman"/>
          <w:sz w:val="28"/>
          <w:szCs w:val="28"/>
        </w:rPr>
        <w:t>年同期增加</w:t>
      </w:r>
      <w:r w:rsidRPr="00652702">
        <w:rPr>
          <w:rFonts w:ascii="Times New Roman" w:eastAsia="標楷體" w:hAnsi="Times New Roman"/>
          <w:sz w:val="28"/>
          <w:szCs w:val="28"/>
        </w:rPr>
        <w:t>2.1</w:t>
      </w:r>
      <w:r w:rsidR="00652702">
        <w:rPr>
          <w:rFonts w:ascii="Times New Roman" w:eastAsia="標楷體" w:hAnsi="Times New Roman" w:hint="eastAsia"/>
          <w:sz w:val="28"/>
          <w:szCs w:val="28"/>
        </w:rPr>
        <w:t>％</w:t>
      </w:r>
      <w:r w:rsidRPr="00652702">
        <w:rPr>
          <w:rFonts w:ascii="Times New Roman" w:eastAsia="標楷體" w:hAnsi="Times New Roman"/>
          <w:sz w:val="28"/>
          <w:szCs w:val="28"/>
        </w:rPr>
        <w:t>，成長速度不及</w:t>
      </w:r>
      <w:r w:rsidRPr="00652702">
        <w:rPr>
          <w:rFonts w:ascii="Times New Roman" w:eastAsia="標楷體" w:hAnsi="Times New Roman"/>
          <w:sz w:val="28"/>
          <w:szCs w:val="28"/>
        </w:rPr>
        <w:t>4</w:t>
      </w:r>
      <w:r w:rsidRPr="00652702">
        <w:rPr>
          <w:rFonts w:ascii="Times New Roman" w:eastAsia="標楷體" w:hAnsi="Times New Roman"/>
          <w:sz w:val="28"/>
          <w:szCs w:val="28"/>
        </w:rPr>
        <w:t>月份。</w:t>
      </w:r>
      <w:r w:rsidRPr="00652702">
        <w:rPr>
          <w:rFonts w:ascii="Times New Roman" w:eastAsia="標楷體" w:hAnsi="Times New Roman"/>
          <w:sz w:val="28"/>
          <w:szCs w:val="28"/>
        </w:rPr>
        <w:t>5</w:t>
      </w:r>
      <w:r w:rsidRPr="00652702">
        <w:rPr>
          <w:rFonts w:ascii="Times New Roman" w:eastAsia="標楷體" w:hAnsi="Times New Roman"/>
          <w:sz w:val="28"/>
          <w:szCs w:val="28"/>
        </w:rPr>
        <w:t>月份工業產值成長主要因為醫藥行業表現突出，削減了工程行業產值下降的不利影響</w:t>
      </w:r>
      <w:r w:rsidR="009E0B50">
        <w:rPr>
          <w:rFonts w:ascii="Times New Roman" w:eastAsia="標楷體" w:hAnsi="Times New Roman" w:hint="eastAsia"/>
          <w:sz w:val="28"/>
          <w:szCs w:val="28"/>
        </w:rPr>
        <w:t>，</w:t>
      </w:r>
      <w:r w:rsidRPr="00652702">
        <w:rPr>
          <w:rFonts w:ascii="Times New Roman" w:eastAsia="標楷體" w:hAnsi="Times New Roman"/>
          <w:sz w:val="28"/>
          <w:szCs w:val="28"/>
        </w:rPr>
        <w:t>若不包括生物醫藥業，</w:t>
      </w:r>
      <w:r w:rsidRPr="00652702">
        <w:rPr>
          <w:rFonts w:ascii="Times New Roman" w:eastAsia="標楷體" w:hAnsi="Times New Roman"/>
          <w:sz w:val="28"/>
          <w:szCs w:val="28"/>
        </w:rPr>
        <w:t>5</w:t>
      </w:r>
      <w:r w:rsidRPr="00652702">
        <w:rPr>
          <w:rFonts w:ascii="Times New Roman" w:eastAsia="標楷體" w:hAnsi="Times New Roman"/>
          <w:sz w:val="28"/>
          <w:szCs w:val="28"/>
        </w:rPr>
        <w:t>月份製造業產值則較</w:t>
      </w:r>
      <w:r w:rsidR="009E0B50">
        <w:rPr>
          <w:rFonts w:ascii="Times New Roman" w:eastAsia="標楷體" w:hAnsi="Times New Roman" w:hint="eastAsia"/>
          <w:sz w:val="28"/>
          <w:szCs w:val="28"/>
        </w:rPr>
        <w:t>上</w:t>
      </w:r>
      <w:r w:rsidRPr="00652702">
        <w:rPr>
          <w:rFonts w:ascii="Times New Roman" w:eastAsia="標楷體" w:hAnsi="Times New Roman"/>
          <w:sz w:val="28"/>
          <w:szCs w:val="28"/>
        </w:rPr>
        <w:t>年同期</w:t>
      </w:r>
      <w:r w:rsidR="002774EE">
        <w:rPr>
          <w:rFonts w:ascii="Times New Roman" w:eastAsia="標楷體" w:hAnsi="Times New Roman" w:hint="eastAsia"/>
          <w:sz w:val="28"/>
          <w:szCs w:val="28"/>
        </w:rPr>
        <w:t>減少</w:t>
      </w:r>
      <w:r w:rsidRPr="00652702">
        <w:rPr>
          <w:rFonts w:ascii="Times New Roman" w:eastAsia="標楷體" w:hAnsi="Times New Roman"/>
          <w:sz w:val="28"/>
          <w:szCs w:val="28"/>
        </w:rPr>
        <w:t>2.4</w:t>
      </w:r>
      <w:r w:rsidR="00652702">
        <w:rPr>
          <w:rFonts w:ascii="Times New Roman" w:eastAsia="標楷體" w:hAnsi="Times New Roman" w:hint="eastAsia"/>
          <w:sz w:val="28"/>
          <w:szCs w:val="28"/>
        </w:rPr>
        <w:t>％</w:t>
      </w:r>
      <w:r w:rsidRPr="00652702">
        <w:rPr>
          <w:rFonts w:ascii="Times New Roman" w:eastAsia="標楷體" w:hAnsi="Times New Roman"/>
          <w:sz w:val="28"/>
          <w:szCs w:val="28"/>
        </w:rPr>
        <w:t>。</w:t>
      </w:r>
    </w:p>
    <w:p w:rsidR="000E6D86" w:rsidRPr="00652702" w:rsidRDefault="000E6D86" w:rsidP="000E6D86">
      <w:pPr>
        <w:pStyle w:val="t-5"/>
        <w:ind w:leftChars="0" w:left="0" w:firstLineChars="0" w:firstLine="0"/>
        <w:jc w:val="center"/>
        <w:rPr>
          <w:b/>
          <w:color w:val="auto"/>
          <w:sz w:val="22"/>
        </w:rPr>
      </w:pPr>
      <w:r w:rsidRPr="00652702">
        <w:rPr>
          <w:b/>
          <w:color w:val="auto"/>
        </w:rPr>
        <w:t>表</w:t>
      </w:r>
      <w:r w:rsidRPr="00652702">
        <w:rPr>
          <w:b/>
          <w:color w:val="auto"/>
        </w:rPr>
        <w:t xml:space="preserve">1-3-3   </w:t>
      </w:r>
      <w:r w:rsidRPr="00652702">
        <w:rPr>
          <w:b/>
          <w:color w:val="auto"/>
        </w:rPr>
        <w:t>新加坡重要經濟指標</w:t>
      </w:r>
    </w:p>
    <w:p w:rsidR="000E6D86" w:rsidRPr="00652702" w:rsidRDefault="000E6D86" w:rsidP="000E6D86">
      <w:pPr>
        <w:wordWrap w:val="0"/>
        <w:snapToGrid w:val="0"/>
        <w:ind w:rightChars="13" w:right="31"/>
        <w:jc w:val="right"/>
        <w:rPr>
          <w:rFonts w:eastAsia="標楷體"/>
          <w:sz w:val="22"/>
        </w:rPr>
      </w:pPr>
      <w:r w:rsidRPr="00652702">
        <w:rPr>
          <w:rFonts w:eastAsia="標楷體"/>
          <w:sz w:val="22"/>
        </w:rPr>
        <w:t xml:space="preserve">            </w:t>
      </w:r>
      <w:r w:rsidRPr="00652702">
        <w:rPr>
          <w:rFonts w:eastAsia="標楷體"/>
          <w:sz w:val="22"/>
        </w:rPr>
        <w:t>單位：</w:t>
      </w:r>
      <w:proofErr w:type="gramStart"/>
      <w:r w:rsidRPr="00652702">
        <w:rPr>
          <w:rFonts w:eastAsia="標楷體"/>
          <w:sz w:val="22"/>
        </w:rPr>
        <w:t>億星元</w:t>
      </w:r>
      <w:proofErr w:type="gramEnd"/>
      <w:r w:rsidRPr="00652702">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52702" w:rsidRPr="00652702" w:rsidTr="007A49C9">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52702" w:rsidRPr="00652702" w:rsidRDefault="00652702" w:rsidP="0065270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52702">
              <w:rPr>
                <w:rFonts w:eastAsia="標楷體" w:hint="eastAsia"/>
                <w:sz w:val="22"/>
              </w:rPr>
              <w:t>年</w:t>
            </w:r>
          </w:p>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w:t>
            </w:r>
            <w:r w:rsidRPr="00652702">
              <w:rPr>
                <w:rFonts w:eastAsia="標楷體" w:hint="eastAsia"/>
                <w:sz w:val="22"/>
              </w:rPr>
              <w:t>月</w:t>
            </w:r>
            <w:r w:rsidRPr="006527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實質</w:t>
            </w:r>
          </w:p>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工業</w:t>
            </w:r>
          </w:p>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貿</w:t>
            </w:r>
            <w:r w:rsidRPr="00652702">
              <w:rPr>
                <w:rFonts w:eastAsia="標楷體"/>
                <w:sz w:val="22"/>
              </w:rPr>
              <w:t xml:space="preserve">   </w:t>
            </w:r>
            <w:r w:rsidRPr="00652702">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消費者</w:t>
            </w:r>
          </w:p>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失業率</w:t>
            </w:r>
          </w:p>
        </w:tc>
      </w:tr>
      <w:tr w:rsidR="00652702" w:rsidRPr="00652702" w:rsidTr="007A49C9">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652702" w:rsidP="00652702">
            <w:pPr>
              <w:autoSpaceDE w:val="0"/>
              <w:autoSpaceDN w:val="0"/>
              <w:adjustRightInd w:val="0"/>
              <w:snapToGrid w:val="0"/>
              <w:spacing w:beforeLines="30" w:before="108" w:line="380" w:lineRule="exact"/>
              <w:jc w:val="center"/>
              <w:rPr>
                <w:rFonts w:eastAsia="標楷體"/>
                <w:sz w:val="22"/>
              </w:rPr>
            </w:pPr>
            <w:r w:rsidRPr="00652702">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2702" w:rsidRPr="00652702" w:rsidRDefault="00652702" w:rsidP="00652702">
            <w:pPr>
              <w:widowControl/>
              <w:spacing w:line="380" w:lineRule="exact"/>
              <w:rPr>
                <w:rFonts w:eastAsia="標楷體"/>
                <w:sz w:val="22"/>
              </w:rPr>
            </w:pPr>
          </w:p>
        </w:tc>
      </w:tr>
      <w:tr w:rsidR="00652702" w:rsidRPr="00652702" w:rsidTr="007A49C9">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805CC8" w:rsidP="00652702">
            <w:pPr>
              <w:autoSpaceDE w:val="0"/>
              <w:autoSpaceDN w:val="0"/>
              <w:adjustRightInd w:val="0"/>
              <w:snapToGrid w:val="0"/>
              <w:spacing w:line="380" w:lineRule="exact"/>
              <w:jc w:val="center"/>
              <w:rPr>
                <w:rFonts w:eastAsia="標楷體"/>
                <w:sz w:val="22"/>
              </w:rPr>
            </w:pPr>
            <w:r>
              <w:rPr>
                <w:rFonts w:eastAsia="標楷體" w:hint="eastAsia"/>
                <w:sz w:val="22"/>
              </w:rPr>
              <w:t>年增</w:t>
            </w:r>
            <w:r w:rsidR="00652702" w:rsidRPr="00652702">
              <w:rPr>
                <w:rFonts w:eastAsia="標楷體" w:hint="eastAsia"/>
                <w:sz w:val="22"/>
              </w:rPr>
              <w:t>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52702" w:rsidRPr="00652702" w:rsidRDefault="00805CC8" w:rsidP="00805CC8">
            <w:pPr>
              <w:autoSpaceDE w:val="0"/>
              <w:autoSpaceDN w:val="0"/>
              <w:adjustRightInd w:val="0"/>
              <w:snapToGrid w:val="0"/>
              <w:spacing w:line="380" w:lineRule="exact"/>
              <w:jc w:val="center"/>
              <w:rPr>
                <w:rFonts w:eastAsia="標楷體"/>
                <w:sz w:val="22"/>
              </w:rPr>
            </w:pPr>
            <w:r>
              <w:rPr>
                <w:rFonts w:eastAsia="標楷體" w:hint="eastAsia"/>
                <w:sz w:val="22"/>
              </w:rPr>
              <w:t>年增</w:t>
            </w:r>
            <w:r w:rsidR="00652702" w:rsidRPr="00652702">
              <w:rPr>
                <w:rFonts w:eastAsia="標楷體" w:hint="eastAsia"/>
                <w:sz w:val="22"/>
              </w:rPr>
              <w:t>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2702" w:rsidRPr="00652702" w:rsidRDefault="00652702" w:rsidP="0065270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2702" w:rsidRPr="00652702" w:rsidRDefault="00652702" w:rsidP="00652702">
            <w:pPr>
              <w:widowControl/>
              <w:spacing w:line="380" w:lineRule="exact"/>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2009</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0"/>
              </w:rPr>
            </w:pPr>
            <w:r w:rsidRPr="0065270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0.6</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3.0</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2010</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2.8</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2.2</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2011</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5.2</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2012</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rPr>
                <w:rFonts w:eastAsia="標楷體"/>
                <w:sz w:val="22"/>
              </w:rPr>
            </w:pPr>
            <w:r w:rsidRPr="0065270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4.6</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6</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2.3(II)</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7.7</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432.7</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-0.4</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412.6</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6.2</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20.1</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5.3</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2.0(II)</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7</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2.2</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422.3</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0.3</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387.6</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34.7</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4.0</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8</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3.9</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9</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0.0(III)</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4.7</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1.9(III)</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10</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-5.0</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4.0</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4.3</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1.8(IV)</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2013</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0.2</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-16.3</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4.9</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jc w:val="center"/>
        </w:trPr>
        <w:tc>
          <w:tcPr>
            <w:tcW w:w="895" w:type="dxa"/>
            <w:tcBorders>
              <w:top w:val="nil"/>
              <w:left w:val="nil"/>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0.2</w:t>
            </w:r>
            <w:r w:rsidRPr="00652702">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w:t>
            </w:r>
          </w:p>
        </w:tc>
        <w:tc>
          <w:tcPr>
            <w:tcW w:w="853"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3.5</w:t>
            </w:r>
          </w:p>
        </w:tc>
        <w:tc>
          <w:tcPr>
            <w:tcW w:w="853" w:type="dxa"/>
            <w:tcBorders>
              <w:top w:val="nil"/>
              <w:left w:val="single" w:sz="6" w:space="0" w:color="auto"/>
              <w:bottom w:val="nil"/>
              <w:right w:val="nil"/>
            </w:tcBorders>
            <w:shd w:val="clear" w:color="auto" w:fill="auto"/>
            <w:hideMark/>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1.9(I)</w:t>
            </w:r>
          </w:p>
        </w:tc>
      </w:tr>
      <w:tr w:rsidR="00652702" w:rsidRPr="00652702" w:rsidTr="007A49C9">
        <w:trPr>
          <w:cantSplit/>
          <w:jc w:val="center"/>
        </w:trPr>
        <w:tc>
          <w:tcPr>
            <w:tcW w:w="895" w:type="dxa"/>
            <w:tcBorders>
              <w:top w:val="nil"/>
              <w:left w:val="nil"/>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4.7</w:t>
            </w:r>
          </w:p>
        </w:tc>
        <w:tc>
          <w:tcPr>
            <w:tcW w:w="853"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438.6</w:t>
            </w:r>
          </w:p>
        </w:tc>
        <w:tc>
          <w:tcPr>
            <w:tcW w:w="810"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2.5</w:t>
            </w:r>
          </w:p>
        </w:tc>
        <w:tc>
          <w:tcPr>
            <w:tcW w:w="896"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1.5</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trHeight w:val="283"/>
          <w:jc w:val="center"/>
        </w:trPr>
        <w:tc>
          <w:tcPr>
            <w:tcW w:w="895" w:type="dxa"/>
            <w:tcBorders>
              <w:top w:val="nil"/>
              <w:left w:val="nil"/>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5</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2.1</w:t>
            </w:r>
          </w:p>
        </w:tc>
        <w:tc>
          <w:tcPr>
            <w:tcW w:w="853"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443.1</w:t>
            </w:r>
          </w:p>
        </w:tc>
        <w:tc>
          <w:tcPr>
            <w:tcW w:w="810"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-4.5</w:t>
            </w:r>
          </w:p>
        </w:tc>
        <w:tc>
          <w:tcPr>
            <w:tcW w:w="896" w:type="dxa"/>
            <w:tcBorders>
              <w:top w:val="nil"/>
              <w:left w:val="single" w:sz="6" w:space="0" w:color="auto"/>
              <w:bottom w:val="nil"/>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45.5</w:t>
            </w:r>
          </w:p>
        </w:tc>
        <w:tc>
          <w:tcPr>
            <w:tcW w:w="854" w:type="dxa"/>
            <w:tcBorders>
              <w:top w:val="nil"/>
              <w:left w:val="single" w:sz="6" w:space="0" w:color="auto"/>
              <w:bottom w:val="nil"/>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1.6</w:t>
            </w:r>
          </w:p>
        </w:tc>
        <w:tc>
          <w:tcPr>
            <w:tcW w:w="853" w:type="dxa"/>
            <w:tcBorders>
              <w:top w:val="nil"/>
              <w:left w:val="single" w:sz="6" w:space="0" w:color="auto"/>
              <w:bottom w:val="nil"/>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r w:rsidR="00652702" w:rsidRPr="00652702" w:rsidTr="007A49C9">
        <w:trPr>
          <w:cantSplit/>
          <w:trHeight w:val="283"/>
          <w:jc w:val="center"/>
        </w:trPr>
        <w:tc>
          <w:tcPr>
            <w:tcW w:w="895" w:type="dxa"/>
            <w:tcBorders>
              <w:top w:val="nil"/>
              <w:left w:val="nil"/>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6</w:t>
            </w:r>
            <w:r w:rsidRPr="00652702">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3.7</w:t>
            </w:r>
            <w:r w:rsidRPr="00652702">
              <w:rPr>
                <w:rFonts w:eastAsia="標楷體"/>
                <w:sz w:val="22"/>
              </w:rPr>
              <w:t>(II)</w:t>
            </w:r>
          </w:p>
        </w:tc>
        <w:tc>
          <w:tcPr>
            <w:tcW w:w="671" w:type="dxa"/>
            <w:tcBorders>
              <w:top w:val="nil"/>
              <w:left w:val="single" w:sz="6" w:space="0" w:color="auto"/>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419.6</w:t>
            </w:r>
          </w:p>
        </w:tc>
        <w:tc>
          <w:tcPr>
            <w:tcW w:w="810" w:type="dxa"/>
            <w:tcBorders>
              <w:top w:val="nil"/>
              <w:left w:val="single" w:sz="6" w:space="0" w:color="auto"/>
              <w:bottom w:val="single" w:sz="4" w:space="0" w:color="auto"/>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-2.9</w:t>
            </w:r>
          </w:p>
        </w:tc>
        <w:tc>
          <w:tcPr>
            <w:tcW w:w="750" w:type="dxa"/>
            <w:tcBorders>
              <w:top w:val="nil"/>
              <w:left w:val="single" w:sz="6" w:space="0" w:color="auto"/>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373.1</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-9.5</w:t>
            </w:r>
          </w:p>
        </w:tc>
        <w:tc>
          <w:tcPr>
            <w:tcW w:w="896" w:type="dxa"/>
            <w:tcBorders>
              <w:top w:val="nil"/>
              <w:left w:val="single" w:sz="6" w:space="0" w:color="auto"/>
              <w:bottom w:val="single" w:sz="4" w:space="0" w:color="auto"/>
              <w:right w:val="single" w:sz="6" w:space="0" w:color="auto"/>
            </w:tcBorders>
            <w:shd w:val="clear" w:color="auto" w:fill="auto"/>
            <w:vAlign w:val="center"/>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46.5</w:t>
            </w:r>
          </w:p>
        </w:tc>
        <w:tc>
          <w:tcPr>
            <w:tcW w:w="854" w:type="dxa"/>
            <w:tcBorders>
              <w:top w:val="nil"/>
              <w:left w:val="single" w:sz="6" w:space="0" w:color="auto"/>
              <w:bottom w:val="single" w:sz="4" w:space="0" w:color="auto"/>
              <w:right w:val="single" w:sz="6" w:space="0" w:color="auto"/>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r w:rsidRPr="00652702">
              <w:rPr>
                <w:rFonts w:eastAsia="標楷體" w:hint="eastAsia"/>
                <w:sz w:val="22"/>
              </w:rPr>
              <w:t>1.8</w:t>
            </w:r>
          </w:p>
        </w:tc>
        <w:tc>
          <w:tcPr>
            <w:tcW w:w="853" w:type="dxa"/>
            <w:tcBorders>
              <w:top w:val="nil"/>
              <w:left w:val="single" w:sz="6" w:space="0" w:color="auto"/>
              <w:bottom w:val="single" w:sz="4" w:space="0" w:color="auto"/>
              <w:right w:val="nil"/>
            </w:tcBorders>
            <w:shd w:val="clear" w:color="auto" w:fill="auto"/>
          </w:tcPr>
          <w:p w:rsidR="00652702" w:rsidRPr="00652702" w:rsidRDefault="00652702" w:rsidP="00652702">
            <w:pPr>
              <w:autoSpaceDE w:val="0"/>
              <w:autoSpaceDN w:val="0"/>
              <w:adjustRightInd w:val="0"/>
              <w:snapToGrid w:val="0"/>
              <w:spacing w:line="380" w:lineRule="exact"/>
              <w:jc w:val="center"/>
              <w:rPr>
                <w:rFonts w:eastAsia="標楷體"/>
                <w:sz w:val="22"/>
              </w:rPr>
            </w:pPr>
          </w:p>
        </w:tc>
      </w:tr>
    </w:tbl>
    <w:p w:rsidR="000E6D86" w:rsidRPr="00652702" w:rsidRDefault="000E6D86" w:rsidP="000E6D86">
      <w:pPr>
        <w:rPr>
          <w:rFonts w:eastAsia="標楷體"/>
          <w:kern w:val="0"/>
          <w:sz w:val="22"/>
          <w:szCs w:val="22"/>
        </w:rPr>
      </w:pPr>
      <w:r w:rsidRPr="00652702">
        <w:rPr>
          <w:rFonts w:eastAsia="標楷體"/>
          <w:sz w:val="22"/>
          <w:szCs w:val="22"/>
          <w:lang w:val="zh-TW"/>
        </w:rPr>
        <w:t>資料來源</w:t>
      </w:r>
      <w:r w:rsidRPr="00652702">
        <w:rPr>
          <w:rFonts w:eastAsia="標楷體"/>
          <w:sz w:val="22"/>
          <w:szCs w:val="22"/>
        </w:rPr>
        <w:t>：</w:t>
      </w:r>
      <w:r w:rsidRPr="00652702">
        <w:rPr>
          <w:rFonts w:eastAsia="標楷體"/>
          <w:kern w:val="0"/>
          <w:sz w:val="22"/>
          <w:szCs w:val="22"/>
        </w:rPr>
        <w:t>新加坡統計局。</w:t>
      </w:r>
    </w:p>
    <w:p w:rsidR="001660B1" w:rsidRPr="003111E1" w:rsidRDefault="001660B1" w:rsidP="00151176">
      <w:pPr>
        <w:spacing w:line="280" w:lineRule="exact"/>
        <w:rPr>
          <w:rFonts w:eastAsia="標楷體"/>
          <w:color w:val="FF0000"/>
          <w:kern w:val="0"/>
          <w:sz w:val="22"/>
        </w:rPr>
      </w:pPr>
    </w:p>
    <w:p w:rsidR="00E85732" w:rsidRPr="003111E1" w:rsidRDefault="00E85732" w:rsidP="00151176">
      <w:pPr>
        <w:spacing w:line="280" w:lineRule="exact"/>
        <w:rPr>
          <w:rFonts w:eastAsia="標楷體"/>
          <w:color w:val="FF0000"/>
          <w:kern w:val="0"/>
          <w:sz w:val="22"/>
        </w:rPr>
      </w:pPr>
    </w:p>
    <w:p w:rsidR="00E6225B" w:rsidRPr="00652702" w:rsidRDefault="00E85732" w:rsidP="00C55EF7">
      <w:pPr>
        <w:pStyle w:val="k3a"/>
        <w:tabs>
          <w:tab w:val="left" w:pos="540"/>
        </w:tabs>
        <w:spacing w:before="180" w:line="240" w:lineRule="atLeast"/>
        <w:ind w:leftChars="0" w:left="0" w:right="0" w:firstLineChars="0" w:firstLine="0"/>
        <w:rPr>
          <w:b/>
          <w:szCs w:val="28"/>
        </w:rPr>
      </w:pPr>
      <w:r w:rsidRPr="00652702">
        <w:rPr>
          <w:b/>
          <w:szCs w:val="28"/>
        </w:rPr>
        <w:lastRenderedPageBreak/>
        <w:t>４、</w:t>
      </w:r>
      <w:r w:rsidR="00E6225B" w:rsidRPr="00652702">
        <w:rPr>
          <w:b/>
          <w:szCs w:val="28"/>
        </w:rPr>
        <w:t>香港</w:t>
      </w:r>
    </w:p>
    <w:p w:rsidR="002B093E" w:rsidRPr="00652702" w:rsidRDefault="00652702" w:rsidP="00E85732">
      <w:pPr>
        <w:pStyle w:val="affffc"/>
        <w:numPr>
          <w:ilvl w:val="0"/>
          <w:numId w:val="43"/>
        </w:numPr>
        <w:snapToGrid w:val="0"/>
        <w:spacing w:before="180" w:line="300" w:lineRule="auto"/>
        <w:ind w:leftChars="0" w:left="709" w:right="-227" w:firstLineChars="0" w:hanging="567"/>
        <w:rPr>
          <w:rFonts w:ascii="Times New Roman" w:eastAsia="標楷體" w:hAnsi="Times New Roman"/>
          <w:sz w:val="28"/>
          <w:szCs w:val="28"/>
        </w:rPr>
      </w:pPr>
      <w:bookmarkStart w:id="54" w:name="_Toc279048474"/>
      <w:bookmarkStart w:id="55" w:name="_Toc337122129"/>
      <w:r>
        <w:rPr>
          <w:rFonts w:eastAsia="標楷體" w:hint="eastAsia"/>
          <w:sz w:val="28"/>
          <w:szCs w:val="28"/>
        </w:rPr>
        <w:t>根據環球透</w:t>
      </w:r>
      <w:r w:rsidRPr="00652702">
        <w:rPr>
          <w:rFonts w:ascii="Times New Roman" w:eastAsia="標楷體" w:hAnsi="Times New Roman"/>
          <w:sz w:val="28"/>
          <w:szCs w:val="28"/>
        </w:rPr>
        <w:t>視機構</w:t>
      </w:r>
      <w:r w:rsidR="008833E1">
        <w:rPr>
          <w:rFonts w:ascii="Times New Roman" w:eastAsia="標楷體" w:hAnsi="Times New Roman" w:hint="eastAsia"/>
          <w:sz w:val="28"/>
          <w:szCs w:val="28"/>
        </w:rPr>
        <w:t>（</w:t>
      </w:r>
      <w:r w:rsidRPr="00652702">
        <w:rPr>
          <w:rFonts w:ascii="Times New Roman" w:eastAsia="標楷體" w:hAnsi="Times New Roman"/>
          <w:sz w:val="28"/>
          <w:szCs w:val="28"/>
        </w:rPr>
        <w:t>Global Insight</w:t>
      </w:r>
      <w:r w:rsidR="008833E1">
        <w:rPr>
          <w:rFonts w:ascii="Times New Roman" w:eastAsia="標楷體" w:hAnsi="Times New Roman" w:hint="eastAsia"/>
          <w:sz w:val="28"/>
          <w:szCs w:val="28"/>
        </w:rPr>
        <w:t>）</w:t>
      </w: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7</w:t>
      </w:r>
      <w:r w:rsidRPr="00652702">
        <w:rPr>
          <w:rFonts w:ascii="Times New Roman" w:eastAsia="標楷體" w:hAnsi="Times New Roman"/>
          <w:sz w:val="28"/>
          <w:szCs w:val="28"/>
        </w:rPr>
        <w:t>月份預測資料，該機構預估香港</w:t>
      </w:r>
      <w:r w:rsidRPr="00652702">
        <w:rPr>
          <w:rFonts w:ascii="Times New Roman" w:eastAsia="標楷體" w:hAnsi="Times New Roman"/>
          <w:sz w:val="28"/>
          <w:szCs w:val="28"/>
        </w:rPr>
        <w:t>2013</w:t>
      </w:r>
      <w:r w:rsidRPr="00652702">
        <w:rPr>
          <w:rFonts w:ascii="Times New Roman" w:eastAsia="標楷體" w:hAnsi="Times New Roman"/>
          <w:sz w:val="28"/>
          <w:szCs w:val="28"/>
        </w:rPr>
        <w:t>年第</w:t>
      </w:r>
      <w:r w:rsidRPr="00652702">
        <w:rPr>
          <w:rFonts w:ascii="Times New Roman" w:eastAsia="標楷體" w:hAnsi="Times New Roman"/>
          <w:sz w:val="28"/>
          <w:szCs w:val="28"/>
        </w:rPr>
        <w:t>2</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為</w:t>
      </w:r>
      <w:r w:rsidRPr="00652702">
        <w:rPr>
          <w:rFonts w:ascii="Times New Roman" w:eastAsia="標楷體" w:hAnsi="Times New Roman"/>
          <w:sz w:val="28"/>
          <w:szCs w:val="28"/>
        </w:rPr>
        <w:t xml:space="preserve"> 2.1</w:t>
      </w:r>
      <w:r>
        <w:rPr>
          <w:rFonts w:ascii="Times New Roman" w:eastAsia="標楷體" w:hAnsi="Times New Roman" w:hint="eastAsia"/>
          <w:sz w:val="28"/>
          <w:szCs w:val="28"/>
        </w:rPr>
        <w:t>％</w:t>
      </w:r>
      <w:r w:rsidRPr="00652702">
        <w:rPr>
          <w:rFonts w:ascii="Times New Roman" w:eastAsia="標楷體" w:hAnsi="Times New Roman"/>
          <w:sz w:val="28"/>
          <w:szCs w:val="28"/>
        </w:rPr>
        <w:t>，較</w:t>
      </w:r>
      <w:r w:rsidRPr="00652702">
        <w:rPr>
          <w:rFonts w:ascii="Times New Roman" w:eastAsia="標楷體" w:hAnsi="Times New Roman"/>
          <w:sz w:val="28"/>
          <w:szCs w:val="28"/>
        </w:rPr>
        <w:t>2013</w:t>
      </w:r>
      <w:r w:rsidRPr="00652702">
        <w:rPr>
          <w:rFonts w:ascii="Times New Roman" w:eastAsia="標楷體" w:hAnsi="Times New Roman"/>
          <w:sz w:val="28"/>
          <w:szCs w:val="28"/>
        </w:rPr>
        <w:t>年第</w:t>
      </w:r>
      <w:r w:rsidRPr="00652702">
        <w:rPr>
          <w:rFonts w:ascii="Times New Roman" w:eastAsia="標楷體" w:hAnsi="Times New Roman"/>
          <w:sz w:val="28"/>
          <w:szCs w:val="28"/>
        </w:rPr>
        <w:t>1</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下滑</w:t>
      </w:r>
      <w:r w:rsidRPr="00652702">
        <w:rPr>
          <w:rFonts w:ascii="Times New Roman" w:eastAsia="標楷體" w:hAnsi="Times New Roman"/>
          <w:sz w:val="28"/>
          <w:szCs w:val="28"/>
        </w:rPr>
        <w:t>0.7</w:t>
      </w:r>
      <w:r w:rsidRPr="00652702">
        <w:rPr>
          <w:rFonts w:ascii="Times New Roman" w:eastAsia="標楷體" w:hAnsi="Times New Roman"/>
          <w:sz w:val="28"/>
          <w:szCs w:val="28"/>
        </w:rPr>
        <w:t>個百分點。</w:t>
      </w:r>
      <w:proofErr w:type="gramStart"/>
      <w:r w:rsidRPr="00652702">
        <w:rPr>
          <w:rFonts w:ascii="Times New Roman" w:eastAsia="標楷體" w:hAnsi="Times New Roman"/>
          <w:sz w:val="28"/>
          <w:szCs w:val="28"/>
        </w:rPr>
        <w:t>惟</w:t>
      </w:r>
      <w:proofErr w:type="gramEnd"/>
      <w:r w:rsidRPr="00652702">
        <w:rPr>
          <w:rFonts w:ascii="Times New Roman" w:eastAsia="標楷體" w:hAnsi="Times New Roman"/>
          <w:sz w:val="28"/>
          <w:szCs w:val="28"/>
        </w:rPr>
        <w:t>預期第</w:t>
      </w:r>
      <w:r w:rsidRPr="00652702">
        <w:rPr>
          <w:rFonts w:ascii="Times New Roman" w:eastAsia="標楷體" w:hAnsi="Times New Roman"/>
          <w:sz w:val="28"/>
          <w:szCs w:val="28"/>
        </w:rPr>
        <w:t>3</w:t>
      </w:r>
      <w:r w:rsidRPr="00652702">
        <w:rPr>
          <w:rFonts w:ascii="Times New Roman" w:eastAsia="標楷體" w:hAnsi="Times New Roman"/>
          <w:sz w:val="28"/>
          <w:szCs w:val="28"/>
        </w:rPr>
        <w:t>季及第</w:t>
      </w:r>
      <w:r w:rsidRPr="00652702">
        <w:rPr>
          <w:rFonts w:ascii="Times New Roman" w:eastAsia="標楷體" w:hAnsi="Times New Roman"/>
          <w:sz w:val="28"/>
          <w:szCs w:val="28"/>
        </w:rPr>
        <w:t>4</w:t>
      </w:r>
      <w:r w:rsidRPr="00652702">
        <w:rPr>
          <w:rFonts w:ascii="Times New Roman" w:eastAsia="標楷體" w:hAnsi="Times New Roman"/>
          <w:sz w:val="28"/>
          <w:szCs w:val="28"/>
        </w:rPr>
        <w:t>季</w:t>
      </w:r>
      <w:r w:rsidRPr="00652702">
        <w:rPr>
          <w:rFonts w:ascii="Times New Roman" w:eastAsia="標楷體" w:hAnsi="Times New Roman"/>
          <w:sz w:val="28"/>
          <w:szCs w:val="28"/>
        </w:rPr>
        <w:t>GDP</w:t>
      </w:r>
      <w:r w:rsidRPr="00652702">
        <w:rPr>
          <w:rFonts w:ascii="Times New Roman" w:eastAsia="標楷體" w:hAnsi="Times New Roman"/>
          <w:sz w:val="28"/>
          <w:szCs w:val="28"/>
        </w:rPr>
        <w:t>將可分別成長</w:t>
      </w:r>
      <w:r w:rsidRPr="00652702">
        <w:rPr>
          <w:rFonts w:ascii="Times New Roman" w:eastAsia="標楷體" w:hAnsi="Times New Roman"/>
          <w:sz w:val="28"/>
          <w:szCs w:val="28"/>
        </w:rPr>
        <w:t>3.6</w:t>
      </w:r>
      <w:r>
        <w:rPr>
          <w:rFonts w:ascii="Times New Roman" w:eastAsia="標楷體" w:hAnsi="Times New Roman" w:hint="eastAsia"/>
          <w:sz w:val="28"/>
          <w:szCs w:val="28"/>
        </w:rPr>
        <w:t>％</w:t>
      </w:r>
      <w:r w:rsidRPr="00652702">
        <w:rPr>
          <w:rFonts w:ascii="Times New Roman" w:eastAsia="標楷體" w:hAnsi="Times New Roman"/>
          <w:sz w:val="28"/>
          <w:szCs w:val="28"/>
        </w:rPr>
        <w:t>及</w:t>
      </w:r>
      <w:r w:rsidRPr="00652702">
        <w:rPr>
          <w:rFonts w:ascii="Times New Roman" w:eastAsia="標楷體" w:hAnsi="Times New Roman"/>
          <w:sz w:val="28"/>
          <w:szCs w:val="28"/>
        </w:rPr>
        <w:t>3.7</w:t>
      </w:r>
      <w:r>
        <w:rPr>
          <w:rFonts w:ascii="Times New Roman" w:eastAsia="標楷體" w:hAnsi="Times New Roman" w:hint="eastAsia"/>
          <w:sz w:val="28"/>
          <w:szCs w:val="28"/>
        </w:rPr>
        <w:t>％</w:t>
      </w:r>
      <w:r w:rsidRPr="00652702">
        <w:rPr>
          <w:rFonts w:ascii="Times New Roman" w:eastAsia="標楷體" w:hAnsi="Times New Roman"/>
          <w:sz w:val="28"/>
          <w:szCs w:val="28"/>
        </w:rPr>
        <w:t>，預估全年經濟成長率仍可達到</w:t>
      </w:r>
      <w:r w:rsidRPr="00652702">
        <w:rPr>
          <w:rFonts w:ascii="Times New Roman" w:eastAsia="標楷體" w:hAnsi="Times New Roman"/>
          <w:sz w:val="28"/>
          <w:szCs w:val="28"/>
        </w:rPr>
        <w:t>3.1</w:t>
      </w:r>
      <w:r>
        <w:rPr>
          <w:rFonts w:ascii="Times New Roman" w:eastAsia="標楷體" w:hAnsi="Times New Roman" w:hint="eastAsia"/>
          <w:sz w:val="28"/>
          <w:szCs w:val="28"/>
        </w:rPr>
        <w:t>％</w:t>
      </w:r>
      <w:r w:rsidRPr="00652702">
        <w:rPr>
          <w:rFonts w:ascii="Times New Roman" w:eastAsia="標楷體" w:hAnsi="Times New Roman"/>
          <w:sz w:val="28"/>
          <w:szCs w:val="28"/>
        </w:rPr>
        <w:t>。</w:t>
      </w:r>
    </w:p>
    <w:p w:rsidR="00D178BA" w:rsidRPr="00652702" w:rsidRDefault="00652702" w:rsidP="00E85732">
      <w:pPr>
        <w:pStyle w:val="affffc"/>
        <w:numPr>
          <w:ilvl w:val="0"/>
          <w:numId w:val="43"/>
        </w:numPr>
        <w:snapToGrid w:val="0"/>
        <w:spacing w:before="18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5</w:t>
      </w:r>
      <w:r w:rsidRPr="00652702">
        <w:rPr>
          <w:rFonts w:ascii="Times New Roman" w:eastAsia="標楷體" w:hAnsi="Times New Roman"/>
          <w:sz w:val="28"/>
          <w:szCs w:val="28"/>
        </w:rPr>
        <w:t>月出口較</w:t>
      </w:r>
      <w:r w:rsidR="00031AAB">
        <w:rPr>
          <w:rFonts w:ascii="Times New Roman" w:eastAsia="標楷體" w:hAnsi="Times New Roman" w:hint="eastAsia"/>
          <w:sz w:val="28"/>
          <w:szCs w:val="28"/>
        </w:rPr>
        <w:t>上</w:t>
      </w:r>
      <w:r w:rsidRPr="00652702">
        <w:rPr>
          <w:rFonts w:ascii="Times New Roman" w:eastAsia="標楷體" w:hAnsi="Times New Roman"/>
          <w:sz w:val="28"/>
          <w:szCs w:val="28"/>
        </w:rPr>
        <w:t>年同期</w:t>
      </w:r>
      <w:r w:rsidR="00805CC8">
        <w:rPr>
          <w:rFonts w:ascii="Times New Roman" w:eastAsia="標楷體" w:hAnsi="Times New Roman" w:hint="eastAsia"/>
          <w:sz w:val="28"/>
          <w:szCs w:val="28"/>
        </w:rPr>
        <w:t>減少</w:t>
      </w:r>
      <w:r w:rsidRPr="00652702">
        <w:rPr>
          <w:rFonts w:ascii="Times New Roman" w:eastAsia="標楷體" w:hAnsi="Times New Roman"/>
          <w:sz w:val="28"/>
          <w:szCs w:val="28"/>
        </w:rPr>
        <w:t>1.0</w:t>
      </w:r>
      <w:r>
        <w:rPr>
          <w:rFonts w:ascii="Times New Roman" w:eastAsia="標楷體" w:hAnsi="Times New Roman" w:hint="eastAsia"/>
          <w:sz w:val="28"/>
          <w:szCs w:val="28"/>
        </w:rPr>
        <w:t>％</w:t>
      </w:r>
      <w:r w:rsidRPr="00652702">
        <w:rPr>
          <w:rFonts w:ascii="Times New Roman" w:hAnsi="Times New Roman"/>
          <w:sz w:val="28"/>
          <w:szCs w:val="28"/>
        </w:rPr>
        <w:t>，</w:t>
      </w:r>
      <w:r w:rsidRPr="00652702">
        <w:rPr>
          <w:rFonts w:ascii="Times New Roman" w:eastAsia="標楷體" w:hAnsi="Times New Roman"/>
          <w:sz w:val="28"/>
          <w:szCs w:val="28"/>
        </w:rPr>
        <w:t>進口</w:t>
      </w:r>
      <w:r w:rsidR="00031AAB">
        <w:rPr>
          <w:rFonts w:ascii="Times New Roman" w:eastAsia="標楷體" w:hAnsi="Times New Roman" w:hint="eastAsia"/>
          <w:sz w:val="28"/>
          <w:szCs w:val="28"/>
        </w:rPr>
        <w:t>則</w:t>
      </w:r>
      <w:r w:rsidR="00805CC8">
        <w:rPr>
          <w:rFonts w:ascii="Times New Roman" w:eastAsia="標楷體" w:hAnsi="Times New Roman" w:hint="eastAsia"/>
          <w:sz w:val="28"/>
          <w:szCs w:val="28"/>
        </w:rPr>
        <w:t>增加</w:t>
      </w:r>
      <w:r w:rsidRPr="00652702">
        <w:rPr>
          <w:rFonts w:ascii="Times New Roman" w:eastAsia="標楷體" w:hAnsi="Times New Roman"/>
          <w:sz w:val="28"/>
          <w:szCs w:val="28"/>
        </w:rPr>
        <w:t>1.7</w:t>
      </w:r>
      <w:r>
        <w:rPr>
          <w:rFonts w:ascii="Times New Roman" w:eastAsia="標楷體" w:hAnsi="Times New Roman" w:hint="eastAsia"/>
          <w:sz w:val="28"/>
          <w:szCs w:val="28"/>
        </w:rPr>
        <w:t>％</w:t>
      </w:r>
      <w:r w:rsidRPr="00652702">
        <w:rPr>
          <w:rFonts w:ascii="Times New Roman" w:eastAsia="標楷體" w:hAnsi="Times New Roman"/>
          <w:sz w:val="28"/>
          <w:szCs w:val="28"/>
        </w:rPr>
        <w:t>，貿易</w:t>
      </w:r>
      <w:r w:rsidR="00805CC8">
        <w:rPr>
          <w:rFonts w:ascii="Times New Roman" w:eastAsia="標楷體" w:hAnsi="Times New Roman" w:hint="eastAsia"/>
          <w:sz w:val="28"/>
          <w:szCs w:val="28"/>
        </w:rPr>
        <w:t>入超</w:t>
      </w:r>
      <w:r w:rsidRPr="00652702">
        <w:rPr>
          <w:rFonts w:ascii="Times New Roman" w:eastAsia="標楷體" w:hAnsi="Times New Roman"/>
          <w:sz w:val="28"/>
          <w:szCs w:val="28"/>
        </w:rPr>
        <w:t>443</w:t>
      </w:r>
      <w:r w:rsidRPr="00652702">
        <w:rPr>
          <w:rFonts w:ascii="Times New Roman" w:eastAsia="標楷體" w:hAnsi="Times New Roman"/>
          <w:sz w:val="28"/>
          <w:szCs w:val="28"/>
        </w:rPr>
        <w:t>億港元；</w:t>
      </w:r>
      <w:r w:rsidRPr="00652702">
        <w:rPr>
          <w:rFonts w:ascii="Times New Roman" w:eastAsia="標楷體" w:hAnsi="Times New Roman"/>
          <w:sz w:val="28"/>
          <w:szCs w:val="28"/>
        </w:rPr>
        <w:t>6</w:t>
      </w:r>
      <w:r w:rsidRPr="00652702">
        <w:rPr>
          <w:rFonts w:ascii="Times New Roman" w:eastAsia="標楷體" w:hAnsi="Times New Roman"/>
          <w:sz w:val="28"/>
          <w:szCs w:val="28"/>
        </w:rPr>
        <w:t>月份消費者物價指數上</w:t>
      </w:r>
      <w:r w:rsidR="00031AAB">
        <w:rPr>
          <w:rFonts w:ascii="Times New Roman" w:eastAsia="標楷體" w:hAnsi="Times New Roman" w:hint="eastAsia"/>
          <w:sz w:val="28"/>
          <w:szCs w:val="28"/>
        </w:rPr>
        <w:t>漲</w:t>
      </w:r>
      <w:r w:rsidRPr="00652702">
        <w:rPr>
          <w:rFonts w:ascii="Times New Roman" w:eastAsia="標楷體" w:hAnsi="Times New Roman"/>
          <w:sz w:val="28"/>
          <w:szCs w:val="28"/>
        </w:rPr>
        <w:t>4.1</w:t>
      </w:r>
      <w:r>
        <w:rPr>
          <w:rFonts w:ascii="Times New Roman" w:eastAsia="標楷體" w:hAnsi="Times New Roman" w:hint="eastAsia"/>
          <w:sz w:val="28"/>
          <w:szCs w:val="28"/>
        </w:rPr>
        <w:t>％</w:t>
      </w:r>
      <w:r w:rsidRPr="00652702">
        <w:rPr>
          <w:rFonts w:ascii="Times New Roman" w:eastAsia="標楷體" w:hAnsi="Times New Roman"/>
          <w:sz w:val="28"/>
          <w:szCs w:val="28"/>
        </w:rPr>
        <w:t>；</w:t>
      </w:r>
      <w:r w:rsidRPr="00652702">
        <w:rPr>
          <w:rFonts w:ascii="Times New Roman" w:eastAsia="標楷體" w:hAnsi="Times New Roman"/>
          <w:sz w:val="28"/>
          <w:szCs w:val="28"/>
        </w:rPr>
        <w:t>4</w:t>
      </w:r>
      <w:r w:rsidRPr="00652702">
        <w:rPr>
          <w:rFonts w:ascii="Times New Roman" w:eastAsia="標楷體" w:hAnsi="Times New Roman"/>
          <w:sz w:val="28"/>
          <w:szCs w:val="28"/>
        </w:rPr>
        <w:t>至</w:t>
      </w:r>
      <w:r w:rsidRPr="00652702">
        <w:rPr>
          <w:rFonts w:ascii="Times New Roman" w:eastAsia="標楷體" w:hAnsi="Times New Roman"/>
          <w:sz w:val="28"/>
          <w:szCs w:val="28"/>
        </w:rPr>
        <w:t>6</w:t>
      </w:r>
      <w:r w:rsidRPr="00652702">
        <w:rPr>
          <w:rFonts w:ascii="Times New Roman" w:eastAsia="標楷體" w:hAnsi="Times New Roman"/>
          <w:sz w:val="28"/>
          <w:szCs w:val="28"/>
        </w:rPr>
        <w:t>月份失業率</w:t>
      </w:r>
      <w:r w:rsidRPr="00652702">
        <w:rPr>
          <w:rFonts w:ascii="Times New Roman" w:eastAsia="標楷體" w:hAnsi="Times New Roman"/>
          <w:sz w:val="28"/>
          <w:szCs w:val="28"/>
        </w:rPr>
        <w:t>3.3</w:t>
      </w:r>
      <w:r>
        <w:rPr>
          <w:rFonts w:ascii="Times New Roman" w:eastAsia="標楷體" w:hAnsi="Times New Roman" w:hint="eastAsia"/>
          <w:sz w:val="28"/>
          <w:szCs w:val="28"/>
        </w:rPr>
        <w:t>％</w:t>
      </w:r>
      <w:r w:rsidRPr="00652702">
        <w:rPr>
          <w:rFonts w:ascii="Times New Roman" w:eastAsia="標楷體" w:hAnsi="Times New Roman"/>
          <w:sz w:val="28"/>
          <w:szCs w:val="28"/>
        </w:rPr>
        <w:t>。</w:t>
      </w:r>
    </w:p>
    <w:p w:rsidR="002201C5" w:rsidRDefault="00652702" w:rsidP="00E85732">
      <w:pPr>
        <w:pStyle w:val="affffc"/>
        <w:numPr>
          <w:ilvl w:val="0"/>
          <w:numId w:val="43"/>
        </w:numPr>
        <w:snapToGrid w:val="0"/>
        <w:spacing w:before="180" w:line="300" w:lineRule="auto"/>
        <w:ind w:leftChars="0" w:left="709" w:right="-227" w:firstLineChars="0" w:hanging="567"/>
        <w:rPr>
          <w:rFonts w:ascii="Times New Roman" w:eastAsia="標楷體" w:hAnsi="Times New Roman"/>
          <w:sz w:val="28"/>
          <w:szCs w:val="28"/>
        </w:rPr>
      </w:pPr>
      <w:r w:rsidRPr="00652702">
        <w:rPr>
          <w:rFonts w:ascii="Times New Roman" w:eastAsia="標楷體" w:hAnsi="Times New Roman"/>
          <w:sz w:val="28"/>
          <w:szCs w:val="28"/>
        </w:rPr>
        <w:t>2013</w:t>
      </w:r>
      <w:r w:rsidRPr="00652702">
        <w:rPr>
          <w:rFonts w:ascii="Times New Roman" w:eastAsia="標楷體" w:hAnsi="Times New Roman"/>
          <w:sz w:val="28"/>
          <w:szCs w:val="28"/>
        </w:rPr>
        <w:t>年</w:t>
      </w:r>
      <w:r w:rsidRPr="00652702">
        <w:rPr>
          <w:rFonts w:ascii="Times New Roman" w:eastAsia="標楷體" w:hAnsi="Times New Roman"/>
          <w:sz w:val="28"/>
          <w:szCs w:val="28"/>
        </w:rPr>
        <w:t>5</w:t>
      </w:r>
      <w:r w:rsidRPr="00652702">
        <w:rPr>
          <w:rFonts w:ascii="Times New Roman" w:eastAsia="標楷體" w:hAnsi="Times New Roman"/>
          <w:sz w:val="28"/>
          <w:szCs w:val="28"/>
        </w:rPr>
        <w:t>月零售業總銷貨金額為</w:t>
      </w:r>
      <w:r w:rsidRPr="00652702">
        <w:rPr>
          <w:rFonts w:ascii="Times New Roman" w:eastAsia="標楷體" w:hAnsi="Times New Roman"/>
          <w:sz w:val="28"/>
          <w:szCs w:val="28"/>
        </w:rPr>
        <w:t>406</w:t>
      </w:r>
      <w:r w:rsidRPr="00652702">
        <w:rPr>
          <w:rFonts w:ascii="Times New Roman" w:eastAsia="標楷體" w:hAnsi="Times New Roman"/>
          <w:sz w:val="28"/>
          <w:szCs w:val="28"/>
        </w:rPr>
        <w:t>億港元，較</w:t>
      </w:r>
      <w:r w:rsidR="00031AAB">
        <w:rPr>
          <w:rFonts w:ascii="Times New Roman" w:eastAsia="標楷體" w:hAnsi="Times New Roman" w:hint="eastAsia"/>
          <w:sz w:val="28"/>
          <w:szCs w:val="28"/>
        </w:rPr>
        <w:t>上</w:t>
      </w:r>
      <w:r w:rsidRPr="00652702">
        <w:rPr>
          <w:rFonts w:ascii="Times New Roman" w:eastAsia="標楷體" w:hAnsi="Times New Roman"/>
          <w:sz w:val="28"/>
          <w:szCs w:val="28"/>
        </w:rPr>
        <w:t>年同月成長</w:t>
      </w:r>
      <w:r w:rsidRPr="00652702">
        <w:rPr>
          <w:rFonts w:ascii="Times New Roman" w:eastAsia="標楷體" w:hAnsi="Times New Roman"/>
          <w:sz w:val="28"/>
          <w:szCs w:val="28"/>
        </w:rPr>
        <w:t>12.8</w:t>
      </w:r>
      <w:r>
        <w:rPr>
          <w:rFonts w:ascii="Times New Roman" w:eastAsia="標楷體" w:hAnsi="Times New Roman" w:hint="eastAsia"/>
          <w:sz w:val="28"/>
          <w:szCs w:val="28"/>
        </w:rPr>
        <w:t>％</w:t>
      </w:r>
      <w:r w:rsidRPr="00652702">
        <w:rPr>
          <w:rFonts w:ascii="Times New Roman" w:eastAsia="標楷體" w:hAnsi="Times New Roman"/>
          <w:sz w:val="28"/>
          <w:szCs w:val="28"/>
        </w:rPr>
        <w:t>，總銷貨數量亦成長</w:t>
      </w:r>
      <w:r w:rsidRPr="00652702">
        <w:rPr>
          <w:rFonts w:ascii="Times New Roman" w:eastAsia="標楷體" w:hAnsi="Times New Roman"/>
          <w:sz w:val="28"/>
          <w:szCs w:val="28"/>
        </w:rPr>
        <w:t>12.2</w:t>
      </w:r>
      <w:r>
        <w:rPr>
          <w:rFonts w:ascii="Times New Roman" w:eastAsia="標楷體" w:hAnsi="Times New Roman" w:hint="eastAsia"/>
          <w:sz w:val="28"/>
          <w:szCs w:val="28"/>
        </w:rPr>
        <w:t>％</w:t>
      </w:r>
      <w:r w:rsidRPr="00652702">
        <w:rPr>
          <w:rFonts w:ascii="Times New Roman" w:eastAsia="標楷體" w:hAnsi="Times New Roman"/>
          <w:sz w:val="28"/>
          <w:szCs w:val="28"/>
        </w:rPr>
        <w:t>。按商店主要類別分析，以珠寶首飾、鐘錶及名貴禮物的銷貨數量增加</w:t>
      </w:r>
      <w:r w:rsidRPr="00652702">
        <w:rPr>
          <w:rFonts w:ascii="Times New Roman" w:eastAsia="標楷體" w:hAnsi="Times New Roman"/>
          <w:sz w:val="28"/>
          <w:szCs w:val="28"/>
        </w:rPr>
        <w:t>35.6</w:t>
      </w:r>
      <w:r>
        <w:rPr>
          <w:rFonts w:ascii="Times New Roman" w:eastAsia="標楷體" w:hAnsi="Times New Roman" w:hint="eastAsia"/>
          <w:sz w:val="28"/>
          <w:szCs w:val="28"/>
        </w:rPr>
        <w:t>％</w:t>
      </w:r>
      <w:r w:rsidRPr="00652702">
        <w:rPr>
          <w:rFonts w:ascii="Times New Roman" w:eastAsia="標楷體" w:hAnsi="Times New Roman"/>
          <w:sz w:val="28"/>
          <w:szCs w:val="28"/>
        </w:rPr>
        <w:t>最多，其次為百貨公司貨品增加</w:t>
      </w:r>
      <w:r w:rsidRPr="00652702">
        <w:rPr>
          <w:rFonts w:ascii="Times New Roman" w:eastAsia="標楷體" w:hAnsi="Times New Roman"/>
          <w:sz w:val="28"/>
          <w:szCs w:val="28"/>
        </w:rPr>
        <w:t>24.5</w:t>
      </w:r>
      <w:r>
        <w:rPr>
          <w:rFonts w:ascii="Times New Roman" w:eastAsia="標楷體" w:hAnsi="Times New Roman" w:hint="eastAsia"/>
          <w:sz w:val="28"/>
          <w:szCs w:val="28"/>
        </w:rPr>
        <w:t>％</w:t>
      </w:r>
      <w:r w:rsidRPr="00652702">
        <w:rPr>
          <w:rFonts w:ascii="Times New Roman" w:eastAsia="標楷體" w:hAnsi="Times New Roman"/>
          <w:sz w:val="28"/>
          <w:szCs w:val="28"/>
        </w:rPr>
        <w:t>，中藥增加</w:t>
      </w:r>
      <w:r w:rsidRPr="00652702">
        <w:rPr>
          <w:rFonts w:ascii="Times New Roman" w:eastAsia="標楷體" w:hAnsi="Times New Roman"/>
          <w:sz w:val="28"/>
          <w:szCs w:val="28"/>
        </w:rPr>
        <w:t>17.2</w:t>
      </w:r>
      <w:r>
        <w:rPr>
          <w:rFonts w:ascii="Times New Roman" w:eastAsia="標楷體" w:hAnsi="Times New Roman" w:hint="eastAsia"/>
          <w:sz w:val="28"/>
          <w:szCs w:val="28"/>
        </w:rPr>
        <w:t>％</w:t>
      </w:r>
      <w:r w:rsidRPr="00652702">
        <w:rPr>
          <w:rFonts w:ascii="Times New Roman" w:eastAsia="標楷體" w:hAnsi="Times New Roman"/>
          <w:sz w:val="28"/>
          <w:szCs w:val="28"/>
        </w:rPr>
        <w:t>。</w:t>
      </w: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F16AEB" w:rsidRDefault="00F16AEB" w:rsidP="00652702">
      <w:pPr>
        <w:snapToGrid w:val="0"/>
        <w:spacing w:before="120" w:line="300" w:lineRule="auto"/>
        <w:ind w:right="-227"/>
        <w:rPr>
          <w:rFonts w:eastAsia="標楷體"/>
          <w:sz w:val="28"/>
          <w:szCs w:val="28"/>
        </w:rPr>
      </w:pPr>
    </w:p>
    <w:p w:rsidR="00652702" w:rsidRDefault="00652702" w:rsidP="00652702">
      <w:pPr>
        <w:snapToGrid w:val="0"/>
        <w:spacing w:before="120" w:line="300" w:lineRule="auto"/>
        <w:ind w:right="-227"/>
        <w:rPr>
          <w:rFonts w:eastAsia="標楷體"/>
          <w:sz w:val="28"/>
          <w:szCs w:val="28"/>
        </w:rPr>
      </w:pPr>
    </w:p>
    <w:p w:rsidR="002201C5" w:rsidRPr="00652702" w:rsidRDefault="002201C5" w:rsidP="002201C5">
      <w:pPr>
        <w:snapToGrid w:val="0"/>
        <w:spacing w:line="240" w:lineRule="atLeast"/>
        <w:ind w:rightChars="-59" w:right="-142"/>
        <w:jc w:val="center"/>
        <w:rPr>
          <w:rFonts w:eastAsia="標楷體"/>
          <w:b/>
          <w:sz w:val="28"/>
          <w:szCs w:val="32"/>
          <w:lang w:val="zh-TW"/>
        </w:rPr>
      </w:pPr>
      <w:r w:rsidRPr="00652702">
        <w:rPr>
          <w:rFonts w:eastAsia="標楷體"/>
          <w:b/>
          <w:sz w:val="28"/>
          <w:szCs w:val="32"/>
          <w:lang w:val="zh-TW"/>
        </w:rPr>
        <w:t>表</w:t>
      </w:r>
      <w:r w:rsidRPr="00652702">
        <w:rPr>
          <w:rFonts w:eastAsia="標楷體"/>
          <w:b/>
          <w:sz w:val="28"/>
          <w:szCs w:val="32"/>
          <w:lang w:val="zh-TW"/>
        </w:rPr>
        <w:t xml:space="preserve">1-3-4   </w:t>
      </w:r>
      <w:r w:rsidRPr="00652702">
        <w:rPr>
          <w:rFonts w:eastAsia="標楷體"/>
          <w:b/>
          <w:sz w:val="28"/>
          <w:szCs w:val="32"/>
          <w:lang w:val="zh-TW"/>
        </w:rPr>
        <w:t>香港重要經濟指標</w:t>
      </w:r>
    </w:p>
    <w:p w:rsidR="002201C5" w:rsidRPr="00652702" w:rsidRDefault="002201C5" w:rsidP="00652702">
      <w:pPr>
        <w:snapToGrid w:val="0"/>
        <w:spacing w:beforeLines="50" w:before="180"/>
        <w:jc w:val="right"/>
        <w:rPr>
          <w:rFonts w:eastAsia="標楷體"/>
          <w:bCs/>
          <w:szCs w:val="28"/>
        </w:rPr>
      </w:pPr>
      <w:r w:rsidRPr="00652702">
        <w:rPr>
          <w:rFonts w:eastAsia="標楷體"/>
          <w:bCs/>
          <w:sz w:val="28"/>
          <w:szCs w:val="32"/>
          <w:lang w:val="zh-TW"/>
        </w:rPr>
        <w:t xml:space="preserve">        </w:t>
      </w:r>
      <w:r w:rsidR="007A32A1" w:rsidRPr="00652702">
        <w:rPr>
          <w:rFonts w:eastAsia="標楷體"/>
          <w:bCs/>
          <w:sz w:val="28"/>
          <w:szCs w:val="32"/>
          <w:lang w:val="zh-TW"/>
        </w:rPr>
        <w:t xml:space="preserve">　</w:t>
      </w:r>
      <w:r w:rsidRPr="00652702">
        <w:rPr>
          <w:rFonts w:eastAsia="標楷體"/>
          <w:bCs/>
          <w:sz w:val="28"/>
          <w:szCs w:val="32"/>
          <w:lang w:val="zh-TW"/>
        </w:rPr>
        <w:t xml:space="preserve">  </w:t>
      </w:r>
      <w:r w:rsidRPr="00652702">
        <w:rPr>
          <w:rFonts w:eastAsia="標楷體"/>
          <w:bCs/>
          <w:szCs w:val="28"/>
          <w:lang w:val="zh-TW"/>
        </w:rPr>
        <w:t>單位：</w:t>
      </w:r>
      <w:r w:rsidRPr="00652702">
        <w:rPr>
          <w:rFonts w:eastAsia="標楷體"/>
          <w:bCs/>
          <w:szCs w:val="28"/>
          <w:lang w:val="zh-TW"/>
        </w:rPr>
        <w:t>10</w:t>
      </w:r>
      <w:r w:rsidRPr="00652702">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652702" w:rsidRPr="00652702" w:rsidTr="007A49C9">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年</w:t>
            </w:r>
            <w:r w:rsidRPr="00652702">
              <w:rPr>
                <w:rFonts w:eastAsia="標楷體"/>
                <w:bCs/>
                <w:sz w:val="22"/>
                <w:szCs w:val="22"/>
              </w:rPr>
              <w:t>(</w:t>
            </w:r>
            <w:r w:rsidRPr="00652702">
              <w:rPr>
                <w:rFonts w:eastAsia="標楷體" w:hint="eastAsia"/>
                <w:bCs/>
                <w:sz w:val="22"/>
                <w:szCs w:val="22"/>
                <w:lang w:val="zh-TW"/>
              </w:rPr>
              <w:t>月</w:t>
            </w:r>
            <w:r w:rsidRPr="0065270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實質</w:t>
            </w:r>
          </w:p>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工業</w:t>
            </w:r>
          </w:p>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0"/>
              </w:rPr>
            </w:pPr>
            <w:r w:rsidRPr="00652702">
              <w:rPr>
                <w:rFonts w:eastAsia="標楷體" w:hint="eastAsia"/>
                <w:bCs/>
                <w:sz w:val="22"/>
                <w:szCs w:val="20"/>
              </w:rPr>
              <w:t>貿</w:t>
            </w:r>
            <w:r w:rsidRPr="00652702">
              <w:rPr>
                <w:rFonts w:eastAsia="標楷體"/>
                <w:bCs/>
                <w:sz w:val="22"/>
                <w:szCs w:val="20"/>
              </w:rPr>
              <w:t xml:space="preserve">    </w:t>
            </w:r>
            <w:r w:rsidRPr="0065270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lang w:val="zh-TW"/>
              </w:rPr>
            </w:pPr>
            <w:r w:rsidRPr="00652702">
              <w:rPr>
                <w:rFonts w:eastAsia="標楷體" w:hint="eastAsia"/>
                <w:bCs/>
                <w:sz w:val="22"/>
                <w:szCs w:val="22"/>
                <w:lang w:val="zh-TW"/>
              </w:rPr>
              <w:t>消費者</w:t>
            </w:r>
          </w:p>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lang w:val="zh-TW"/>
              </w:rPr>
              <w:t>失業率</w:t>
            </w:r>
          </w:p>
        </w:tc>
      </w:tr>
      <w:tr w:rsidR="00652702" w:rsidRPr="00652702" w:rsidTr="007A49C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52702" w:rsidRPr="00652702" w:rsidRDefault="00652702" w:rsidP="00652702">
            <w:pPr>
              <w:widowControl/>
              <w:spacing w:line="380" w:lineRule="exact"/>
              <w:rPr>
                <w:rFonts w:eastAsia="標楷體"/>
                <w:bCs/>
                <w:sz w:val="22"/>
                <w:szCs w:val="22"/>
              </w:rPr>
            </w:pPr>
          </w:p>
        </w:tc>
      </w:tr>
      <w:tr w:rsidR="00652702" w:rsidRPr="00652702" w:rsidTr="007A49C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52702" w:rsidRPr="00652702" w:rsidRDefault="00805CC8" w:rsidP="00652702">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年增</w:t>
            </w:r>
            <w:r w:rsidR="00652702" w:rsidRPr="00652702">
              <w:rPr>
                <w:rFonts w:eastAsia="標楷體" w:hint="eastAsia"/>
                <w:bCs/>
                <w:sz w:val="22"/>
                <w:szCs w:val="22"/>
              </w:rPr>
              <w:t>率</w:t>
            </w:r>
          </w:p>
        </w:tc>
        <w:tc>
          <w:tcPr>
            <w:tcW w:w="853" w:type="dxa"/>
            <w:tcBorders>
              <w:top w:val="single" w:sz="6" w:space="0" w:color="auto"/>
              <w:left w:val="single" w:sz="6" w:space="0" w:color="auto"/>
              <w:bottom w:val="single" w:sz="6" w:space="0" w:color="auto"/>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52702" w:rsidRPr="00652702" w:rsidRDefault="00805CC8" w:rsidP="00652702">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年增</w:t>
            </w:r>
            <w:r w:rsidR="00652702" w:rsidRPr="00652702">
              <w:rPr>
                <w:rFonts w:eastAsia="標楷體" w:hint="eastAsia"/>
                <w:bCs/>
                <w:sz w:val="22"/>
                <w:szCs w:val="22"/>
              </w:rPr>
              <w:t>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52702" w:rsidRPr="00652702" w:rsidRDefault="00652702" w:rsidP="00652702">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52702" w:rsidRPr="00652702" w:rsidRDefault="00652702" w:rsidP="00652702">
            <w:pPr>
              <w:widowControl/>
              <w:spacing w:line="380" w:lineRule="exact"/>
              <w:rPr>
                <w:rFonts w:eastAsia="標楷體"/>
                <w:bCs/>
                <w:sz w:val="22"/>
                <w:szCs w:val="22"/>
              </w:rPr>
            </w:pP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2009</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-2.5</w:t>
            </w:r>
          </w:p>
        </w:tc>
        <w:tc>
          <w:tcPr>
            <w:tcW w:w="93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-8.3</w:t>
            </w: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2,469.1</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-12.6</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2,692.4</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-11.0</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-223.3</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0.5</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5.2</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2010</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6.8</w:t>
            </w:r>
          </w:p>
        </w:tc>
        <w:tc>
          <w:tcPr>
            <w:tcW w:w="93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3.5</w:t>
            </w: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3,031.0</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22.8</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3,364.8</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25.0</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-333.8</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2.4</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4.4</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2011</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4.9</w:t>
            </w:r>
          </w:p>
        </w:tc>
        <w:tc>
          <w:tcPr>
            <w:tcW w:w="93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0.7</w:t>
            </w: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3,337.3</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10.1</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3,764.6</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11.9</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-427.3</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5.3</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3.4</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2012</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1.5</w:t>
            </w: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-0.8</w:t>
            </w: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2.9</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3.9</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-477.8</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3.3</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6</w:t>
            </w:r>
            <w:r w:rsidRPr="00652702">
              <w:rPr>
                <w:rFonts w:eastAsia="標楷體" w:hint="eastAsia"/>
                <w:bCs/>
                <w:sz w:val="22"/>
              </w:rPr>
              <w:t>月</w:t>
            </w:r>
          </w:p>
        </w:tc>
        <w:tc>
          <w:tcPr>
            <w:tcW w:w="100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0.9</w:t>
            </w:r>
            <w:r w:rsidRPr="00652702">
              <w:rPr>
                <w:rFonts w:eastAsia="標楷體"/>
                <w:bCs/>
                <w:sz w:val="22"/>
              </w:rPr>
              <w:t>(II)</w:t>
            </w:r>
          </w:p>
        </w:tc>
        <w:tc>
          <w:tcPr>
            <w:tcW w:w="938"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-2.9(II)</w:t>
            </w: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278.2</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-4.8</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322.9</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-2.9</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-44.7</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3.7</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3.2</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7</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276.2</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-3.5</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316.3</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-1.8</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-40.1</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1.6</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3.2</w:t>
            </w:r>
          </w:p>
        </w:tc>
      </w:tr>
      <w:tr w:rsidR="00652702" w:rsidRPr="00652702" w:rsidTr="007A49C9">
        <w:trPr>
          <w:cantSplit/>
        </w:trPr>
        <w:tc>
          <w:tcPr>
            <w:tcW w:w="1288" w:type="dxa"/>
            <w:tcBorders>
              <w:top w:val="nil"/>
              <w:left w:val="nil"/>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8</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311.7</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0.6</w:t>
            </w:r>
          </w:p>
        </w:tc>
        <w:tc>
          <w:tcPr>
            <w:tcW w:w="853"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347.7</w:t>
            </w:r>
          </w:p>
        </w:tc>
        <w:tc>
          <w:tcPr>
            <w:tcW w:w="78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bCs/>
                <w:sz w:val="22"/>
                <w:szCs w:val="22"/>
              </w:rPr>
              <w:t>0.9</w:t>
            </w:r>
          </w:p>
        </w:tc>
        <w:tc>
          <w:tcPr>
            <w:tcW w:w="910"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-36.0</w:t>
            </w:r>
          </w:p>
        </w:tc>
        <w:tc>
          <w:tcPr>
            <w:tcW w:w="854" w:type="dxa"/>
            <w:tcBorders>
              <w:top w:val="nil"/>
              <w:left w:val="single" w:sz="6" w:space="0" w:color="auto"/>
              <w:bottom w:val="nil"/>
              <w:right w:val="single" w:sz="6" w:space="0" w:color="auto"/>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3.7</w:t>
            </w:r>
          </w:p>
        </w:tc>
        <w:tc>
          <w:tcPr>
            <w:tcW w:w="835" w:type="dxa"/>
            <w:tcBorders>
              <w:top w:val="nil"/>
              <w:left w:val="single" w:sz="6" w:space="0" w:color="auto"/>
              <w:bottom w:val="nil"/>
              <w:right w:val="nil"/>
            </w:tcBorders>
            <w:hideMark/>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3.2</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9</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1.5</w:t>
            </w:r>
            <w:r w:rsidRPr="00652702">
              <w:rPr>
                <w:rFonts w:eastAsia="標楷體"/>
                <w:bCs/>
                <w:sz w:val="22"/>
              </w:rPr>
              <w:t>(III)</w:t>
            </w: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-0.1</w:t>
            </w:r>
            <w:r w:rsidRPr="00652702">
              <w:rPr>
                <w:rFonts w:eastAsia="標楷體"/>
                <w:bCs/>
                <w:sz w:val="22"/>
              </w:rPr>
              <w:t>(III)</w:t>
            </w: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313.2</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15.2</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358.3</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14.9</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-45.1</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3.3</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10</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297.0</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-2.8</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339.7</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3.3</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307.8</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10.5</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351.8</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9.0</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-44.1</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2.8</w:t>
            </w:r>
            <w:r w:rsidRPr="00652702">
              <w:rPr>
                <w:rFonts w:eastAsia="標楷體"/>
                <w:bCs/>
                <w:sz w:val="22"/>
              </w:rPr>
              <w:t>(IV)</w:t>
            </w: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1.3</w:t>
            </w:r>
            <w:r w:rsidRPr="00652702">
              <w:rPr>
                <w:rFonts w:eastAsia="標楷體"/>
                <w:bCs/>
                <w:sz w:val="22"/>
              </w:rPr>
              <w:t>(IV)</w:t>
            </w: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-47.9</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3.3</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2013</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304.8</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17.6</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332.3</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23.9</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-27.5</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3.0</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215.7</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-16.9</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249.7</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-18.3</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-34.0</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4.4</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bCs/>
                <w:sz w:val="22"/>
              </w:rPr>
              <w:t>2.</w:t>
            </w:r>
            <w:r w:rsidRPr="00652702">
              <w:rPr>
                <w:rFonts w:eastAsia="標楷體" w:hint="eastAsia"/>
                <w:bCs/>
                <w:sz w:val="22"/>
              </w:rPr>
              <w:t>8</w:t>
            </w:r>
            <w:r w:rsidRPr="00652702">
              <w:rPr>
                <w:rFonts w:eastAsia="標楷體"/>
                <w:bCs/>
                <w:sz w:val="22"/>
              </w:rPr>
              <w:t xml:space="preserve"> (I)</w:t>
            </w: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0.5</w:t>
            </w:r>
            <w:r w:rsidRPr="00652702">
              <w:rPr>
                <w:rFonts w:eastAsia="標楷體"/>
                <w:bCs/>
                <w:sz w:val="22"/>
              </w:rPr>
              <w:t xml:space="preserve"> (I)</w:t>
            </w: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291.7</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11.2</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340.9</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11.3</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-49.2</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3.6</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3.5</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290.3</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9.0</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333.0</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7.7</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3.5</w:t>
            </w:r>
          </w:p>
        </w:tc>
      </w:tr>
      <w:tr w:rsidR="00652702" w:rsidRPr="00652702" w:rsidTr="007A49C9">
        <w:trPr>
          <w:cantSplit/>
        </w:trPr>
        <w:tc>
          <w:tcPr>
            <w:tcW w:w="1288" w:type="dxa"/>
            <w:tcBorders>
              <w:top w:val="nil"/>
              <w:left w:val="nil"/>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5</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291.5</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-1.0</w:t>
            </w:r>
          </w:p>
        </w:tc>
        <w:tc>
          <w:tcPr>
            <w:tcW w:w="853"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335.8</w:t>
            </w:r>
          </w:p>
        </w:tc>
        <w:tc>
          <w:tcPr>
            <w:tcW w:w="78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1.7</w:t>
            </w:r>
          </w:p>
        </w:tc>
        <w:tc>
          <w:tcPr>
            <w:tcW w:w="910"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-44.3</w:t>
            </w:r>
          </w:p>
        </w:tc>
        <w:tc>
          <w:tcPr>
            <w:tcW w:w="854" w:type="dxa"/>
            <w:tcBorders>
              <w:top w:val="nil"/>
              <w:left w:val="single" w:sz="6" w:space="0" w:color="auto"/>
              <w:bottom w:val="nil"/>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3.9</w:t>
            </w:r>
          </w:p>
        </w:tc>
        <w:tc>
          <w:tcPr>
            <w:tcW w:w="835" w:type="dxa"/>
            <w:tcBorders>
              <w:top w:val="nil"/>
              <w:left w:val="single" w:sz="6" w:space="0" w:color="auto"/>
              <w:bottom w:val="nil"/>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3.4</w:t>
            </w:r>
          </w:p>
        </w:tc>
      </w:tr>
      <w:tr w:rsidR="00652702" w:rsidRPr="00652702" w:rsidTr="007A49C9">
        <w:trPr>
          <w:cantSplit/>
        </w:trPr>
        <w:tc>
          <w:tcPr>
            <w:tcW w:w="1288" w:type="dxa"/>
            <w:tcBorders>
              <w:top w:val="nil"/>
              <w:left w:val="nil"/>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6</w:t>
            </w:r>
            <w:r w:rsidRPr="00652702">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w:t>
            </w:r>
          </w:p>
        </w:tc>
        <w:tc>
          <w:tcPr>
            <w:tcW w:w="938"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w:t>
            </w:r>
          </w:p>
        </w:tc>
        <w:tc>
          <w:tcPr>
            <w:tcW w:w="746"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w:t>
            </w:r>
          </w:p>
        </w:tc>
        <w:tc>
          <w:tcPr>
            <w:tcW w:w="853"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szCs w:val="22"/>
              </w:rPr>
            </w:pPr>
            <w:r w:rsidRPr="00652702">
              <w:rPr>
                <w:rFonts w:eastAsia="標楷體" w:hint="eastAsia"/>
                <w:bCs/>
                <w:sz w:val="22"/>
                <w:szCs w:val="22"/>
              </w:rPr>
              <w:t>-</w:t>
            </w:r>
          </w:p>
        </w:tc>
        <w:tc>
          <w:tcPr>
            <w:tcW w:w="910"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single" w:sz="6" w:space="0" w:color="auto"/>
              <w:right w:val="nil"/>
            </w:tcBorders>
          </w:tcPr>
          <w:p w:rsidR="00652702" w:rsidRPr="00652702" w:rsidRDefault="00652702" w:rsidP="00652702">
            <w:pPr>
              <w:autoSpaceDE w:val="0"/>
              <w:autoSpaceDN w:val="0"/>
              <w:adjustRightInd w:val="0"/>
              <w:snapToGrid w:val="0"/>
              <w:spacing w:line="380" w:lineRule="exact"/>
              <w:jc w:val="center"/>
              <w:rPr>
                <w:rFonts w:eastAsia="標楷體"/>
                <w:bCs/>
                <w:sz w:val="22"/>
              </w:rPr>
            </w:pPr>
            <w:r w:rsidRPr="00652702">
              <w:rPr>
                <w:rFonts w:eastAsia="標楷體" w:hint="eastAsia"/>
                <w:bCs/>
                <w:sz w:val="22"/>
              </w:rPr>
              <w:t>3.3</w:t>
            </w:r>
          </w:p>
        </w:tc>
      </w:tr>
    </w:tbl>
    <w:p w:rsidR="002201C5" w:rsidRPr="00652702" w:rsidRDefault="002201C5" w:rsidP="002201C5">
      <w:pPr>
        <w:tabs>
          <w:tab w:val="left" w:pos="6840"/>
        </w:tabs>
        <w:autoSpaceDE w:val="0"/>
        <w:autoSpaceDN w:val="0"/>
        <w:adjustRightInd w:val="0"/>
        <w:snapToGrid w:val="0"/>
        <w:spacing w:line="300" w:lineRule="exact"/>
        <w:jc w:val="both"/>
        <w:rPr>
          <w:rFonts w:eastAsia="標楷體"/>
          <w:bCs/>
          <w:sz w:val="22"/>
          <w:lang w:val="zh-TW"/>
        </w:rPr>
      </w:pPr>
      <w:proofErr w:type="gramStart"/>
      <w:r w:rsidRPr="00652702">
        <w:rPr>
          <w:rFonts w:eastAsia="標楷體"/>
          <w:bCs/>
          <w:sz w:val="22"/>
          <w:lang w:val="zh-TW"/>
        </w:rPr>
        <w:t>註</w:t>
      </w:r>
      <w:proofErr w:type="gramEnd"/>
      <w:r w:rsidRPr="00652702">
        <w:rPr>
          <w:rFonts w:eastAsia="標楷體"/>
          <w:bCs/>
          <w:sz w:val="22"/>
        </w:rPr>
        <w:t>：出口係</w:t>
      </w:r>
      <w:r w:rsidRPr="00652702">
        <w:rPr>
          <w:rFonts w:eastAsia="標楷體"/>
          <w:sz w:val="22"/>
        </w:rPr>
        <w:t>轉口與港產品出口合計</w:t>
      </w:r>
      <w:r w:rsidRPr="00652702">
        <w:rPr>
          <w:rFonts w:eastAsia="標楷體"/>
          <w:bCs/>
          <w:sz w:val="22"/>
          <w:lang w:val="zh-TW"/>
        </w:rPr>
        <w:t>。</w:t>
      </w:r>
    </w:p>
    <w:p w:rsidR="002201C5" w:rsidRPr="00652702" w:rsidRDefault="002201C5" w:rsidP="002201C5">
      <w:pPr>
        <w:tabs>
          <w:tab w:val="left" w:pos="6840"/>
        </w:tabs>
        <w:autoSpaceDE w:val="0"/>
        <w:autoSpaceDN w:val="0"/>
        <w:adjustRightInd w:val="0"/>
        <w:snapToGrid w:val="0"/>
        <w:spacing w:line="300" w:lineRule="exact"/>
        <w:jc w:val="both"/>
        <w:rPr>
          <w:rFonts w:eastAsia="標楷體"/>
          <w:bCs/>
          <w:sz w:val="22"/>
          <w:lang w:val="zh-TW"/>
        </w:rPr>
      </w:pPr>
      <w:r w:rsidRPr="00652702">
        <w:rPr>
          <w:rFonts w:eastAsia="標楷體"/>
          <w:bCs/>
          <w:sz w:val="22"/>
          <w:lang w:val="zh-TW"/>
        </w:rPr>
        <w:t>資料來源：香港政府統計處。</w:t>
      </w:r>
    </w:p>
    <w:p w:rsidR="00132F4A" w:rsidRPr="003111E1" w:rsidRDefault="00132F4A" w:rsidP="00635DEA">
      <w:pPr>
        <w:tabs>
          <w:tab w:val="left" w:pos="6840"/>
        </w:tabs>
        <w:autoSpaceDE w:val="0"/>
        <w:autoSpaceDN w:val="0"/>
        <w:adjustRightInd w:val="0"/>
        <w:snapToGrid w:val="0"/>
        <w:spacing w:line="340" w:lineRule="exact"/>
        <w:jc w:val="both"/>
        <w:rPr>
          <w:rFonts w:eastAsia="標楷體"/>
          <w:bCs/>
          <w:color w:val="FF0000"/>
          <w:lang w:val="zh-TW"/>
        </w:rPr>
      </w:pPr>
    </w:p>
    <w:p w:rsidR="00132F4A" w:rsidRPr="003111E1" w:rsidRDefault="00132F4A" w:rsidP="00635DEA">
      <w:pPr>
        <w:tabs>
          <w:tab w:val="left" w:pos="6840"/>
        </w:tabs>
        <w:autoSpaceDE w:val="0"/>
        <w:autoSpaceDN w:val="0"/>
        <w:adjustRightInd w:val="0"/>
        <w:snapToGrid w:val="0"/>
        <w:spacing w:line="340" w:lineRule="exact"/>
        <w:jc w:val="both"/>
        <w:rPr>
          <w:rFonts w:eastAsia="標楷體"/>
          <w:bCs/>
          <w:color w:val="FF0000"/>
          <w:lang w:val="zh-TW"/>
        </w:rPr>
      </w:pPr>
    </w:p>
    <w:p w:rsidR="00132F4A" w:rsidRPr="003111E1" w:rsidRDefault="00132F4A"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660B1" w:rsidRPr="003111E1" w:rsidRDefault="001660B1" w:rsidP="00635DEA">
      <w:pPr>
        <w:tabs>
          <w:tab w:val="left" w:pos="6840"/>
        </w:tabs>
        <w:autoSpaceDE w:val="0"/>
        <w:autoSpaceDN w:val="0"/>
        <w:adjustRightInd w:val="0"/>
        <w:snapToGrid w:val="0"/>
        <w:spacing w:line="340" w:lineRule="exact"/>
        <w:jc w:val="both"/>
        <w:rPr>
          <w:rFonts w:eastAsia="標楷體"/>
          <w:bCs/>
          <w:color w:val="FF0000"/>
          <w:lang w:val="zh-TW"/>
        </w:rPr>
      </w:pPr>
    </w:p>
    <w:p w:rsidR="00132F4A" w:rsidRPr="003111E1" w:rsidRDefault="00132F4A" w:rsidP="00635DEA">
      <w:pPr>
        <w:tabs>
          <w:tab w:val="left" w:pos="6840"/>
        </w:tabs>
        <w:autoSpaceDE w:val="0"/>
        <w:autoSpaceDN w:val="0"/>
        <w:adjustRightInd w:val="0"/>
        <w:snapToGrid w:val="0"/>
        <w:spacing w:line="340" w:lineRule="exact"/>
        <w:jc w:val="both"/>
        <w:rPr>
          <w:rFonts w:eastAsia="標楷體"/>
          <w:bCs/>
          <w:color w:val="FF0000"/>
          <w:lang w:val="zh-TW"/>
        </w:rPr>
      </w:pPr>
    </w:p>
    <w:p w:rsidR="007279DE" w:rsidRPr="003111E1" w:rsidRDefault="007279DE" w:rsidP="003F11AE">
      <w:pPr>
        <w:pStyle w:val="t-2"/>
        <w:rPr>
          <w:rFonts w:hAnsi="Times New Roman"/>
        </w:rPr>
      </w:pPr>
      <w:bookmarkStart w:id="56" w:name="_Toc349916581"/>
      <w:bookmarkStart w:id="57" w:name="_Toc358042575"/>
      <w:r w:rsidRPr="003111E1">
        <w:rPr>
          <w:rFonts w:hAnsi="Times New Roman"/>
        </w:rPr>
        <w:lastRenderedPageBreak/>
        <w:t>二、國內經濟</w:t>
      </w:r>
      <w:bookmarkEnd w:id="54"/>
      <w:bookmarkEnd w:id="55"/>
      <w:bookmarkEnd w:id="56"/>
      <w:bookmarkEnd w:id="57"/>
    </w:p>
    <w:p w:rsidR="007279DE" w:rsidRPr="003111E1" w:rsidRDefault="007279DE" w:rsidP="001D7A6B">
      <w:pPr>
        <w:pStyle w:val="t-3"/>
        <w:ind w:right="-60"/>
        <w:rPr>
          <w:sz w:val="36"/>
          <w:szCs w:val="36"/>
        </w:rPr>
      </w:pPr>
      <w:bookmarkStart w:id="58" w:name="_Toc337122130"/>
      <w:bookmarkStart w:id="59" w:name="_Toc349916582"/>
      <w:bookmarkStart w:id="60" w:name="_Toc358042576"/>
      <w:r w:rsidRPr="003111E1">
        <w:rPr>
          <w:sz w:val="36"/>
          <w:szCs w:val="36"/>
        </w:rPr>
        <w:t>（一）總體情勢</w:t>
      </w:r>
      <w:bookmarkStart w:id="61" w:name="_GoBack"/>
      <w:bookmarkEnd w:id="58"/>
      <w:bookmarkEnd w:id="59"/>
      <w:bookmarkEnd w:id="60"/>
      <w:bookmarkEnd w:id="61"/>
    </w:p>
    <w:p w:rsidR="00E750C9" w:rsidRPr="00DB48A9" w:rsidRDefault="00E750C9" w:rsidP="00E750C9">
      <w:pPr>
        <w:tabs>
          <w:tab w:val="left" w:pos="540"/>
        </w:tabs>
        <w:spacing w:afterLines="50" w:after="180" w:line="400" w:lineRule="exact"/>
        <w:rPr>
          <w:rFonts w:eastAsia="標楷體"/>
          <w:b/>
          <w:bCs/>
          <w:sz w:val="28"/>
          <w:szCs w:val="28"/>
        </w:rPr>
      </w:pPr>
      <w:bookmarkStart w:id="62" w:name="_Toc337122131"/>
      <w:r w:rsidRPr="00DB48A9">
        <w:rPr>
          <w:rFonts w:eastAsia="標楷體"/>
          <w:b/>
          <w:bCs/>
          <w:sz w:val="28"/>
          <w:szCs w:val="28"/>
        </w:rPr>
        <w:t>１、</w:t>
      </w:r>
      <w:r w:rsidR="005B2621" w:rsidRPr="00DB48A9">
        <w:rPr>
          <w:rFonts w:eastAsia="標楷體"/>
          <w:b/>
          <w:bCs/>
          <w:sz w:val="28"/>
          <w:szCs w:val="28"/>
        </w:rPr>
        <w:t>102</w:t>
      </w:r>
      <w:r w:rsidR="005B2621" w:rsidRPr="00DB48A9">
        <w:rPr>
          <w:rFonts w:eastAsia="標楷體"/>
          <w:b/>
          <w:bCs/>
          <w:sz w:val="28"/>
          <w:szCs w:val="28"/>
        </w:rPr>
        <w:t>年經濟成長率預估為</w:t>
      </w:r>
      <w:r w:rsidR="003343AA" w:rsidRPr="00DB48A9">
        <w:rPr>
          <w:rFonts w:eastAsia="標楷體"/>
          <w:b/>
          <w:bCs/>
          <w:sz w:val="28"/>
          <w:szCs w:val="28"/>
        </w:rPr>
        <w:t>2.40</w:t>
      </w:r>
      <w:r w:rsidR="005B2621" w:rsidRPr="00DB48A9">
        <w:rPr>
          <w:rFonts w:eastAsia="標楷體"/>
          <w:b/>
          <w:bCs/>
          <w:sz w:val="28"/>
          <w:szCs w:val="28"/>
        </w:rPr>
        <w:t>％</w:t>
      </w:r>
    </w:p>
    <w:p w:rsidR="00E750C9" w:rsidRPr="00DB48A9" w:rsidRDefault="00DB48A9" w:rsidP="00DB48A9">
      <w:pPr>
        <w:widowControl/>
        <w:snapToGrid w:val="0"/>
        <w:spacing w:beforeLines="50" w:before="180" w:line="300" w:lineRule="auto"/>
        <w:ind w:rightChars="-59" w:right="-142" w:firstLineChars="202" w:firstLine="566"/>
        <w:jc w:val="both"/>
        <w:rPr>
          <w:rFonts w:eastAsia="標楷體"/>
          <w:kern w:val="0"/>
          <w:sz w:val="28"/>
          <w:szCs w:val="30"/>
        </w:rPr>
      </w:pPr>
      <w:r w:rsidRPr="00DB48A9">
        <w:rPr>
          <w:rFonts w:eastAsia="標楷體" w:hint="eastAsia"/>
          <w:sz w:val="28"/>
          <w:szCs w:val="28"/>
        </w:rPr>
        <w:t>全球景氣疲弱，限縮我出口擴張動能，加上實質薪資減少與年金改革不確定性，國內消費氛圍相對保守，減緩我經濟成長力道；國際商品價格走跌，加以日圓貶值效應逐漸顯現，國內物價呈溫和上漲。行政院主計總處預測</w:t>
      </w:r>
      <w:r w:rsidRPr="00DB48A9">
        <w:rPr>
          <w:rFonts w:eastAsia="標楷體" w:hint="eastAsia"/>
          <w:sz w:val="28"/>
          <w:szCs w:val="28"/>
        </w:rPr>
        <w:t>102</w:t>
      </w:r>
      <w:r w:rsidRPr="00DB48A9">
        <w:rPr>
          <w:rFonts w:eastAsia="標楷體" w:hint="eastAsia"/>
          <w:sz w:val="28"/>
          <w:szCs w:val="28"/>
        </w:rPr>
        <w:t>年經濟成長</w:t>
      </w:r>
      <w:r w:rsidRPr="00DB48A9">
        <w:rPr>
          <w:rFonts w:eastAsia="標楷體" w:hint="eastAsia"/>
          <w:sz w:val="28"/>
          <w:szCs w:val="28"/>
        </w:rPr>
        <w:t>2.40</w:t>
      </w:r>
      <w:r w:rsidRPr="00DB48A9">
        <w:rPr>
          <w:rFonts w:eastAsia="標楷體" w:hint="eastAsia"/>
          <w:sz w:val="28"/>
          <w:szCs w:val="28"/>
        </w:rPr>
        <w:t>％，消費者物價指數（</w:t>
      </w:r>
      <w:r w:rsidRPr="00DB48A9">
        <w:rPr>
          <w:rFonts w:eastAsia="標楷體" w:hint="eastAsia"/>
          <w:sz w:val="28"/>
          <w:szCs w:val="28"/>
        </w:rPr>
        <w:t>CPI</w:t>
      </w:r>
      <w:r w:rsidRPr="00DB48A9">
        <w:rPr>
          <w:rFonts w:eastAsia="標楷體" w:hint="eastAsia"/>
          <w:sz w:val="28"/>
          <w:szCs w:val="28"/>
        </w:rPr>
        <w:t>）上漲</w:t>
      </w:r>
      <w:r w:rsidRPr="00DB48A9">
        <w:rPr>
          <w:rFonts w:eastAsia="標楷體" w:hint="eastAsia"/>
          <w:sz w:val="28"/>
          <w:szCs w:val="28"/>
        </w:rPr>
        <w:t>1.23</w:t>
      </w:r>
      <w:r w:rsidRPr="00DB48A9">
        <w:rPr>
          <w:rFonts w:eastAsia="標楷體" w:hint="eastAsia"/>
          <w:sz w:val="28"/>
          <w:szCs w:val="28"/>
        </w:rPr>
        <w:t>％。</w:t>
      </w:r>
      <w:r w:rsidR="002774EE">
        <w:rPr>
          <w:rFonts w:eastAsia="標楷體" w:hint="eastAsia"/>
          <w:sz w:val="28"/>
          <w:szCs w:val="28"/>
        </w:rPr>
        <w:t>另</w:t>
      </w:r>
      <w:r w:rsidRPr="00DB48A9">
        <w:rPr>
          <w:rFonts w:eastAsia="標楷體" w:hint="eastAsia"/>
          <w:sz w:val="28"/>
          <w:szCs w:val="28"/>
        </w:rPr>
        <w:t>102</w:t>
      </w:r>
      <w:r w:rsidRPr="00DB48A9">
        <w:rPr>
          <w:rFonts w:eastAsia="標楷體" w:hint="eastAsia"/>
          <w:sz w:val="28"/>
          <w:szCs w:val="28"/>
        </w:rPr>
        <w:t>年</w:t>
      </w:r>
      <w:r w:rsidRPr="00DB48A9">
        <w:rPr>
          <w:rFonts w:eastAsia="標楷體" w:hint="eastAsia"/>
          <w:sz w:val="28"/>
          <w:szCs w:val="28"/>
        </w:rPr>
        <w:t>7</w:t>
      </w:r>
      <w:r w:rsidRPr="00DB48A9">
        <w:rPr>
          <w:rFonts w:eastAsia="標楷體" w:hint="eastAsia"/>
          <w:sz w:val="28"/>
          <w:szCs w:val="28"/>
        </w:rPr>
        <w:t>月概估統計，</w:t>
      </w:r>
      <w:r w:rsidRPr="00DB48A9">
        <w:rPr>
          <w:rFonts w:eastAsia="標楷體" w:hint="eastAsia"/>
          <w:sz w:val="28"/>
          <w:szCs w:val="28"/>
        </w:rPr>
        <w:t>102</w:t>
      </w:r>
      <w:r w:rsidRPr="00DB48A9">
        <w:rPr>
          <w:rFonts w:eastAsia="標楷體" w:hint="eastAsia"/>
          <w:sz w:val="28"/>
          <w:szCs w:val="28"/>
        </w:rPr>
        <w:t>年第</w:t>
      </w:r>
      <w:r w:rsidRPr="00DB48A9">
        <w:rPr>
          <w:rFonts w:eastAsia="標楷體" w:hint="eastAsia"/>
          <w:sz w:val="28"/>
          <w:szCs w:val="28"/>
        </w:rPr>
        <w:t>2</w:t>
      </w:r>
      <w:r w:rsidRPr="00DB48A9">
        <w:rPr>
          <w:rFonts w:eastAsia="標楷體" w:hint="eastAsia"/>
          <w:sz w:val="28"/>
          <w:szCs w:val="28"/>
        </w:rPr>
        <w:t>季經濟成長率上修至</w:t>
      </w:r>
      <w:r w:rsidRPr="00DB48A9">
        <w:rPr>
          <w:rFonts w:eastAsia="標楷體" w:hint="eastAsia"/>
          <w:sz w:val="28"/>
          <w:szCs w:val="28"/>
        </w:rPr>
        <w:t>2.27</w:t>
      </w:r>
      <w:r w:rsidRPr="00DB48A9">
        <w:rPr>
          <w:rFonts w:eastAsia="標楷體" w:hint="eastAsia"/>
          <w:sz w:val="28"/>
          <w:szCs w:val="28"/>
        </w:rPr>
        <w:t>％，其中輸出成長</w:t>
      </w:r>
      <w:r w:rsidRPr="00DB48A9">
        <w:rPr>
          <w:rFonts w:eastAsia="標楷體" w:hint="eastAsia"/>
          <w:sz w:val="28"/>
          <w:szCs w:val="28"/>
        </w:rPr>
        <w:t>4.95</w:t>
      </w:r>
      <w:r w:rsidRPr="00DB48A9">
        <w:rPr>
          <w:rFonts w:eastAsia="標楷體" w:hint="eastAsia"/>
          <w:sz w:val="28"/>
          <w:szCs w:val="28"/>
        </w:rPr>
        <w:t>％，民間消費微增</w:t>
      </w:r>
      <w:r w:rsidRPr="00DB48A9">
        <w:rPr>
          <w:rFonts w:eastAsia="標楷體" w:hint="eastAsia"/>
          <w:sz w:val="28"/>
          <w:szCs w:val="28"/>
        </w:rPr>
        <w:t>1.61</w:t>
      </w:r>
      <w:r w:rsidRPr="00DB48A9">
        <w:rPr>
          <w:rFonts w:eastAsia="標楷體" w:hint="eastAsia"/>
          <w:sz w:val="28"/>
          <w:szCs w:val="28"/>
        </w:rPr>
        <w:t>％，資本形成負成長</w:t>
      </w:r>
      <w:r w:rsidRPr="00DB48A9">
        <w:rPr>
          <w:rFonts w:eastAsia="標楷體" w:hint="eastAsia"/>
          <w:sz w:val="28"/>
          <w:szCs w:val="28"/>
        </w:rPr>
        <w:t>3.03</w:t>
      </w:r>
      <w:r w:rsidRPr="00DB48A9">
        <w:rPr>
          <w:rFonts w:eastAsia="標楷體" w:hint="eastAsia"/>
          <w:sz w:val="28"/>
          <w:szCs w:val="28"/>
        </w:rPr>
        <w:t>％。</w:t>
      </w:r>
    </w:p>
    <w:p w:rsidR="00FF0855" w:rsidRPr="00DB48A9" w:rsidRDefault="00FF0855" w:rsidP="00DB48A9">
      <w:pPr>
        <w:widowControl/>
        <w:adjustRightInd w:val="0"/>
        <w:snapToGrid w:val="0"/>
        <w:spacing w:afterLines="30" w:after="108"/>
        <w:ind w:rightChars="-59" w:right="-142"/>
        <w:jc w:val="center"/>
        <w:rPr>
          <w:rFonts w:eastAsia="標楷體"/>
          <w:kern w:val="0"/>
        </w:rPr>
      </w:pPr>
      <w:r w:rsidRPr="00DB48A9">
        <w:rPr>
          <w:rFonts w:eastAsia="標楷體"/>
          <w:b/>
          <w:bCs/>
          <w:kern w:val="0"/>
          <w:sz w:val="28"/>
          <w:szCs w:val="28"/>
        </w:rPr>
        <w:t>表</w:t>
      </w:r>
      <w:r w:rsidRPr="00DB48A9">
        <w:rPr>
          <w:rFonts w:eastAsia="標楷體"/>
          <w:b/>
          <w:bCs/>
          <w:kern w:val="0"/>
          <w:sz w:val="28"/>
          <w:szCs w:val="28"/>
        </w:rPr>
        <w:t xml:space="preserve"> 2-1-1 </w:t>
      </w:r>
      <w:r w:rsidRPr="00DB48A9">
        <w:rPr>
          <w:rFonts w:eastAsia="標楷體"/>
          <w:b/>
          <w:bCs/>
          <w:kern w:val="0"/>
          <w:sz w:val="28"/>
          <w:szCs w:val="28"/>
        </w:rPr>
        <w:t>國內外主要機構對我國經濟成長率預測</w:t>
      </w:r>
      <w:r w:rsidR="00DB48A9">
        <w:rPr>
          <w:rFonts w:eastAsia="標楷體" w:hint="eastAsia"/>
          <w:b/>
          <w:bCs/>
          <w:kern w:val="0"/>
          <w:sz w:val="28"/>
          <w:szCs w:val="28"/>
        </w:rPr>
        <w:t xml:space="preserve">　　</w:t>
      </w:r>
      <w:r w:rsidRPr="00DB48A9">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DB48A9" w:rsidRPr="00DB48A9" w:rsidTr="002843FF">
        <w:trPr>
          <w:cantSplit/>
          <w:trHeight w:val="386"/>
          <w:jc w:val="center"/>
        </w:trPr>
        <w:tc>
          <w:tcPr>
            <w:tcW w:w="4079" w:type="dxa"/>
            <w:tcBorders>
              <w:left w:val="single" w:sz="4" w:space="0" w:color="auto"/>
              <w:bottom w:val="single" w:sz="4" w:space="0" w:color="auto"/>
              <w:tl2br w:val="single" w:sz="4" w:space="0" w:color="auto"/>
            </w:tcBorders>
            <w:vAlign w:val="center"/>
          </w:tcPr>
          <w:p w:rsidR="002843FF" w:rsidRPr="00DB48A9" w:rsidRDefault="002843FF" w:rsidP="002843FF">
            <w:pPr>
              <w:widowControl/>
              <w:snapToGrid w:val="0"/>
              <w:spacing w:line="220" w:lineRule="exact"/>
              <w:ind w:left="28"/>
              <w:jc w:val="right"/>
              <w:rPr>
                <w:rFonts w:eastAsia="標楷體"/>
                <w:kern w:val="0"/>
              </w:rPr>
            </w:pPr>
            <w:r w:rsidRPr="00DB48A9">
              <w:rPr>
                <w:rFonts w:eastAsia="標楷體"/>
                <w:kern w:val="0"/>
              </w:rPr>
              <w:t>年別</w:t>
            </w:r>
          </w:p>
          <w:p w:rsidR="002843FF" w:rsidRPr="00DB48A9" w:rsidRDefault="002843FF" w:rsidP="002843FF">
            <w:pPr>
              <w:widowControl/>
              <w:snapToGrid w:val="0"/>
              <w:spacing w:line="220" w:lineRule="exact"/>
              <w:ind w:left="28"/>
              <w:jc w:val="both"/>
              <w:rPr>
                <w:rFonts w:eastAsia="標楷體"/>
                <w:kern w:val="0"/>
              </w:rPr>
            </w:pPr>
            <w:r w:rsidRPr="00DB48A9">
              <w:rPr>
                <w:rFonts w:eastAsia="標楷體"/>
                <w:kern w:val="0"/>
              </w:rPr>
              <w:t>預測機構</w:t>
            </w:r>
          </w:p>
        </w:tc>
        <w:tc>
          <w:tcPr>
            <w:tcW w:w="1657" w:type="dxa"/>
            <w:tcBorders>
              <w:bottom w:val="single" w:sz="4" w:space="0" w:color="auto"/>
            </w:tcBorders>
            <w:vAlign w:val="center"/>
          </w:tcPr>
          <w:p w:rsidR="002843FF" w:rsidRPr="00DB48A9" w:rsidRDefault="002843FF" w:rsidP="002843FF">
            <w:pPr>
              <w:widowControl/>
              <w:snapToGrid w:val="0"/>
              <w:spacing w:line="220" w:lineRule="exact"/>
              <w:ind w:left="28"/>
              <w:jc w:val="center"/>
              <w:rPr>
                <w:rFonts w:eastAsia="標楷體"/>
                <w:kern w:val="0"/>
              </w:rPr>
            </w:pPr>
            <w:r w:rsidRPr="00DB48A9">
              <w:rPr>
                <w:rFonts w:eastAsia="標楷體"/>
                <w:kern w:val="0"/>
              </w:rPr>
              <w:t>2012(</w:t>
            </w:r>
            <w:r w:rsidRPr="00DB48A9">
              <w:rPr>
                <w:rFonts w:eastAsia="標楷體" w:hint="eastAsia"/>
                <w:kern w:val="0"/>
              </w:rPr>
              <w:t>p</w:t>
            </w:r>
            <w:r w:rsidRPr="00DB48A9">
              <w:rPr>
                <w:rFonts w:eastAsia="標楷體"/>
                <w:kern w:val="0"/>
              </w:rPr>
              <w:t>)</w:t>
            </w:r>
          </w:p>
        </w:tc>
        <w:tc>
          <w:tcPr>
            <w:tcW w:w="1574" w:type="dxa"/>
            <w:tcBorders>
              <w:bottom w:val="single" w:sz="4" w:space="0" w:color="auto"/>
            </w:tcBorders>
            <w:vAlign w:val="center"/>
          </w:tcPr>
          <w:p w:rsidR="002843FF" w:rsidRPr="00DB48A9" w:rsidRDefault="002843FF" w:rsidP="002843FF">
            <w:pPr>
              <w:widowControl/>
              <w:snapToGrid w:val="0"/>
              <w:spacing w:line="220" w:lineRule="exact"/>
              <w:ind w:left="640" w:hanging="640"/>
              <w:jc w:val="center"/>
              <w:rPr>
                <w:rFonts w:eastAsia="標楷體"/>
                <w:kern w:val="0"/>
              </w:rPr>
            </w:pPr>
            <w:r w:rsidRPr="00DB48A9">
              <w:rPr>
                <w:rFonts w:eastAsia="標楷體"/>
                <w:kern w:val="0"/>
              </w:rPr>
              <w:t>2013(f)</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t>ADB (2013.4)</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rPr>
                <w:rFonts w:ascii="標楷體" w:eastAsia="標楷體" w:hAnsi="標楷體" w:hint="eastAsia"/>
              </w:rPr>
              <w:t>－</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3.5</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t>IMF (2013.4)</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1.3</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3.0</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t>Global Insight (2013.7)</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1.3</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2.8</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rPr>
                <w:rFonts w:ascii="標楷體" w:eastAsia="標楷體" w:hAnsi="標楷體" w:hint="eastAsia"/>
              </w:rPr>
              <w:t>行政院主計總處</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1.32</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2.4</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rPr>
                <w:rFonts w:ascii="標楷體" w:eastAsia="標楷體" w:hAnsi="標楷體" w:hint="eastAsia"/>
              </w:rPr>
              <w:t>台灣經濟研究院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rPr>
                <w:rFonts w:ascii="標楷體" w:eastAsia="標楷體" w:hAnsi="標楷體" w:hint="eastAsia"/>
              </w:rPr>
              <w:t>－</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2.52</w:t>
            </w:r>
          </w:p>
        </w:tc>
      </w:tr>
      <w:tr w:rsidR="00DB48A9" w:rsidRPr="00DB48A9" w:rsidTr="002843FF">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rPr>
                <w:rFonts w:ascii="標楷體" w:eastAsia="標楷體" w:hAnsi="標楷體" w:hint="eastAsia"/>
              </w:rPr>
              <w:t>中華經濟研究院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1.26</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2.28</w:t>
            </w:r>
          </w:p>
        </w:tc>
      </w:tr>
      <w:tr w:rsidR="00DB48A9" w:rsidRPr="00DB48A9" w:rsidTr="002843FF">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pPr>
            <w:r w:rsidRPr="00DB48A9">
              <w:rPr>
                <w:rFonts w:ascii="標楷體" w:eastAsia="標楷體" w:hAnsi="標楷體" w:hint="eastAsia"/>
              </w:rPr>
              <w:t>中央研究院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0.93</w:t>
            </w:r>
          </w:p>
        </w:tc>
        <w:tc>
          <w:tcPr>
            <w:tcW w:w="1574" w:type="dxa"/>
            <w:tcBorders>
              <w:top w:val="single" w:sz="4" w:space="0" w:color="auto"/>
              <w:left w:val="single" w:sz="4" w:space="0" w:color="auto"/>
              <w:bottom w:val="single" w:sz="4" w:space="0" w:color="auto"/>
              <w:right w:val="single" w:sz="4" w:space="0" w:color="auto"/>
            </w:tcBorders>
          </w:tcPr>
          <w:p w:rsidR="007F5BF5" w:rsidRPr="00DB48A9" w:rsidRDefault="007F5BF5">
            <w:pPr>
              <w:spacing w:line="340" w:lineRule="exact"/>
              <w:jc w:val="center"/>
            </w:pPr>
            <w:r w:rsidRPr="00DB48A9">
              <w:t>2.35</w:t>
            </w:r>
          </w:p>
        </w:tc>
      </w:tr>
    </w:tbl>
    <w:p w:rsidR="005B2621" w:rsidRPr="00DB48A9" w:rsidRDefault="005B2621" w:rsidP="002843FF">
      <w:pPr>
        <w:widowControl/>
        <w:snapToGrid w:val="0"/>
        <w:spacing w:line="260" w:lineRule="exact"/>
        <w:ind w:leftChars="177" w:left="425"/>
        <w:jc w:val="both"/>
        <w:rPr>
          <w:rFonts w:eastAsia="標楷體"/>
          <w:kern w:val="0"/>
          <w:sz w:val="22"/>
          <w:szCs w:val="22"/>
        </w:rPr>
      </w:pPr>
      <w:proofErr w:type="gramStart"/>
      <w:r w:rsidRPr="00DB48A9">
        <w:rPr>
          <w:rFonts w:eastAsia="標楷體"/>
          <w:kern w:val="0"/>
          <w:sz w:val="22"/>
          <w:szCs w:val="22"/>
        </w:rPr>
        <w:t>註</w:t>
      </w:r>
      <w:proofErr w:type="gramEnd"/>
      <w:r w:rsidRPr="00DB48A9">
        <w:rPr>
          <w:rFonts w:eastAsia="標楷體"/>
          <w:kern w:val="0"/>
          <w:sz w:val="22"/>
          <w:szCs w:val="22"/>
        </w:rPr>
        <w:t>：</w:t>
      </w:r>
      <w:r w:rsidRPr="00DB48A9">
        <w:rPr>
          <w:rFonts w:eastAsia="標楷體"/>
          <w:kern w:val="0"/>
          <w:sz w:val="22"/>
          <w:szCs w:val="22"/>
        </w:rPr>
        <w:t>p</w:t>
      </w:r>
      <w:r w:rsidRPr="00DB48A9">
        <w:rPr>
          <w:rFonts w:eastAsia="標楷體"/>
          <w:kern w:val="0"/>
          <w:sz w:val="22"/>
          <w:szCs w:val="22"/>
        </w:rPr>
        <w:t>表初步統計、</w:t>
      </w:r>
      <w:r w:rsidRPr="00DB48A9">
        <w:rPr>
          <w:rFonts w:eastAsia="標楷體"/>
          <w:kern w:val="0"/>
          <w:sz w:val="22"/>
          <w:szCs w:val="22"/>
        </w:rPr>
        <w:t>f</w:t>
      </w:r>
      <w:r w:rsidRPr="00DB48A9">
        <w:rPr>
          <w:rFonts w:eastAsia="標楷體"/>
          <w:kern w:val="0"/>
          <w:sz w:val="22"/>
          <w:szCs w:val="22"/>
        </w:rPr>
        <w:t>表預估值。</w:t>
      </w:r>
    </w:p>
    <w:p w:rsidR="005B2621" w:rsidRPr="00DB48A9" w:rsidRDefault="005B2621" w:rsidP="002843FF">
      <w:pPr>
        <w:widowControl/>
        <w:snapToGrid w:val="0"/>
        <w:spacing w:line="260" w:lineRule="exact"/>
        <w:ind w:leftChars="177" w:left="425"/>
        <w:jc w:val="both"/>
        <w:rPr>
          <w:rFonts w:eastAsia="標楷體"/>
          <w:kern w:val="0"/>
        </w:rPr>
      </w:pPr>
      <w:r w:rsidRPr="00DB48A9">
        <w:rPr>
          <w:rFonts w:eastAsia="標楷體"/>
          <w:kern w:val="0"/>
          <w:sz w:val="22"/>
          <w:szCs w:val="22"/>
        </w:rPr>
        <w:t>資料來源：各機構。</w:t>
      </w:r>
    </w:p>
    <w:p w:rsidR="00FF0855" w:rsidRPr="00DB48A9" w:rsidRDefault="00FF0855" w:rsidP="00DB48A9">
      <w:pPr>
        <w:spacing w:line="400" w:lineRule="exact"/>
        <w:jc w:val="center"/>
        <w:rPr>
          <w:rFonts w:eastAsia="標楷體"/>
          <w:b/>
          <w:sz w:val="28"/>
          <w:szCs w:val="28"/>
          <w:lang w:val="zh-TW"/>
        </w:rPr>
      </w:pPr>
      <w:r w:rsidRPr="00DB48A9">
        <w:rPr>
          <w:rFonts w:eastAsia="標楷體"/>
          <w:b/>
          <w:sz w:val="28"/>
          <w:szCs w:val="28"/>
          <w:lang w:val="zh-TW"/>
        </w:rPr>
        <w:t>表</w:t>
      </w:r>
      <w:r w:rsidRPr="00DB48A9">
        <w:rPr>
          <w:rFonts w:eastAsia="標楷體"/>
          <w:b/>
          <w:sz w:val="28"/>
          <w:szCs w:val="28"/>
          <w:lang w:val="zh-TW"/>
        </w:rPr>
        <w:t xml:space="preserve"> 2-1-2  101</w:t>
      </w:r>
      <w:r w:rsidRPr="00DB48A9">
        <w:rPr>
          <w:rFonts w:eastAsia="標楷體"/>
          <w:b/>
          <w:sz w:val="28"/>
          <w:szCs w:val="28"/>
          <w:lang w:val="zh-TW"/>
        </w:rPr>
        <w:t>及</w:t>
      </w:r>
      <w:r w:rsidRPr="00DB48A9">
        <w:rPr>
          <w:rFonts w:eastAsia="標楷體"/>
          <w:b/>
          <w:sz w:val="28"/>
          <w:szCs w:val="28"/>
          <w:lang w:val="zh-TW"/>
        </w:rPr>
        <w:t>102</w:t>
      </w:r>
      <w:r w:rsidRPr="00DB48A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DB48A9" w:rsidRPr="00DB48A9" w:rsidTr="008F542E">
        <w:trPr>
          <w:cantSplit/>
          <w:jc w:val="center"/>
        </w:trPr>
        <w:tc>
          <w:tcPr>
            <w:tcW w:w="2581" w:type="dxa"/>
            <w:tcBorders>
              <w:top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jc w:val="center"/>
              <w:rPr>
                <w:sz w:val="24"/>
              </w:rPr>
            </w:pPr>
            <w:r w:rsidRPr="00DB48A9">
              <w:rPr>
                <w:sz w:val="24"/>
              </w:rPr>
              <w:t>101</w:t>
            </w:r>
            <w:r w:rsidRPr="00DB48A9">
              <w:rPr>
                <w:sz w:val="24"/>
              </w:rPr>
              <w:t>年</w:t>
            </w:r>
          </w:p>
        </w:tc>
        <w:tc>
          <w:tcPr>
            <w:tcW w:w="3037" w:type="dxa"/>
            <w:gridSpan w:val="2"/>
            <w:tcBorders>
              <w:top w:val="single" w:sz="6" w:space="0" w:color="auto"/>
              <w:bottom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jc w:val="center"/>
              <w:rPr>
                <w:sz w:val="24"/>
              </w:rPr>
            </w:pPr>
            <w:r w:rsidRPr="00DB48A9">
              <w:rPr>
                <w:sz w:val="24"/>
              </w:rPr>
              <w:t>102</w:t>
            </w:r>
            <w:r w:rsidRPr="00DB48A9">
              <w:rPr>
                <w:sz w:val="24"/>
              </w:rPr>
              <w:t>年</w:t>
            </w:r>
          </w:p>
        </w:tc>
      </w:tr>
      <w:tr w:rsidR="00DB48A9" w:rsidRPr="00DB48A9" w:rsidTr="008F542E">
        <w:trPr>
          <w:cantSplit/>
          <w:jc w:val="center"/>
        </w:trPr>
        <w:tc>
          <w:tcPr>
            <w:tcW w:w="2581" w:type="dxa"/>
            <w:tcBorders>
              <w:bottom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right="-28"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66" w:type="dxa"/>
            <w:tcBorders>
              <w:top w:val="single" w:sz="6" w:space="0" w:color="auto"/>
              <w:left w:val="single" w:sz="6" w:space="0" w:color="auto"/>
              <w:bottom w:val="single" w:sz="6" w:space="0" w:color="auto"/>
            </w:tcBorders>
            <w:vAlign w:val="center"/>
          </w:tcPr>
          <w:p w:rsidR="005B2621" w:rsidRPr="00DB48A9" w:rsidRDefault="005B2621" w:rsidP="008F542E">
            <w:pPr>
              <w:pStyle w:val="k42"/>
              <w:adjustRightInd w:val="0"/>
              <w:spacing w:beforeLines="0" w:before="0" w:line="240" w:lineRule="auto"/>
              <w:ind w:left="0" w:right="-29"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r>
      <w:tr w:rsidR="00DB48A9" w:rsidRPr="00DB48A9" w:rsidTr="008F542E">
        <w:trPr>
          <w:cantSplit/>
          <w:trHeight w:val="65"/>
          <w:jc w:val="center"/>
        </w:trPr>
        <w:tc>
          <w:tcPr>
            <w:tcW w:w="2581" w:type="dxa"/>
            <w:tcBorders>
              <w:top w:val="single" w:sz="6"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GDP</w:t>
            </w:r>
          </w:p>
        </w:tc>
        <w:tc>
          <w:tcPr>
            <w:tcW w:w="1555" w:type="dxa"/>
            <w:tcBorders>
              <w:top w:val="single" w:sz="6" w:space="0" w:color="auto"/>
              <w:right w:val="single" w:sz="6" w:space="0" w:color="auto"/>
            </w:tcBorders>
            <w:vAlign w:val="center"/>
          </w:tcPr>
          <w:p w:rsidR="005B2621" w:rsidRPr="00DB48A9" w:rsidRDefault="0094178B" w:rsidP="008F542E">
            <w:pPr>
              <w:snapToGrid w:val="0"/>
              <w:jc w:val="center"/>
            </w:pPr>
            <w:r w:rsidRPr="00DB48A9">
              <w:t>1.32</w:t>
            </w:r>
          </w:p>
        </w:tc>
        <w:tc>
          <w:tcPr>
            <w:tcW w:w="1476" w:type="dxa"/>
            <w:tcBorders>
              <w:top w:val="single" w:sz="6" w:space="0" w:color="auto"/>
              <w:right w:val="single" w:sz="6" w:space="0" w:color="auto"/>
            </w:tcBorders>
            <w:vAlign w:val="center"/>
          </w:tcPr>
          <w:p w:rsidR="005B2621" w:rsidRPr="00DB48A9" w:rsidRDefault="0094178B" w:rsidP="008F542E">
            <w:pPr>
              <w:snapToGrid w:val="0"/>
              <w:jc w:val="center"/>
            </w:pPr>
            <w:r w:rsidRPr="00DB48A9">
              <w:t>1.32</w:t>
            </w:r>
          </w:p>
        </w:tc>
        <w:tc>
          <w:tcPr>
            <w:tcW w:w="1571" w:type="dxa"/>
            <w:tcBorders>
              <w:top w:val="single" w:sz="6" w:space="0" w:color="auto"/>
              <w:right w:val="single" w:sz="6" w:space="0" w:color="auto"/>
            </w:tcBorders>
            <w:vAlign w:val="center"/>
          </w:tcPr>
          <w:p w:rsidR="005B2621" w:rsidRPr="00DB48A9" w:rsidRDefault="0094178B" w:rsidP="008F542E">
            <w:pPr>
              <w:snapToGrid w:val="0"/>
              <w:jc w:val="center"/>
            </w:pPr>
            <w:r w:rsidRPr="00DB48A9">
              <w:t>2.40</w:t>
            </w:r>
          </w:p>
        </w:tc>
        <w:tc>
          <w:tcPr>
            <w:tcW w:w="1466" w:type="dxa"/>
            <w:tcBorders>
              <w:top w:val="single" w:sz="6" w:space="0" w:color="auto"/>
              <w:left w:val="single" w:sz="6" w:space="0" w:color="auto"/>
            </w:tcBorders>
            <w:vAlign w:val="center"/>
          </w:tcPr>
          <w:p w:rsidR="005B2621" w:rsidRPr="00DB48A9" w:rsidRDefault="0094178B" w:rsidP="008F542E">
            <w:pPr>
              <w:snapToGrid w:val="0"/>
              <w:jc w:val="center"/>
            </w:pPr>
            <w:r w:rsidRPr="00DB48A9">
              <w:t>2.40</w:t>
            </w:r>
          </w:p>
        </w:tc>
      </w:tr>
      <w:tr w:rsidR="00DB48A9" w:rsidRPr="00DB48A9" w:rsidTr="008F542E">
        <w:trPr>
          <w:cantSplit/>
          <w:trHeight w:val="80"/>
          <w:jc w:val="center"/>
        </w:trPr>
        <w:tc>
          <w:tcPr>
            <w:tcW w:w="2581" w:type="dxa"/>
            <w:tcBorders>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國內需求</w:t>
            </w:r>
          </w:p>
        </w:tc>
        <w:tc>
          <w:tcPr>
            <w:tcW w:w="1555" w:type="dxa"/>
            <w:tcBorders>
              <w:right w:val="single" w:sz="6" w:space="0" w:color="auto"/>
            </w:tcBorders>
            <w:vAlign w:val="center"/>
          </w:tcPr>
          <w:p w:rsidR="005B2621" w:rsidRPr="00DB48A9" w:rsidRDefault="0094178B" w:rsidP="008F542E">
            <w:pPr>
              <w:snapToGrid w:val="0"/>
              <w:jc w:val="center"/>
            </w:pPr>
            <w:r w:rsidRPr="00DB48A9">
              <w:t>0.09</w:t>
            </w:r>
          </w:p>
        </w:tc>
        <w:tc>
          <w:tcPr>
            <w:tcW w:w="1476" w:type="dxa"/>
            <w:tcBorders>
              <w:right w:val="single" w:sz="6" w:space="0" w:color="auto"/>
            </w:tcBorders>
            <w:vAlign w:val="center"/>
          </w:tcPr>
          <w:p w:rsidR="005B2621" w:rsidRPr="00DB48A9" w:rsidRDefault="0094178B" w:rsidP="008F542E">
            <w:pPr>
              <w:snapToGrid w:val="0"/>
              <w:jc w:val="center"/>
            </w:pPr>
            <w:r w:rsidRPr="00DB48A9">
              <w:t>0.07</w:t>
            </w:r>
          </w:p>
        </w:tc>
        <w:tc>
          <w:tcPr>
            <w:tcW w:w="1571" w:type="dxa"/>
            <w:tcBorders>
              <w:right w:val="single" w:sz="6" w:space="0" w:color="auto"/>
            </w:tcBorders>
            <w:vAlign w:val="center"/>
          </w:tcPr>
          <w:p w:rsidR="005B2621" w:rsidRPr="00DB48A9" w:rsidRDefault="0094178B" w:rsidP="008F542E">
            <w:pPr>
              <w:snapToGrid w:val="0"/>
              <w:jc w:val="center"/>
            </w:pPr>
            <w:r w:rsidRPr="00DB48A9">
              <w:t>2.17</w:t>
            </w:r>
          </w:p>
        </w:tc>
        <w:tc>
          <w:tcPr>
            <w:tcW w:w="1466" w:type="dxa"/>
            <w:tcBorders>
              <w:left w:val="single" w:sz="6" w:space="0" w:color="auto"/>
            </w:tcBorders>
            <w:vAlign w:val="center"/>
          </w:tcPr>
          <w:p w:rsidR="005B2621" w:rsidRPr="00DB48A9" w:rsidRDefault="0094178B" w:rsidP="008F542E">
            <w:pPr>
              <w:snapToGrid w:val="0"/>
              <w:jc w:val="center"/>
            </w:pPr>
            <w:r w:rsidRPr="00DB48A9">
              <w:t>1.75</w:t>
            </w:r>
          </w:p>
        </w:tc>
      </w:tr>
      <w:tr w:rsidR="00DB48A9" w:rsidRPr="00DB48A9" w:rsidTr="008F542E">
        <w:trPr>
          <w:cantSplit/>
          <w:trHeight w:val="229"/>
          <w:jc w:val="center"/>
        </w:trPr>
        <w:tc>
          <w:tcPr>
            <w:tcW w:w="2581" w:type="dxa"/>
            <w:tcBorders>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民間消費</w:t>
            </w:r>
          </w:p>
        </w:tc>
        <w:tc>
          <w:tcPr>
            <w:tcW w:w="1555" w:type="dxa"/>
            <w:tcBorders>
              <w:right w:val="single" w:sz="6" w:space="0" w:color="auto"/>
            </w:tcBorders>
            <w:vAlign w:val="center"/>
          </w:tcPr>
          <w:p w:rsidR="005B2621" w:rsidRPr="00DB48A9" w:rsidRDefault="0094178B" w:rsidP="008F542E">
            <w:pPr>
              <w:snapToGrid w:val="0"/>
              <w:jc w:val="center"/>
            </w:pPr>
            <w:r w:rsidRPr="00DB48A9">
              <w:t>1.47</w:t>
            </w:r>
          </w:p>
        </w:tc>
        <w:tc>
          <w:tcPr>
            <w:tcW w:w="1476" w:type="dxa"/>
            <w:tcBorders>
              <w:right w:val="single" w:sz="6" w:space="0" w:color="auto"/>
            </w:tcBorders>
            <w:vAlign w:val="center"/>
          </w:tcPr>
          <w:p w:rsidR="005B2621" w:rsidRPr="00DB48A9" w:rsidRDefault="0094178B" w:rsidP="008F542E">
            <w:pPr>
              <w:snapToGrid w:val="0"/>
              <w:jc w:val="center"/>
            </w:pPr>
            <w:r w:rsidRPr="00DB48A9">
              <w:t>0.79</w:t>
            </w:r>
          </w:p>
        </w:tc>
        <w:tc>
          <w:tcPr>
            <w:tcW w:w="1571" w:type="dxa"/>
            <w:tcBorders>
              <w:right w:val="single" w:sz="6" w:space="0" w:color="auto"/>
            </w:tcBorders>
            <w:vAlign w:val="center"/>
          </w:tcPr>
          <w:p w:rsidR="005B2621" w:rsidRPr="00DB48A9" w:rsidRDefault="0094178B" w:rsidP="008F542E">
            <w:pPr>
              <w:snapToGrid w:val="0"/>
              <w:jc w:val="center"/>
            </w:pPr>
            <w:r w:rsidRPr="00DB48A9">
              <w:t>1.46</w:t>
            </w:r>
          </w:p>
        </w:tc>
        <w:tc>
          <w:tcPr>
            <w:tcW w:w="1466" w:type="dxa"/>
            <w:tcBorders>
              <w:left w:val="single" w:sz="6" w:space="0" w:color="auto"/>
            </w:tcBorders>
            <w:vAlign w:val="center"/>
          </w:tcPr>
          <w:p w:rsidR="005B2621" w:rsidRPr="00DB48A9" w:rsidRDefault="0094178B" w:rsidP="008F542E">
            <w:pPr>
              <w:snapToGrid w:val="0"/>
              <w:jc w:val="center"/>
            </w:pPr>
            <w:r w:rsidRPr="00DB48A9">
              <w:t>0.78</w:t>
            </w:r>
          </w:p>
        </w:tc>
      </w:tr>
      <w:tr w:rsidR="00DB48A9" w:rsidRPr="00DB48A9" w:rsidTr="008F542E">
        <w:trPr>
          <w:cantSplit/>
          <w:trHeight w:val="108"/>
          <w:jc w:val="center"/>
        </w:trPr>
        <w:tc>
          <w:tcPr>
            <w:tcW w:w="2581" w:type="dxa"/>
            <w:tcBorders>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政府消費</w:t>
            </w:r>
          </w:p>
        </w:tc>
        <w:tc>
          <w:tcPr>
            <w:tcW w:w="1555" w:type="dxa"/>
            <w:tcBorders>
              <w:right w:val="single" w:sz="6" w:space="0" w:color="auto"/>
            </w:tcBorders>
            <w:vAlign w:val="center"/>
          </w:tcPr>
          <w:p w:rsidR="005B2621" w:rsidRPr="00DB48A9" w:rsidRDefault="0094178B" w:rsidP="008F542E">
            <w:pPr>
              <w:snapToGrid w:val="0"/>
              <w:jc w:val="center"/>
            </w:pPr>
            <w:r w:rsidRPr="00DB48A9">
              <w:t>0.46</w:t>
            </w:r>
          </w:p>
        </w:tc>
        <w:tc>
          <w:tcPr>
            <w:tcW w:w="1476" w:type="dxa"/>
            <w:tcBorders>
              <w:right w:val="single" w:sz="6" w:space="0" w:color="auto"/>
            </w:tcBorders>
            <w:vAlign w:val="center"/>
          </w:tcPr>
          <w:p w:rsidR="005B2621" w:rsidRPr="00DB48A9" w:rsidRDefault="0094178B" w:rsidP="008F542E">
            <w:pPr>
              <w:snapToGrid w:val="0"/>
              <w:jc w:val="center"/>
            </w:pPr>
            <w:r w:rsidRPr="00DB48A9">
              <w:t>0.05</w:t>
            </w:r>
          </w:p>
        </w:tc>
        <w:tc>
          <w:tcPr>
            <w:tcW w:w="1571" w:type="dxa"/>
            <w:tcBorders>
              <w:right w:val="single" w:sz="6" w:space="0" w:color="auto"/>
            </w:tcBorders>
            <w:vAlign w:val="center"/>
          </w:tcPr>
          <w:p w:rsidR="005B2621" w:rsidRPr="00DB48A9" w:rsidRDefault="0094178B" w:rsidP="008F542E">
            <w:pPr>
              <w:snapToGrid w:val="0"/>
              <w:jc w:val="center"/>
            </w:pPr>
            <w:r w:rsidRPr="00DB48A9">
              <w:t>-0.07</w:t>
            </w:r>
          </w:p>
        </w:tc>
        <w:tc>
          <w:tcPr>
            <w:tcW w:w="1466" w:type="dxa"/>
            <w:tcBorders>
              <w:left w:val="single" w:sz="6" w:space="0" w:color="auto"/>
            </w:tcBorders>
            <w:vAlign w:val="center"/>
          </w:tcPr>
          <w:p w:rsidR="005B2621" w:rsidRPr="00DB48A9" w:rsidRDefault="0094178B" w:rsidP="008F542E">
            <w:pPr>
              <w:snapToGrid w:val="0"/>
              <w:jc w:val="center"/>
            </w:pPr>
            <w:r w:rsidRPr="00DB48A9">
              <w:t>-0.01</w:t>
            </w:r>
          </w:p>
        </w:tc>
      </w:tr>
      <w:tr w:rsidR="00DB48A9" w:rsidRPr="00DB48A9" w:rsidTr="008F542E">
        <w:trPr>
          <w:cantSplit/>
          <w:trHeight w:val="254"/>
          <w:jc w:val="center"/>
        </w:trPr>
        <w:tc>
          <w:tcPr>
            <w:tcW w:w="2581" w:type="dxa"/>
            <w:tcBorders>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國內投資</w:t>
            </w:r>
          </w:p>
        </w:tc>
        <w:tc>
          <w:tcPr>
            <w:tcW w:w="1555" w:type="dxa"/>
            <w:tcBorders>
              <w:right w:val="single" w:sz="6" w:space="0" w:color="auto"/>
            </w:tcBorders>
            <w:vAlign w:val="center"/>
          </w:tcPr>
          <w:p w:rsidR="005B2621" w:rsidRPr="00DB48A9" w:rsidRDefault="0094178B" w:rsidP="008F542E">
            <w:pPr>
              <w:snapToGrid w:val="0"/>
              <w:jc w:val="center"/>
            </w:pPr>
            <w:r w:rsidRPr="00DB48A9">
              <w:t>-4.19</w:t>
            </w:r>
          </w:p>
        </w:tc>
        <w:tc>
          <w:tcPr>
            <w:tcW w:w="1476" w:type="dxa"/>
            <w:tcBorders>
              <w:right w:val="single" w:sz="6" w:space="0" w:color="auto"/>
            </w:tcBorders>
            <w:vAlign w:val="center"/>
          </w:tcPr>
          <w:p w:rsidR="005B2621" w:rsidRPr="00DB48A9" w:rsidRDefault="0094178B" w:rsidP="008F542E">
            <w:pPr>
              <w:snapToGrid w:val="0"/>
              <w:jc w:val="center"/>
            </w:pPr>
            <w:r w:rsidRPr="00DB48A9">
              <w:t>-0.71</w:t>
            </w:r>
          </w:p>
        </w:tc>
        <w:tc>
          <w:tcPr>
            <w:tcW w:w="1571" w:type="dxa"/>
            <w:tcBorders>
              <w:right w:val="single" w:sz="6" w:space="0" w:color="auto"/>
            </w:tcBorders>
            <w:vAlign w:val="center"/>
          </w:tcPr>
          <w:p w:rsidR="005B2621" w:rsidRPr="00DB48A9" w:rsidRDefault="0094178B" w:rsidP="008F542E">
            <w:pPr>
              <w:snapToGrid w:val="0"/>
              <w:jc w:val="center"/>
            </w:pPr>
            <w:r w:rsidRPr="00DB48A9">
              <w:t>5.17</w:t>
            </w:r>
          </w:p>
        </w:tc>
        <w:tc>
          <w:tcPr>
            <w:tcW w:w="1466" w:type="dxa"/>
            <w:tcBorders>
              <w:left w:val="single" w:sz="6" w:space="0" w:color="auto"/>
            </w:tcBorders>
            <w:vAlign w:val="center"/>
          </w:tcPr>
          <w:p w:rsidR="005B2621" w:rsidRPr="00DB48A9" w:rsidRDefault="0094178B" w:rsidP="008F542E">
            <w:pPr>
              <w:snapToGrid w:val="0"/>
              <w:jc w:val="center"/>
            </w:pPr>
            <w:r w:rsidRPr="00DB48A9">
              <w:t>0.83</w:t>
            </w:r>
          </w:p>
        </w:tc>
      </w:tr>
      <w:tr w:rsidR="00DB48A9" w:rsidRPr="00DB48A9" w:rsidTr="008F542E">
        <w:trPr>
          <w:cantSplit/>
          <w:trHeight w:val="210"/>
          <w:jc w:val="center"/>
        </w:trPr>
        <w:tc>
          <w:tcPr>
            <w:tcW w:w="2581" w:type="dxa"/>
            <w:tcBorders>
              <w:right w:val="single" w:sz="4"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w:t>
            </w:r>
          </w:p>
        </w:tc>
        <w:tc>
          <w:tcPr>
            <w:tcW w:w="1555" w:type="dxa"/>
            <w:tcBorders>
              <w:left w:val="single" w:sz="4" w:space="0" w:color="auto"/>
              <w:right w:val="single" w:sz="4" w:space="0" w:color="auto"/>
            </w:tcBorders>
            <w:vAlign w:val="center"/>
          </w:tcPr>
          <w:p w:rsidR="005B2621" w:rsidRPr="00DB48A9" w:rsidRDefault="0094178B" w:rsidP="008F542E">
            <w:pPr>
              <w:snapToGrid w:val="0"/>
              <w:jc w:val="center"/>
            </w:pPr>
            <w:r w:rsidRPr="00DB48A9">
              <w:t>-2.11</w:t>
            </w:r>
          </w:p>
        </w:tc>
        <w:tc>
          <w:tcPr>
            <w:tcW w:w="1476" w:type="dxa"/>
            <w:tcBorders>
              <w:left w:val="single" w:sz="4" w:space="0" w:color="auto"/>
              <w:right w:val="single" w:sz="4" w:space="0" w:color="auto"/>
            </w:tcBorders>
            <w:vAlign w:val="center"/>
          </w:tcPr>
          <w:p w:rsidR="005B2621" w:rsidRPr="00DB48A9" w:rsidRDefault="0094178B" w:rsidP="008F542E">
            <w:pPr>
              <w:snapToGrid w:val="0"/>
              <w:jc w:val="center"/>
            </w:pPr>
            <w:r w:rsidRPr="00DB48A9">
              <w:t>-0.28</w:t>
            </w:r>
          </w:p>
        </w:tc>
        <w:tc>
          <w:tcPr>
            <w:tcW w:w="1571" w:type="dxa"/>
            <w:tcBorders>
              <w:left w:val="single" w:sz="4" w:space="0" w:color="auto"/>
              <w:right w:val="single" w:sz="4" w:space="0" w:color="auto"/>
            </w:tcBorders>
            <w:vAlign w:val="center"/>
          </w:tcPr>
          <w:p w:rsidR="005B2621" w:rsidRPr="00DB48A9" w:rsidRDefault="0094178B" w:rsidP="008F542E">
            <w:pPr>
              <w:snapToGrid w:val="0"/>
              <w:jc w:val="center"/>
            </w:pPr>
            <w:r w:rsidRPr="00DB48A9">
              <w:t>7.21</w:t>
            </w:r>
          </w:p>
        </w:tc>
        <w:tc>
          <w:tcPr>
            <w:tcW w:w="1466" w:type="dxa"/>
            <w:tcBorders>
              <w:left w:val="single" w:sz="4" w:space="0" w:color="auto"/>
            </w:tcBorders>
            <w:vAlign w:val="center"/>
          </w:tcPr>
          <w:p w:rsidR="005B2621" w:rsidRPr="00DB48A9" w:rsidRDefault="0094178B" w:rsidP="008F542E">
            <w:pPr>
              <w:snapToGrid w:val="0"/>
              <w:jc w:val="center"/>
            </w:pPr>
            <w:r w:rsidRPr="00DB48A9">
              <w:t>0.91</w:t>
            </w:r>
          </w:p>
        </w:tc>
      </w:tr>
      <w:tr w:rsidR="00DB48A9" w:rsidRPr="00DB48A9" w:rsidTr="008F542E">
        <w:trPr>
          <w:cantSplit/>
          <w:trHeight w:val="294"/>
          <w:jc w:val="center"/>
        </w:trPr>
        <w:tc>
          <w:tcPr>
            <w:tcW w:w="2581" w:type="dxa"/>
            <w:tcBorders>
              <w:right w:val="single" w:sz="4"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公營</w:t>
            </w:r>
          </w:p>
        </w:tc>
        <w:tc>
          <w:tcPr>
            <w:tcW w:w="1555" w:type="dxa"/>
            <w:tcBorders>
              <w:left w:val="single" w:sz="4" w:space="0" w:color="auto"/>
              <w:right w:val="single" w:sz="4" w:space="0" w:color="auto"/>
            </w:tcBorders>
            <w:vAlign w:val="center"/>
          </w:tcPr>
          <w:p w:rsidR="005B2621" w:rsidRPr="00DB48A9" w:rsidRDefault="0094178B" w:rsidP="008F542E">
            <w:pPr>
              <w:snapToGrid w:val="0"/>
              <w:jc w:val="center"/>
            </w:pPr>
            <w:r w:rsidRPr="00DB48A9">
              <w:t>-8.27</w:t>
            </w:r>
          </w:p>
        </w:tc>
        <w:tc>
          <w:tcPr>
            <w:tcW w:w="1476" w:type="dxa"/>
            <w:tcBorders>
              <w:left w:val="single" w:sz="4" w:space="0" w:color="auto"/>
              <w:right w:val="single" w:sz="4" w:space="0" w:color="auto"/>
            </w:tcBorders>
            <w:vAlign w:val="center"/>
          </w:tcPr>
          <w:p w:rsidR="005B2621" w:rsidRPr="00DB48A9" w:rsidRDefault="0094178B" w:rsidP="008F542E">
            <w:pPr>
              <w:snapToGrid w:val="0"/>
              <w:jc w:val="center"/>
            </w:pPr>
            <w:r w:rsidRPr="00DB48A9">
              <w:t>-0.10</w:t>
            </w:r>
          </w:p>
        </w:tc>
        <w:tc>
          <w:tcPr>
            <w:tcW w:w="1571" w:type="dxa"/>
            <w:tcBorders>
              <w:left w:val="single" w:sz="4" w:space="0" w:color="auto"/>
              <w:right w:val="single" w:sz="4" w:space="0" w:color="auto"/>
            </w:tcBorders>
            <w:vAlign w:val="center"/>
          </w:tcPr>
          <w:p w:rsidR="005B2621" w:rsidRPr="00DB48A9" w:rsidRDefault="0094178B" w:rsidP="008F542E">
            <w:pPr>
              <w:snapToGrid w:val="0"/>
              <w:jc w:val="center"/>
            </w:pPr>
            <w:r w:rsidRPr="00DB48A9">
              <w:t>5.90</w:t>
            </w:r>
          </w:p>
        </w:tc>
        <w:tc>
          <w:tcPr>
            <w:tcW w:w="1466" w:type="dxa"/>
            <w:tcBorders>
              <w:left w:val="single" w:sz="4" w:space="0" w:color="auto"/>
            </w:tcBorders>
            <w:vAlign w:val="center"/>
          </w:tcPr>
          <w:p w:rsidR="005B2621" w:rsidRPr="00DB48A9" w:rsidRDefault="0094178B" w:rsidP="008F542E">
            <w:pPr>
              <w:snapToGrid w:val="0"/>
              <w:jc w:val="center"/>
            </w:pPr>
            <w:r w:rsidRPr="00DB48A9">
              <w:t>0.07</w:t>
            </w:r>
          </w:p>
        </w:tc>
      </w:tr>
      <w:tr w:rsidR="00DB48A9" w:rsidRPr="00DB48A9" w:rsidTr="008F542E">
        <w:trPr>
          <w:cantSplit/>
          <w:trHeight w:val="96"/>
          <w:jc w:val="center"/>
        </w:trPr>
        <w:tc>
          <w:tcPr>
            <w:tcW w:w="2581" w:type="dxa"/>
            <w:tcBorders>
              <w:right w:val="single" w:sz="4"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w:t>
            </w:r>
          </w:p>
        </w:tc>
        <w:tc>
          <w:tcPr>
            <w:tcW w:w="1555" w:type="dxa"/>
            <w:tcBorders>
              <w:left w:val="single" w:sz="4" w:space="0" w:color="auto"/>
              <w:right w:val="single" w:sz="4" w:space="0" w:color="auto"/>
            </w:tcBorders>
            <w:vAlign w:val="center"/>
          </w:tcPr>
          <w:p w:rsidR="005B2621" w:rsidRPr="00DB48A9" w:rsidRDefault="0094178B" w:rsidP="008F542E">
            <w:pPr>
              <w:snapToGrid w:val="0"/>
              <w:jc w:val="center"/>
            </w:pPr>
            <w:r w:rsidRPr="00DB48A9">
              <w:t>-12.51</w:t>
            </w:r>
          </w:p>
        </w:tc>
        <w:tc>
          <w:tcPr>
            <w:tcW w:w="1476" w:type="dxa"/>
            <w:tcBorders>
              <w:left w:val="single" w:sz="4" w:space="0" w:color="auto"/>
              <w:right w:val="single" w:sz="4" w:space="0" w:color="auto"/>
            </w:tcBorders>
            <w:vAlign w:val="center"/>
          </w:tcPr>
          <w:p w:rsidR="005B2621" w:rsidRPr="00DB48A9" w:rsidRDefault="0094178B" w:rsidP="008F542E">
            <w:pPr>
              <w:snapToGrid w:val="0"/>
              <w:jc w:val="center"/>
            </w:pPr>
            <w:r w:rsidRPr="00DB48A9">
              <w:t>-0.33</w:t>
            </w:r>
          </w:p>
        </w:tc>
        <w:tc>
          <w:tcPr>
            <w:tcW w:w="1571" w:type="dxa"/>
            <w:tcBorders>
              <w:left w:val="single" w:sz="4" w:space="0" w:color="auto"/>
              <w:right w:val="single" w:sz="4" w:space="0" w:color="auto"/>
            </w:tcBorders>
            <w:vAlign w:val="center"/>
          </w:tcPr>
          <w:p w:rsidR="005B2621" w:rsidRPr="00DB48A9" w:rsidRDefault="0094178B" w:rsidP="008F542E">
            <w:pPr>
              <w:snapToGrid w:val="0"/>
              <w:jc w:val="center"/>
            </w:pPr>
            <w:r w:rsidRPr="00DB48A9">
              <w:t>-6.36</w:t>
            </w:r>
          </w:p>
        </w:tc>
        <w:tc>
          <w:tcPr>
            <w:tcW w:w="1466" w:type="dxa"/>
            <w:tcBorders>
              <w:left w:val="single" w:sz="4" w:space="0" w:color="auto"/>
            </w:tcBorders>
            <w:vAlign w:val="center"/>
          </w:tcPr>
          <w:p w:rsidR="005B2621" w:rsidRPr="00DB48A9" w:rsidRDefault="0094178B" w:rsidP="008F542E">
            <w:pPr>
              <w:snapToGrid w:val="0"/>
              <w:jc w:val="center"/>
            </w:pPr>
            <w:r w:rsidRPr="00DB48A9">
              <w:t>-0.15</w:t>
            </w:r>
          </w:p>
        </w:tc>
      </w:tr>
      <w:tr w:rsidR="00DB48A9" w:rsidRPr="00DB48A9" w:rsidTr="008F542E">
        <w:trPr>
          <w:cantSplit/>
          <w:jc w:val="center"/>
        </w:trPr>
        <w:tc>
          <w:tcPr>
            <w:tcW w:w="2581" w:type="dxa"/>
            <w:tcBorders>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國外淨需求</w:t>
            </w:r>
          </w:p>
        </w:tc>
        <w:tc>
          <w:tcPr>
            <w:tcW w:w="1555" w:type="dxa"/>
            <w:tcBorders>
              <w:right w:val="single" w:sz="6" w:space="0" w:color="auto"/>
            </w:tcBorders>
            <w:vAlign w:val="center"/>
          </w:tcPr>
          <w:p w:rsidR="005B2621" w:rsidRPr="00DB48A9" w:rsidRDefault="005B2621" w:rsidP="008F542E">
            <w:pPr>
              <w:snapToGrid w:val="0"/>
              <w:jc w:val="center"/>
            </w:pPr>
            <w:r w:rsidRPr="00DB48A9">
              <w:t>-</w:t>
            </w:r>
          </w:p>
        </w:tc>
        <w:tc>
          <w:tcPr>
            <w:tcW w:w="1476" w:type="dxa"/>
            <w:tcBorders>
              <w:right w:val="single" w:sz="6" w:space="0" w:color="auto"/>
            </w:tcBorders>
            <w:vAlign w:val="center"/>
          </w:tcPr>
          <w:p w:rsidR="005B2621" w:rsidRPr="00DB48A9" w:rsidRDefault="0094178B" w:rsidP="008F542E">
            <w:pPr>
              <w:snapToGrid w:val="0"/>
              <w:jc w:val="center"/>
            </w:pPr>
            <w:r w:rsidRPr="00DB48A9">
              <w:t>1.25</w:t>
            </w:r>
          </w:p>
        </w:tc>
        <w:tc>
          <w:tcPr>
            <w:tcW w:w="1571" w:type="dxa"/>
            <w:tcBorders>
              <w:right w:val="single" w:sz="6" w:space="0" w:color="auto"/>
            </w:tcBorders>
            <w:vAlign w:val="center"/>
          </w:tcPr>
          <w:p w:rsidR="005B2621" w:rsidRPr="00DB48A9" w:rsidRDefault="005B2621" w:rsidP="008F542E">
            <w:pPr>
              <w:snapToGrid w:val="0"/>
              <w:jc w:val="center"/>
            </w:pPr>
            <w:r w:rsidRPr="00DB48A9">
              <w:t>-</w:t>
            </w:r>
          </w:p>
        </w:tc>
        <w:tc>
          <w:tcPr>
            <w:tcW w:w="1466" w:type="dxa"/>
            <w:tcBorders>
              <w:left w:val="single" w:sz="6" w:space="0" w:color="auto"/>
            </w:tcBorders>
            <w:vAlign w:val="center"/>
          </w:tcPr>
          <w:p w:rsidR="005B2621" w:rsidRPr="00DB48A9" w:rsidRDefault="0094178B" w:rsidP="008F542E">
            <w:pPr>
              <w:snapToGrid w:val="0"/>
              <w:jc w:val="center"/>
            </w:pPr>
            <w:r w:rsidRPr="00DB48A9">
              <w:t>0.65</w:t>
            </w:r>
          </w:p>
        </w:tc>
      </w:tr>
      <w:tr w:rsidR="00DB48A9" w:rsidRPr="00DB48A9" w:rsidTr="008F542E">
        <w:trPr>
          <w:cantSplit/>
          <w:jc w:val="center"/>
        </w:trPr>
        <w:tc>
          <w:tcPr>
            <w:tcW w:w="2581" w:type="dxa"/>
            <w:tcBorders>
              <w:right w:val="single" w:sz="6" w:space="0" w:color="auto"/>
            </w:tcBorders>
            <w:vAlign w:val="center"/>
          </w:tcPr>
          <w:p w:rsidR="005B2621" w:rsidRPr="00DB48A9" w:rsidRDefault="005B2621" w:rsidP="008F542E">
            <w:pPr>
              <w:pStyle w:val="ad"/>
              <w:adjustRightInd w:val="0"/>
              <w:snapToGrid w:val="0"/>
              <w:spacing w:line="240" w:lineRule="auto"/>
              <w:ind w:leftChars="0" w:left="0" w:firstLineChars="0" w:firstLine="0"/>
            </w:pPr>
            <w:r w:rsidRPr="00DB48A9">
              <w:t xml:space="preserve">  </w:t>
            </w:r>
            <w:r w:rsidRPr="00DB48A9">
              <w:t>輸出</w:t>
            </w:r>
            <w:r w:rsidRPr="00DB48A9">
              <w:t>(</w:t>
            </w:r>
            <w:r w:rsidRPr="00DB48A9">
              <w:t>含商品及勞務</w:t>
            </w:r>
            <w:r w:rsidRPr="00DB48A9">
              <w:t>)</w:t>
            </w:r>
          </w:p>
        </w:tc>
        <w:tc>
          <w:tcPr>
            <w:tcW w:w="1555" w:type="dxa"/>
            <w:tcBorders>
              <w:right w:val="single" w:sz="6" w:space="0" w:color="auto"/>
            </w:tcBorders>
            <w:vAlign w:val="center"/>
          </w:tcPr>
          <w:p w:rsidR="005B2621" w:rsidRPr="00DB48A9" w:rsidRDefault="0094178B" w:rsidP="008F542E">
            <w:pPr>
              <w:snapToGrid w:val="0"/>
              <w:jc w:val="center"/>
            </w:pPr>
            <w:r w:rsidRPr="00DB48A9">
              <w:t>0.11</w:t>
            </w:r>
          </w:p>
        </w:tc>
        <w:tc>
          <w:tcPr>
            <w:tcW w:w="1476" w:type="dxa"/>
            <w:tcBorders>
              <w:right w:val="single" w:sz="6" w:space="0" w:color="auto"/>
            </w:tcBorders>
            <w:vAlign w:val="center"/>
          </w:tcPr>
          <w:p w:rsidR="005B2621" w:rsidRPr="00DB48A9" w:rsidRDefault="0094178B" w:rsidP="008F542E">
            <w:pPr>
              <w:snapToGrid w:val="0"/>
              <w:jc w:val="center"/>
            </w:pPr>
            <w:r w:rsidRPr="00DB48A9">
              <w:t>0.08</w:t>
            </w:r>
          </w:p>
        </w:tc>
        <w:tc>
          <w:tcPr>
            <w:tcW w:w="1571" w:type="dxa"/>
            <w:tcBorders>
              <w:right w:val="single" w:sz="6" w:space="0" w:color="auto"/>
            </w:tcBorders>
            <w:vAlign w:val="center"/>
          </w:tcPr>
          <w:p w:rsidR="005B2621" w:rsidRPr="00DB48A9" w:rsidRDefault="0094178B" w:rsidP="008F542E">
            <w:pPr>
              <w:snapToGrid w:val="0"/>
              <w:jc w:val="center"/>
            </w:pPr>
            <w:r w:rsidRPr="00DB48A9">
              <w:t>5.15</w:t>
            </w:r>
          </w:p>
        </w:tc>
        <w:tc>
          <w:tcPr>
            <w:tcW w:w="1466" w:type="dxa"/>
            <w:tcBorders>
              <w:left w:val="single" w:sz="6" w:space="0" w:color="auto"/>
            </w:tcBorders>
            <w:vAlign w:val="center"/>
          </w:tcPr>
          <w:p w:rsidR="005B2621" w:rsidRPr="00DB48A9" w:rsidRDefault="0094178B" w:rsidP="008F542E">
            <w:pPr>
              <w:snapToGrid w:val="0"/>
              <w:jc w:val="center"/>
            </w:pPr>
            <w:r w:rsidRPr="00DB48A9">
              <w:t>3.79</w:t>
            </w:r>
          </w:p>
        </w:tc>
      </w:tr>
      <w:tr w:rsidR="00DB48A9" w:rsidRPr="00DB48A9" w:rsidTr="008F542E">
        <w:trPr>
          <w:cantSplit/>
          <w:jc w:val="center"/>
        </w:trPr>
        <w:tc>
          <w:tcPr>
            <w:tcW w:w="2581" w:type="dxa"/>
            <w:tcBorders>
              <w:bottom w:val="dashSmallGap" w:sz="4" w:space="0" w:color="auto"/>
              <w:right w:val="single" w:sz="6" w:space="0" w:color="auto"/>
            </w:tcBorders>
            <w:vAlign w:val="center"/>
          </w:tcPr>
          <w:p w:rsidR="005B2621" w:rsidRPr="00DB48A9" w:rsidRDefault="005B2621" w:rsidP="008F542E">
            <w:pPr>
              <w:pStyle w:val="k42"/>
              <w:adjustRightInd w:val="0"/>
              <w:spacing w:beforeLines="0" w:before="0" w:line="240" w:lineRule="auto"/>
              <w:ind w:left="0" w:firstLineChars="0" w:firstLine="0"/>
              <w:rPr>
                <w:sz w:val="22"/>
              </w:rPr>
            </w:pPr>
            <w:r w:rsidRPr="00DB48A9">
              <w:rPr>
                <w:sz w:val="22"/>
              </w:rPr>
              <w:t xml:space="preserve"> </w:t>
            </w:r>
            <w:r w:rsidRPr="00DB48A9">
              <w:rPr>
                <w:sz w:val="22"/>
              </w:rPr>
              <w:t>減：輸入</w:t>
            </w:r>
            <w:r w:rsidRPr="00DB48A9">
              <w:rPr>
                <w:sz w:val="22"/>
              </w:rPr>
              <w:t>(</w:t>
            </w:r>
            <w:r w:rsidRPr="00DB48A9">
              <w:rPr>
                <w:sz w:val="22"/>
              </w:rPr>
              <w:t>含商品及勞務</w:t>
            </w:r>
            <w:r w:rsidRPr="00DB48A9">
              <w:rPr>
                <w:sz w:val="22"/>
              </w:rPr>
              <w:t>)</w:t>
            </w:r>
          </w:p>
        </w:tc>
        <w:tc>
          <w:tcPr>
            <w:tcW w:w="1555" w:type="dxa"/>
            <w:tcBorders>
              <w:bottom w:val="dashSmallGap" w:sz="4" w:space="0" w:color="auto"/>
              <w:right w:val="single" w:sz="6" w:space="0" w:color="auto"/>
            </w:tcBorders>
            <w:vAlign w:val="center"/>
          </w:tcPr>
          <w:p w:rsidR="005B2621" w:rsidRPr="00DB48A9" w:rsidRDefault="0094178B" w:rsidP="008F542E">
            <w:pPr>
              <w:snapToGrid w:val="0"/>
              <w:jc w:val="center"/>
            </w:pPr>
            <w:r w:rsidRPr="00DB48A9">
              <w:t>-2.08</w:t>
            </w:r>
          </w:p>
        </w:tc>
        <w:tc>
          <w:tcPr>
            <w:tcW w:w="1476" w:type="dxa"/>
            <w:tcBorders>
              <w:bottom w:val="dashSmallGap" w:sz="4" w:space="0" w:color="auto"/>
              <w:right w:val="single" w:sz="6" w:space="0" w:color="auto"/>
            </w:tcBorders>
            <w:vAlign w:val="center"/>
          </w:tcPr>
          <w:p w:rsidR="005B2621" w:rsidRPr="00DB48A9" w:rsidRDefault="0094178B" w:rsidP="008F542E">
            <w:pPr>
              <w:snapToGrid w:val="0"/>
              <w:jc w:val="center"/>
            </w:pPr>
            <w:r w:rsidRPr="00DB48A9">
              <w:t>-1.17</w:t>
            </w:r>
          </w:p>
        </w:tc>
        <w:tc>
          <w:tcPr>
            <w:tcW w:w="1571" w:type="dxa"/>
            <w:tcBorders>
              <w:bottom w:val="dashSmallGap" w:sz="4" w:space="0" w:color="auto"/>
              <w:right w:val="single" w:sz="6" w:space="0" w:color="auto"/>
            </w:tcBorders>
            <w:vAlign w:val="center"/>
          </w:tcPr>
          <w:p w:rsidR="005B2621" w:rsidRPr="00DB48A9" w:rsidRDefault="0094178B" w:rsidP="008F542E">
            <w:pPr>
              <w:snapToGrid w:val="0"/>
              <w:jc w:val="center"/>
            </w:pPr>
            <w:r w:rsidRPr="00DB48A9">
              <w:t>5.80</w:t>
            </w:r>
          </w:p>
        </w:tc>
        <w:tc>
          <w:tcPr>
            <w:tcW w:w="1466" w:type="dxa"/>
            <w:tcBorders>
              <w:left w:val="single" w:sz="6" w:space="0" w:color="auto"/>
              <w:bottom w:val="dashSmallGap" w:sz="4" w:space="0" w:color="auto"/>
            </w:tcBorders>
            <w:vAlign w:val="center"/>
          </w:tcPr>
          <w:p w:rsidR="005B2621" w:rsidRPr="00DB48A9" w:rsidRDefault="0094178B" w:rsidP="008F542E">
            <w:pPr>
              <w:snapToGrid w:val="0"/>
              <w:jc w:val="center"/>
            </w:pPr>
            <w:r w:rsidRPr="00DB48A9">
              <w:t>3.14</w:t>
            </w:r>
          </w:p>
        </w:tc>
      </w:tr>
      <w:tr w:rsidR="00DB48A9" w:rsidRPr="00DB48A9" w:rsidTr="008F542E">
        <w:trPr>
          <w:cantSplit/>
          <w:trHeight w:val="143"/>
          <w:jc w:val="center"/>
        </w:trPr>
        <w:tc>
          <w:tcPr>
            <w:tcW w:w="2581" w:type="dxa"/>
            <w:tcBorders>
              <w:right w:val="single" w:sz="6" w:space="0" w:color="auto"/>
            </w:tcBorders>
          </w:tcPr>
          <w:p w:rsidR="005B2621" w:rsidRPr="00DB48A9" w:rsidRDefault="005B2621" w:rsidP="008F542E">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躉售物價（</w:t>
            </w:r>
            <w:r w:rsidRPr="00DB48A9">
              <w:rPr>
                <w:rFonts w:ascii="Times New Roman" w:eastAsia="標楷體"/>
                <w:sz w:val="22"/>
              </w:rPr>
              <w:t>WPI</w:t>
            </w:r>
            <w:r w:rsidRPr="00DB48A9">
              <w:rPr>
                <w:rFonts w:ascii="Times New Roman" w:eastAsia="標楷體"/>
                <w:sz w:val="22"/>
              </w:rPr>
              <w:t>）</w:t>
            </w:r>
          </w:p>
        </w:tc>
        <w:tc>
          <w:tcPr>
            <w:tcW w:w="1555" w:type="dxa"/>
            <w:tcBorders>
              <w:right w:val="single" w:sz="6" w:space="0" w:color="auto"/>
            </w:tcBorders>
          </w:tcPr>
          <w:p w:rsidR="005B2621" w:rsidRPr="00DB48A9" w:rsidRDefault="0094178B" w:rsidP="008F542E">
            <w:pPr>
              <w:snapToGrid w:val="0"/>
              <w:jc w:val="center"/>
            </w:pPr>
            <w:r w:rsidRPr="00DB48A9">
              <w:t>-1.16</w:t>
            </w:r>
          </w:p>
        </w:tc>
        <w:tc>
          <w:tcPr>
            <w:tcW w:w="1476" w:type="dxa"/>
            <w:tcBorders>
              <w:right w:val="single" w:sz="6" w:space="0" w:color="auto"/>
            </w:tcBorders>
            <w:vAlign w:val="center"/>
          </w:tcPr>
          <w:p w:rsidR="005B2621" w:rsidRPr="00DB48A9" w:rsidRDefault="00835D7E" w:rsidP="008F542E">
            <w:pPr>
              <w:snapToGrid w:val="0"/>
              <w:jc w:val="center"/>
            </w:pPr>
            <w:r w:rsidRPr="00DB48A9">
              <w:t>-</w:t>
            </w:r>
          </w:p>
        </w:tc>
        <w:tc>
          <w:tcPr>
            <w:tcW w:w="1571" w:type="dxa"/>
            <w:tcBorders>
              <w:right w:val="single" w:sz="6" w:space="0" w:color="auto"/>
            </w:tcBorders>
          </w:tcPr>
          <w:p w:rsidR="005B2621" w:rsidRPr="00DB48A9" w:rsidRDefault="0094178B" w:rsidP="008F542E">
            <w:pPr>
              <w:snapToGrid w:val="0"/>
              <w:jc w:val="center"/>
            </w:pPr>
            <w:r w:rsidRPr="00DB48A9">
              <w:t>-1.22</w:t>
            </w:r>
          </w:p>
        </w:tc>
        <w:tc>
          <w:tcPr>
            <w:tcW w:w="1466" w:type="dxa"/>
            <w:tcBorders>
              <w:left w:val="single" w:sz="6" w:space="0" w:color="auto"/>
            </w:tcBorders>
          </w:tcPr>
          <w:p w:rsidR="005B2621" w:rsidRPr="00DB48A9" w:rsidRDefault="00835D7E" w:rsidP="008F542E">
            <w:pPr>
              <w:snapToGrid w:val="0"/>
              <w:jc w:val="center"/>
            </w:pPr>
            <w:r w:rsidRPr="00DB48A9">
              <w:t>-</w:t>
            </w:r>
          </w:p>
        </w:tc>
      </w:tr>
      <w:tr w:rsidR="00DB48A9" w:rsidRPr="00DB48A9" w:rsidTr="008F542E">
        <w:trPr>
          <w:cantSplit/>
          <w:trHeight w:val="143"/>
          <w:jc w:val="center"/>
        </w:trPr>
        <w:tc>
          <w:tcPr>
            <w:tcW w:w="2581" w:type="dxa"/>
            <w:tcBorders>
              <w:bottom w:val="single" w:sz="6" w:space="0" w:color="auto"/>
              <w:right w:val="single" w:sz="6" w:space="0" w:color="auto"/>
            </w:tcBorders>
          </w:tcPr>
          <w:p w:rsidR="005B2621" w:rsidRPr="00DB48A9" w:rsidRDefault="005B2621" w:rsidP="008F542E">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消費者物價（</w:t>
            </w:r>
            <w:r w:rsidRPr="00DB48A9">
              <w:rPr>
                <w:rFonts w:ascii="Times New Roman" w:eastAsia="標楷體"/>
                <w:sz w:val="22"/>
              </w:rPr>
              <w:t>CPI</w:t>
            </w:r>
            <w:r w:rsidRPr="00DB48A9">
              <w:rPr>
                <w:rFonts w:ascii="Times New Roman" w:eastAsia="標楷體"/>
                <w:sz w:val="22"/>
              </w:rPr>
              <w:t>）</w:t>
            </w:r>
          </w:p>
        </w:tc>
        <w:tc>
          <w:tcPr>
            <w:tcW w:w="1555" w:type="dxa"/>
            <w:tcBorders>
              <w:bottom w:val="single" w:sz="6" w:space="0" w:color="auto"/>
              <w:right w:val="single" w:sz="6" w:space="0" w:color="auto"/>
            </w:tcBorders>
          </w:tcPr>
          <w:p w:rsidR="005B2621" w:rsidRPr="00DB48A9" w:rsidRDefault="0094178B" w:rsidP="008F542E">
            <w:pPr>
              <w:snapToGrid w:val="0"/>
              <w:jc w:val="center"/>
            </w:pPr>
            <w:r w:rsidRPr="00DB48A9">
              <w:t>1.93</w:t>
            </w:r>
          </w:p>
        </w:tc>
        <w:tc>
          <w:tcPr>
            <w:tcW w:w="1476" w:type="dxa"/>
            <w:tcBorders>
              <w:bottom w:val="single" w:sz="6" w:space="0" w:color="auto"/>
              <w:right w:val="single" w:sz="6" w:space="0" w:color="auto"/>
            </w:tcBorders>
          </w:tcPr>
          <w:p w:rsidR="005B2621" w:rsidRPr="00DB48A9" w:rsidRDefault="00835D7E" w:rsidP="008F542E">
            <w:pPr>
              <w:snapToGrid w:val="0"/>
              <w:jc w:val="center"/>
            </w:pPr>
            <w:r w:rsidRPr="00DB48A9">
              <w:t>-</w:t>
            </w:r>
          </w:p>
        </w:tc>
        <w:tc>
          <w:tcPr>
            <w:tcW w:w="1571" w:type="dxa"/>
            <w:tcBorders>
              <w:bottom w:val="single" w:sz="6" w:space="0" w:color="auto"/>
              <w:right w:val="single" w:sz="6" w:space="0" w:color="auto"/>
            </w:tcBorders>
          </w:tcPr>
          <w:p w:rsidR="005B2621" w:rsidRPr="00DB48A9" w:rsidRDefault="0094178B" w:rsidP="008F542E">
            <w:pPr>
              <w:snapToGrid w:val="0"/>
              <w:jc w:val="center"/>
            </w:pPr>
            <w:r w:rsidRPr="00DB48A9">
              <w:t>1.23</w:t>
            </w:r>
          </w:p>
        </w:tc>
        <w:tc>
          <w:tcPr>
            <w:tcW w:w="1466" w:type="dxa"/>
            <w:tcBorders>
              <w:left w:val="single" w:sz="6" w:space="0" w:color="auto"/>
              <w:bottom w:val="single" w:sz="6" w:space="0" w:color="auto"/>
            </w:tcBorders>
          </w:tcPr>
          <w:p w:rsidR="005B2621" w:rsidRPr="00DB48A9" w:rsidRDefault="00835D7E" w:rsidP="008F542E">
            <w:pPr>
              <w:snapToGrid w:val="0"/>
              <w:jc w:val="center"/>
            </w:pPr>
            <w:r w:rsidRPr="00DB48A9">
              <w:t>-</w:t>
            </w:r>
          </w:p>
        </w:tc>
      </w:tr>
    </w:tbl>
    <w:p w:rsidR="00FF0855" w:rsidRPr="00DB48A9" w:rsidRDefault="00FF0855" w:rsidP="00FF0855">
      <w:pPr>
        <w:ind w:rightChars="-257" w:right="-617"/>
        <w:rPr>
          <w:rFonts w:eastAsia="標楷體"/>
          <w:sz w:val="22"/>
          <w:szCs w:val="22"/>
        </w:rPr>
      </w:pPr>
      <w:r w:rsidRPr="00DB48A9">
        <w:rPr>
          <w:rFonts w:eastAsia="標楷體"/>
          <w:sz w:val="22"/>
          <w:szCs w:val="22"/>
        </w:rPr>
        <w:t>資料來源：行政院主計總處，國民所得統計及國內經濟情勢展望，</w:t>
      </w:r>
      <w:r w:rsidRPr="00DB48A9">
        <w:rPr>
          <w:rFonts w:eastAsia="標楷體"/>
          <w:sz w:val="22"/>
          <w:szCs w:val="22"/>
        </w:rPr>
        <w:t>102</w:t>
      </w:r>
      <w:r w:rsidRPr="00DB48A9">
        <w:rPr>
          <w:rFonts w:eastAsia="標楷體"/>
          <w:sz w:val="22"/>
          <w:szCs w:val="22"/>
        </w:rPr>
        <w:t>年</w:t>
      </w:r>
      <w:r w:rsidR="0094178B" w:rsidRPr="00DB48A9">
        <w:rPr>
          <w:rFonts w:eastAsia="標楷體"/>
          <w:sz w:val="22"/>
          <w:szCs w:val="22"/>
        </w:rPr>
        <w:t>5</w:t>
      </w:r>
      <w:r w:rsidRPr="00DB48A9">
        <w:rPr>
          <w:rFonts w:eastAsia="標楷體"/>
          <w:sz w:val="22"/>
          <w:szCs w:val="22"/>
        </w:rPr>
        <w:t>月</w:t>
      </w:r>
      <w:r w:rsidR="005B2621" w:rsidRPr="00DB48A9">
        <w:rPr>
          <w:rFonts w:eastAsia="標楷體"/>
          <w:sz w:val="22"/>
          <w:szCs w:val="22"/>
        </w:rPr>
        <w:t>2</w:t>
      </w:r>
      <w:r w:rsidR="0094178B" w:rsidRPr="00DB48A9">
        <w:rPr>
          <w:rFonts w:eastAsia="標楷體"/>
          <w:sz w:val="22"/>
          <w:szCs w:val="22"/>
        </w:rPr>
        <w:t>4</w:t>
      </w:r>
      <w:r w:rsidRPr="00DB48A9">
        <w:rPr>
          <w:rFonts w:eastAsia="標楷體"/>
          <w:sz w:val="22"/>
          <w:szCs w:val="22"/>
        </w:rPr>
        <w:t>日。</w:t>
      </w:r>
    </w:p>
    <w:bookmarkEnd w:id="62"/>
    <w:p w:rsidR="00345470" w:rsidRPr="002843FF" w:rsidRDefault="00345470" w:rsidP="00B86F73">
      <w:pPr>
        <w:tabs>
          <w:tab w:val="left" w:pos="540"/>
        </w:tabs>
        <w:snapToGrid w:val="0"/>
        <w:spacing w:beforeLines="50" w:before="180" w:line="300" w:lineRule="auto"/>
        <w:ind w:left="566" w:hangingChars="202" w:hanging="566"/>
        <w:rPr>
          <w:rFonts w:eastAsia="標楷體"/>
          <w:b/>
          <w:bCs/>
          <w:sz w:val="28"/>
          <w:szCs w:val="28"/>
        </w:rPr>
      </w:pPr>
      <w:r w:rsidRPr="002843FF">
        <w:rPr>
          <w:rFonts w:eastAsia="標楷體"/>
          <w:b/>
          <w:bCs/>
          <w:sz w:val="28"/>
          <w:szCs w:val="28"/>
        </w:rPr>
        <w:lastRenderedPageBreak/>
        <w:t>２、</w:t>
      </w:r>
      <w:r w:rsidR="002843FF" w:rsidRPr="002843FF">
        <w:rPr>
          <w:rFonts w:eastAsia="標楷體" w:hint="eastAsia"/>
          <w:b/>
          <w:bCs/>
          <w:sz w:val="28"/>
          <w:szCs w:val="28"/>
        </w:rPr>
        <w:t>102</w:t>
      </w:r>
      <w:r w:rsidR="002843FF" w:rsidRPr="002843FF">
        <w:rPr>
          <w:rFonts w:eastAsia="標楷體" w:hint="eastAsia"/>
          <w:b/>
          <w:bCs/>
          <w:sz w:val="28"/>
          <w:szCs w:val="28"/>
        </w:rPr>
        <w:t>年</w:t>
      </w:r>
      <w:r w:rsidR="002843FF" w:rsidRPr="002843FF">
        <w:rPr>
          <w:rFonts w:eastAsia="標楷體" w:hint="eastAsia"/>
          <w:b/>
          <w:bCs/>
          <w:sz w:val="28"/>
          <w:szCs w:val="28"/>
        </w:rPr>
        <w:t>6</w:t>
      </w:r>
      <w:r w:rsidR="002843FF" w:rsidRPr="002843FF">
        <w:rPr>
          <w:rFonts w:eastAsia="標楷體" w:hint="eastAsia"/>
          <w:b/>
          <w:bCs/>
          <w:sz w:val="28"/>
          <w:szCs w:val="28"/>
        </w:rPr>
        <w:t>月景氣對策信號轉呈綠燈，領先指標維持上升，同時指標則連續</w:t>
      </w:r>
      <w:r w:rsidR="002843FF" w:rsidRPr="002843FF">
        <w:rPr>
          <w:rFonts w:eastAsia="標楷體" w:hint="eastAsia"/>
          <w:b/>
          <w:bCs/>
          <w:sz w:val="28"/>
          <w:szCs w:val="28"/>
        </w:rPr>
        <w:t>3</w:t>
      </w:r>
      <w:r w:rsidR="002843FF" w:rsidRPr="002843FF">
        <w:rPr>
          <w:rFonts w:eastAsia="標楷體" w:hint="eastAsia"/>
          <w:b/>
          <w:bCs/>
          <w:sz w:val="28"/>
          <w:szCs w:val="28"/>
        </w:rPr>
        <w:t>個月上升</w:t>
      </w:r>
    </w:p>
    <w:p w:rsidR="00345470" w:rsidRPr="002843FF" w:rsidRDefault="00345470" w:rsidP="00345470">
      <w:pPr>
        <w:snapToGrid w:val="0"/>
        <w:spacing w:beforeLines="50" w:before="180" w:line="300" w:lineRule="auto"/>
        <w:ind w:rightChars="-59" w:right="-142"/>
        <w:jc w:val="both"/>
        <w:rPr>
          <w:rFonts w:eastAsia="標楷體"/>
          <w:sz w:val="28"/>
          <w:szCs w:val="28"/>
        </w:rPr>
      </w:pPr>
      <w:r w:rsidRPr="002843FF">
        <w:rPr>
          <w:rFonts w:eastAsia="標楷體"/>
          <w:sz w:val="28"/>
          <w:szCs w:val="28"/>
        </w:rPr>
        <w:t xml:space="preserve">(1) </w:t>
      </w:r>
      <w:r w:rsidRPr="002843FF">
        <w:rPr>
          <w:rFonts w:eastAsia="標楷體"/>
          <w:sz w:val="28"/>
          <w:szCs w:val="28"/>
        </w:rPr>
        <w:t>領先指標</w:t>
      </w:r>
    </w:p>
    <w:p w:rsidR="00345470" w:rsidRPr="003111E1" w:rsidRDefault="002843FF" w:rsidP="002843FF">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Pr>
          <w:rFonts w:eastAsia="標楷體" w:hint="eastAsia"/>
          <w:kern w:val="0"/>
          <w:sz w:val="28"/>
          <w:szCs w:val="28"/>
        </w:rPr>
        <w:t>6</w:t>
      </w:r>
      <w:r w:rsidRPr="00475A65">
        <w:rPr>
          <w:rFonts w:eastAsia="標楷體" w:hint="eastAsia"/>
          <w:kern w:val="0"/>
          <w:sz w:val="28"/>
          <w:szCs w:val="28"/>
        </w:rPr>
        <w:t>月領先指標綜合指數為</w:t>
      </w:r>
      <w:r w:rsidRPr="00475A65">
        <w:rPr>
          <w:rFonts w:eastAsia="標楷體" w:hint="eastAsia"/>
          <w:kern w:val="0"/>
          <w:sz w:val="28"/>
          <w:szCs w:val="28"/>
        </w:rPr>
        <w:t>104.</w:t>
      </w:r>
      <w:r>
        <w:rPr>
          <w:rFonts w:eastAsia="標楷體" w:hint="eastAsia"/>
          <w:kern w:val="0"/>
          <w:sz w:val="28"/>
          <w:szCs w:val="28"/>
        </w:rPr>
        <w:t>2</w:t>
      </w:r>
      <w:r w:rsidRPr="00475A65">
        <w:rPr>
          <w:rFonts w:eastAsia="標楷體" w:hint="eastAsia"/>
          <w:kern w:val="0"/>
          <w:sz w:val="28"/>
          <w:szCs w:val="28"/>
        </w:rPr>
        <w:t>，較上月上升</w:t>
      </w:r>
      <w:r w:rsidRPr="00475A65">
        <w:rPr>
          <w:rFonts w:eastAsia="標楷體" w:hint="eastAsia"/>
          <w:kern w:val="0"/>
          <w:sz w:val="28"/>
          <w:szCs w:val="28"/>
        </w:rPr>
        <w:t>0.</w:t>
      </w:r>
      <w:r>
        <w:rPr>
          <w:rFonts w:eastAsia="標楷體" w:hint="eastAsia"/>
          <w:kern w:val="0"/>
          <w:sz w:val="28"/>
          <w:szCs w:val="28"/>
        </w:rPr>
        <w:t>6</w:t>
      </w:r>
      <w:r>
        <w:rPr>
          <w:rFonts w:eastAsia="標楷體" w:hint="eastAsia"/>
          <w:kern w:val="0"/>
          <w:sz w:val="28"/>
          <w:szCs w:val="28"/>
        </w:rPr>
        <w:t>％</w:t>
      </w:r>
      <w:r w:rsidRPr="00475A65">
        <w:rPr>
          <w:rFonts w:eastAsia="標楷體" w:hint="eastAsia"/>
          <w:kern w:val="0"/>
          <w:sz w:val="28"/>
          <w:szCs w:val="28"/>
        </w:rPr>
        <w:t>；</w:t>
      </w:r>
      <w:r w:rsidRPr="00475A65">
        <w:rPr>
          <w:rFonts w:eastAsia="標楷體" w:hint="eastAsia"/>
          <w:kern w:val="0"/>
          <w:sz w:val="28"/>
          <w:szCs w:val="28"/>
        </w:rPr>
        <w:t>6</w:t>
      </w:r>
      <w:r w:rsidRPr="00475A65">
        <w:rPr>
          <w:rFonts w:eastAsia="標楷體" w:hint="eastAsia"/>
          <w:kern w:val="0"/>
          <w:sz w:val="28"/>
          <w:szCs w:val="28"/>
        </w:rPr>
        <w:t>個月平滑化年變動率</w:t>
      </w:r>
      <w:r w:rsidRPr="00475A65">
        <w:rPr>
          <w:rFonts w:eastAsia="標楷體" w:hint="eastAsia"/>
          <w:kern w:val="0"/>
          <w:sz w:val="28"/>
          <w:szCs w:val="28"/>
        </w:rPr>
        <w:t>7.</w:t>
      </w:r>
      <w:r>
        <w:rPr>
          <w:rFonts w:eastAsia="標楷體" w:hint="eastAsia"/>
          <w:kern w:val="0"/>
          <w:sz w:val="28"/>
          <w:szCs w:val="28"/>
        </w:rPr>
        <w:t>0</w:t>
      </w:r>
      <w:r>
        <w:rPr>
          <w:rFonts w:eastAsia="標楷體" w:hint="eastAsia"/>
          <w:kern w:val="0"/>
          <w:sz w:val="28"/>
          <w:szCs w:val="28"/>
        </w:rPr>
        <w:t>％</w:t>
      </w:r>
      <w:r w:rsidRPr="00475A65">
        <w:rPr>
          <w:rFonts w:eastAsia="標楷體" w:hint="eastAsia"/>
          <w:kern w:val="0"/>
          <w:sz w:val="28"/>
          <w:szCs w:val="28"/>
        </w:rPr>
        <w:t>，較上月</w:t>
      </w:r>
      <w:r>
        <w:rPr>
          <w:rFonts w:eastAsia="標楷體" w:hint="eastAsia"/>
          <w:kern w:val="0"/>
          <w:sz w:val="28"/>
          <w:szCs w:val="28"/>
        </w:rPr>
        <w:t>6</w:t>
      </w:r>
      <w:r w:rsidRPr="00475A65">
        <w:rPr>
          <w:rFonts w:eastAsia="標楷體" w:hint="eastAsia"/>
          <w:kern w:val="0"/>
          <w:sz w:val="28"/>
          <w:szCs w:val="28"/>
        </w:rPr>
        <w:t>.</w:t>
      </w:r>
      <w:r>
        <w:rPr>
          <w:rFonts w:eastAsia="標楷體" w:hint="eastAsia"/>
          <w:kern w:val="0"/>
          <w:sz w:val="28"/>
          <w:szCs w:val="28"/>
        </w:rPr>
        <w:t>8</w:t>
      </w:r>
      <w:r>
        <w:rPr>
          <w:rFonts w:eastAsia="標楷體" w:hint="eastAsia"/>
          <w:kern w:val="0"/>
          <w:sz w:val="28"/>
          <w:szCs w:val="28"/>
        </w:rPr>
        <w:t>％</w:t>
      </w:r>
      <w:r w:rsidRPr="00475A65">
        <w:rPr>
          <w:rFonts w:eastAsia="標楷體" w:hint="eastAsia"/>
          <w:kern w:val="0"/>
          <w:sz w:val="28"/>
          <w:szCs w:val="28"/>
        </w:rPr>
        <w:t>上升</w:t>
      </w:r>
      <w:r w:rsidRPr="00475A65">
        <w:rPr>
          <w:rFonts w:eastAsia="標楷體" w:hint="eastAsia"/>
          <w:kern w:val="0"/>
          <w:sz w:val="28"/>
          <w:szCs w:val="28"/>
        </w:rPr>
        <w:t>0.</w:t>
      </w:r>
      <w:r>
        <w:rPr>
          <w:rFonts w:eastAsia="標楷體" w:hint="eastAsia"/>
          <w:kern w:val="0"/>
          <w:sz w:val="28"/>
          <w:szCs w:val="28"/>
        </w:rPr>
        <w:t>2</w:t>
      </w:r>
      <w:r w:rsidRPr="00475A65">
        <w:rPr>
          <w:rFonts w:eastAsia="標楷體" w:hint="eastAsia"/>
          <w:kern w:val="0"/>
          <w:sz w:val="28"/>
          <w:szCs w:val="28"/>
        </w:rPr>
        <w:t>個百分點。</w:t>
      </w:r>
      <w:r w:rsidRPr="002352DD">
        <w:rPr>
          <w:rFonts w:eastAsia="標楷體" w:hint="eastAsia"/>
          <w:kern w:val="0"/>
          <w:sz w:val="28"/>
          <w:szCs w:val="28"/>
        </w:rPr>
        <w:t>7</w:t>
      </w:r>
      <w:r w:rsidRPr="002352DD">
        <w:rPr>
          <w:rFonts w:eastAsia="標楷體" w:hint="eastAsia"/>
          <w:kern w:val="0"/>
          <w:sz w:val="28"/>
          <w:szCs w:val="28"/>
        </w:rPr>
        <w:t>個構成項目經去除長期趨勢後，</w:t>
      </w:r>
      <w:r w:rsidRPr="002352DD">
        <w:rPr>
          <w:rFonts w:eastAsia="標楷體" w:hint="eastAsia"/>
          <w:kern w:val="0"/>
          <w:sz w:val="28"/>
          <w:szCs w:val="28"/>
        </w:rPr>
        <w:t xml:space="preserve"> 5</w:t>
      </w:r>
      <w:r w:rsidRPr="002352DD">
        <w:rPr>
          <w:rFonts w:eastAsia="標楷體" w:hint="eastAsia"/>
          <w:kern w:val="0"/>
          <w:sz w:val="28"/>
          <w:szCs w:val="28"/>
        </w:rPr>
        <w:t>項較上月上升，分別為：製造業存貨量指數</w:t>
      </w:r>
      <w:r>
        <w:rPr>
          <w:rFonts w:eastAsia="標楷體" w:hint="eastAsia"/>
          <w:kern w:val="0"/>
          <w:sz w:val="28"/>
          <w:szCs w:val="28"/>
        </w:rPr>
        <w:t>（</w:t>
      </w:r>
      <w:r w:rsidRPr="002352DD">
        <w:rPr>
          <w:rFonts w:eastAsia="標楷體" w:hint="eastAsia"/>
          <w:kern w:val="0"/>
          <w:sz w:val="28"/>
          <w:szCs w:val="28"/>
        </w:rPr>
        <w:t>取倒數計算</w:t>
      </w:r>
      <w:r>
        <w:rPr>
          <w:rFonts w:eastAsia="標楷體" w:hint="eastAsia"/>
          <w:kern w:val="0"/>
          <w:sz w:val="28"/>
          <w:szCs w:val="28"/>
        </w:rPr>
        <w:t>）</w:t>
      </w:r>
      <w:r w:rsidRPr="002352DD">
        <w:rPr>
          <w:rFonts w:eastAsia="標楷體" w:hint="eastAsia"/>
          <w:kern w:val="0"/>
          <w:sz w:val="28"/>
          <w:szCs w:val="28"/>
        </w:rPr>
        <w:t>、實質貨幣總計數</w:t>
      </w:r>
      <w:r w:rsidRPr="002352DD">
        <w:rPr>
          <w:rFonts w:eastAsia="標楷體" w:hint="eastAsia"/>
          <w:kern w:val="0"/>
          <w:sz w:val="28"/>
          <w:szCs w:val="28"/>
        </w:rPr>
        <w:t>M1B</w:t>
      </w:r>
      <w:r w:rsidRPr="002352DD">
        <w:rPr>
          <w:rFonts w:eastAsia="標楷體" w:hint="eastAsia"/>
          <w:kern w:val="0"/>
          <w:sz w:val="28"/>
          <w:szCs w:val="28"/>
        </w:rPr>
        <w:t>、</w:t>
      </w:r>
      <w:r w:rsidRPr="002352DD">
        <w:rPr>
          <w:rFonts w:eastAsia="標楷體" w:hint="eastAsia"/>
          <w:kern w:val="0"/>
          <w:sz w:val="28"/>
          <w:szCs w:val="28"/>
        </w:rPr>
        <w:t>SEMI</w:t>
      </w:r>
      <w:r w:rsidRPr="002352DD">
        <w:rPr>
          <w:rFonts w:eastAsia="標楷體" w:hint="eastAsia"/>
          <w:kern w:val="0"/>
          <w:sz w:val="28"/>
          <w:szCs w:val="28"/>
        </w:rPr>
        <w:t>半導體接單出貨比、工業及服務業加班工時、股價指數；外銷訂單指數、核發建照面積則較上月下滑</w:t>
      </w:r>
      <w:r w:rsidRPr="00475A65">
        <w:rPr>
          <w:rFonts w:eastAsia="標楷體" w:hint="eastAsia"/>
          <w:kern w:val="0"/>
          <w:sz w:val="28"/>
          <w:szCs w:val="28"/>
        </w:rPr>
        <w:t>。</w:t>
      </w:r>
    </w:p>
    <w:p w:rsidR="00345470" w:rsidRPr="002843FF" w:rsidRDefault="00345470" w:rsidP="00345470">
      <w:pPr>
        <w:widowControl/>
        <w:snapToGrid w:val="0"/>
        <w:spacing w:beforeLines="50" w:before="180" w:line="320" w:lineRule="exact"/>
        <w:ind w:rightChars="-59" w:right="-142"/>
        <w:jc w:val="center"/>
        <w:rPr>
          <w:rFonts w:eastAsia="標楷體"/>
          <w:b/>
          <w:kern w:val="0"/>
          <w:sz w:val="28"/>
          <w:szCs w:val="28"/>
        </w:rPr>
      </w:pPr>
      <w:r w:rsidRPr="002843FF">
        <w:rPr>
          <w:rFonts w:eastAsia="標楷體"/>
          <w:b/>
          <w:kern w:val="0"/>
          <w:sz w:val="28"/>
          <w:szCs w:val="28"/>
        </w:rPr>
        <w:t>圖</w:t>
      </w:r>
      <w:r w:rsidRPr="002843FF">
        <w:rPr>
          <w:rFonts w:eastAsia="標楷體"/>
          <w:b/>
          <w:kern w:val="0"/>
          <w:sz w:val="28"/>
          <w:szCs w:val="28"/>
        </w:rPr>
        <w:t>2-1-1</w:t>
      </w:r>
      <w:r w:rsidRPr="002843FF">
        <w:rPr>
          <w:rFonts w:eastAsia="標楷體"/>
          <w:b/>
          <w:kern w:val="0"/>
          <w:sz w:val="28"/>
          <w:szCs w:val="28"/>
        </w:rPr>
        <w:t>景氣領先指標</w:t>
      </w:r>
    </w:p>
    <w:p w:rsidR="00345470" w:rsidRPr="003111E1" w:rsidRDefault="002843FF" w:rsidP="00345470">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7C453F31" wp14:editId="079641C0">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5470" w:rsidRPr="002843FF" w:rsidRDefault="00345470" w:rsidP="006969A2">
      <w:pPr>
        <w:tabs>
          <w:tab w:val="left" w:pos="540"/>
          <w:tab w:val="left" w:pos="2300"/>
        </w:tabs>
        <w:spacing w:before="180" w:line="300" w:lineRule="auto"/>
        <w:rPr>
          <w:rFonts w:eastAsia="標楷體"/>
          <w:sz w:val="28"/>
          <w:szCs w:val="32"/>
        </w:rPr>
      </w:pPr>
      <w:r w:rsidRPr="002843FF">
        <w:rPr>
          <w:rFonts w:eastAsia="標楷體"/>
          <w:sz w:val="28"/>
          <w:szCs w:val="32"/>
        </w:rPr>
        <w:t xml:space="preserve"> (2) </w:t>
      </w:r>
      <w:r w:rsidRPr="002843FF">
        <w:rPr>
          <w:rFonts w:eastAsia="標楷體"/>
          <w:sz w:val="28"/>
          <w:szCs w:val="32"/>
        </w:rPr>
        <w:t>同時指標</w:t>
      </w:r>
      <w:r w:rsidR="00475A65" w:rsidRPr="002843FF">
        <w:rPr>
          <w:rFonts w:eastAsia="標楷體"/>
          <w:sz w:val="28"/>
          <w:szCs w:val="32"/>
        </w:rPr>
        <w:tab/>
      </w:r>
    </w:p>
    <w:p w:rsidR="00C44D2E" w:rsidRPr="003111E1" w:rsidRDefault="002843FF" w:rsidP="002843FF">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Pr>
          <w:rFonts w:eastAsia="標楷體" w:hint="eastAsia"/>
          <w:kern w:val="0"/>
          <w:sz w:val="28"/>
          <w:szCs w:val="28"/>
        </w:rPr>
        <w:t>6</w:t>
      </w:r>
      <w:r w:rsidRPr="00475A65">
        <w:rPr>
          <w:rFonts w:eastAsia="標楷體" w:hint="eastAsia"/>
          <w:kern w:val="0"/>
          <w:sz w:val="28"/>
          <w:szCs w:val="28"/>
        </w:rPr>
        <w:t>月同時指標綜合指數為</w:t>
      </w:r>
      <w:r w:rsidRPr="00475A65">
        <w:rPr>
          <w:rFonts w:eastAsia="標楷體" w:hint="eastAsia"/>
          <w:kern w:val="0"/>
          <w:sz w:val="28"/>
          <w:szCs w:val="28"/>
        </w:rPr>
        <w:t>10</w:t>
      </w:r>
      <w:r>
        <w:rPr>
          <w:rFonts w:eastAsia="標楷體" w:hint="eastAsia"/>
          <w:kern w:val="0"/>
          <w:sz w:val="28"/>
          <w:szCs w:val="28"/>
        </w:rPr>
        <w:t>2</w:t>
      </w:r>
      <w:r w:rsidRPr="00475A65">
        <w:rPr>
          <w:rFonts w:eastAsia="標楷體" w:hint="eastAsia"/>
          <w:kern w:val="0"/>
          <w:sz w:val="28"/>
          <w:szCs w:val="28"/>
        </w:rPr>
        <w:t>.</w:t>
      </w:r>
      <w:r>
        <w:rPr>
          <w:rFonts w:eastAsia="標楷體" w:hint="eastAsia"/>
          <w:kern w:val="0"/>
          <w:sz w:val="28"/>
          <w:szCs w:val="28"/>
        </w:rPr>
        <w:t>8</w:t>
      </w:r>
      <w:r w:rsidRPr="00475A65">
        <w:rPr>
          <w:rFonts w:eastAsia="標楷體" w:hint="eastAsia"/>
          <w:kern w:val="0"/>
          <w:sz w:val="28"/>
          <w:szCs w:val="28"/>
        </w:rPr>
        <w:t>，較上月上升</w:t>
      </w:r>
      <w:r w:rsidRPr="00475A65">
        <w:rPr>
          <w:rFonts w:eastAsia="標楷體" w:hint="eastAsia"/>
          <w:kern w:val="0"/>
          <w:sz w:val="28"/>
          <w:szCs w:val="28"/>
        </w:rPr>
        <w:t>0.</w:t>
      </w:r>
      <w:r>
        <w:rPr>
          <w:rFonts w:eastAsia="標楷體" w:hint="eastAsia"/>
          <w:kern w:val="0"/>
          <w:sz w:val="28"/>
          <w:szCs w:val="28"/>
        </w:rPr>
        <w:t>6</w:t>
      </w:r>
      <w:r>
        <w:rPr>
          <w:rFonts w:eastAsia="標楷體" w:hint="eastAsia"/>
          <w:kern w:val="0"/>
          <w:sz w:val="28"/>
          <w:szCs w:val="28"/>
        </w:rPr>
        <w:t>％</w:t>
      </w:r>
      <w:r w:rsidRPr="00475A65">
        <w:rPr>
          <w:rFonts w:eastAsia="標楷體" w:hint="eastAsia"/>
          <w:kern w:val="0"/>
          <w:sz w:val="28"/>
          <w:szCs w:val="28"/>
        </w:rPr>
        <w:t>；不含趨勢之同時指標為</w:t>
      </w:r>
      <w:r w:rsidRPr="00475A65">
        <w:rPr>
          <w:rFonts w:eastAsia="標楷體" w:hint="eastAsia"/>
          <w:kern w:val="0"/>
          <w:sz w:val="28"/>
          <w:szCs w:val="28"/>
        </w:rPr>
        <w:t>9</w:t>
      </w:r>
      <w:r>
        <w:rPr>
          <w:rFonts w:eastAsia="標楷體" w:hint="eastAsia"/>
          <w:kern w:val="0"/>
          <w:sz w:val="28"/>
          <w:szCs w:val="28"/>
        </w:rPr>
        <w:t>9</w:t>
      </w:r>
      <w:r w:rsidRPr="00475A65">
        <w:rPr>
          <w:rFonts w:eastAsia="標楷體" w:hint="eastAsia"/>
          <w:kern w:val="0"/>
          <w:sz w:val="28"/>
          <w:szCs w:val="28"/>
        </w:rPr>
        <w:t>.</w:t>
      </w:r>
      <w:r>
        <w:rPr>
          <w:rFonts w:eastAsia="標楷體" w:hint="eastAsia"/>
          <w:kern w:val="0"/>
          <w:sz w:val="28"/>
          <w:szCs w:val="28"/>
        </w:rPr>
        <w:t>9</w:t>
      </w:r>
      <w:r w:rsidRPr="00475A65">
        <w:rPr>
          <w:rFonts w:eastAsia="標楷體" w:hint="eastAsia"/>
          <w:kern w:val="0"/>
          <w:sz w:val="28"/>
          <w:szCs w:val="28"/>
        </w:rPr>
        <w:t>，較上月</w:t>
      </w:r>
      <w:r>
        <w:rPr>
          <w:rFonts w:eastAsia="標楷體" w:hint="eastAsia"/>
          <w:kern w:val="0"/>
          <w:sz w:val="28"/>
          <w:szCs w:val="28"/>
        </w:rPr>
        <w:t>上</w:t>
      </w:r>
      <w:r w:rsidRPr="00475A65">
        <w:rPr>
          <w:rFonts w:eastAsia="標楷體" w:hint="eastAsia"/>
          <w:kern w:val="0"/>
          <w:sz w:val="28"/>
          <w:szCs w:val="28"/>
        </w:rPr>
        <w:t>升</w:t>
      </w:r>
      <w:r w:rsidRPr="00475A65">
        <w:rPr>
          <w:rFonts w:eastAsia="標楷體" w:hint="eastAsia"/>
          <w:kern w:val="0"/>
          <w:sz w:val="28"/>
          <w:szCs w:val="28"/>
        </w:rPr>
        <w:t>0.</w:t>
      </w:r>
      <w:r>
        <w:rPr>
          <w:rFonts w:eastAsia="標楷體" w:hint="eastAsia"/>
          <w:kern w:val="0"/>
          <w:sz w:val="28"/>
          <w:szCs w:val="28"/>
        </w:rPr>
        <w:t>4</w:t>
      </w:r>
      <w:r>
        <w:rPr>
          <w:rFonts w:eastAsia="標楷體" w:hint="eastAsia"/>
          <w:kern w:val="0"/>
          <w:sz w:val="28"/>
          <w:szCs w:val="28"/>
        </w:rPr>
        <w:t>％</w:t>
      </w:r>
      <w:r w:rsidRPr="00475A65">
        <w:rPr>
          <w:rFonts w:eastAsia="標楷體" w:hint="eastAsia"/>
          <w:kern w:val="0"/>
          <w:sz w:val="28"/>
          <w:szCs w:val="28"/>
        </w:rPr>
        <w:t>。</w:t>
      </w:r>
      <w:r w:rsidRPr="00D475D3">
        <w:rPr>
          <w:rFonts w:eastAsia="標楷體" w:hint="eastAsia"/>
          <w:kern w:val="0"/>
          <w:sz w:val="28"/>
          <w:szCs w:val="28"/>
        </w:rPr>
        <w:t>7</w:t>
      </w:r>
      <w:r w:rsidRPr="00D475D3">
        <w:rPr>
          <w:rFonts w:eastAsia="標楷體" w:hint="eastAsia"/>
          <w:kern w:val="0"/>
          <w:sz w:val="28"/>
          <w:szCs w:val="28"/>
        </w:rPr>
        <w:t>個構成項目經去除長期趨勢後，</w:t>
      </w:r>
      <w:r w:rsidRPr="00D475D3">
        <w:rPr>
          <w:rFonts w:eastAsia="標楷體" w:hint="eastAsia"/>
          <w:kern w:val="0"/>
          <w:sz w:val="28"/>
          <w:szCs w:val="28"/>
        </w:rPr>
        <w:t>3</w:t>
      </w:r>
      <w:r w:rsidRPr="00D475D3">
        <w:rPr>
          <w:rFonts w:eastAsia="標楷體" w:hint="eastAsia"/>
          <w:kern w:val="0"/>
          <w:sz w:val="28"/>
          <w:szCs w:val="28"/>
        </w:rPr>
        <w:t>項較上月上升，分別為：電力</w:t>
      </w:r>
      <w:r>
        <w:rPr>
          <w:rFonts w:eastAsia="標楷體" w:hint="eastAsia"/>
          <w:kern w:val="0"/>
          <w:sz w:val="28"/>
          <w:szCs w:val="28"/>
        </w:rPr>
        <w:t>（</w:t>
      </w:r>
      <w:r w:rsidRPr="00D475D3">
        <w:rPr>
          <w:rFonts w:eastAsia="標楷體" w:hint="eastAsia"/>
          <w:kern w:val="0"/>
          <w:sz w:val="28"/>
          <w:szCs w:val="28"/>
        </w:rPr>
        <w:t>企業</w:t>
      </w:r>
      <w:r>
        <w:rPr>
          <w:rFonts w:eastAsia="標楷體" w:hint="eastAsia"/>
          <w:kern w:val="0"/>
          <w:sz w:val="28"/>
          <w:szCs w:val="28"/>
        </w:rPr>
        <w:t>）</w:t>
      </w:r>
      <w:r w:rsidRPr="00D475D3">
        <w:rPr>
          <w:rFonts w:eastAsia="標楷體" w:hint="eastAsia"/>
          <w:kern w:val="0"/>
          <w:sz w:val="28"/>
          <w:szCs w:val="28"/>
        </w:rPr>
        <w:t>總用電量、實質機械及電機設備進口值、實質海關出口值；其餘</w:t>
      </w:r>
      <w:r w:rsidRPr="00D475D3">
        <w:rPr>
          <w:rFonts w:eastAsia="標楷體" w:hint="eastAsia"/>
          <w:kern w:val="0"/>
          <w:sz w:val="28"/>
          <w:szCs w:val="28"/>
        </w:rPr>
        <w:t>4</w:t>
      </w:r>
      <w:r w:rsidRPr="00D475D3">
        <w:rPr>
          <w:rFonts w:eastAsia="標楷體" w:hint="eastAsia"/>
          <w:kern w:val="0"/>
          <w:sz w:val="28"/>
          <w:szCs w:val="28"/>
        </w:rPr>
        <w:t>項：非農業部門就業人數、工業生產指數、製造業銷售量指數及商業營業額指數則較上月下滑</w:t>
      </w:r>
      <w:r w:rsidRPr="00475A65">
        <w:rPr>
          <w:rFonts w:eastAsia="標楷體" w:hint="eastAsia"/>
          <w:kern w:val="0"/>
          <w:sz w:val="28"/>
          <w:szCs w:val="28"/>
        </w:rPr>
        <w:t>。</w:t>
      </w:r>
    </w:p>
    <w:p w:rsidR="00A4148C" w:rsidRPr="003111E1" w:rsidRDefault="00A4148C" w:rsidP="00475A65">
      <w:pPr>
        <w:widowControl/>
        <w:snapToGrid w:val="0"/>
        <w:spacing w:beforeLines="50" w:before="180" w:afterLines="50" w:after="180" w:line="300" w:lineRule="auto"/>
        <w:ind w:rightChars="-59" w:right="-142"/>
        <w:jc w:val="both"/>
        <w:rPr>
          <w:rFonts w:eastAsia="標楷體"/>
          <w:color w:val="FF0000"/>
          <w:kern w:val="0"/>
          <w:sz w:val="28"/>
          <w:szCs w:val="28"/>
        </w:rPr>
      </w:pPr>
    </w:p>
    <w:p w:rsidR="00345470" w:rsidRPr="002843FF" w:rsidRDefault="00345470" w:rsidP="00345470">
      <w:pPr>
        <w:widowControl/>
        <w:snapToGrid w:val="0"/>
        <w:spacing w:beforeLines="50" w:before="180"/>
        <w:ind w:rightChars="-59" w:right="-142"/>
        <w:jc w:val="center"/>
        <w:rPr>
          <w:rFonts w:eastAsia="標楷體"/>
          <w:b/>
          <w:noProof/>
          <w:kern w:val="0"/>
          <w:sz w:val="28"/>
          <w:szCs w:val="28"/>
        </w:rPr>
      </w:pPr>
      <w:r w:rsidRPr="002843FF">
        <w:rPr>
          <w:rFonts w:eastAsia="標楷體"/>
          <w:b/>
          <w:noProof/>
          <w:kern w:val="0"/>
          <w:sz w:val="28"/>
          <w:szCs w:val="28"/>
        </w:rPr>
        <w:lastRenderedPageBreak/>
        <w:t>圖</w:t>
      </w:r>
      <w:r w:rsidRPr="002843FF">
        <w:rPr>
          <w:rFonts w:eastAsia="標楷體"/>
          <w:b/>
          <w:noProof/>
          <w:kern w:val="0"/>
          <w:sz w:val="28"/>
          <w:szCs w:val="28"/>
        </w:rPr>
        <w:t>2-1-2</w:t>
      </w:r>
      <w:r w:rsidRPr="002843FF">
        <w:rPr>
          <w:rFonts w:eastAsia="標楷體"/>
          <w:b/>
          <w:noProof/>
          <w:kern w:val="0"/>
          <w:sz w:val="28"/>
          <w:szCs w:val="28"/>
        </w:rPr>
        <w:t>景氣同時指標</w:t>
      </w:r>
    </w:p>
    <w:p w:rsidR="00345470" w:rsidRPr="003111E1" w:rsidRDefault="002843FF" w:rsidP="00475A65">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12098B">
        <w:rPr>
          <w:noProof/>
          <w:color w:val="FF0000"/>
        </w:rPr>
        <w:drawing>
          <wp:inline distT="0" distB="0" distL="0" distR="0" wp14:anchorId="2A651B79" wp14:editId="03DBB7B1">
            <wp:extent cx="5250180" cy="255143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5470" w:rsidRPr="002843FF" w:rsidRDefault="00345470" w:rsidP="00345470">
      <w:pPr>
        <w:tabs>
          <w:tab w:val="left" w:pos="540"/>
        </w:tabs>
        <w:snapToGrid w:val="0"/>
        <w:spacing w:before="180" w:line="300" w:lineRule="auto"/>
        <w:rPr>
          <w:rFonts w:eastAsia="標楷體"/>
          <w:sz w:val="28"/>
          <w:szCs w:val="28"/>
        </w:rPr>
      </w:pPr>
      <w:r w:rsidRPr="002843FF">
        <w:rPr>
          <w:rFonts w:eastAsia="標楷體"/>
          <w:sz w:val="28"/>
          <w:szCs w:val="32"/>
        </w:rPr>
        <w:t xml:space="preserve">(3) </w:t>
      </w:r>
      <w:r w:rsidRPr="002843FF">
        <w:rPr>
          <w:rFonts w:eastAsia="標楷體"/>
          <w:sz w:val="28"/>
          <w:szCs w:val="28"/>
        </w:rPr>
        <w:t>景氣對策信號</w:t>
      </w:r>
    </w:p>
    <w:p w:rsidR="00345470" w:rsidRPr="003111E1" w:rsidRDefault="002843FF" w:rsidP="002843FF">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475A65">
        <w:rPr>
          <w:rFonts w:eastAsia="標楷體" w:hint="eastAsia"/>
          <w:noProof/>
          <w:kern w:val="0"/>
          <w:sz w:val="28"/>
          <w:szCs w:val="20"/>
        </w:rPr>
        <w:t>102</w:t>
      </w:r>
      <w:r w:rsidRPr="00475A65">
        <w:rPr>
          <w:rFonts w:eastAsia="標楷體" w:hint="eastAsia"/>
          <w:noProof/>
          <w:kern w:val="0"/>
          <w:sz w:val="28"/>
          <w:szCs w:val="20"/>
        </w:rPr>
        <w:t>年</w:t>
      </w:r>
      <w:r>
        <w:rPr>
          <w:rFonts w:eastAsia="標楷體" w:hint="eastAsia"/>
          <w:noProof/>
          <w:kern w:val="0"/>
          <w:sz w:val="28"/>
          <w:szCs w:val="20"/>
        </w:rPr>
        <w:t>6</w:t>
      </w:r>
      <w:r w:rsidRPr="00475A65">
        <w:rPr>
          <w:rFonts w:eastAsia="標楷體" w:hint="eastAsia"/>
          <w:noProof/>
          <w:kern w:val="0"/>
          <w:sz w:val="28"/>
          <w:szCs w:val="20"/>
        </w:rPr>
        <w:t>月景氣對策信號</w:t>
      </w:r>
      <w:r w:rsidRPr="002D3D97">
        <w:rPr>
          <w:rFonts w:eastAsia="標楷體" w:hint="eastAsia"/>
          <w:noProof/>
          <w:kern w:val="0"/>
          <w:sz w:val="28"/>
          <w:szCs w:val="20"/>
        </w:rPr>
        <w:t>由黃藍燈轉呈綠燈，綜合判斷分數</w:t>
      </w:r>
      <w:r w:rsidRPr="002D3D97">
        <w:rPr>
          <w:rFonts w:eastAsia="標楷體" w:hint="eastAsia"/>
          <w:noProof/>
          <w:kern w:val="0"/>
          <w:sz w:val="28"/>
          <w:szCs w:val="20"/>
        </w:rPr>
        <w:t>23</w:t>
      </w:r>
      <w:r w:rsidRPr="002D3D97">
        <w:rPr>
          <w:rFonts w:eastAsia="標楷體" w:hint="eastAsia"/>
          <w:noProof/>
          <w:kern w:val="0"/>
          <w:sz w:val="28"/>
          <w:szCs w:val="20"/>
        </w:rPr>
        <w:t>分，較上月增加</w:t>
      </w:r>
      <w:r w:rsidRPr="002D3D97">
        <w:rPr>
          <w:rFonts w:eastAsia="標楷體" w:hint="eastAsia"/>
          <w:noProof/>
          <w:kern w:val="0"/>
          <w:sz w:val="28"/>
          <w:szCs w:val="20"/>
        </w:rPr>
        <w:t>4</w:t>
      </w:r>
      <w:r w:rsidRPr="002D3D97">
        <w:rPr>
          <w:rFonts w:eastAsia="標楷體" w:hint="eastAsia"/>
          <w:noProof/>
          <w:kern w:val="0"/>
          <w:sz w:val="28"/>
          <w:szCs w:val="20"/>
        </w:rPr>
        <w:t>分，主要係海關出口值與機械及電機設備進口值由黃藍燈轉為綠燈，工業生產指數與製造業銷售值則由藍燈轉為黃藍燈，分數分別增加</w:t>
      </w:r>
      <w:r w:rsidRPr="002D3D97">
        <w:rPr>
          <w:rFonts w:eastAsia="標楷體" w:hint="eastAsia"/>
          <w:noProof/>
          <w:kern w:val="0"/>
          <w:sz w:val="28"/>
          <w:szCs w:val="20"/>
        </w:rPr>
        <w:t>1</w:t>
      </w:r>
      <w:r w:rsidRPr="002D3D97">
        <w:rPr>
          <w:rFonts w:eastAsia="標楷體" w:hint="eastAsia"/>
          <w:noProof/>
          <w:kern w:val="0"/>
          <w:sz w:val="28"/>
          <w:szCs w:val="20"/>
        </w:rPr>
        <w:t>分所致；其餘項目燈號維持不變。</w:t>
      </w:r>
    </w:p>
    <w:p w:rsidR="002843FF" w:rsidRDefault="00345470" w:rsidP="002843FF">
      <w:pPr>
        <w:widowControl/>
        <w:topLinePunct/>
        <w:snapToGrid w:val="0"/>
        <w:spacing w:beforeLines="50" w:before="180" w:afterLines="100" w:after="360" w:line="240" w:lineRule="atLeast"/>
        <w:ind w:right="34"/>
        <w:jc w:val="center"/>
        <w:rPr>
          <w:rFonts w:eastAsia="標楷體"/>
          <w:b/>
          <w:bCs/>
          <w:sz w:val="28"/>
          <w:szCs w:val="20"/>
        </w:rPr>
      </w:pPr>
      <w:r w:rsidRPr="002843FF">
        <w:rPr>
          <w:rFonts w:eastAsia="標楷體"/>
          <w:bCs/>
          <w:sz w:val="28"/>
          <w:szCs w:val="20"/>
        </w:rPr>
        <w:t>圖</w:t>
      </w:r>
      <w:r w:rsidRPr="002843FF">
        <w:rPr>
          <w:rFonts w:eastAsia="標楷體"/>
          <w:b/>
          <w:bCs/>
          <w:sz w:val="28"/>
          <w:szCs w:val="20"/>
        </w:rPr>
        <w:t>2-</w:t>
      </w:r>
      <w:r w:rsidR="002843FF" w:rsidRPr="002843FF">
        <w:rPr>
          <w:rFonts w:eastAsia="標楷體"/>
          <w:b/>
          <w:bCs/>
          <w:sz w:val="28"/>
          <w:szCs w:val="20"/>
        </w:rPr>
        <w:t xml:space="preserve">1-3  </w:t>
      </w:r>
      <w:r w:rsidR="002843FF" w:rsidRPr="002843FF">
        <w:rPr>
          <w:rFonts w:eastAsia="標楷體"/>
          <w:b/>
          <w:bCs/>
          <w:sz w:val="28"/>
          <w:szCs w:val="20"/>
        </w:rPr>
        <w:t>一年來景氣對策信號</w:t>
      </w:r>
    </w:p>
    <w:p w:rsidR="00345470" w:rsidRPr="002843FF" w:rsidRDefault="002843FF" w:rsidP="002843FF">
      <w:pPr>
        <w:widowControl/>
        <w:topLinePunct/>
        <w:snapToGrid w:val="0"/>
        <w:spacing w:beforeLines="50" w:before="180" w:afterLines="100" w:after="360" w:line="240" w:lineRule="atLeast"/>
        <w:ind w:right="34"/>
        <w:jc w:val="center"/>
        <w:rPr>
          <w:rFonts w:eastAsia="標楷體"/>
          <w:b/>
          <w:bCs/>
          <w:sz w:val="28"/>
          <w:szCs w:val="20"/>
        </w:rPr>
      </w:pPr>
      <w:r>
        <w:rPr>
          <w:b/>
          <w:bCs/>
          <w:noProof/>
          <w:color w:val="000000"/>
          <w:sz w:val="28"/>
          <w:szCs w:val="28"/>
        </w:rPr>
        <w:drawing>
          <wp:inline distT="0" distB="0" distL="0" distR="0" wp14:anchorId="1F22C6C3" wp14:editId="142FE8EE">
            <wp:extent cx="5250180" cy="3357880"/>
            <wp:effectExtent l="0" t="0" r="7620" b="0"/>
            <wp:docPr id="484" name="圖片 484" descr="\\oa-srv01\經研處_1\景氣組(大森)\1.記者會及月報\new工作區(9908)\5.燈號\新聞稿圖\10206\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rv01\經研處_1\景氣組(大森)\1.記者會及月報\new工作區(9908)\5.燈號\新聞稿圖\10206\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357880"/>
                    </a:xfrm>
                    <a:prstGeom prst="rect">
                      <a:avLst/>
                    </a:prstGeom>
                    <a:noFill/>
                    <a:ln>
                      <a:noFill/>
                    </a:ln>
                  </pic:spPr>
                </pic:pic>
              </a:graphicData>
            </a:graphic>
          </wp:inline>
        </w:drawing>
      </w:r>
      <w:r w:rsidRPr="002843FF">
        <w:rPr>
          <w:rFonts w:eastAsia="標楷體"/>
          <w:b/>
          <w:bCs/>
          <w:sz w:val="28"/>
          <w:szCs w:val="20"/>
        </w:rPr>
        <w:t xml:space="preserve"> </w:t>
      </w:r>
    </w:p>
    <w:p w:rsidR="002843FF" w:rsidRPr="003111E1" w:rsidRDefault="002843FF" w:rsidP="002843FF">
      <w:pPr>
        <w:keepNext/>
        <w:adjustRightInd w:val="0"/>
        <w:ind w:rightChars="55" w:right="132"/>
        <w:rPr>
          <w:rFonts w:eastAsia="標楷體"/>
          <w:b/>
          <w:bCs/>
          <w:color w:val="FF0000"/>
          <w:sz w:val="32"/>
          <w:szCs w:val="32"/>
        </w:rPr>
        <w:sectPr w:rsidR="002843FF" w:rsidRPr="003111E1" w:rsidSect="009761DA">
          <w:footerReference w:type="default" r:id="rId15"/>
          <w:pgSz w:w="11906" w:h="16838"/>
          <w:pgMar w:top="1361" w:right="1841" w:bottom="1361" w:left="1797" w:header="851" w:footer="992" w:gutter="0"/>
          <w:pgNumType w:start="1"/>
          <w:cols w:space="425"/>
          <w:docGrid w:type="lines" w:linePitch="360"/>
        </w:sectPr>
      </w:pPr>
    </w:p>
    <w:p w:rsidR="00345470" w:rsidRPr="002843FF" w:rsidRDefault="00345470" w:rsidP="00345470">
      <w:pPr>
        <w:pStyle w:val="t-3"/>
        <w:spacing w:line="240" w:lineRule="atLeast"/>
        <w:ind w:right="-60"/>
      </w:pPr>
      <w:bookmarkStart w:id="63" w:name="_Toc349916583"/>
      <w:bookmarkStart w:id="64" w:name="_Toc358042577"/>
      <w:r w:rsidRPr="002843FF">
        <w:lastRenderedPageBreak/>
        <w:t>（二）工業生產</w:t>
      </w:r>
      <w:bookmarkEnd w:id="63"/>
      <w:bookmarkEnd w:id="64"/>
    </w:p>
    <w:p w:rsidR="00345470" w:rsidRPr="002843FF" w:rsidRDefault="00345470" w:rsidP="00345470">
      <w:pPr>
        <w:pStyle w:val="t-4"/>
        <w:spacing w:afterLines="0" w:after="0"/>
        <w:ind w:leftChars="0" w:left="0" w:firstLineChars="0" w:firstLine="0"/>
        <w:rPr>
          <w:color w:val="auto"/>
        </w:rPr>
      </w:pPr>
      <w:bookmarkStart w:id="65" w:name="OLE_LINK5"/>
      <w:r w:rsidRPr="002843FF">
        <w:rPr>
          <w:color w:val="auto"/>
        </w:rPr>
        <w:t>１、</w:t>
      </w:r>
      <w:r w:rsidR="002843FF" w:rsidRPr="002843FF">
        <w:rPr>
          <w:rFonts w:hint="eastAsia"/>
          <w:color w:val="auto"/>
        </w:rPr>
        <w:t>102</w:t>
      </w:r>
      <w:r w:rsidR="002843FF" w:rsidRPr="002843FF">
        <w:rPr>
          <w:rFonts w:hint="eastAsia"/>
          <w:color w:val="auto"/>
        </w:rPr>
        <w:t>年</w:t>
      </w:r>
      <w:r w:rsidR="002843FF" w:rsidRPr="002843FF">
        <w:rPr>
          <w:rFonts w:hint="eastAsia"/>
          <w:color w:val="auto"/>
        </w:rPr>
        <w:t>6</w:t>
      </w:r>
      <w:r w:rsidR="002843FF" w:rsidRPr="002843FF">
        <w:rPr>
          <w:rFonts w:hint="eastAsia"/>
          <w:color w:val="auto"/>
        </w:rPr>
        <w:t>月工業生產減少</w:t>
      </w:r>
      <w:r w:rsidR="002843FF" w:rsidRPr="002843FF">
        <w:rPr>
          <w:rFonts w:hint="eastAsia"/>
          <w:color w:val="auto"/>
        </w:rPr>
        <w:t>0.43</w:t>
      </w:r>
      <w:r w:rsidR="002843FF" w:rsidRPr="002843FF">
        <w:rPr>
          <w:rFonts w:hint="eastAsia"/>
          <w:color w:val="auto"/>
        </w:rPr>
        <w:t>％</w:t>
      </w:r>
    </w:p>
    <w:p w:rsidR="00345470" w:rsidRPr="003111E1" w:rsidRDefault="002843FF" w:rsidP="00B86F73">
      <w:pPr>
        <w:pStyle w:val="k32"/>
        <w:topLinePunct/>
        <w:ind w:left="0" w:rightChars="-59" w:firstLineChars="202" w:firstLine="566"/>
        <w:rPr>
          <w:color w:val="FF0000"/>
        </w:rPr>
      </w:pPr>
      <w:r w:rsidRPr="00C6126E">
        <w:rPr>
          <w:rFonts w:hint="eastAsia"/>
        </w:rPr>
        <w:t>102</w:t>
      </w:r>
      <w:r w:rsidRPr="00C6126E">
        <w:rPr>
          <w:rFonts w:hint="eastAsia"/>
        </w:rPr>
        <w:t>年</w:t>
      </w:r>
      <w:r>
        <w:rPr>
          <w:rFonts w:hint="eastAsia"/>
        </w:rPr>
        <w:t>6</w:t>
      </w:r>
      <w:r w:rsidRPr="00C6126E">
        <w:rPr>
          <w:rFonts w:hint="eastAsia"/>
        </w:rPr>
        <w:t>月工業生產指數</w:t>
      </w:r>
      <w:r>
        <w:rPr>
          <w:rFonts w:hint="eastAsia"/>
        </w:rPr>
        <w:t>99</w:t>
      </w:r>
      <w:r w:rsidRPr="00C6126E">
        <w:rPr>
          <w:rFonts w:hint="eastAsia"/>
        </w:rPr>
        <w:t>.</w:t>
      </w:r>
      <w:r>
        <w:rPr>
          <w:rFonts w:hint="eastAsia"/>
        </w:rPr>
        <w:t>4</w:t>
      </w:r>
      <w:r w:rsidRPr="00C6126E">
        <w:rPr>
          <w:rFonts w:hint="eastAsia"/>
        </w:rPr>
        <w:t>5</w:t>
      </w:r>
      <w:r w:rsidRPr="00C6126E">
        <w:rPr>
          <w:rFonts w:hint="eastAsia"/>
        </w:rPr>
        <w:t>，較</w:t>
      </w:r>
      <w:r w:rsidR="0010173C">
        <w:rPr>
          <w:rFonts w:hint="eastAsia"/>
        </w:rPr>
        <w:t>上</w:t>
      </w:r>
      <w:r w:rsidRPr="00C6126E">
        <w:rPr>
          <w:rFonts w:hint="eastAsia"/>
        </w:rPr>
        <w:t>年同月減少</w:t>
      </w:r>
      <w:r w:rsidRPr="00C6126E">
        <w:rPr>
          <w:rFonts w:hint="eastAsia"/>
        </w:rPr>
        <w:t>0.</w:t>
      </w:r>
      <w:r>
        <w:rPr>
          <w:rFonts w:hint="eastAsia"/>
        </w:rPr>
        <w:t>43</w:t>
      </w:r>
      <w:r w:rsidRPr="00C6126E">
        <w:rPr>
          <w:rFonts w:hint="eastAsia"/>
        </w:rPr>
        <w:t>％，其中製造業減少</w:t>
      </w:r>
      <w:r w:rsidRPr="00C6126E">
        <w:rPr>
          <w:rFonts w:hint="eastAsia"/>
        </w:rPr>
        <w:t>0.</w:t>
      </w:r>
      <w:r>
        <w:rPr>
          <w:rFonts w:hint="eastAsia"/>
        </w:rPr>
        <w:t>55</w:t>
      </w:r>
      <w:r w:rsidRPr="00C6126E">
        <w:rPr>
          <w:rFonts w:hint="eastAsia"/>
        </w:rPr>
        <w:t>％，礦業及土石採取業減少</w:t>
      </w:r>
      <w:r>
        <w:rPr>
          <w:rFonts w:hint="eastAsia"/>
        </w:rPr>
        <w:t>1</w:t>
      </w:r>
      <w:r w:rsidRPr="00C6126E">
        <w:rPr>
          <w:rFonts w:hint="eastAsia"/>
        </w:rPr>
        <w:t>.7</w:t>
      </w:r>
      <w:r>
        <w:rPr>
          <w:rFonts w:hint="eastAsia"/>
        </w:rPr>
        <w:t>3</w:t>
      </w:r>
      <w:r w:rsidRPr="00C6126E">
        <w:rPr>
          <w:rFonts w:hint="eastAsia"/>
        </w:rPr>
        <w:t>％，建築工程業減少</w:t>
      </w:r>
      <w:r w:rsidRPr="00C6126E">
        <w:rPr>
          <w:rFonts w:hint="eastAsia"/>
        </w:rPr>
        <w:t>1.7</w:t>
      </w:r>
      <w:r>
        <w:rPr>
          <w:rFonts w:hint="eastAsia"/>
        </w:rPr>
        <w:t>5</w:t>
      </w:r>
      <w:r w:rsidRPr="00C6126E">
        <w:rPr>
          <w:rFonts w:hint="eastAsia"/>
        </w:rPr>
        <w:t>％，另電力及燃氣供應業、用水供應業則分別增加</w:t>
      </w:r>
      <w:r w:rsidRPr="00C6126E">
        <w:rPr>
          <w:rFonts w:hint="eastAsia"/>
        </w:rPr>
        <w:t>2.3</w:t>
      </w:r>
      <w:r>
        <w:rPr>
          <w:rFonts w:hint="eastAsia"/>
        </w:rPr>
        <w:t>9</w:t>
      </w:r>
      <w:r w:rsidRPr="00C6126E">
        <w:rPr>
          <w:rFonts w:hint="eastAsia"/>
        </w:rPr>
        <w:t>％及</w:t>
      </w:r>
      <w:r>
        <w:rPr>
          <w:rFonts w:hint="eastAsia"/>
        </w:rPr>
        <w:t>2</w:t>
      </w:r>
      <w:r w:rsidRPr="00C6126E">
        <w:rPr>
          <w:rFonts w:hint="eastAsia"/>
        </w:rPr>
        <w:t>.</w:t>
      </w:r>
      <w:r>
        <w:rPr>
          <w:rFonts w:hint="eastAsia"/>
        </w:rPr>
        <w:t>0</w:t>
      </w:r>
      <w:r w:rsidRPr="00C6126E">
        <w:rPr>
          <w:rFonts w:hint="eastAsia"/>
        </w:rPr>
        <w:t>1</w:t>
      </w:r>
      <w:r w:rsidRPr="00C6126E">
        <w:rPr>
          <w:rFonts w:hint="eastAsia"/>
        </w:rPr>
        <w:t>％。累計</w:t>
      </w:r>
      <w:r w:rsidRPr="00C6126E">
        <w:rPr>
          <w:rFonts w:hint="eastAsia"/>
        </w:rPr>
        <w:t>1</w:t>
      </w:r>
      <w:r w:rsidRPr="00C6126E">
        <w:rPr>
          <w:rFonts w:hint="eastAsia"/>
        </w:rPr>
        <w:t>至</w:t>
      </w:r>
      <w:r>
        <w:rPr>
          <w:rFonts w:hint="eastAsia"/>
        </w:rPr>
        <w:t>6</w:t>
      </w:r>
      <w:r w:rsidRPr="00C6126E">
        <w:rPr>
          <w:rFonts w:hint="eastAsia"/>
        </w:rPr>
        <w:t>月工業生產增加</w:t>
      </w:r>
      <w:r w:rsidRPr="00C6126E">
        <w:rPr>
          <w:rFonts w:hint="eastAsia"/>
        </w:rPr>
        <w:t>0.</w:t>
      </w:r>
      <w:r>
        <w:rPr>
          <w:rFonts w:hint="eastAsia"/>
        </w:rPr>
        <w:t>29</w:t>
      </w:r>
      <w:r w:rsidRPr="00C6126E">
        <w:rPr>
          <w:rFonts w:hint="eastAsia"/>
        </w:rPr>
        <w:t>％。</w:t>
      </w:r>
    </w:p>
    <w:p w:rsidR="00345470" w:rsidRPr="002843FF" w:rsidRDefault="002843FF" w:rsidP="002843FF">
      <w:pPr>
        <w:pStyle w:val="k32"/>
        <w:topLinePunct/>
        <w:spacing w:beforeLines="30" w:before="108"/>
        <w:ind w:left="0" w:right="210" w:firstLineChars="0" w:firstLine="0"/>
      </w:pPr>
      <w:r w:rsidRPr="002843FF">
        <w:rPr>
          <w:rFonts w:hint="eastAsia"/>
          <w:b/>
          <w:bCs/>
        </w:rPr>
        <w:t xml:space="preserve">　　　　　　　　　</w:t>
      </w:r>
      <w:r w:rsidR="00345470" w:rsidRPr="002843FF">
        <w:rPr>
          <w:b/>
          <w:bCs/>
        </w:rPr>
        <w:t>表</w:t>
      </w:r>
      <w:r w:rsidR="00345470" w:rsidRPr="002843FF">
        <w:rPr>
          <w:b/>
          <w:bCs/>
        </w:rPr>
        <w:t xml:space="preserve">2-2-1  </w:t>
      </w:r>
      <w:r w:rsidR="00345470" w:rsidRPr="002843FF">
        <w:rPr>
          <w:b/>
          <w:bCs/>
        </w:rPr>
        <w:t>工業生產</w:t>
      </w:r>
      <w:r w:rsidR="00345470" w:rsidRPr="002843FF">
        <w:rPr>
          <w:b/>
          <w:bCs/>
          <w:snapToGrid w:val="0"/>
        </w:rPr>
        <w:t>年增率</w:t>
      </w:r>
      <w:r w:rsidR="00345470" w:rsidRPr="002843FF">
        <w:t xml:space="preserve">          </w:t>
      </w:r>
      <w:r w:rsidR="00345470" w:rsidRPr="002843FF">
        <w:rPr>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2843FF" w:rsidRPr="00542819" w:rsidTr="002843FF">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2843FF" w:rsidRPr="00542819" w:rsidRDefault="002843FF" w:rsidP="002843FF">
            <w:pPr>
              <w:snapToGrid w:val="0"/>
              <w:spacing w:line="260" w:lineRule="exact"/>
              <w:ind w:left="28"/>
              <w:jc w:val="center"/>
              <w:rPr>
                <w:rFonts w:eastAsia="標楷體"/>
                <w:szCs w:val="28"/>
              </w:rPr>
            </w:pPr>
          </w:p>
          <w:p w:rsidR="002843FF" w:rsidRPr="00542819" w:rsidRDefault="002843FF" w:rsidP="002843FF">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2843FF" w:rsidRPr="00542819" w:rsidRDefault="002843FF" w:rsidP="002843FF">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2843FF" w:rsidRPr="00542819" w:rsidRDefault="002843FF" w:rsidP="002843FF">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2843FF" w:rsidRPr="00542819" w:rsidRDefault="002843FF" w:rsidP="002843FF">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2843FF" w:rsidRPr="00542819" w:rsidRDefault="002843FF" w:rsidP="002843FF">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2843FF" w:rsidRPr="00542819" w:rsidRDefault="002843FF" w:rsidP="002843FF">
            <w:pPr>
              <w:snapToGrid w:val="0"/>
              <w:spacing w:line="260" w:lineRule="exact"/>
              <w:ind w:left="28"/>
              <w:jc w:val="center"/>
              <w:rPr>
                <w:rFonts w:eastAsia="標楷體"/>
              </w:rPr>
            </w:pPr>
          </w:p>
        </w:tc>
      </w:tr>
      <w:tr w:rsidR="002843FF" w:rsidRPr="00542819" w:rsidTr="002843FF">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2843FF" w:rsidRPr="00542819" w:rsidRDefault="002843FF" w:rsidP="002843FF">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2843FF" w:rsidRPr="00542819" w:rsidRDefault="002843FF" w:rsidP="002843FF">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260" w:lineRule="exact"/>
              <w:ind w:left="28"/>
              <w:jc w:val="center"/>
              <w:rPr>
                <w:rFonts w:eastAsia="標楷體"/>
              </w:rPr>
            </w:pPr>
            <w:r w:rsidRPr="00542819">
              <w:rPr>
                <w:rFonts w:eastAsia="標楷體" w:hint="eastAsia"/>
              </w:rPr>
              <w:t>礦業及土石</w:t>
            </w:r>
          </w:p>
          <w:p w:rsidR="002843FF" w:rsidRPr="00542819" w:rsidRDefault="002843FF" w:rsidP="002843FF">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260" w:lineRule="exact"/>
              <w:ind w:left="28"/>
              <w:jc w:val="center"/>
              <w:rPr>
                <w:rFonts w:eastAsia="標楷體"/>
              </w:rPr>
            </w:pPr>
            <w:r w:rsidRPr="00542819">
              <w:rPr>
                <w:rFonts w:eastAsia="標楷體" w:hint="eastAsia"/>
              </w:rPr>
              <w:t>用水</w:t>
            </w:r>
          </w:p>
          <w:p w:rsidR="002843FF" w:rsidRPr="00542819" w:rsidRDefault="002843FF" w:rsidP="002843FF">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2843FF" w:rsidRPr="00542819" w:rsidRDefault="002843FF" w:rsidP="002843FF">
            <w:pPr>
              <w:snapToGrid w:val="0"/>
              <w:spacing w:line="260" w:lineRule="exact"/>
              <w:ind w:left="28"/>
              <w:jc w:val="center"/>
              <w:rPr>
                <w:rFonts w:eastAsia="標楷體"/>
              </w:rPr>
            </w:pPr>
            <w:r w:rsidRPr="00542819">
              <w:rPr>
                <w:rFonts w:eastAsia="標楷體" w:hint="eastAsia"/>
              </w:rPr>
              <w:t>建築</w:t>
            </w:r>
          </w:p>
          <w:p w:rsidR="002843FF" w:rsidRPr="00542819" w:rsidRDefault="002843FF" w:rsidP="002843FF">
            <w:pPr>
              <w:snapToGrid w:val="0"/>
              <w:spacing w:line="260" w:lineRule="exact"/>
              <w:ind w:left="28"/>
              <w:jc w:val="center"/>
              <w:rPr>
                <w:rFonts w:eastAsia="標楷體"/>
              </w:rPr>
            </w:pPr>
            <w:r w:rsidRPr="00542819">
              <w:rPr>
                <w:rFonts w:eastAsia="標楷體" w:hint="eastAsia"/>
              </w:rPr>
              <w:t>工程業</w:t>
            </w:r>
          </w:p>
        </w:tc>
      </w:tr>
      <w:tr w:rsidR="002843FF" w:rsidRPr="00542819" w:rsidTr="002843FF">
        <w:trPr>
          <w:trHeight w:val="300"/>
          <w:jc w:val="center"/>
        </w:trPr>
        <w:tc>
          <w:tcPr>
            <w:tcW w:w="1467" w:type="dxa"/>
            <w:tcBorders>
              <w:left w:val="nil"/>
              <w:right w:val="single" w:sz="4" w:space="0" w:color="auto"/>
            </w:tcBorders>
            <w:tcMar>
              <w:top w:w="17" w:type="dxa"/>
              <w:left w:w="17" w:type="dxa"/>
              <w:bottom w:w="0" w:type="dxa"/>
              <w:right w:w="17" w:type="dxa"/>
            </w:tcMar>
          </w:tcPr>
          <w:p w:rsidR="002843FF" w:rsidRPr="00542819" w:rsidRDefault="002843FF" w:rsidP="002843FF">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2843FF" w:rsidRPr="00542819" w:rsidRDefault="002843FF" w:rsidP="002843FF">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2843FF" w:rsidRPr="00542819" w:rsidTr="002843FF">
        <w:trPr>
          <w:trHeight w:val="300"/>
          <w:jc w:val="center"/>
        </w:trPr>
        <w:tc>
          <w:tcPr>
            <w:tcW w:w="1467" w:type="dxa"/>
            <w:tcBorders>
              <w:left w:val="nil"/>
              <w:right w:val="single" w:sz="4" w:space="0" w:color="auto"/>
            </w:tcBorders>
            <w:tcMar>
              <w:top w:w="17" w:type="dxa"/>
              <w:left w:w="17" w:type="dxa"/>
              <w:bottom w:w="0" w:type="dxa"/>
              <w:right w:w="17" w:type="dxa"/>
            </w:tcMar>
          </w:tcPr>
          <w:p w:rsidR="002843FF" w:rsidRPr="00542819" w:rsidRDefault="002843FF" w:rsidP="002843FF">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843FF" w:rsidRPr="00542819" w:rsidRDefault="002843FF" w:rsidP="002843FF">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2843FF" w:rsidRPr="00542819" w:rsidRDefault="002843FF" w:rsidP="002843FF">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2843FF" w:rsidRPr="00542819" w:rsidRDefault="002843FF" w:rsidP="002843FF">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2843FF" w:rsidRPr="00542819" w:rsidRDefault="002843FF" w:rsidP="002843FF">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2843FF" w:rsidRPr="00542819" w:rsidRDefault="002843FF" w:rsidP="002843FF">
            <w:pPr>
              <w:snapToGrid w:val="0"/>
              <w:spacing w:line="380" w:lineRule="exact"/>
              <w:ind w:rightChars="107" w:right="257"/>
              <w:jc w:val="right"/>
              <w:rPr>
                <w:b/>
                <w:bCs/>
              </w:rPr>
            </w:pPr>
            <w:r>
              <w:rPr>
                <w:rFonts w:hint="eastAsia"/>
                <w:b/>
                <w:bCs/>
              </w:rPr>
              <w:t>-2.27</w:t>
            </w:r>
          </w:p>
        </w:tc>
        <w:tc>
          <w:tcPr>
            <w:tcW w:w="913" w:type="dxa"/>
            <w:vAlign w:val="bottom"/>
          </w:tcPr>
          <w:p w:rsidR="002843FF" w:rsidRPr="00542819" w:rsidRDefault="002843FF" w:rsidP="002843FF">
            <w:pPr>
              <w:snapToGrid w:val="0"/>
              <w:spacing w:line="380" w:lineRule="exact"/>
              <w:ind w:rightChars="23" w:right="55"/>
              <w:jc w:val="right"/>
              <w:rPr>
                <w:b/>
                <w:bCs/>
              </w:rPr>
            </w:pPr>
            <w:r>
              <w:rPr>
                <w:rFonts w:hint="eastAsia"/>
                <w:b/>
                <w:bCs/>
              </w:rPr>
              <w:t>-19.08</w:t>
            </w:r>
          </w:p>
        </w:tc>
      </w:tr>
      <w:tr w:rsidR="002843FF" w:rsidRPr="00542819" w:rsidTr="002843FF">
        <w:trPr>
          <w:trHeight w:val="300"/>
          <w:jc w:val="center"/>
        </w:trPr>
        <w:tc>
          <w:tcPr>
            <w:tcW w:w="1467" w:type="dxa"/>
            <w:tcBorders>
              <w:left w:val="nil"/>
              <w:right w:val="single" w:sz="4" w:space="0" w:color="auto"/>
            </w:tcBorders>
            <w:tcMar>
              <w:top w:w="17" w:type="dxa"/>
              <w:left w:w="17" w:type="dxa"/>
              <w:bottom w:w="0" w:type="dxa"/>
              <w:right w:w="17" w:type="dxa"/>
            </w:tcMar>
          </w:tcPr>
          <w:p w:rsidR="002843FF" w:rsidRPr="00542819" w:rsidRDefault="002843FF" w:rsidP="002843FF">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843FF" w:rsidRPr="00542819" w:rsidRDefault="002843FF" w:rsidP="002843FF">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2843FF" w:rsidRPr="00542819" w:rsidRDefault="002843FF" w:rsidP="002843FF">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2843FF" w:rsidRPr="00542819" w:rsidRDefault="002843FF" w:rsidP="002843FF">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2843FF" w:rsidRPr="00542819" w:rsidRDefault="002843FF" w:rsidP="002843FF">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2843FF" w:rsidRPr="00542819" w:rsidRDefault="002843FF" w:rsidP="002843FF">
            <w:pPr>
              <w:snapToGrid w:val="0"/>
              <w:spacing w:line="380" w:lineRule="exact"/>
              <w:ind w:rightChars="107" w:right="257"/>
              <w:jc w:val="right"/>
              <w:rPr>
                <w:b/>
                <w:bCs/>
              </w:rPr>
            </w:pPr>
            <w:r>
              <w:rPr>
                <w:rFonts w:hint="eastAsia"/>
                <w:b/>
                <w:bCs/>
              </w:rPr>
              <w:t>1.35</w:t>
            </w:r>
          </w:p>
        </w:tc>
        <w:tc>
          <w:tcPr>
            <w:tcW w:w="913" w:type="dxa"/>
            <w:vAlign w:val="bottom"/>
          </w:tcPr>
          <w:p w:rsidR="002843FF" w:rsidRPr="00542819" w:rsidRDefault="002843FF" w:rsidP="002843FF">
            <w:pPr>
              <w:snapToGrid w:val="0"/>
              <w:spacing w:line="380" w:lineRule="exact"/>
              <w:ind w:rightChars="23" w:right="55"/>
              <w:jc w:val="right"/>
              <w:rPr>
                <w:b/>
                <w:bCs/>
              </w:rPr>
            </w:pPr>
            <w:r>
              <w:rPr>
                <w:rFonts w:hint="eastAsia"/>
                <w:b/>
                <w:bCs/>
              </w:rPr>
              <w:t>-9.17</w:t>
            </w:r>
          </w:p>
        </w:tc>
      </w:tr>
      <w:tr w:rsidR="002843FF" w:rsidRPr="00542819" w:rsidTr="002843FF">
        <w:trPr>
          <w:trHeight w:val="300"/>
          <w:jc w:val="center"/>
        </w:trPr>
        <w:tc>
          <w:tcPr>
            <w:tcW w:w="1467" w:type="dxa"/>
            <w:tcBorders>
              <w:left w:val="nil"/>
              <w:right w:val="single" w:sz="4" w:space="0" w:color="auto"/>
            </w:tcBorders>
            <w:tcMar>
              <w:top w:w="17" w:type="dxa"/>
              <w:left w:w="17" w:type="dxa"/>
              <w:bottom w:w="0" w:type="dxa"/>
              <w:right w:w="17" w:type="dxa"/>
            </w:tcMar>
          </w:tcPr>
          <w:p w:rsidR="002843FF" w:rsidRPr="00542819" w:rsidRDefault="002843FF" w:rsidP="002843FF">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2843FF" w:rsidRPr="00542819" w:rsidRDefault="002843FF" w:rsidP="002843FF">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2843FF" w:rsidRPr="00542819" w:rsidRDefault="002843FF" w:rsidP="002843FF">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2843FF" w:rsidRPr="00542819" w:rsidRDefault="002843FF" w:rsidP="002843FF">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2843FF" w:rsidRPr="00542819" w:rsidRDefault="002843FF" w:rsidP="002843FF">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2843FF" w:rsidRPr="00542819" w:rsidRDefault="002843FF" w:rsidP="002843FF">
            <w:pPr>
              <w:snapToGrid w:val="0"/>
              <w:spacing w:line="380" w:lineRule="exact"/>
              <w:ind w:rightChars="107" w:right="257"/>
              <w:jc w:val="right"/>
              <w:rPr>
                <w:b/>
                <w:bCs/>
              </w:rPr>
            </w:pPr>
            <w:r>
              <w:rPr>
                <w:rFonts w:hint="eastAsia"/>
                <w:b/>
                <w:bCs/>
              </w:rPr>
              <w:t>0.20</w:t>
            </w:r>
          </w:p>
        </w:tc>
        <w:tc>
          <w:tcPr>
            <w:tcW w:w="913" w:type="dxa"/>
            <w:vAlign w:val="bottom"/>
          </w:tcPr>
          <w:p w:rsidR="002843FF" w:rsidRPr="00542819" w:rsidRDefault="002843FF" w:rsidP="002843FF">
            <w:pPr>
              <w:snapToGrid w:val="0"/>
              <w:spacing w:line="380" w:lineRule="exact"/>
              <w:ind w:rightChars="23" w:right="55"/>
              <w:jc w:val="right"/>
              <w:rPr>
                <w:b/>
                <w:bCs/>
              </w:rPr>
            </w:pPr>
            <w:r>
              <w:rPr>
                <w:rFonts w:hint="eastAsia"/>
                <w:b/>
                <w:bCs/>
              </w:rPr>
              <w:t>7.58</w:t>
            </w:r>
          </w:p>
        </w:tc>
      </w:tr>
      <w:tr w:rsidR="002843FF" w:rsidRPr="0012098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2843FF" w:rsidRPr="00542819" w:rsidRDefault="002843FF" w:rsidP="002843FF">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2843FF" w:rsidRPr="00542819" w:rsidRDefault="002843FF" w:rsidP="002843FF">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2843FF" w:rsidRPr="00542819" w:rsidRDefault="002843FF" w:rsidP="002843FF">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2843FF" w:rsidRPr="00542819" w:rsidRDefault="002843FF" w:rsidP="002843FF">
            <w:pPr>
              <w:snapToGrid w:val="0"/>
              <w:spacing w:line="380" w:lineRule="exact"/>
              <w:ind w:rightChars="107" w:right="257"/>
              <w:jc w:val="right"/>
              <w:rPr>
                <w:b/>
                <w:bCs/>
              </w:rPr>
            </w:pPr>
            <w:r>
              <w:rPr>
                <w:rFonts w:hint="eastAsia"/>
                <w:b/>
                <w:bCs/>
              </w:rPr>
              <w:t>-0.60</w:t>
            </w:r>
          </w:p>
        </w:tc>
        <w:tc>
          <w:tcPr>
            <w:tcW w:w="913" w:type="dxa"/>
            <w:vAlign w:val="center"/>
          </w:tcPr>
          <w:p w:rsidR="002843FF" w:rsidRPr="00542819" w:rsidRDefault="002843FF" w:rsidP="002843FF">
            <w:pPr>
              <w:snapToGrid w:val="0"/>
              <w:spacing w:line="380" w:lineRule="exact"/>
              <w:ind w:rightChars="23" w:right="55"/>
              <w:jc w:val="right"/>
              <w:rPr>
                <w:b/>
                <w:bCs/>
              </w:rPr>
            </w:pPr>
            <w:r>
              <w:rPr>
                <w:rFonts w:hint="eastAsia"/>
                <w:b/>
                <w:bCs/>
              </w:rPr>
              <w:t>7.12</w:t>
            </w:r>
          </w:p>
        </w:tc>
      </w:tr>
      <w:tr w:rsidR="002843FF" w:rsidRPr="006148BB" w:rsidTr="002843FF">
        <w:trPr>
          <w:trHeight w:val="179"/>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-2.35</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-1.95</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-6.46</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-7.41</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-0.91</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-9.39</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-0.04</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-0.32</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0.26</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1.09</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-0.92</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13.83</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1.52</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1.19</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-0.98</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5.66</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-1.86</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10.28</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2.47</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-8.23</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2.57</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-1.17</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5.51</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3.84</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2.13</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0.57</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-0.62</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22.65</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-1.19</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37.81</w:t>
            </w:r>
          </w:p>
        </w:tc>
      </w:tr>
      <w:tr w:rsidR="002843FF" w:rsidRPr="006148BB"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542819" w:rsidRDefault="002843FF" w:rsidP="002843FF">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471A00" w:rsidRDefault="002843FF" w:rsidP="002843FF">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2843FF" w:rsidRPr="00471A00" w:rsidRDefault="002843FF" w:rsidP="002843FF">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2843FF" w:rsidRPr="00471A00" w:rsidRDefault="002843FF" w:rsidP="002843FF">
            <w:pPr>
              <w:snapToGrid w:val="0"/>
              <w:spacing w:line="380" w:lineRule="exact"/>
              <w:ind w:rightChars="100" w:right="240"/>
              <w:jc w:val="right"/>
            </w:pPr>
            <w:r>
              <w:rPr>
                <w:rFonts w:hint="eastAsia"/>
              </w:rPr>
              <w:t>-1.94</w:t>
            </w:r>
          </w:p>
        </w:tc>
        <w:tc>
          <w:tcPr>
            <w:tcW w:w="913" w:type="dxa"/>
          </w:tcPr>
          <w:p w:rsidR="002843FF" w:rsidRPr="00471A00" w:rsidRDefault="002843FF" w:rsidP="002843FF">
            <w:pPr>
              <w:tabs>
                <w:tab w:val="left" w:pos="913"/>
              </w:tabs>
              <w:snapToGrid w:val="0"/>
              <w:spacing w:line="380" w:lineRule="exact"/>
              <w:ind w:rightChars="-3" w:right="-7"/>
              <w:jc w:val="right"/>
            </w:pPr>
            <w:r>
              <w:rPr>
                <w:rFonts w:hint="eastAsia"/>
              </w:rPr>
              <w:t>-20.91</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tcPr>
          <w:p w:rsidR="002843FF" w:rsidRPr="00B521BC" w:rsidRDefault="002843FF" w:rsidP="002843FF">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1~6</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rightChars="100" w:right="240"/>
              <w:jc w:val="right"/>
              <w:rPr>
                <w:b/>
              </w:rPr>
            </w:pPr>
            <w:r w:rsidRPr="00B521BC">
              <w:rPr>
                <w:rFonts w:hint="eastAsia"/>
                <w:b/>
              </w:rPr>
              <w:t>0.29</w:t>
            </w:r>
          </w:p>
        </w:tc>
        <w:tc>
          <w:tcPr>
            <w:tcW w:w="1090" w:type="dxa"/>
            <w:tcMar>
              <w:top w:w="17" w:type="dxa"/>
              <w:left w:w="17" w:type="dxa"/>
              <w:bottom w:w="0" w:type="dxa"/>
              <w:right w:w="17" w:type="dxa"/>
            </w:tcMar>
            <w:vAlign w:val="center"/>
          </w:tcPr>
          <w:p w:rsidR="002843FF" w:rsidRPr="00B521BC" w:rsidRDefault="002843FF" w:rsidP="002843FF">
            <w:pPr>
              <w:snapToGrid w:val="0"/>
              <w:spacing w:line="380" w:lineRule="exact"/>
              <w:ind w:rightChars="105" w:right="252"/>
              <w:jc w:val="right"/>
              <w:rPr>
                <w:b/>
              </w:rPr>
            </w:pPr>
            <w:r w:rsidRPr="00B521BC">
              <w:rPr>
                <w:rFonts w:hint="eastAsia"/>
                <w:b/>
              </w:rPr>
              <w:t>0.13</w:t>
            </w:r>
          </w:p>
        </w:tc>
        <w:tc>
          <w:tcPr>
            <w:tcW w:w="1278"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rPr>
                <w:b/>
              </w:rPr>
            </w:pPr>
            <w:r w:rsidRPr="00B521BC">
              <w:rPr>
                <w:rFonts w:hint="eastAsia"/>
                <w:b/>
              </w:rPr>
              <w:t>-3.55</w:t>
            </w:r>
          </w:p>
        </w:tc>
        <w:tc>
          <w:tcPr>
            <w:tcW w:w="1160"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rPr>
                <w:b/>
              </w:rPr>
            </w:pPr>
            <w:r w:rsidRPr="00B521BC">
              <w:rPr>
                <w:rFonts w:hint="eastAsia"/>
                <w:b/>
              </w:rPr>
              <w:t>3.13</w:t>
            </w:r>
          </w:p>
        </w:tc>
        <w:tc>
          <w:tcPr>
            <w:tcW w:w="1113"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rPr>
                <w:b/>
              </w:rPr>
            </w:pPr>
            <w:r w:rsidRPr="00B521BC">
              <w:rPr>
                <w:rFonts w:hint="eastAsia"/>
                <w:b/>
              </w:rPr>
              <w:t>0.42</w:t>
            </w:r>
          </w:p>
        </w:tc>
        <w:tc>
          <w:tcPr>
            <w:tcW w:w="913" w:type="dxa"/>
          </w:tcPr>
          <w:p w:rsidR="002843FF" w:rsidRPr="00B521BC" w:rsidRDefault="002843FF" w:rsidP="002843FF">
            <w:pPr>
              <w:snapToGrid w:val="0"/>
              <w:spacing w:line="380" w:lineRule="exact"/>
              <w:ind w:rightChars="23" w:right="55"/>
              <w:jc w:val="right"/>
              <w:rPr>
                <w:b/>
                <w:bCs/>
              </w:rPr>
            </w:pPr>
            <w:r w:rsidRPr="00B521BC">
              <w:rPr>
                <w:rFonts w:hint="eastAsia"/>
                <w:b/>
                <w:bCs/>
              </w:rPr>
              <w:t>2.87</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2843FF" w:rsidRPr="00B521BC" w:rsidRDefault="002843FF" w:rsidP="002843FF">
            <w:pPr>
              <w:snapToGrid w:val="0"/>
              <w:spacing w:line="380" w:lineRule="exact"/>
              <w:ind w:rightChars="105" w:right="252"/>
              <w:jc w:val="right"/>
            </w:pPr>
            <w:r w:rsidRPr="00B521BC">
              <w:rPr>
                <w:rFonts w:hint="eastAsia"/>
              </w:rPr>
              <w:t>20.66</w:t>
            </w:r>
          </w:p>
        </w:tc>
        <w:tc>
          <w:tcPr>
            <w:tcW w:w="1278"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-0.37</w:t>
            </w:r>
          </w:p>
        </w:tc>
        <w:tc>
          <w:tcPr>
            <w:tcW w:w="913" w:type="dxa"/>
          </w:tcPr>
          <w:p w:rsidR="002843FF" w:rsidRPr="00B521BC" w:rsidRDefault="002843FF" w:rsidP="002843FF">
            <w:pPr>
              <w:tabs>
                <w:tab w:val="left" w:pos="913"/>
              </w:tabs>
              <w:snapToGrid w:val="0"/>
              <w:spacing w:line="380" w:lineRule="exact"/>
              <w:ind w:rightChars="-3" w:right="-7"/>
              <w:jc w:val="right"/>
            </w:pPr>
            <w:r w:rsidRPr="00B521BC">
              <w:rPr>
                <w:rFonts w:hint="eastAsia"/>
              </w:rPr>
              <w:t>11.83</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2843FF" w:rsidRPr="00B521BC" w:rsidRDefault="002843FF" w:rsidP="002843FF">
            <w:pPr>
              <w:snapToGrid w:val="0"/>
              <w:spacing w:line="380" w:lineRule="exact"/>
              <w:ind w:rightChars="105" w:right="252"/>
              <w:jc w:val="right"/>
            </w:pPr>
            <w:r w:rsidRPr="00B521BC">
              <w:rPr>
                <w:rFonts w:hint="eastAsia"/>
              </w:rPr>
              <w:t>-11.84</w:t>
            </w:r>
          </w:p>
        </w:tc>
        <w:tc>
          <w:tcPr>
            <w:tcW w:w="1278"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-1.44</w:t>
            </w:r>
          </w:p>
        </w:tc>
        <w:tc>
          <w:tcPr>
            <w:tcW w:w="913" w:type="dxa"/>
          </w:tcPr>
          <w:p w:rsidR="002843FF" w:rsidRPr="00B521BC" w:rsidRDefault="002843FF" w:rsidP="002843FF">
            <w:pPr>
              <w:tabs>
                <w:tab w:val="left" w:pos="913"/>
              </w:tabs>
              <w:snapToGrid w:val="0"/>
              <w:spacing w:line="380" w:lineRule="exact"/>
              <w:ind w:rightChars="-3" w:right="-7"/>
              <w:jc w:val="right"/>
            </w:pPr>
            <w:r w:rsidRPr="00B521BC">
              <w:rPr>
                <w:rFonts w:hint="eastAsia"/>
              </w:rPr>
              <w:t>44.59</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2843FF" w:rsidRPr="00B521BC" w:rsidRDefault="002843FF" w:rsidP="002843FF">
            <w:pPr>
              <w:snapToGrid w:val="0"/>
              <w:spacing w:line="380" w:lineRule="exact"/>
              <w:ind w:rightChars="105" w:right="252"/>
              <w:jc w:val="right"/>
            </w:pPr>
            <w:r w:rsidRPr="00B521BC">
              <w:rPr>
                <w:rFonts w:hint="eastAsia"/>
              </w:rPr>
              <w:t>-2.98</w:t>
            </w:r>
          </w:p>
        </w:tc>
        <w:tc>
          <w:tcPr>
            <w:tcW w:w="1278"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2843FF" w:rsidRPr="00B521BC" w:rsidRDefault="002843FF" w:rsidP="002843FF">
            <w:pPr>
              <w:snapToGrid w:val="0"/>
              <w:spacing w:line="380" w:lineRule="exact"/>
              <w:ind w:rightChars="100" w:right="240"/>
              <w:jc w:val="right"/>
            </w:pPr>
            <w:r w:rsidRPr="00B521BC">
              <w:rPr>
                <w:rFonts w:hint="eastAsia"/>
              </w:rPr>
              <w:t>0.94</w:t>
            </w:r>
          </w:p>
        </w:tc>
        <w:tc>
          <w:tcPr>
            <w:tcW w:w="913" w:type="dxa"/>
          </w:tcPr>
          <w:p w:rsidR="002843FF" w:rsidRPr="00B521BC" w:rsidRDefault="002843FF" w:rsidP="002843FF">
            <w:pPr>
              <w:tabs>
                <w:tab w:val="left" w:pos="913"/>
              </w:tabs>
              <w:snapToGrid w:val="0"/>
              <w:spacing w:line="380" w:lineRule="exact"/>
              <w:ind w:rightChars="-3" w:right="-7"/>
              <w:jc w:val="right"/>
            </w:pPr>
            <w:r w:rsidRPr="00B521BC">
              <w:rPr>
                <w:rFonts w:hint="eastAsia"/>
              </w:rPr>
              <w:t>-6.61</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-0.97</w:t>
            </w:r>
          </w:p>
        </w:tc>
        <w:tc>
          <w:tcPr>
            <w:tcW w:w="1278"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0.34</w:t>
            </w:r>
          </w:p>
        </w:tc>
        <w:tc>
          <w:tcPr>
            <w:tcW w:w="913" w:type="dxa"/>
            <w:vAlign w:val="bottom"/>
          </w:tcPr>
          <w:p w:rsidR="002843FF" w:rsidRPr="00B521BC" w:rsidRDefault="002843FF" w:rsidP="002843FF">
            <w:pPr>
              <w:tabs>
                <w:tab w:val="left" w:pos="913"/>
              </w:tabs>
              <w:snapToGrid w:val="0"/>
              <w:spacing w:line="380" w:lineRule="exact"/>
              <w:ind w:rightChars="-3" w:right="-7"/>
              <w:jc w:val="right"/>
            </w:pPr>
            <w:r w:rsidRPr="00B521BC">
              <w:rPr>
                <w:rFonts w:hint="eastAsia"/>
              </w:rPr>
              <w:t>-14.67</w:t>
            </w:r>
          </w:p>
        </w:tc>
      </w:tr>
      <w:tr w:rsidR="00B521BC" w:rsidRPr="00B521BC" w:rsidTr="002843F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-1.10</w:t>
            </w:r>
          </w:p>
        </w:tc>
        <w:tc>
          <w:tcPr>
            <w:tcW w:w="1278"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0.91</w:t>
            </w:r>
          </w:p>
        </w:tc>
        <w:tc>
          <w:tcPr>
            <w:tcW w:w="913" w:type="dxa"/>
            <w:vAlign w:val="bottom"/>
          </w:tcPr>
          <w:p w:rsidR="002843FF" w:rsidRPr="00B521BC" w:rsidRDefault="002843FF" w:rsidP="002843FF">
            <w:pPr>
              <w:tabs>
                <w:tab w:val="left" w:pos="913"/>
              </w:tabs>
              <w:snapToGrid w:val="0"/>
              <w:spacing w:line="380" w:lineRule="exact"/>
              <w:ind w:rightChars="-3" w:right="-7"/>
              <w:jc w:val="right"/>
            </w:pPr>
            <w:r w:rsidRPr="00B521BC">
              <w:rPr>
                <w:rFonts w:hint="eastAsia"/>
              </w:rPr>
              <w:t>-1.78</w:t>
            </w:r>
          </w:p>
        </w:tc>
      </w:tr>
      <w:tr w:rsidR="00B521BC" w:rsidRPr="00B521BC" w:rsidTr="002843FF">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2843FF" w:rsidRPr="00B521BC" w:rsidRDefault="002843FF" w:rsidP="002843FF">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-0.43</w:t>
            </w:r>
          </w:p>
        </w:tc>
        <w:tc>
          <w:tcPr>
            <w:tcW w:w="1090" w:type="dxa"/>
            <w:tcBorders>
              <w:bottom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-0.55</w:t>
            </w:r>
          </w:p>
        </w:tc>
        <w:tc>
          <w:tcPr>
            <w:tcW w:w="1278" w:type="dxa"/>
            <w:tcBorders>
              <w:bottom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-1.73</w:t>
            </w:r>
          </w:p>
        </w:tc>
        <w:tc>
          <w:tcPr>
            <w:tcW w:w="1160" w:type="dxa"/>
            <w:tcBorders>
              <w:bottom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2.39</w:t>
            </w:r>
          </w:p>
        </w:tc>
        <w:tc>
          <w:tcPr>
            <w:tcW w:w="1113" w:type="dxa"/>
            <w:tcBorders>
              <w:bottom w:val="single" w:sz="4" w:space="0" w:color="auto"/>
            </w:tcBorders>
            <w:tcMar>
              <w:top w:w="17" w:type="dxa"/>
              <w:left w:w="17" w:type="dxa"/>
              <w:bottom w:w="0" w:type="dxa"/>
              <w:right w:w="17" w:type="dxa"/>
            </w:tcMar>
            <w:vAlign w:val="bottom"/>
          </w:tcPr>
          <w:p w:rsidR="002843FF" w:rsidRPr="00B521BC" w:rsidRDefault="002843FF" w:rsidP="002843FF">
            <w:pPr>
              <w:snapToGrid w:val="0"/>
              <w:spacing w:line="380" w:lineRule="exact"/>
              <w:ind w:rightChars="100" w:right="240"/>
              <w:jc w:val="right"/>
            </w:pPr>
            <w:r w:rsidRPr="00B521BC">
              <w:rPr>
                <w:rFonts w:hint="eastAsia"/>
              </w:rPr>
              <w:t>2.01</w:t>
            </w:r>
          </w:p>
        </w:tc>
        <w:tc>
          <w:tcPr>
            <w:tcW w:w="913" w:type="dxa"/>
            <w:tcBorders>
              <w:bottom w:val="single" w:sz="4" w:space="0" w:color="auto"/>
            </w:tcBorders>
            <w:vAlign w:val="bottom"/>
          </w:tcPr>
          <w:p w:rsidR="002843FF" w:rsidRPr="00B521BC" w:rsidRDefault="002843FF" w:rsidP="002843FF">
            <w:pPr>
              <w:tabs>
                <w:tab w:val="left" w:pos="913"/>
              </w:tabs>
              <w:snapToGrid w:val="0"/>
              <w:spacing w:line="380" w:lineRule="exact"/>
              <w:ind w:rightChars="-3" w:right="-7"/>
              <w:jc w:val="right"/>
            </w:pPr>
            <w:r w:rsidRPr="00B521BC">
              <w:rPr>
                <w:rFonts w:hint="eastAsia"/>
              </w:rPr>
              <w:t>-1.75</w:t>
            </w:r>
          </w:p>
        </w:tc>
      </w:tr>
    </w:tbl>
    <w:p w:rsidR="00C81B5A" w:rsidRPr="002843FF" w:rsidRDefault="00C81B5A" w:rsidP="00C81B5A">
      <w:pPr>
        <w:snapToGrid w:val="0"/>
        <w:spacing w:line="240" w:lineRule="atLeast"/>
        <w:ind w:right="-142"/>
        <w:jc w:val="both"/>
        <w:rPr>
          <w:rFonts w:eastAsia="標楷體"/>
          <w:sz w:val="22"/>
          <w:szCs w:val="22"/>
        </w:rPr>
      </w:pPr>
      <w:r w:rsidRPr="002843FF">
        <w:rPr>
          <w:rFonts w:eastAsia="標楷體"/>
          <w:sz w:val="22"/>
          <w:szCs w:val="22"/>
        </w:rPr>
        <w:t>資料來源：經濟部統計處。</w:t>
      </w:r>
    </w:p>
    <w:p w:rsidR="006779FB" w:rsidRPr="003111E1" w:rsidRDefault="006779FB" w:rsidP="00345470">
      <w:pPr>
        <w:snapToGrid w:val="0"/>
        <w:spacing w:line="240" w:lineRule="atLeast"/>
        <w:ind w:right="-142"/>
        <w:jc w:val="both"/>
        <w:rPr>
          <w:rFonts w:eastAsia="標楷體"/>
          <w:color w:val="FF0000"/>
          <w:sz w:val="22"/>
          <w:szCs w:val="22"/>
        </w:rPr>
      </w:pPr>
    </w:p>
    <w:p w:rsidR="006779FB" w:rsidRPr="003111E1" w:rsidRDefault="006779FB" w:rsidP="00345470">
      <w:pPr>
        <w:snapToGrid w:val="0"/>
        <w:spacing w:line="240" w:lineRule="atLeast"/>
        <w:ind w:right="-142"/>
        <w:jc w:val="both"/>
        <w:rPr>
          <w:rFonts w:eastAsia="標楷體"/>
          <w:color w:val="FF0000"/>
          <w:sz w:val="22"/>
          <w:szCs w:val="22"/>
        </w:rPr>
      </w:pPr>
    </w:p>
    <w:p w:rsidR="006779FB" w:rsidRPr="003111E1" w:rsidRDefault="006779FB" w:rsidP="00345470">
      <w:pPr>
        <w:snapToGrid w:val="0"/>
        <w:spacing w:line="240" w:lineRule="atLeast"/>
        <w:ind w:right="-142"/>
        <w:jc w:val="both"/>
        <w:rPr>
          <w:rFonts w:eastAsia="標楷體"/>
          <w:color w:val="FF0000"/>
          <w:sz w:val="22"/>
          <w:szCs w:val="22"/>
        </w:rPr>
      </w:pPr>
    </w:p>
    <w:p w:rsidR="00A4148C" w:rsidRPr="003111E1" w:rsidRDefault="00A4148C" w:rsidP="00345470">
      <w:pPr>
        <w:snapToGrid w:val="0"/>
        <w:spacing w:line="240" w:lineRule="atLeast"/>
        <w:ind w:right="-142"/>
        <w:jc w:val="both"/>
        <w:rPr>
          <w:rFonts w:eastAsia="標楷體"/>
          <w:color w:val="FF0000"/>
          <w:sz w:val="22"/>
          <w:szCs w:val="22"/>
        </w:rPr>
      </w:pPr>
    </w:p>
    <w:p w:rsidR="006779FB" w:rsidRPr="003111E1" w:rsidRDefault="006779FB" w:rsidP="00345470">
      <w:pPr>
        <w:snapToGrid w:val="0"/>
        <w:spacing w:line="240" w:lineRule="atLeast"/>
        <w:ind w:right="-142"/>
        <w:jc w:val="both"/>
        <w:rPr>
          <w:rFonts w:eastAsia="標楷體"/>
          <w:color w:val="FF0000"/>
          <w:sz w:val="22"/>
          <w:szCs w:val="22"/>
        </w:rPr>
      </w:pPr>
    </w:p>
    <w:p w:rsidR="006779FB" w:rsidRPr="003111E1" w:rsidRDefault="002843FF" w:rsidP="00345470">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756032" behindDoc="0" locked="0" layoutInCell="1" allowOverlap="1" wp14:anchorId="0D07ADE2" wp14:editId="7AA66C26">
            <wp:simplePos x="0" y="0"/>
            <wp:positionH relativeFrom="column">
              <wp:posOffset>-187960</wp:posOffset>
            </wp:positionH>
            <wp:positionV relativeFrom="paragraph">
              <wp:posOffset>361315</wp:posOffset>
            </wp:positionV>
            <wp:extent cx="6261735" cy="2008505"/>
            <wp:effectExtent l="0" t="0" r="5715" b="0"/>
            <wp:wrapTopAndBottom/>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65"/>
    <w:p w:rsidR="00345470" w:rsidRPr="002843FF" w:rsidRDefault="00345470" w:rsidP="007F59FE">
      <w:pPr>
        <w:pStyle w:val="t-4"/>
        <w:spacing w:afterLines="0" w:after="0" w:line="240" w:lineRule="auto"/>
        <w:ind w:leftChars="0" w:left="0" w:firstLineChars="0" w:firstLine="0"/>
        <w:rPr>
          <w:color w:val="auto"/>
        </w:rPr>
      </w:pPr>
      <w:r w:rsidRPr="002843FF">
        <w:rPr>
          <w:color w:val="auto"/>
        </w:rPr>
        <w:t>２、</w:t>
      </w:r>
      <w:r w:rsidR="002843FF" w:rsidRPr="002843FF">
        <w:rPr>
          <w:rFonts w:hint="eastAsia"/>
          <w:color w:val="auto"/>
        </w:rPr>
        <w:t>102</w:t>
      </w:r>
      <w:r w:rsidR="002843FF" w:rsidRPr="002843FF">
        <w:rPr>
          <w:rFonts w:hint="eastAsia"/>
          <w:color w:val="auto"/>
        </w:rPr>
        <w:t>年</w:t>
      </w:r>
      <w:r w:rsidR="002843FF" w:rsidRPr="002843FF">
        <w:rPr>
          <w:rFonts w:hint="eastAsia"/>
          <w:color w:val="auto"/>
        </w:rPr>
        <w:t>6</w:t>
      </w:r>
      <w:r w:rsidR="002843FF" w:rsidRPr="002843FF">
        <w:rPr>
          <w:rFonts w:hint="eastAsia"/>
          <w:color w:val="auto"/>
        </w:rPr>
        <w:t>月製造業生產減少</w:t>
      </w:r>
      <w:r w:rsidR="002843FF" w:rsidRPr="002843FF">
        <w:rPr>
          <w:rFonts w:hint="eastAsia"/>
          <w:color w:val="auto"/>
        </w:rPr>
        <w:t>0.55</w:t>
      </w:r>
      <w:r w:rsidR="002843FF" w:rsidRPr="002843FF">
        <w:rPr>
          <w:rFonts w:hint="eastAsia"/>
          <w:color w:val="auto"/>
        </w:rPr>
        <w:t>％</w:t>
      </w:r>
    </w:p>
    <w:p w:rsidR="00345470" w:rsidRPr="00F91E87" w:rsidRDefault="002843FF" w:rsidP="00B86F73">
      <w:pPr>
        <w:pStyle w:val="k32"/>
        <w:topLinePunct/>
        <w:spacing w:beforeLines="0" w:before="0"/>
        <w:ind w:left="0" w:rightChars="-59"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月製造業生產較</w:t>
      </w:r>
      <w:r w:rsidR="0010173C">
        <w:rPr>
          <w:rFonts w:hint="eastAsia"/>
        </w:rPr>
        <w:t>上</w:t>
      </w:r>
      <w:r w:rsidRPr="00F91E87">
        <w:rPr>
          <w:rFonts w:hint="eastAsia"/>
        </w:rPr>
        <w:t>年同月減少</w:t>
      </w:r>
      <w:r w:rsidRPr="00F91E87">
        <w:rPr>
          <w:rFonts w:hint="eastAsia"/>
        </w:rPr>
        <w:t>0.55</w:t>
      </w:r>
      <w:r w:rsidRPr="00F91E87">
        <w:rPr>
          <w:rFonts w:hint="eastAsia"/>
        </w:rPr>
        <w:t>％，其中資訊電子業減少</w:t>
      </w:r>
      <w:r w:rsidRPr="00F91E87">
        <w:rPr>
          <w:rFonts w:hint="eastAsia"/>
        </w:rPr>
        <w:t>0.86</w:t>
      </w:r>
      <w:r w:rsidRPr="00F91E87">
        <w:rPr>
          <w:rFonts w:hint="eastAsia"/>
        </w:rPr>
        <w:t>％</w:t>
      </w:r>
      <w:r w:rsidR="00F16AEB">
        <w:rPr>
          <w:rFonts w:ascii="標楷體" w:hAnsi="標楷體" w:hint="eastAsia"/>
        </w:rPr>
        <w:t>、</w:t>
      </w:r>
      <w:r w:rsidRPr="00F91E87">
        <w:rPr>
          <w:rFonts w:hint="eastAsia"/>
        </w:rPr>
        <w:t>金屬機電工業減少</w:t>
      </w:r>
      <w:r w:rsidRPr="00F91E87">
        <w:rPr>
          <w:rFonts w:hint="eastAsia"/>
        </w:rPr>
        <w:t>4.00</w:t>
      </w:r>
      <w:r w:rsidRPr="00F91E87">
        <w:rPr>
          <w:rFonts w:hint="eastAsia"/>
        </w:rPr>
        <w:t>％</w:t>
      </w:r>
      <w:r w:rsidR="009E0B50">
        <w:rPr>
          <w:rFonts w:hint="eastAsia"/>
        </w:rPr>
        <w:t>，</w:t>
      </w:r>
      <w:r w:rsidRPr="00F91E87">
        <w:rPr>
          <w:rFonts w:hint="eastAsia"/>
        </w:rPr>
        <w:t>化學工業</w:t>
      </w:r>
      <w:r w:rsidR="009E0B50">
        <w:rPr>
          <w:rFonts w:hint="eastAsia"/>
        </w:rPr>
        <w:t>則</w:t>
      </w:r>
      <w:r w:rsidRPr="00F91E87">
        <w:rPr>
          <w:rFonts w:hint="eastAsia"/>
        </w:rPr>
        <w:t>增加</w:t>
      </w:r>
      <w:r w:rsidRPr="00F91E87">
        <w:rPr>
          <w:rFonts w:hint="eastAsia"/>
        </w:rPr>
        <w:t>3.60</w:t>
      </w:r>
      <w:r w:rsidRPr="00F91E87">
        <w:rPr>
          <w:rFonts w:hint="eastAsia"/>
        </w:rPr>
        <w:t>％</w:t>
      </w:r>
      <w:r w:rsidR="00F16AEB" w:rsidRPr="00F16AEB">
        <w:rPr>
          <w:rFonts w:hint="eastAsia"/>
        </w:rPr>
        <w:t>、</w:t>
      </w:r>
      <w:r w:rsidRPr="00F91E87">
        <w:rPr>
          <w:rFonts w:hint="eastAsia"/>
        </w:rPr>
        <w:t>民生工業亦增加</w:t>
      </w:r>
      <w:r w:rsidRPr="00F91E87">
        <w:rPr>
          <w:rFonts w:hint="eastAsia"/>
        </w:rPr>
        <w:t>1.78</w:t>
      </w:r>
      <w:r w:rsidRPr="00F91E87">
        <w:rPr>
          <w:rFonts w:hint="eastAsia"/>
        </w:rPr>
        <w:t>％。累計</w:t>
      </w:r>
      <w:r w:rsidRPr="00F91E87">
        <w:rPr>
          <w:rFonts w:hint="eastAsia"/>
        </w:rPr>
        <w:t>1</w:t>
      </w:r>
      <w:r w:rsidRPr="00F91E87">
        <w:rPr>
          <w:rFonts w:hint="eastAsia"/>
        </w:rPr>
        <w:t>至</w:t>
      </w:r>
      <w:r w:rsidRPr="00F91E87">
        <w:rPr>
          <w:rFonts w:hint="eastAsia"/>
        </w:rPr>
        <w:t>6</w:t>
      </w:r>
      <w:r w:rsidRPr="00F91E87">
        <w:rPr>
          <w:rFonts w:hint="eastAsia"/>
        </w:rPr>
        <w:t>月製造業生產增加</w:t>
      </w:r>
      <w:r w:rsidRPr="00F91E87">
        <w:rPr>
          <w:rFonts w:hint="eastAsia"/>
        </w:rPr>
        <w:t>0.13</w:t>
      </w:r>
      <w:r w:rsidRPr="00F91E87">
        <w:rPr>
          <w:rFonts w:hint="eastAsia"/>
        </w:rPr>
        <w:t>％。</w:t>
      </w:r>
    </w:p>
    <w:p w:rsidR="00345470" w:rsidRPr="00F91E87" w:rsidRDefault="002843FF" w:rsidP="008C44FF">
      <w:pPr>
        <w:snapToGrid w:val="0"/>
        <w:spacing w:before="120" w:line="300" w:lineRule="auto"/>
        <w:ind w:right="91"/>
        <w:jc w:val="center"/>
        <w:rPr>
          <w:rFonts w:eastAsia="標楷體"/>
          <w:sz w:val="28"/>
        </w:rPr>
      </w:pPr>
      <w:r w:rsidRPr="00F91E87">
        <w:rPr>
          <w:rFonts w:eastAsia="標楷體" w:hint="eastAsia"/>
          <w:b/>
          <w:bCs/>
          <w:sz w:val="28"/>
        </w:rPr>
        <w:t xml:space="preserve">　　　　　　</w:t>
      </w:r>
      <w:r w:rsidR="00345470" w:rsidRPr="00F91E87">
        <w:rPr>
          <w:rFonts w:eastAsia="標楷體"/>
          <w:b/>
          <w:bCs/>
          <w:sz w:val="28"/>
        </w:rPr>
        <w:t>表</w:t>
      </w:r>
      <w:r w:rsidR="00345470" w:rsidRPr="00F91E87">
        <w:rPr>
          <w:rFonts w:eastAsia="標楷體"/>
          <w:b/>
          <w:bCs/>
          <w:sz w:val="28"/>
        </w:rPr>
        <w:t xml:space="preserve">2-2-2   </w:t>
      </w:r>
      <w:r w:rsidR="00345470" w:rsidRPr="00F91E87">
        <w:rPr>
          <w:rFonts w:eastAsia="標楷體"/>
          <w:b/>
          <w:bCs/>
          <w:sz w:val="28"/>
        </w:rPr>
        <w:t>製造業生產年增率</w:t>
      </w:r>
      <w:r w:rsidR="00345470" w:rsidRPr="00F91E87">
        <w:rPr>
          <w:rFonts w:eastAsia="標楷體"/>
          <w:sz w:val="28"/>
        </w:rPr>
        <w:t xml:space="preserve">          </w:t>
      </w:r>
      <w:r w:rsidR="00345470" w:rsidRPr="00F91E87">
        <w:rPr>
          <w:rFonts w:eastAsia="標楷體"/>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F91E87" w:rsidRPr="00AE2303" w:rsidTr="00701C17">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91E87" w:rsidRPr="00AE2303" w:rsidRDefault="00F91E87" w:rsidP="00701C17">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91E87" w:rsidRPr="00AE2303" w:rsidRDefault="00F91E87" w:rsidP="00701C17">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91E87" w:rsidRPr="00AE2303" w:rsidRDefault="00F91E87" w:rsidP="00701C17">
            <w:pPr>
              <w:snapToGrid w:val="0"/>
              <w:spacing w:line="240" w:lineRule="exact"/>
              <w:ind w:left="28"/>
              <w:jc w:val="center"/>
              <w:rPr>
                <w:rFonts w:eastAsia="標楷體"/>
              </w:rPr>
            </w:pPr>
            <w:r w:rsidRPr="00AE2303">
              <w:rPr>
                <w:rFonts w:eastAsia="標楷體" w:hint="eastAsia"/>
              </w:rPr>
              <w:t>四大行業</w:t>
            </w:r>
          </w:p>
        </w:tc>
      </w:tr>
      <w:tr w:rsidR="00F91E87" w:rsidRPr="00AE2303" w:rsidTr="00701C17">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F91E87" w:rsidRPr="00AE2303" w:rsidRDefault="00F91E87" w:rsidP="00701C17">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91E87" w:rsidRPr="00AE2303" w:rsidRDefault="00F91E87" w:rsidP="00701C17">
            <w:pPr>
              <w:snapToGrid w:val="0"/>
              <w:spacing w:line="320" w:lineRule="exact"/>
              <w:ind w:left="28"/>
              <w:jc w:val="center"/>
              <w:rPr>
                <w:rFonts w:eastAsia="標楷體"/>
              </w:rPr>
            </w:pPr>
            <w:r w:rsidRPr="00AE2303">
              <w:rPr>
                <w:rFonts w:eastAsia="標楷體" w:hint="eastAsia"/>
              </w:rPr>
              <w:t>金屬機械</w:t>
            </w:r>
          </w:p>
          <w:p w:rsidR="00F91E87" w:rsidRPr="00AE2303" w:rsidRDefault="00F91E87" w:rsidP="00701C17">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91E87" w:rsidRPr="00AE2303" w:rsidRDefault="00F91E87" w:rsidP="00701C17">
            <w:pPr>
              <w:snapToGrid w:val="0"/>
              <w:spacing w:line="320" w:lineRule="exact"/>
              <w:ind w:left="28"/>
              <w:jc w:val="center"/>
              <w:rPr>
                <w:rFonts w:eastAsia="標楷體"/>
              </w:rPr>
            </w:pPr>
            <w:r w:rsidRPr="00AE2303">
              <w:rPr>
                <w:rFonts w:eastAsia="標楷體" w:hint="eastAsia"/>
              </w:rPr>
              <w:t>資訊電子</w:t>
            </w:r>
          </w:p>
          <w:p w:rsidR="00F91E87" w:rsidRPr="00AE2303" w:rsidRDefault="00F91E87" w:rsidP="00701C17">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91E87" w:rsidRPr="00AE2303" w:rsidRDefault="00F91E87" w:rsidP="00701C17">
            <w:pPr>
              <w:snapToGrid w:val="0"/>
              <w:spacing w:line="320" w:lineRule="exact"/>
              <w:ind w:left="28"/>
              <w:jc w:val="center"/>
              <w:rPr>
                <w:rFonts w:eastAsia="標楷體"/>
              </w:rPr>
            </w:pPr>
            <w:r w:rsidRPr="00AE2303">
              <w:rPr>
                <w:rFonts w:eastAsia="標楷體" w:hint="eastAsia"/>
              </w:rPr>
              <w:t>化學</w:t>
            </w:r>
          </w:p>
          <w:p w:rsidR="00F91E87" w:rsidRPr="00AE2303" w:rsidRDefault="00F91E87" w:rsidP="00701C17">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F91E87" w:rsidRPr="00AE2303" w:rsidRDefault="00F91E87" w:rsidP="00701C17">
            <w:pPr>
              <w:snapToGrid w:val="0"/>
              <w:spacing w:line="320" w:lineRule="exact"/>
              <w:ind w:left="28"/>
              <w:jc w:val="center"/>
              <w:rPr>
                <w:rFonts w:eastAsia="標楷體"/>
              </w:rPr>
            </w:pPr>
            <w:r w:rsidRPr="00AE2303">
              <w:rPr>
                <w:rFonts w:eastAsia="標楷體" w:hint="eastAsia"/>
              </w:rPr>
              <w:t>民生</w:t>
            </w:r>
          </w:p>
          <w:p w:rsidR="00F91E87" w:rsidRPr="00AE2303" w:rsidRDefault="00F91E87" w:rsidP="00701C17">
            <w:pPr>
              <w:snapToGrid w:val="0"/>
              <w:spacing w:line="320" w:lineRule="exact"/>
              <w:ind w:left="28"/>
              <w:jc w:val="center"/>
              <w:rPr>
                <w:rFonts w:eastAsia="標楷體"/>
              </w:rPr>
            </w:pPr>
            <w:r w:rsidRPr="00AE2303">
              <w:rPr>
                <w:rFonts w:eastAsia="標楷體" w:hint="eastAsia"/>
              </w:rPr>
              <w:t>工業</w:t>
            </w:r>
          </w:p>
        </w:tc>
      </w:tr>
      <w:tr w:rsidR="00F91E87" w:rsidRPr="00AE2303" w:rsidTr="00701C17">
        <w:trPr>
          <w:trHeight w:val="20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AE2303" w:rsidRDefault="00F91E87" w:rsidP="00701C17">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rPr>
                <w:rFonts w:eastAsia="標楷體"/>
                <w:b/>
                <w:bCs/>
              </w:rPr>
            </w:pPr>
            <w:r>
              <w:rPr>
                <w:rFonts w:eastAsia="標楷體" w:hint="eastAsia"/>
                <w:b/>
                <w:bCs/>
              </w:rPr>
              <w:t>-5.41</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rPr>
                <w:rFonts w:eastAsia="標楷體"/>
                <w:b/>
                <w:bCs/>
              </w:rPr>
            </w:pPr>
            <w:r>
              <w:rPr>
                <w:rFonts w:eastAsia="標楷體" w:hint="eastAsia"/>
                <w:b/>
                <w:bCs/>
              </w:rPr>
              <w:t>-6.35</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rPr>
                <w:rFonts w:eastAsia="標楷體"/>
                <w:b/>
                <w:bCs/>
              </w:rPr>
            </w:pPr>
            <w:r>
              <w:rPr>
                <w:rFonts w:eastAsia="標楷體" w:hint="eastAsia"/>
                <w:b/>
                <w:bCs/>
              </w:rPr>
              <w:t>10.95</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rPr>
                <w:b/>
                <w:bCs/>
              </w:rPr>
            </w:pPr>
            <w:r>
              <w:rPr>
                <w:rFonts w:hint="eastAsia"/>
                <w:b/>
                <w:bCs/>
              </w:rPr>
              <w:t>0.92</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AE2303" w:rsidRDefault="00F91E87" w:rsidP="00701C17">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rPr>
                <w:b/>
                <w:bCs/>
              </w:rPr>
            </w:pPr>
            <w:r>
              <w:rPr>
                <w:rFonts w:hint="eastAsia"/>
                <w:b/>
                <w:bCs/>
              </w:rPr>
              <w:t>-0.42</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-1.95</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-4.36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0.46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-2.65</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-4.15</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-4.96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1.50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1.56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0.85</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1.19</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-6.46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3.50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7.20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0.73</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-0.34</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1.90</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-0.41</w:t>
            </w:r>
          </w:p>
        </w:tc>
      </w:tr>
      <w:tr w:rsidR="00F91E87" w:rsidRPr="00AE2303"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AE2303" w:rsidRDefault="00F91E87" w:rsidP="00701C17">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F91E87" w:rsidRPr="00AE2303" w:rsidRDefault="00F91E87" w:rsidP="00701C17">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F91E87" w:rsidRPr="00AE2303" w:rsidRDefault="00F91E87" w:rsidP="00701C17">
            <w:pPr>
              <w:snapToGrid w:val="0"/>
              <w:spacing w:line="300" w:lineRule="exact"/>
              <w:ind w:left="28" w:rightChars="169" w:right="406"/>
              <w:jc w:val="right"/>
            </w:pPr>
            <w:r>
              <w:rPr>
                <w:rFonts w:hint="eastAsia"/>
              </w:rPr>
              <w:t>-3.65</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1~6</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701C17">
            <w:pPr>
              <w:snapToGrid w:val="0"/>
              <w:spacing w:line="300" w:lineRule="exact"/>
              <w:ind w:rightChars="101" w:right="242"/>
              <w:jc w:val="right"/>
              <w:rPr>
                <w:b/>
              </w:rPr>
            </w:pPr>
            <w:r w:rsidRPr="00B521BC">
              <w:rPr>
                <w:rFonts w:hint="eastAsia"/>
                <w:b/>
              </w:rPr>
              <w:t>0.13</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rPr>
                <w:b/>
              </w:rPr>
            </w:pPr>
            <w:r w:rsidRPr="00B521BC">
              <w:rPr>
                <w:rFonts w:hint="eastAsia"/>
                <w:b/>
              </w:rPr>
              <w:t>-2.75</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rPr>
                <w:b/>
              </w:rPr>
            </w:pPr>
            <w:r w:rsidRPr="00B521BC">
              <w:rPr>
                <w:rFonts w:hint="eastAsia"/>
                <w:b/>
              </w:rPr>
              <w:t>2.90</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rPr>
                <w:b/>
              </w:rPr>
            </w:pPr>
            <w:r w:rsidRPr="00B521BC">
              <w:rPr>
                <w:rFonts w:hint="eastAsia"/>
                <w:b/>
              </w:rPr>
              <w:t>-1.52</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rPr>
                <w:b/>
              </w:rPr>
            </w:pPr>
            <w:r w:rsidRPr="00B521BC">
              <w:rPr>
                <w:rFonts w:hint="eastAsia"/>
                <w:b/>
              </w:rPr>
              <w:t>0.11</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701C17">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24.34</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701C17">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-15.95</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701C17">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-5.03</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B521BC">
            <w:pPr>
              <w:snapToGrid w:val="0"/>
              <w:spacing w:line="300" w:lineRule="exact"/>
              <w:ind w:rightChars="101" w:right="242"/>
              <w:jc w:val="right"/>
            </w:pPr>
            <w:r w:rsidRPr="00B521BC">
              <w:rPr>
                <w:rFonts w:hint="eastAsia"/>
              </w:rPr>
              <w:t>-</w:t>
            </w:r>
            <w:r w:rsidR="00B521BC" w:rsidRPr="00B521BC">
              <w:rPr>
                <w:rFonts w:hint="eastAsia"/>
              </w:rPr>
              <w:t>0</w:t>
            </w:r>
            <w:r w:rsidRPr="00B521BC">
              <w:rPr>
                <w:rFonts w:hint="eastAsia"/>
              </w:rPr>
              <w:t>.</w:t>
            </w:r>
            <w:r w:rsidR="00B521BC" w:rsidRPr="00B521BC">
              <w:rPr>
                <w:rFonts w:hint="eastAsia"/>
              </w:rPr>
              <w:t>97</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-4.01</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2.42</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-3.79</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-2.64</w:t>
            </w:r>
          </w:p>
        </w:tc>
      </w:tr>
      <w:tr w:rsidR="00B521BC" w:rsidRPr="00B521BC" w:rsidTr="00701C17">
        <w:trPr>
          <w:trHeight w:val="117"/>
          <w:jc w:val="center"/>
        </w:trPr>
        <w:tc>
          <w:tcPr>
            <w:tcW w:w="1556" w:type="dxa"/>
            <w:tcBorders>
              <w:left w:val="nil"/>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91E87" w:rsidRPr="00B521BC" w:rsidRDefault="00F91E87" w:rsidP="00B521BC">
            <w:pPr>
              <w:snapToGrid w:val="0"/>
              <w:spacing w:line="300" w:lineRule="exact"/>
              <w:ind w:rightChars="101" w:right="242"/>
              <w:jc w:val="right"/>
            </w:pPr>
            <w:r w:rsidRPr="00B521BC">
              <w:rPr>
                <w:rFonts w:hint="eastAsia"/>
              </w:rPr>
              <w:t>-</w:t>
            </w:r>
            <w:r w:rsidR="00B521BC" w:rsidRPr="00B521BC">
              <w:rPr>
                <w:rFonts w:hint="eastAsia"/>
              </w:rPr>
              <w:t>1</w:t>
            </w:r>
            <w:r w:rsidRPr="00B521BC">
              <w:rPr>
                <w:rFonts w:hint="eastAsia"/>
              </w:rPr>
              <w:t>.</w:t>
            </w:r>
            <w:r w:rsidR="00B521BC" w:rsidRPr="00B521BC">
              <w:rPr>
                <w:rFonts w:hint="eastAsia"/>
              </w:rPr>
              <w:t>10</w:t>
            </w:r>
          </w:p>
        </w:tc>
        <w:tc>
          <w:tcPr>
            <w:tcW w:w="1350" w:type="dxa"/>
            <w:tcBorders>
              <w:left w:val="doub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-5.05</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2.47</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-2.58</w:t>
            </w:r>
          </w:p>
        </w:tc>
        <w:tc>
          <w:tcPr>
            <w:tcW w:w="1350" w:type="dxa"/>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-0.33</w:t>
            </w:r>
          </w:p>
        </w:tc>
      </w:tr>
      <w:tr w:rsidR="00B521BC" w:rsidRPr="00B521BC" w:rsidTr="00701C17">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F91E87" w:rsidRPr="00B521BC" w:rsidRDefault="00F91E87" w:rsidP="00701C17">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F91E87" w:rsidRPr="00B521BC" w:rsidRDefault="00F91E87" w:rsidP="00701C17">
            <w:pPr>
              <w:snapToGrid w:val="0"/>
              <w:spacing w:line="300" w:lineRule="exact"/>
              <w:ind w:rightChars="101" w:right="242"/>
              <w:jc w:val="right"/>
            </w:pPr>
            <w:r w:rsidRPr="00B521BC">
              <w:rPr>
                <w:rFonts w:hint="eastAsia"/>
              </w:rPr>
              <w:t>-0.55</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0" w:right="240"/>
              <w:jc w:val="right"/>
            </w:pPr>
            <w:r w:rsidRPr="00B521BC">
              <w:rPr>
                <w:rFonts w:hint="eastAsia"/>
              </w:rPr>
              <w:t>-4.00</w:t>
            </w:r>
          </w:p>
        </w:tc>
        <w:tc>
          <w:tcPr>
            <w:tcW w:w="1350" w:type="dxa"/>
            <w:tcBorders>
              <w:bottom w:val="sing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07" w:right="257"/>
              <w:jc w:val="right"/>
            </w:pPr>
            <w:r w:rsidRPr="00B521BC">
              <w:rPr>
                <w:rFonts w:hint="eastAsia"/>
              </w:rPr>
              <w:t>-0.86</w:t>
            </w:r>
          </w:p>
        </w:tc>
        <w:tc>
          <w:tcPr>
            <w:tcW w:w="1350" w:type="dxa"/>
            <w:tcBorders>
              <w:bottom w:val="sing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95" w:right="468"/>
              <w:jc w:val="right"/>
            </w:pPr>
            <w:r w:rsidRPr="00B521BC">
              <w:rPr>
                <w:rFonts w:hint="eastAsia"/>
              </w:rPr>
              <w:t>3.60</w:t>
            </w:r>
          </w:p>
        </w:tc>
        <w:tc>
          <w:tcPr>
            <w:tcW w:w="1350" w:type="dxa"/>
            <w:tcBorders>
              <w:bottom w:val="single" w:sz="4" w:space="0" w:color="auto"/>
            </w:tcBorders>
            <w:tcMar>
              <w:top w:w="17" w:type="dxa"/>
              <w:left w:w="17" w:type="dxa"/>
              <w:bottom w:w="0" w:type="dxa"/>
              <w:right w:w="17" w:type="dxa"/>
            </w:tcMar>
            <w:vAlign w:val="bottom"/>
          </w:tcPr>
          <w:p w:rsidR="00F91E87" w:rsidRPr="00B521BC" w:rsidRDefault="00F91E87" w:rsidP="00701C17">
            <w:pPr>
              <w:snapToGrid w:val="0"/>
              <w:spacing w:line="300" w:lineRule="exact"/>
              <w:ind w:left="28" w:rightChars="169" w:right="406"/>
              <w:jc w:val="right"/>
            </w:pPr>
            <w:r w:rsidRPr="00B521BC">
              <w:rPr>
                <w:rFonts w:hint="eastAsia"/>
              </w:rPr>
              <w:t>1.78</w:t>
            </w:r>
          </w:p>
        </w:tc>
      </w:tr>
    </w:tbl>
    <w:p w:rsidR="00345470" w:rsidRPr="00F91E87" w:rsidRDefault="00345470" w:rsidP="00345470">
      <w:pPr>
        <w:snapToGrid w:val="0"/>
        <w:spacing w:line="340" w:lineRule="atLeast"/>
        <w:ind w:right="-142"/>
        <w:jc w:val="both"/>
        <w:rPr>
          <w:rFonts w:eastAsia="標楷體"/>
          <w:sz w:val="22"/>
          <w:szCs w:val="22"/>
        </w:rPr>
      </w:pPr>
      <w:r w:rsidRPr="00F91E87">
        <w:rPr>
          <w:rFonts w:eastAsia="標楷體"/>
          <w:sz w:val="22"/>
          <w:szCs w:val="22"/>
        </w:rPr>
        <w:t>資料來源：經濟部統計處。</w:t>
      </w:r>
    </w:p>
    <w:p w:rsidR="00345470" w:rsidRPr="00F91E87" w:rsidRDefault="00B86F73" w:rsidP="007F59FE">
      <w:pPr>
        <w:pStyle w:val="affffc"/>
        <w:snapToGrid w:val="0"/>
        <w:spacing w:before="180" w:line="300" w:lineRule="auto"/>
        <w:ind w:leftChars="0" w:left="0" w:firstLineChars="0" w:firstLine="0"/>
        <w:rPr>
          <w:rFonts w:ascii="Times New Roman" w:eastAsia="標楷體" w:hAnsi="Times New Roman"/>
          <w:b/>
          <w:bCs/>
          <w:sz w:val="28"/>
          <w:szCs w:val="28"/>
        </w:rPr>
      </w:pPr>
      <w:r w:rsidRPr="00F91E87">
        <w:rPr>
          <w:rFonts w:ascii="Times New Roman" w:eastAsia="標楷體" w:hAnsi="Times New Roman"/>
          <w:b/>
          <w:bCs/>
          <w:sz w:val="28"/>
          <w:szCs w:val="28"/>
        </w:rPr>
        <w:lastRenderedPageBreak/>
        <w:t>３、</w:t>
      </w:r>
      <w:r w:rsidR="00F91E87" w:rsidRPr="00F91E87">
        <w:rPr>
          <w:rFonts w:ascii="Times New Roman" w:eastAsia="標楷體" w:hAnsi="Times New Roman" w:hint="eastAsia"/>
          <w:b/>
          <w:bCs/>
          <w:sz w:val="28"/>
          <w:szCs w:val="28"/>
        </w:rPr>
        <w:t>102</w:t>
      </w:r>
      <w:r w:rsidR="00F91E87" w:rsidRPr="00F91E87">
        <w:rPr>
          <w:rFonts w:ascii="Times New Roman" w:eastAsia="標楷體" w:hAnsi="Times New Roman" w:hint="eastAsia"/>
          <w:b/>
          <w:bCs/>
          <w:sz w:val="28"/>
          <w:szCs w:val="28"/>
        </w:rPr>
        <w:t>年</w:t>
      </w:r>
      <w:r w:rsidR="00F91E87" w:rsidRPr="00F91E87">
        <w:rPr>
          <w:rFonts w:ascii="Times New Roman" w:eastAsia="標楷體" w:hAnsi="Times New Roman" w:hint="eastAsia"/>
          <w:b/>
          <w:bCs/>
          <w:sz w:val="28"/>
          <w:szCs w:val="28"/>
        </w:rPr>
        <w:t>6</w:t>
      </w:r>
      <w:r w:rsidR="00F91E87" w:rsidRPr="00F91E87">
        <w:rPr>
          <w:rFonts w:ascii="Times New Roman" w:eastAsia="標楷體" w:hAnsi="Times New Roman" w:hint="eastAsia"/>
          <w:b/>
          <w:bCs/>
          <w:sz w:val="28"/>
          <w:szCs w:val="28"/>
        </w:rPr>
        <w:t>月電子零組件業增加</w:t>
      </w:r>
      <w:r w:rsidR="00F91E87" w:rsidRPr="00F91E87">
        <w:rPr>
          <w:rFonts w:ascii="Times New Roman" w:eastAsia="標楷體" w:hAnsi="Times New Roman" w:hint="eastAsia"/>
          <w:b/>
          <w:bCs/>
          <w:sz w:val="28"/>
          <w:szCs w:val="28"/>
        </w:rPr>
        <w:t>2.93</w:t>
      </w:r>
      <w:r w:rsidR="00F91E87" w:rsidRPr="00F91E87">
        <w:rPr>
          <w:rFonts w:ascii="Times New Roman" w:eastAsia="標楷體" w:hAnsi="Times New Roman" w:hint="eastAsia"/>
          <w:b/>
          <w:bCs/>
          <w:sz w:val="28"/>
          <w:szCs w:val="28"/>
        </w:rPr>
        <w:t>％</w:t>
      </w:r>
    </w:p>
    <w:p w:rsidR="00345470"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232439">
        <w:rPr>
          <w:rFonts w:ascii="Times New Roman" w:eastAsia="標楷體" w:hAnsi="Times New Roman" w:hint="eastAsia"/>
          <w:snapToGrid w:val="0"/>
          <w:sz w:val="28"/>
          <w:szCs w:val="28"/>
        </w:rPr>
        <w:t>電子零組件業增加</w:t>
      </w:r>
      <w:r w:rsidRPr="002C5ABD">
        <w:rPr>
          <w:rFonts w:ascii="Times New Roman" w:eastAsia="標楷體" w:hAnsi="Times New Roman" w:hint="eastAsia"/>
          <w:snapToGrid w:val="0"/>
          <w:sz w:val="28"/>
          <w:szCs w:val="28"/>
        </w:rPr>
        <w:t>2.93</w:t>
      </w:r>
      <w:r>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，主因智慧手機與平板電腦等消費性電子新品持續推出，帶動晶圓代工、構裝</w:t>
      </w:r>
      <w:r w:rsidRPr="002C5ABD">
        <w:rPr>
          <w:rFonts w:ascii="Times New Roman" w:eastAsia="標楷體" w:hAnsi="Times New Roman" w:hint="eastAsia"/>
          <w:snapToGrid w:val="0"/>
          <w:sz w:val="28"/>
          <w:szCs w:val="28"/>
        </w:rPr>
        <w:t>IC</w:t>
      </w:r>
      <w:r w:rsidRPr="002C5ABD">
        <w:rPr>
          <w:rFonts w:ascii="Times New Roman" w:eastAsia="標楷體" w:hAnsi="Times New Roman" w:hint="eastAsia"/>
          <w:snapToGrid w:val="0"/>
          <w:sz w:val="28"/>
          <w:szCs w:val="28"/>
        </w:rPr>
        <w:t>等半導體產業持續熱絡，加以</w:t>
      </w:r>
      <w:r w:rsidRPr="002C5ABD">
        <w:rPr>
          <w:rFonts w:ascii="Times New Roman" w:eastAsia="標楷體" w:hAnsi="Times New Roman" w:hint="eastAsia"/>
          <w:snapToGrid w:val="0"/>
          <w:sz w:val="28"/>
          <w:szCs w:val="28"/>
        </w:rPr>
        <w:t>LED</w:t>
      </w:r>
      <w:r w:rsidRPr="002C5ABD">
        <w:rPr>
          <w:rFonts w:ascii="Times New Roman" w:eastAsia="標楷體" w:hAnsi="Times New Roman" w:hint="eastAsia"/>
          <w:snapToGrid w:val="0"/>
          <w:sz w:val="28"/>
          <w:szCs w:val="28"/>
        </w:rPr>
        <w:t>、太陽能、偏光板等光電材料及元件等增產所致。</w:t>
      </w:r>
      <w:r w:rsidRPr="002C5ABD">
        <w:rPr>
          <w:rFonts w:ascii="Times New Roman" w:eastAsia="標楷體" w:hAnsi="Times New Roman" w:hint="eastAsia"/>
          <w:snapToGrid w:val="0"/>
          <w:sz w:val="28"/>
          <w:szCs w:val="28"/>
        </w:rPr>
        <w:t>1</w:t>
      </w:r>
      <w:r w:rsidRPr="002C5ABD">
        <w:rPr>
          <w:rFonts w:ascii="Times New Roman" w:eastAsia="標楷體" w:hAnsi="Times New Roman" w:hint="eastAsia"/>
          <w:snapToGrid w:val="0"/>
          <w:sz w:val="28"/>
          <w:szCs w:val="28"/>
        </w:rPr>
        <w:t>至</w:t>
      </w:r>
      <w:r w:rsidRPr="002C5ABD">
        <w:rPr>
          <w:rFonts w:ascii="Times New Roman" w:eastAsia="標楷體" w:hAnsi="Times New Roman" w:hint="eastAsia"/>
          <w:snapToGrid w:val="0"/>
          <w:sz w:val="28"/>
          <w:szCs w:val="28"/>
        </w:rPr>
        <w:t>6</w:t>
      </w:r>
      <w:r w:rsidRPr="002C5ABD">
        <w:rPr>
          <w:rFonts w:ascii="Times New Roman" w:eastAsia="標楷體" w:hAnsi="Times New Roman" w:hint="eastAsia"/>
          <w:snapToGrid w:val="0"/>
          <w:sz w:val="28"/>
          <w:szCs w:val="28"/>
        </w:rPr>
        <w:t>月累計較</w:t>
      </w:r>
      <w:r w:rsidR="00805CC8">
        <w:rPr>
          <w:rFonts w:ascii="Times New Roman" w:eastAsia="標楷體" w:hAnsi="Times New Roman" w:hint="eastAsia"/>
          <w:snapToGrid w:val="0"/>
          <w:sz w:val="28"/>
          <w:szCs w:val="28"/>
        </w:rPr>
        <w:t>上</w:t>
      </w:r>
      <w:r w:rsidRPr="002C5ABD">
        <w:rPr>
          <w:rFonts w:ascii="Times New Roman" w:eastAsia="標楷體" w:hAnsi="Times New Roman" w:hint="eastAsia"/>
          <w:snapToGrid w:val="0"/>
          <w:sz w:val="28"/>
          <w:szCs w:val="28"/>
        </w:rPr>
        <w:t>年同期增加</w:t>
      </w:r>
      <w:r w:rsidRPr="002C5ABD">
        <w:rPr>
          <w:rFonts w:ascii="Times New Roman" w:eastAsia="標楷體" w:hAnsi="Times New Roman" w:hint="eastAsia"/>
          <w:snapToGrid w:val="0"/>
          <w:sz w:val="28"/>
          <w:szCs w:val="28"/>
        </w:rPr>
        <w:t>5.25</w:t>
      </w:r>
      <w:r>
        <w:rPr>
          <w:rFonts w:ascii="Times New Roman" w:eastAsia="標楷體" w:hAnsi="Times New Roman" w:hint="eastAsia"/>
          <w:snapToGrid w:val="0"/>
          <w:sz w:val="28"/>
          <w:szCs w:val="28"/>
        </w:rPr>
        <w:t>％</w:t>
      </w:r>
      <w:r w:rsidRPr="006205DA">
        <w:rPr>
          <w:rFonts w:ascii="Times New Roman" w:eastAsia="標楷體" w:hAnsi="Times New Roman" w:hint="eastAsia"/>
          <w:snapToGrid w:val="0"/>
          <w:sz w:val="28"/>
          <w:szCs w:val="28"/>
        </w:rPr>
        <w:t>。</w:t>
      </w:r>
    </w:p>
    <w:p w:rsidR="00F91E87"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napToGrid w:val="0"/>
          <w:sz w:val="28"/>
          <w:szCs w:val="28"/>
        </w:rPr>
        <w:t>基本金屬業</w:t>
      </w:r>
      <w:r w:rsidRPr="002C5ABD">
        <w:rPr>
          <w:rFonts w:ascii="Times New Roman" w:eastAsia="標楷體" w:hAnsi="Times New Roman" w:hint="eastAsia"/>
          <w:snapToGrid w:val="0"/>
          <w:sz w:val="28"/>
          <w:szCs w:val="28"/>
        </w:rPr>
        <w:t>增加</w:t>
      </w:r>
      <w:r w:rsidRPr="002C5ABD">
        <w:rPr>
          <w:rFonts w:ascii="Times New Roman" w:eastAsia="標楷體" w:hAnsi="Times New Roman" w:hint="eastAsia"/>
          <w:snapToGrid w:val="0"/>
          <w:sz w:val="28"/>
          <w:szCs w:val="28"/>
        </w:rPr>
        <w:t>1.13</w:t>
      </w:r>
      <w:r>
        <w:rPr>
          <w:rFonts w:ascii="Times New Roman" w:eastAsia="標楷體" w:hAnsi="Times New Roman" w:hint="eastAsia"/>
          <w:snapToGrid w:val="0"/>
          <w:sz w:val="28"/>
          <w:szCs w:val="28"/>
        </w:rPr>
        <w:t>％</w:t>
      </w:r>
      <w:r w:rsidRPr="002C5ABD">
        <w:rPr>
          <w:rFonts w:ascii="Times New Roman" w:eastAsia="標楷體" w:hAnsi="Times New Roman" w:hint="eastAsia"/>
          <w:snapToGrid w:val="0"/>
          <w:sz w:val="28"/>
          <w:szCs w:val="28"/>
        </w:rPr>
        <w:t>，主因國內鋼鐵大廠新建高爐投產，</w:t>
      </w:r>
      <w:proofErr w:type="gramStart"/>
      <w:r w:rsidRPr="002C5ABD">
        <w:rPr>
          <w:rFonts w:ascii="Times New Roman" w:eastAsia="標楷體" w:hAnsi="Times New Roman" w:hint="eastAsia"/>
          <w:snapToGrid w:val="0"/>
          <w:sz w:val="28"/>
          <w:szCs w:val="28"/>
        </w:rPr>
        <w:t>推升鋼胚</w:t>
      </w:r>
      <w:proofErr w:type="gramEnd"/>
      <w:r w:rsidRPr="002C5ABD">
        <w:rPr>
          <w:rFonts w:ascii="Times New Roman" w:eastAsia="標楷體" w:hAnsi="Times New Roman" w:hint="eastAsia"/>
          <w:snapToGrid w:val="0"/>
          <w:sz w:val="28"/>
          <w:szCs w:val="28"/>
        </w:rPr>
        <w:t>及熱軋鋼品產量，彌補貴金屬精</w:t>
      </w:r>
      <w:proofErr w:type="gramStart"/>
      <w:r w:rsidRPr="002C5ABD">
        <w:rPr>
          <w:rFonts w:ascii="Times New Roman" w:eastAsia="標楷體" w:hAnsi="Times New Roman" w:hint="eastAsia"/>
          <w:snapToGrid w:val="0"/>
          <w:sz w:val="28"/>
          <w:szCs w:val="28"/>
        </w:rPr>
        <w:t>鍊</w:t>
      </w:r>
      <w:proofErr w:type="gramEnd"/>
      <w:r w:rsidRPr="002C5ABD">
        <w:rPr>
          <w:rFonts w:ascii="Times New Roman" w:eastAsia="標楷體" w:hAnsi="Times New Roman" w:hint="eastAsia"/>
          <w:snapToGrid w:val="0"/>
          <w:sz w:val="28"/>
          <w:szCs w:val="28"/>
        </w:rPr>
        <w:t>、鋼筋、棒鋼等減產空缺。</w:t>
      </w:r>
      <w:r w:rsidRPr="002C5ABD">
        <w:rPr>
          <w:rFonts w:ascii="Times New Roman" w:eastAsia="標楷體" w:hAnsi="Times New Roman" w:hint="eastAsia"/>
          <w:snapToGrid w:val="0"/>
          <w:sz w:val="28"/>
          <w:szCs w:val="28"/>
        </w:rPr>
        <w:t>1</w:t>
      </w:r>
      <w:r w:rsidRPr="002C5ABD">
        <w:rPr>
          <w:rFonts w:ascii="Times New Roman" w:eastAsia="標楷體" w:hAnsi="Times New Roman" w:hint="eastAsia"/>
          <w:snapToGrid w:val="0"/>
          <w:sz w:val="28"/>
          <w:szCs w:val="28"/>
        </w:rPr>
        <w:t>至</w:t>
      </w:r>
      <w:r w:rsidRPr="002C5ABD">
        <w:rPr>
          <w:rFonts w:ascii="Times New Roman" w:eastAsia="標楷體" w:hAnsi="Times New Roman" w:hint="eastAsia"/>
          <w:snapToGrid w:val="0"/>
          <w:sz w:val="28"/>
          <w:szCs w:val="28"/>
        </w:rPr>
        <w:t>6</w:t>
      </w:r>
      <w:r w:rsidRPr="002C5ABD">
        <w:rPr>
          <w:rFonts w:ascii="Times New Roman" w:eastAsia="標楷體" w:hAnsi="Times New Roman" w:hint="eastAsia"/>
          <w:snapToGrid w:val="0"/>
          <w:sz w:val="28"/>
          <w:szCs w:val="28"/>
        </w:rPr>
        <w:t>月累計較</w:t>
      </w:r>
      <w:r w:rsidR="00805CC8">
        <w:rPr>
          <w:rFonts w:ascii="Times New Roman" w:eastAsia="標楷體" w:hAnsi="Times New Roman" w:hint="eastAsia"/>
          <w:snapToGrid w:val="0"/>
          <w:sz w:val="28"/>
          <w:szCs w:val="28"/>
        </w:rPr>
        <w:t>上</w:t>
      </w:r>
      <w:r w:rsidRPr="002C5ABD">
        <w:rPr>
          <w:rFonts w:ascii="Times New Roman" w:eastAsia="標楷體" w:hAnsi="Times New Roman" w:hint="eastAsia"/>
          <w:snapToGrid w:val="0"/>
          <w:sz w:val="28"/>
          <w:szCs w:val="28"/>
        </w:rPr>
        <w:t>年同期增加</w:t>
      </w:r>
      <w:r w:rsidRPr="002C5ABD">
        <w:rPr>
          <w:rFonts w:ascii="Times New Roman" w:eastAsia="標楷體" w:hAnsi="Times New Roman" w:hint="eastAsia"/>
          <w:snapToGrid w:val="0"/>
          <w:sz w:val="28"/>
          <w:szCs w:val="28"/>
        </w:rPr>
        <w:t>0.66</w:t>
      </w:r>
      <w:r>
        <w:rPr>
          <w:rFonts w:ascii="Times New Roman" w:eastAsia="標楷體" w:hAnsi="Times New Roman" w:hint="eastAsia"/>
          <w:snapToGrid w:val="0"/>
          <w:sz w:val="28"/>
          <w:szCs w:val="28"/>
        </w:rPr>
        <w:t>％</w:t>
      </w:r>
      <w:r w:rsidRPr="00C1697B">
        <w:rPr>
          <w:rFonts w:ascii="Times New Roman" w:eastAsia="標楷體" w:hAnsi="Times New Roman" w:hint="eastAsia"/>
          <w:snapToGrid w:val="0"/>
          <w:sz w:val="28"/>
          <w:szCs w:val="28"/>
        </w:rPr>
        <w:t>。</w:t>
      </w:r>
    </w:p>
    <w:p w:rsidR="00F91E87"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807F15">
        <w:rPr>
          <w:rFonts w:ascii="Times New Roman" w:eastAsia="標楷體" w:hAnsi="Times New Roman" w:hint="eastAsia"/>
          <w:sz w:val="28"/>
          <w:szCs w:val="28"/>
        </w:rPr>
        <w:t>增加</w:t>
      </w:r>
      <w:r w:rsidRPr="00807F15">
        <w:rPr>
          <w:rFonts w:ascii="Times New Roman" w:eastAsia="標楷體" w:hAnsi="Times New Roman" w:hint="eastAsia"/>
          <w:sz w:val="28"/>
          <w:szCs w:val="28"/>
        </w:rPr>
        <w:t>9.36</w:t>
      </w:r>
      <w:r>
        <w:rPr>
          <w:rFonts w:ascii="Times New Roman" w:eastAsia="標楷體" w:hAnsi="Times New Roman" w:hint="eastAsia"/>
          <w:sz w:val="28"/>
          <w:szCs w:val="28"/>
        </w:rPr>
        <w:t>％</w:t>
      </w:r>
      <w:r w:rsidRPr="00807F15">
        <w:rPr>
          <w:rFonts w:ascii="Times New Roman" w:eastAsia="標楷體" w:hAnsi="Times New Roman" w:hint="eastAsia"/>
          <w:sz w:val="28"/>
          <w:szCs w:val="28"/>
        </w:rPr>
        <w:t>，主因去年同期受到三輕正式除役、部分烯烴廠歲修、六</w:t>
      </w:r>
      <w:proofErr w:type="gramStart"/>
      <w:r w:rsidRPr="00807F15">
        <w:rPr>
          <w:rFonts w:ascii="Times New Roman" w:eastAsia="標楷體" w:hAnsi="Times New Roman" w:hint="eastAsia"/>
          <w:sz w:val="28"/>
          <w:szCs w:val="28"/>
        </w:rPr>
        <w:t>輕跳電</w:t>
      </w:r>
      <w:proofErr w:type="gramEnd"/>
      <w:r w:rsidRPr="00807F15">
        <w:rPr>
          <w:rFonts w:ascii="Times New Roman" w:eastAsia="標楷體" w:hAnsi="Times New Roman" w:hint="eastAsia"/>
          <w:sz w:val="28"/>
          <w:szCs w:val="28"/>
        </w:rPr>
        <w:t>意外等事件干擾產出影響，比較基數較低，加以近期泛用樹脂需求升溫，致擺脫連續</w:t>
      </w:r>
      <w:r w:rsidR="005C068E">
        <w:rPr>
          <w:rFonts w:ascii="Times New Roman" w:eastAsia="標楷體" w:hAnsi="Times New Roman" w:hint="eastAsia"/>
          <w:sz w:val="28"/>
          <w:szCs w:val="28"/>
        </w:rPr>
        <w:t>4</w:t>
      </w:r>
      <w:r w:rsidRPr="00807F15">
        <w:rPr>
          <w:rFonts w:ascii="Times New Roman" w:eastAsia="標楷體" w:hAnsi="Times New Roman" w:hint="eastAsia"/>
          <w:sz w:val="28"/>
          <w:szCs w:val="28"/>
        </w:rPr>
        <w:t>個月之負成長。</w:t>
      </w:r>
      <w:r w:rsidRPr="00807F15">
        <w:rPr>
          <w:rFonts w:ascii="Times New Roman" w:eastAsia="標楷體" w:hAnsi="Times New Roman" w:hint="eastAsia"/>
          <w:sz w:val="28"/>
          <w:szCs w:val="28"/>
        </w:rPr>
        <w:t>1</w:t>
      </w:r>
      <w:r w:rsidRPr="00807F15">
        <w:rPr>
          <w:rFonts w:ascii="Times New Roman" w:eastAsia="標楷體" w:hAnsi="Times New Roman" w:hint="eastAsia"/>
          <w:sz w:val="28"/>
          <w:szCs w:val="28"/>
        </w:rPr>
        <w:t>至</w:t>
      </w:r>
      <w:r w:rsidRPr="00807F15">
        <w:rPr>
          <w:rFonts w:ascii="Times New Roman" w:eastAsia="標楷體" w:hAnsi="Times New Roman" w:hint="eastAsia"/>
          <w:sz w:val="28"/>
          <w:szCs w:val="28"/>
        </w:rPr>
        <w:t>6</w:t>
      </w:r>
      <w:r w:rsidRPr="00807F15">
        <w:rPr>
          <w:rFonts w:ascii="Times New Roman" w:eastAsia="標楷體" w:hAnsi="Times New Roman" w:hint="eastAsia"/>
          <w:sz w:val="28"/>
          <w:szCs w:val="28"/>
        </w:rPr>
        <w:t>月累計較</w:t>
      </w:r>
      <w:r w:rsidR="00805CC8">
        <w:rPr>
          <w:rFonts w:ascii="Times New Roman" w:eastAsia="標楷體" w:hAnsi="Times New Roman" w:hint="eastAsia"/>
          <w:sz w:val="28"/>
          <w:szCs w:val="28"/>
        </w:rPr>
        <w:t>上</w:t>
      </w:r>
      <w:r w:rsidRPr="00807F15">
        <w:rPr>
          <w:rFonts w:ascii="Times New Roman" w:eastAsia="標楷體" w:hAnsi="Times New Roman" w:hint="eastAsia"/>
          <w:sz w:val="28"/>
          <w:szCs w:val="28"/>
        </w:rPr>
        <w:t>年同期減少</w:t>
      </w:r>
      <w:r w:rsidRPr="00807F15">
        <w:rPr>
          <w:rFonts w:ascii="Times New Roman" w:eastAsia="標楷體" w:hAnsi="Times New Roman" w:hint="eastAsia"/>
          <w:sz w:val="28"/>
          <w:szCs w:val="28"/>
        </w:rPr>
        <w:t>2.47</w:t>
      </w:r>
      <w:r>
        <w:rPr>
          <w:rFonts w:ascii="Times New Roman" w:eastAsia="標楷體" w:hAnsi="Times New Roman" w:hint="eastAsia"/>
          <w:sz w:val="28"/>
          <w:szCs w:val="28"/>
        </w:rPr>
        <w:t>％</w:t>
      </w:r>
      <w:r w:rsidRPr="007B32FE">
        <w:rPr>
          <w:rFonts w:ascii="Times New Roman" w:eastAsia="標楷體" w:hAnsi="Times New Roman" w:hint="eastAsia"/>
          <w:sz w:val="28"/>
          <w:szCs w:val="28"/>
        </w:rPr>
        <w:t>。</w:t>
      </w:r>
    </w:p>
    <w:p w:rsidR="00F91E87"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sidR="005C068E">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Pr="0023466D">
        <w:rPr>
          <w:rFonts w:ascii="Times New Roman" w:eastAsia="標楷體" w:hAnsi="Times New Roman" w:hint="eastAsia"/>
          <w:snapToGrid w:val="0"/>
          <w:sz w:val="28"/>
          <w:szCs w:val="28"/>
        </w:rPr>
        <w:t>減少</w:t>
      </w:r>
      <w:r w:rsidRPr="0023466D">
        <w:rPr>
          <w:rFonts w:ascii="Times New Roman" w:eastAsia="標楷體" w:hAnsi="Times New Roman" w:hint="eastAsia"/>
          <w:snapToGrid w:val="0"/>
          <w:sz w:val="28"/>
          <w:szCs w:val="28"/>
        </w:rPr>
        <w:t>15.03</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，主因高階行動裝置之國際競爭劇烈，以及</w:t>
      </w:r>
      <w:r w:rsidRPr="0023466D">
        <w:rPr>
          <w:rFonts w:ascii="Times New Roman" w:eastAsia="標楷體" w:hAnsi="Times New Roman" w:hint="eastAsia"/>
          <w:snapToGrid w:val="0"/>
          <w:sz w:val="28"/>
          <w:szCs w:val="28"/>
        </w:rPr>
        <w:t>PC</w:t>
      </w:r>
      <w:r w:rsidRPr="0023466D">
        <w:rPr>
          <w:rFonts w:ascii="Times New Roman" w:eastAsia="標楷體" w:hAnsi="Times New Roman" w:hint="eastAsia"/>
          <w:snapToGrid w:val="0"/>
          <w:sz w:val="28"/>
          <w:szCs w:val="28"/>
        </w:rPr>
        <w:t>、電視機需求減緩，</w:t>
      </w:r>
      <w:proofErr w:type="gramStart"/>
      <w:r w:rsidRPr="0023466D">
        <w:rPr>
          <w:rFonts w:ascii="Times New Roman" w:eastAsia="標楷體" w:hAnsi="Times New Roman" w:hint="eastAsia"/>
          <w:snapToGrid w:val="0"/>
          <w:sz w:val="28"/>
          <w:szCs w:val="28"/>
        </w:rPr>
        <w:t>致買氣</w:t>
      </w:r>
      <w:proofErr w:type="gramEnd"/>
      <w:r w:rsidRPr="0023466D">
        <w:rPr>
          <w:rFonts w:ascii="Times New Roman" w:eastAsia="標楷體" w:hAnsi="Times New Roman" w:hint="eastAsia"/>
          <w:snapToGrid w:val="0"/>
          <w:sz w:val="28"/>
          <w:szCs w:val="28"/>
        </w:rPr>
        <w:t>明顯緊縮而減產。</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sidRPr="0023466D">
        <w:rPr>
          <w:rFonts w:ascii="Times New Roman" w:eastAsia="標楷體" w:hAnsi="Times New Roman" w:hint="eastAsia"/>
          <w:snapToGrid w:val="0"/>
          <w:sz w:val="28"/>
          <w:szCs w:val="28"/>
        </w:rPr>
        <w:t>6</w:t>
      </w:r>
      <w:r w:rsidRPr="0023466D">
        <w:rPr>
          <w:rFonts w:ascii="Times New Roman" w:eastAsia="標楷體" w:hAnsi="Times New Roman" w:hint="eastAsia"/>
          <w:snapToGrid w:val="0"/>
          <w:sz w:val="28"/>
          <w:szCs w:val="28"/>
        </w:rPr>
        <w:t>月累計較</w:t>
      </w:r>
      <w:r w:rsidR="00805CC8">
        <w:rPr>
          <w:rFonts w:ascii="Times New Roman" w:eastAsia="標楷體" w:hAnsi="Times New Roman" w:hint="eastAsia"/>
          <w:snapToGrid w:val="0"/>
          <w:sz w:val="28"/>
          <w:szCs w:val="28"/>
        </w:rPr>
        <w:t>上</w:t>
      </w:r>
      <w:r w:rsidRPr="0023466D">
        <w:rPr>
          <w:rFonts w:ascii="Times New Roman" w:eastAsia="標楷體" w:hAnsi="Times New Roman" w:hint="eastAsia"/>
          <w:snapToGrid w:val="0"/>
          <w:sz w:val="28"/>
          <w:szCs w:val="28"/>
        </w:rPr>
        <w:t>年同期減少</w:t>
      </w:r>
      <w:r w:rsidRPr="0023466D">
        <w:rPr>
          <w:rFonts w:ascii="Times New Roman" w:eastAsia="標楷體" w:hAnsi="Times New Roman" w:hint="eastAsia"/>
          <w:snapToGrid w:val="0"/>
          <w:sz w:val="28"/>
          <w:szCs w:val="28"/>
        </w:rPr>
        <w:t>6.47</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F91E87"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機械設備業減少</w:t>
      </w:r>
      <w:r w:rsidRPr="0023466D">
        <w:rPr>
          <w:rFonts w:ascii="Times New Roman" w:eastAsia="標楷體" w:hAnsi="Times New Roman" w:hint="eastAsia"/>
          <w:snapToGrid w:val="0"/>
          <w:sz w:val="28"/>
          <w:szCs w:val="28"/>
        </w:rPr>
        <w:t>10.67</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，主因工具機及產業專用生產機械受到投資需求持續築底盤整及日圓貶值影響而減產，抵銷螺</w:t>
      </w:r>
      <w:proofErr w:type="gramStart"/>
      <w:r w:rsidRPr="0023466D">
        <w:rPr>
          <w:rFonts w:ascii="Times New Roman" w:eastAsia="標楷體" w:hAnsi="Times New Roman" w:hint="eastAsia"/>
          <w:snapToGrid w:val="0"/>
          <w:sz w:val="28"/>
          <w:szCs w:val="28"/>
        </w:rPr>
        <w:t>桿</w:t>
      </w:r>
      <w:proofErr w:type="gramEnd"/>
      <w:r w:rsidRPr="0023466D">
        <w:rPr>
          <w:rFonts w:ascii="Times New Roman" w:eastAsia="標楷體" w:hAnsi="Times New Roman" w:hint="eastAsia"/>
          <w:snapToGrid w:val="0"/>
          <w:sz w:val="28"/>
          <w:szCs w:val="28"/>
        </w:rPr>
        <w:t>、放電加工機、污染防治設備等通用機械之增產。</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sidRPr="0023466D">
        <w:rPr>
          <w:rFonts w:ascii="Times New Roman" w:eastAsia="標楷體" w:hAnsi="Times New Roman" w:hint="eastAsia"/>
          <w:snapToGrid w:val="0"/>
          <w:sz w:val="28"/>
          <w:szCs w:val="28"/>
        </w:rPr>
        <w:t>6</w:t>
      </w:r>
      <w:r w:rsidRPr="0023466D">
        <w:rPr>
          <w:rFonts w:ascii="Times New Roman" w:eastAsia="標楷體" w:hAnsi="Times New Roman" w:hint="eastAsia"/>
          <w:snapToGrid w:val="0"/>
          <w:sz w:val="28"/>
          <w:szCs w:val="28"/>
        </w:rPr>
        <w:t>月累計較</w:t>
      </w:r>
      <w:r w:rsidR="00805CC8">
        <w:rPr>
          <w:rFonts w:ascii="Times New Roman" w:eastAsia="標楷體" w:hAnsi="Times New Roman" w:hint="eastAsia"/>
          <w:snapToGrid w:val="0"/>
          <w:sz w:val="28"/>
          <w:szCs w:val="28"/>
        </w:rPr>
        <w:t>上年</w:t>
      </w:r>
      <w:r w:rsidRPr="0023466D">
        <w:rPr>
          <w:rFonts w:ascii="Times New Roman" w:eastAsia="標楷體" w:hAnsi="Times New Roman" w:hint="eastAsia"/>
          <w:snapToGrid w:val="0"/>
          <w:sz w:val="28"/>
          <w:szCs w:val="28"/>
        </w:rPr>
        <w:t>同期減少</w:t>
      </w:r>
      <w:r w:rsidRPr="0023466D">
        <w:rPr>
          <w:rFonts w:ascii="Times New Roman" w:eastAsia="標楷體" w:hAnsi="Times New Roman" w:hint="eastAsia"/>
          <w:snapToGrid w:val="0"/>
          <w:sz w:val="28"/>
          <w:szCs w:val="28"/>
        </w:rPr>
        <w:t>9.17</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F91E87" w:rsidRPr="00F91E87" w:rsidRDefault="00F91E87" w:rsidP="00F91E87">
      <w:pPr>
        <w:pStyle w:val="affffc"/>
        <w:numPr>
          <w:ilvl w:val="0"/>
          <w:numId w:val="4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005C068E">
        <w:rPr>
          <w:rFonts w:ascii="Times New Roman" w:eastAsia="標楷體" w:hAnsi="Times New Roman" w:hint="eastAsia"/>
          <w:snapToGrid w:val="0"/>
          <w:sz w:val="28"/>
          <w:szCs w:val="28"/>
        </w:rPr>
        <w:t>減少</w:t>
      </w:r>
      <w:r w:rsidRPr="0023466D">
        <w:rPr>
          <w:rFonts w:ascii="Times New Roman" w:eastAsia="標楷體" w:hAnsi="Times New Roman" w:hint="eastAsia"/>
          <w:snapToGrid w:val="0"/>
          <w:sz w:val="28"/>
          <w:szCs w:val="28"/>
        </w:rPr>
        <w:t>8.79</w:t>
      </w:r>
      <w:r>
        <w:rPr>
          <w:rFonts w:ascii="Times New Roman" w:eastAsia="標楷體" w:hAnsi="Times New Roman" w:hint="eastAsia"/>
          <w:snapToGrid w:val="0"/>
          <w:sz w:val="28"/>
          <w:szCs w:val="28"/>
        </w:rPr>
        <w:t>％</w:t>
      </w:r>
      <w:r w:rsidRPr="0023466D">
        <w:rPr>
          <w:rFonts w:ascii="Times New Roman" w:eastAsia="標楷體" w:hAnsi="Times New Roman" w:hint="eastAsia"/>
          <w:snapToGrid w:val="0"/>
          <w:sz w:val="28"/>
          <w:szCs w:val="28"/>
        </w:rPr>
        <w:t>，主因客貨運用車之投資需求下降，加上國際品牌車廠推出入門車的競爭，</w:t>
      </w:r>
      <w:proofErr w:type="gramStart"/>
      <w:r w:rsidRPr="0023466D">
        <w:rPr>
          <w:rFonts w:ascii="Times New Roman" w:eastAsia="標楷體" w:hAnsi="Times New Roman" w:hint="eastAsia"/>
          <w:snapToGrid w:val="0"/>
          <w:sz w:val="28"/>
          <w:szCs w:val="28"/>
        </w:rPr>
        <w:t>致客貨車</w:t>
      </w:r>
      <w:proofErr w:type="gramEnd"/>
      <w:r w:rsidRPr="0023466D">
        <w:rPr>
          <w:rFonts w:ascii="Times New Roman" w:eastAsia="標楷體" w:hAnsi="Times New Roman" w:hint="eastAsia"/>
          <w:snapToGrid w:val="0"/>
          <w:sz w:val="28"/>
          <w:szCs w:val="28"/>
        </w:rPr>
        <w:t>及轎車減產，抑制相關汽車零組件生產。</w:t>
      </w:r>
      <w:r w:rsidRPr="0023466D">
        <w:rPr>
          <w:rFonts w:ascii="Times New Roman" w:eastAsia="標楷體" w:hAnsi="Times New Roman" w:hint="eastAsia"/>
          <w:snapToGrid w:val="0"/>
          <w:sz w:val="28"/>
          <w:szCs w:val="28"/>
        </w:rPr>
        <w:t>1</w:t>
      </w:r>
      <w:r w:rsidRPr="0023466D">
        <w:rPr>
          <w:rFonts w:ascii="Times New Roman" w:eastAsia="標楷體" w:hAnsi="Times New Roman" w:hint="eastAsia"/>
          <w:snapToGrid w:val="0"/>
          <w:sz w:val="28"/>
          <w:szCs w:val="28"/>
        </w:rPr>
        <w:t>至</w:t>
      </w:r>
      <w:r w:rsidRPr="0023466D">
        <w:rPr>
          <w:rFonts w:ascii="Times New Roman" w:eastAsia="標楷體" w:hAnsi="Times New Roman" w:hint="eastAsia"/>
          <w:snapToGrid w:val="0"/>
          <w:sz w:val="28"/>
          <w:szCs w:val="28"/>
        </w:rPr>
        <w:t>6</w:t>
      </w:r>
      <w:r w:rsidRPr="0023466D">
        <w:rPr>
          <w:rFonts w:ascii="Times New Roman" w:eastAsia="標楷體" w:hAnsi="Times New Roman" w:hint="eastAsia"/>
          <w:snapToGrid w:val="0"/>
          <w:sz w:val="28"/>
          <w:szCs w:val="28"/>
        </w:rPr>
        <w:t>月累計較</w:t>
      </w:r>
      <w:r w:rsidR="00805CC8">
        <w:rPr>
          <w:rFonts w:ascii="Times New Roman" w:eastAsia="標楷體" w:hAnsi="Times New Roman" w:hint="eastAsia"/>
          <w:snapToGrid w:val="0"/>
          <w:sz w:val="28"/>
          <w:szCs w:val="28"/>
        </w:rPr>
        <w:t>上</w:t>
      </w:r>
      <w:r w:rsidRPr="0023466D">
        <w:rPr>
          <w:rFonts w:ascii="Times New Roman" w:eastAsia="標楷體" w:hAnsi="Times New Roman" w:hint="eastAsia"/>
          <w:snapToGrid w:val="0"/>
          <w:sz w:val="28"/>
          <w:szCs w:val="28"/>
        </w:rPr>
        <w:t>年同期減少</w:t>
      </w:r>
      <w:r w:rsidRPr="0023466D">
        <w:rPr>
          <w:rFonts w:ascii="Times New Roman" w:eastAsia="標楷體" w:hAnsi="Times New Roman" w:hint="eastAsia"/>
          <w:snapToGrid w:val="0"/>
          <w:sz w:val="28"/>
          <w:szCs w:val="28"/>
        </w:rPr>
        <w:t>5.38</w:t>
      </w:r>
      <w:r>
        <w:rPr>
          <w:rFonts w:ascii="Times New Roman" w:eastAsia="標楷體" w:hAnsi="Times New Roman" w:hint="eastAsia"/>
          <w:snapToGrid w:val="0"/>
          <w:sz w:val="28"/>
          <w:szCs w:val="28"/>
        </w:rPr>
        <w:t>％</w:t>
      </w:r>
      <w:r w:rsidRPr="001567BF">
        <w:rPr>
          <w:rFonts w:ascii="Times New Roman" w:eastAsia="標楷體" w:hAnsi="Times New Roman" w:hint="eastAsia"/>
          <w:snapToGrid w:val="0"/>
          <w:sz w:val="28"/>
          <w:szCs w:val="28"/>
        </w:rPr>
        <w:t>。</w:t>
      </w:r>
    </w:p>
    <w:p w:rsidR="00F91E87" w:rsidRDefault="00F91E87" w:rsidP="00F91E87">
      <w:pPr>
        <w:snapToGrid w:val="0"/>
        <w:spacing w:before="120" w:line="300" w:lineRule="auto"/>
        <w:rPr>
          <w:rFonts w:eastAsia="標楷體"/>
          <w:snapToGrid w:val="0"/>
          <w:sz w:val="28"/>
          <w:szCs w:val="28"/>
        </w:rPr>
      </w:pPr>
    </w:p>
    <w:p w:rsidR="00F91E87" w:rsidRPr="00F91E87" w:rsidRDefault="00F91E87" w:rsidP="00F91E87">
      <w:pPr>
        <w:snapToGrid w:val="0"/>
        <w:spacing w:before="120" w:line="300" w:lineRule="auto"/>
        <w:rPr>
          <w:rFonts w:eastAsia="標楷體"/>
          <w:snapToGrid w:val="0"/>
          <w:sz w:val="28"/>
          <w:szCs w:val="28"/>
        </w:rPr>
      </w:pPr>
    </w:p>
    <w:p w:rsidR="00232439" w:rsidRPr="003111E1" w:rsidRDefault="00232439" w:rsidP="00232439">
      <w:pPr>
        <w:snapToGrid w:val="0"/>
        <w:spacing w:line="300" w:lineRule="auto"/>
        <w:rPr>
          <w:rFonts w:eastAsia="標楷體"/>
          <w:color w:val="FF0000"/>
          <w:sz w:val="28"/>
          <w:szCs w:val="28"/>
        </w:rPr>
      </w:pPr>
    </w:p>
    <w:p w:rsidR="00232439" w:rsidRPr="003111E1" w:rsidRDefault="00232439" w:rsidP="00232439">
      <w:pPr>
        <w:snapToGrid w:val="0"/>
        <w:spacing w:line="300" w:lineRule="auto"/>
        <w:rPr>
          <w:rFonts w:eastAsia="標楷體"/>
          <w:color w:val="FF0000"/>
          <w:sz w:val="28"/>
          <w:szCs w:val="28"/>
        </w:rPr>
      </w:pPr>
    </w:p>
    <w:p w:rsidR="00232439" w:rsidRPr="003111E1" w:rsidRDefault="00232439" w:rsidP="00232439">
      <w:pPr>
        <w:snapToGrid w:val="0"/>
        <w:spacing w:line="300" w:lineRule="auto"/>
        <w:rPr>
          <w:rFonts w:eastAsia="標楷體"/>
          <w:color w:val="FF0000"/>
          <w:sz w:val="28"/>
          <w:szCs w:val="28"/>
        </w:rPr>
      </w:pPr>
    </w:p>
    <w:p w:rsidR="00345470" w:rsidRPr="00F91E87" w:rsidRDefault="00345470" w:rsidP="00F91E87">
      <w:pPr>
        <w:snapToGrid w:val="0"/>
        <w:spacing w:beforeLines="50" w:before="180" w:afterLines="50" w:after="180" w:line="240" w:lineRule="atLeast"/>
        <w:ind w:right="-142"/>
        <w:jc w:val="center"/>
        <w:rPr>
          <w:rFonts w:eastAsia="標楷體"/>
          <w:b/>
          <w:bCs/>
          <w:sz w:val="28"/>
        </w:rPr>
      </w:pPr>
      <w:r w:rsidRPr="00F91E87">
        <w:rPr>
          <w:rFonts w:eastAsia="標楷體"/>
          <w:b/>
          <w:bCs/>
          <w:sz w:val="28"/>
        </w:rPr>
        <w:lastRenderedPageBreak/>
        <w:t>表</w:t>
      </w:r>
      <w:r w:rsidRPr="00F91E87">
        <w:rPr>
          <w:rFonts w:eastAsia="標楷體"/>
          <w:b/>
          <w:bCs/>
          <w:sz w:val="28"/>
        </w:rPr>
        <w:t xml:space="preserve">2-2-3   </w:t>
      </w:r>
      <w:r w:rsidRPr="00F91E87">
        <w:rPr>
          <w:rFonts w:eastAsia="標楷體"/>
          <w:b/>
          <w:bCs/>
          <w:sz w:val="28"/>
        </w:rPr>
        <w:t>主要製造業行業年增率</w:t>
      </w:r>
      <w:r w:rsidRPr="00F91E87">
        <w:rPr>
          <w:rFonts w:eastAsia="標楷體"/>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F91E87" w:rsidRPr="00727A0E" w:rsidTr="00701C1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91E87" w:rsidRPr="00727A0E" w:rsidRDefault="00F91E87" w:rsidP="00701C17">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F91E87" w:rsidRPr="00727A0E" w:rsidRDefault="00F91E87" w:rsidP="00701C17">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6</w:t>
            </w:r>
            <w:r w:rsidRPr="00727A0E">
              <w:rPr>
                <w:rFonts w:eastAsia="標楷體"/>
                <w:b/>
                <w:bCs/>
              </w:rPr>
              <w:t>月較</w:t>
            </w:r>
          </w:p>
          <w:p w:rsidR="00F91E87" w:rsidRPr="00727A0E" w:rsidRDefault="00805CC8" w:rsidP="00701C17">
            <w:pPr>
              <w:snapToGrid w:val="0"/>
              <w:spacing w:line="320" w:lineRule="exact"/>
              <w:ind w:left="28"/>
              <w:jc w:val="center"/>
            </w:pPr>
            <w:r>
              <w:rPr>
                <w:rFonts w:eastAsia="標楷體" w:hint="eastAsia"/>
                <w:b/>
                <w:bCs/>
              </w:rPr>
              <w:t>101</w:t>
            </w:r>
            <w:r w:rsidR="00F91E87" w:rsidRPr="00727A0E">
              <w:rPr>
                <w:rFonts w:eastAsia="標楷體"/>
                <w:b/>
                <w:bCs/>
              </w:rPr>
              <w:t>年同月增減</w:t>
            </w:r>
            <w:r w:rsidR="00F91E87">
              <w:rPr>
                <w:rFonts w:eastAsia="標楷體" w:hint="eastAsia"/>
                <w:b/>
                <w:bCs/>
              </w:rPr>
              <w:t>(</w:t>
            </w:r>
            <w:r w:rsidR="00F91E87">
              <w:rPr>
                <w:rFonts w:eastAsia="標楷體" w:hint="eastAsia"/>
                <w:b/>
                <w:bCs/>
              </w:rPr>
              <w:t>％</w:t>
            </w:r>
            <w:r w:rsidR="00F91E87">
              <w:rPr>
                <w:rFonts w:eastAsia="標楷體" w:hint="eastAsia"/>
                <w:b/>
                <w:bCs/>
              </w:rPr>
              <w:t>)</w:t>
            </w:r>
          </w:p>
        </w:tc>
        <w:tc>
          <w:tcPr>
            <w:tcW w:w="2338" w:type="dxa"/>
            <w:tcBorders>
              <w:top w:val="single" w:sz="6" w:space="0" w:color="auto"/>
              <w:bottom w:val="single" w:sz="6" w:space="0" w:color="auto"/>
            </w:tcBorders>
          </w:tcPr>
          <w:p w:rsidR="00F91E87" w:rsidRDefault="00F91E87" w:rsidP="00701C17">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F91E87" w:rsidRPr="00727A0E" w:rsidRDefault="00F91E87" w:rsidP="00701C17">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F91E87" w:rsidRPr="00727A0E" w:rsidTr="00701C1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F91E87" w:rsidRPr="00727A0E" w:rsidRDefault="00F91E87" w:rsidP="00701C17">
            <w:pPr>
              <w:tabs>
                <w:tab w:val="left" w:pos="1728"/>
              </w:tabs>
              <w:spacing w:line="400" w:lineRule="exact"/>
              <w:jc w:val="center"/>
            </w:pPr>
            <w:r>
              <w:rPr>
                <w:rFonts w:hint="eastAsia"/>
              </w:rPr>
              <w:t>2.93</w:t>
            </w:r>
          </w:p>
        </w:tc>
        <w:tc>
          <w:tcPr>
            <w:tcW w:w="2338" w:type="dxa"/>
            <w:tcBorders>
              <w:top w:val="single" w:sz="6" w:space="0" w:color="auto"/>
            </w:tcBorders>
            <w:vAlign w:val="center"/>
          </w:tcPr>
          <w:p w:rsidR="00F91E87" w:rsidRPr="00727A0E" w:rsidRDefault="00F91E87" w:rsidP="00701C17">
            <w:pPr>
              <w:spacing w:line="400" w:lineRule="exact"/>
              <w:ind w:leftChars="30" w:left="72"/>
              <w:jc w:val="center"/>
            </w:pPr>
            <w:r>
              <w:rPr>
                <w:rFonts w:hint="eastAsia"/>
              </w:rPr>
              <w:t>5.25</w:t>
            </w:r>
          </w:p>
        </w:tc>
      </w:tr>
      <w:tr w:rsidR="00F91E87" w:rsidRPr="00727A0E" w:rsidTr="00701C17">
        <w:trPr>
          <w:cantSplit/>
          <w:trHeight w:val="313"/>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基本金屬工業</w:t>
            </w:r>
          </w:p>
        </w:tc>
        <w:tc>
          <w:tcPr>
            <w:tcW w:w="2410" w:type="dxa"/>
            <w:vAlign w:val="center"/>
          </w:tcPr>
          <w:p w:rsidR="00F91E87" w:rsidRPr="00727A0E" w:rsidRDefault="00F91E87" w:rsidP="00701C17">
            <w:pPr>
              <w:tabs>
                <w:tab w:val="left" w:pos="1728"/>
              </w:tabs>
              <w:spacing w:line="400" w:lineRule="exact"/>
              <w:ind w:leftChars="30" w:left="72"/>
              <w:jc w:val="center"/>
            </w:pPr>
            <w:r>
              <w:rPr>
                <w:rFonts w:hint="eastAsia"/>
              </w:rPr>
              <w:t>1.13</w:t>
            </w:r>
          </w:p>
        </w:tc>
        <w:tc>
          <w:tcPr>
            <w:tcW w:w="2338" w:type="dxa"/>
            <w:vAlign w:val="center"/>
          </w:tcPr>
          <w:p w:rsidR="00F91E87" w:rsidRPr="00727A0E" w:rsidRDefault="00F91E87" w:rsidP="00701C17">
            <w:pPr>
              <w:spacing w:line="400" w:lineRule="exact"/>
              <w:ind w:leftChars="30" w:left="72"/>
              <w:jc w:val="center"/>
            </w:pPr>
            <w:r>
              <w:rPr>
                <w:rFonts w:hint="eastAsia"/>
              </w:rPr>
              <w:t>0.66</w:t>
            </w:r>
          </w:p>
        </w:tc>
      </w:tr>
      <w:tr w:rsidR="00F91E87" w:rsidRPr="00727A0E" w:rsidTr="00701C17">
        <w:trPr>
          <w:cantSplit/>
          <w:trHeight w:val="330"/>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化學材料業</w:t>
            </w:r>
          </w:p>
        </w:tc>
        <w:tc>
          <w:tcPr>
            <w:tcW w:w="2410" w:type="dxa"/>
            <w:vAlign w:val="center"/>
          </w:tcPr>
          <w:p w:rsidR="00F91E87" w:rsidRPr="00727A0E" w:rsidRDefault="00F91E87" w:rsidP="00701C17">
            <w:pPr>
              <w:tabs>
                <w:tab w:val="left" w:pos="1728"/>
              </w:tabs>
              <w:spacing w:line="400" w:lineRule="exact"/>
              <w:jc w:val="center"/>
            </w:pPr>
            <w:r>
              <w:rPr>
                <w:rFonts w:hint="eastAsia"/>
              </w:rPr>
              <w:t>9.36</w:t>
            </w:r>
          </w:p>
        </w:tc>
        <w:tc>
          <w:tcPr>
            <w:tcW w:w="2338" w:type="dxa"/>
            <w:vAlign w:val="center"/>
          </w:tcPr>
          <w:p w:rsidR="00F91E87" w:rsidRPr="00727A0E" w:rsidRDefault="00F91E87" w:rsidP="00701C17">
            <w:pPr>
              <w:spacing w:line="400" w:lineRule="exact"/>
              <w:jc w:val="center"/>
            </w:pPr>
            <w:r>
              <w:rPr>
                <w:rFonts w:hint="eastAsia"/>
              </w:rPr>
              <w:t>-2.47</w:t>
            </w:r>
          </w:p>
        </w:tc>
      </w:tr>
      <w:tr w:rsidR="00F91E87" w:rsidRPr="00727A0E" w:rsidTr="00701C17">
        <w:trPr>
          <w:cantSplit/>
          <w:trHeight w:val="374"/>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F91E87" w:rsidRPr="00727A0E" w:rsidRDefault="00F91E87" w:rsidP="00701C17">
            <w:pPr>
              <w:tabs>
                <w:tab w:val="left" w:pos="1728"/>
              </w:tabs>
              <w:spacing w:line="400" w:lineRule="exact"/>
              <w:jc w:val="center"/>
            </w:pPr>
            <w:r>
              <w:rPr>
                <w:rFonts w:hint="eastAsia"/>
              </w:rPr>
              <w:t>-15.03</w:t>
            </w:r>
          </w:p>
        </w:tc>
        <w:tc>
          <w:tcPr>
            <w:tcW w:w="2338" w:type="dxa"/>
            <w:vAlign w:val="center"/>
          </w:tcPr>
          <w:p w:rsidR="00F91E87" w:rsidRPr="00727A0E" w:rsidRDefault="00F91E87" w:rsidP="00701C17">
            <w:pPr>
              <w:spacing w:line="400" w:lineRule="exact"/>
              <w:jc w:val="center"/>
            </w:pPr>
            <w:r>
              <w:rPr>
                <w:rFonts w:hint="eastAsia"/>
              </w:rPr>
              <w:t>-6.47</w:t>
            </w:r>
          </w:p>
        </w:tc>
      </w:tr>
      <w:tr w:rsidR="00F91E87" w:rsidRPr="00727A0E" w:rsidTr="00701C17">
        <w:trPr>
          <w:cantSplit/>
          <w:trHeight w:val="340"/>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機械設備業</w:t>
            </w:r>
          </w:p>
        </w:tc>
        <w:tc>
          <w:tcPr>
            <w:tcW w:w="2410" w:type="dxa"/>
            <w:vAlign w:val="center"/>
          </w:tcPr>
          <w:p w:rsidR="00F91E87" w:rsidRPr="00727A0E" w:rsidRDefault="00F91E87" w:rsidP="00701C17">
            <w:pPr>
              <w:tabs>
                <w:tab w:val="left" w:pos="1728"/>
              </w:tabs>
              <w:spacing w:line="400" w:lineRule="exact"/>
              <w:jc w:val="center"/>
            </w:pPr>
            <w:r>
              <w:rPr>
                <w:rFonts w:hint="eastAsia"/>
              </w:rPr>
              <w:t>-10.67</w:t>
            </w:r>
          </w:p>
        </w:tc>
        <w:tc>
          <w:tcPr>
            <w:tcW w:w="2338" w:type="dxa"/>
            <w:vAlign w:val="center"/>
          </w:tcPr>
          <w:p w:rsidR="00F91E87" w:rsidRPr="00727A0E" w:rsidRDefault="00F91E87" w:rsidP="00701C17">
            <w:pPr>
              <w:spacing w:line="400" w:lineRule="exact"/>
              <w:jc w:val="center"/>
            </w:pPr>
            <w:r>
              <w:rPr>
                <w:rFonts w:hint="eastAsia"/>
              </w:rPr>
              <w:t>-9.17</w:t>
            </w:r>
          </w:p>
        </w:tc>
      </w:tr>
      <w:tr w:rsidR="00F91E87" w:rsidRPr="00727A0E" w:rsidTr="00701C17">
        <w:trPr>
          <w:cantSplit/>
          <w:trHeight w:val="330"/>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食品業</w:t>
            </w:r>
          </w:p>
        </w:tc>
        <w:tc>
          <w:tcPr>
            <w:tcW w:w="2410" w:type="dxa"/>
            <w:vAlign w:val="center"/>
          </w:tcPr>
          <w:p w:rsidR="00F91E87" w:rsidRPr="00727A0E" w:rsidRDefault="00F91E87" w:rsidP="00701C17">
            <w:pPr>
              <w:tabs>
                <w:tab w:val="left" w:pos="1728"/>
              </w:tabs>
              <w:spacing w:line="400" w:lineRule="exact"/>
              <w:jc w:val="center"/>
            </w:pPr>
            <w:r>
              <w:rPr>
                <w:rFonts w:hint="eastAsia"/>
              </w:rPr>
              <w:t>-2.28</w:t>
            </w:r>
          </w:p>
        </w:tc>
        <w:tc>
          <w:tcPr>
            <w:tcW w:w="2338" w:type="dxa"/>
            <w:vAlign w:val="center"/>
          </w:tcPr>
          <w:p w:rsidR="00F91E87" w:rsidRPr="00727A0E" w:rsidRDefault="00F91E87" w:rsidP="00701C17">
            <w:pPr>
              <w:spacing w:line="400" w:lineRule="exact"/>
              <w:ind w:leftChars="30" w:left="72"/>
              <w:jc w:val="center"/>
            </w:pPr>
            <w:r>
              <w:rPr>
                <w:rFonts w:hint="eastAsia"/>
              </w:rPr>
              <w:t>0.28</w:t>
            </w:r>
          </w:p>
        </w:tc>
      </w:tr>
      <w:tr w:rsidR="00F91E87" w:rsidRPr="00727A0E" w:rsidTr="00701C17">
        <w:trPr>
          <w:cantSplit/>
          <w:trHeight w:val="309"/>
          <w:jc w:val="center"/>
        </w:trPr>
        <w:tc>
          <w:tcPr>
            <w:tcW w:w="3809" w:type="dxa"/>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sidRPr="00727A0E">
              <w:rPr>
                <w:rFonts w:eastAsia="標楷體"/>
              </w:rPr>
              <w:t>石油及煤製品業</w:t>
            </w:r>
          </w:p>
        </w:tc>
        <w:tc>
          <w:tcPr>
            <w:tcW w:w="2410" w:type="dxa"/>
            <w:vAlign w:val="center"/>
          </w:tcPr>
          <w:p w:rsidR="00F91E87" w:rsidRPr="00727A0E" w:rsidRDefault="00F91E87" w:rsidP="00701C17">
            <w:pPr>
              <w:tabs>
                <w:tab w:val="left" w:pos="1728"/>
              </w:tabs>
              <w:spacing w:line="400" w:lineRule="exact"/>
              <w:ind w:leftChars="30" w:left="72"/>
              <w:jc w:val="center"/>
            </w:pPr>
            <w:r>
              <w:rPr>
                <w:rFonts w:hint="eastAsia"/>
              </w:rPr>
              <w:t>-6.49</w:t>
            </w:r>
          </w:p>
        </w:tc>
        <w:tc>
          <w:tcPr>
            <w:tcW w:w="2338" w:type="dxa"/>
            <w:vAlign w:val="center"/>
          </w:tcPr>
          <w:p w:rsidR="00F91E87" w:rsidRPr="00727A0E" w:rsidRDefault="00F91E87" w:rsidP="00701C17">
            <w:pPr>
              <w:spacing w:line="400" w:lineRule="exact"/>
              <w:jc w:val="center"/>
            </w:pPr>
            <w:r>
              <w:rPr>
                <w:rFonts w:hint="eastAsia"/>
              </w:rPr>
              <w:t>1.77</w:t>
            </w:r>
          </w:p>
        </w:tc>
      </w:tr>
      <w:tr w:rsidR="00F91E87" w:rsidRPr="00727A0E" w:rsidTr="00701C1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91E87" w:rsidRPr="00727A0E" w:rsidRDefault="00F91E87" w:rsidP="00701C17">
            <w:pPr>
              <w:snapToGrid w:val="0"/>
              <w:spacing w:line="400" w:lineRule="exact"/>
              <w:ind w:left="250"/>
              <w:rPr>
                <w:rFonts w:eastAsia="標楷體"/>
              </w:rPr>
            </w:pPr>
            <w:r>
              <w:rPr>
                <w:rFonts w:eastAsia="標楷體" w:hint="eastAsia"/>
              </w:rPr>
              <w:t>汽車及其零件</w:t>
            </w:r>
            <w:r w:rsidR="00D450E2">
              <w:rPr>
                <w:rFonts w:eastAsia="標楷體" w:hint="eastAsia"/>
              </w:rPr>
              <w:t>業</w:t>
            </w:r>
          </w:p>
        </w:tc>
        <w:tc>
          <w:tcPr>
            <w:tcW w:w="2410" w:type="dxa"/>
            <w:tcBorders>
              <w:bottom w:val="single" w:sz="6" w:space="0" w:color="auto"/>
            </w:tcBorders>
            <w:vAlign w:val="center"/>
          </w:tcPr>
          <w:p w:rsidR="00F91E87" w:rsidRPr="00727A0E" w:rsidRDefault="00F91E87" w:rsidP="00701C17">
            <w:pPr>
              <w:tabs>
                <w:tab w:val="left" w:pos="1728"/>
              </w:tabs>
              <w:spacing w:line="400" w:lineRule="exact"/>
              <w:jc w:val="center"/>
            </w:pPr>
            <w:r>
              <w:rPr>
                <w:rFonts w:hint="eastAsia"/>
              </w:rPr>
              <w:t>-8.79</w:t>
            </w:r>
          </w:p>
        </w:tc>
        <w:tc>
          <w:tcPr>
            <w:tcW w:w="2338" w:type="dxa"/>
            <w:tcBorders>
              <w:bottom w:val="single" w:sz="6" w:space="0" w:color="auto"/>
            </w:tcBorders>
            <w:vAlign w:val="center"/>
          </w:tcPr>
          <w:p w:rsidR="00F91E87" w:rsidRPr="00727A0E" w:rsidRDefault="00F91E87" w:rsidP="00701C17">
            <w:pPr>
              <w:spacing w:line="400" w:lineRule="exact"/>
              <w:jc w:val="center"/>
            </w:pPr>
            <w:r>
              <w:rPr>
                <w:rFonts w:hint="eastAsia"/>
              </w:rPr>
              <w:t>-5.38</w:t>
            </w:r>
          </w:p>
        </w:tc>
      </w:tr>
    </w:tbl>
    <w:p w:rsidR="00345470" w:rsidRPr="00F91E87" w:rsidRDefault="00345470" w:rsidP="001567BF">
      <w:pPr>
        <w:snapToGrid w:val="0"/>
        <w:spacing w:line="240" w:lineRule="atLeast"/>
        <w:ind w:right="-142"/>
        <w:jc w:val="both"/>
        <w:rPr>
          <w:rFonts w:eastAsia="標楷體"/>
        </w:rPr>
      </w:pPr>
      <w:r w:rsidRPr="00F91E87">
        <w:rPr>
          <w:rFonts w:eastAsia="標楷體"/>
          <w:sz w:val="22"/>
          <w:szCs w:val="22"/>
        </w:rPr>
        <w:t>資料來源：經濟部統計處。</w:t>
      </w:r>
    </w:p>
    <w:p w:rsidR="00345470" w:rsidRPr="00F91E87" w:rsidRDefault="00345470" w:rsidP="00345470">
      <w:pPr>
        <w:snapToGrid w:val="0"/>
        <w:spacing w:line="240" w:lineRule="atLeast"/>
        <w:ind w:right="-142"/>
        <w:jc w:val="both"/>
        <w:rPr>
          <w:rFonts w:eastAsia="標楷體"/>
        </w:rPr>
        <w:sectPr w:rsidR="00345470" w:rsidRPr="00F91E87" w:rsidSect="009761DA">
          <w:footerReference w:type="default" r:id="rId17"/>
          <w:pgSz w:w="11906" w:h="16838"/>
          <w:pgMar w:top="1361" w:right="1797" w:bottom="1361" w:left="1797" w:header="851" w:footer="992" w:gutter="0"/>
          <w:cols w:space="425"/>
          <w:docGrid w:type="lines" w:linePitch="360"/>
        </w:sectPr>
      </w:pPr>
    </w:p>
    <w:p w:rsidR="00345470" w:rsidRPr="00F91E87"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6" w:name="_Toc358042578"/>
      <w:r w:rsidRPr="00F91E87">
        <w:rPr>
          <w:color w:val="auto"/>
          <w:sz w:val="32"/>
          <w:szCs w:val="32"/>
        </w:rPr>
        <w:lastRenderedPageBreak/>
        <w:t>（三）商業</w:t>
      </w:r>
      <w:bookmarkEnd w:id="66"/>
    </w:p>
    <w:p w:rsidR="00345470" w:rsidRPr="00F91E87" w:rsidRDefault="00345470" w:rsidP="00345470">
      <w:pPr>
        <w:pStyle w:val="k3a"/>
        <w:tabs>
          <w:tab w:val="left" w:pos="540"/>
        </w:tabs>
        <w:spacing w:before="180" w:line="300" w:lineRule="auto"/>
        <w:ind w:leftChars="0" w:left="0" w:right="0" w:firstLineChars="0" w:firstLine="0"/>
        <w:rPr>
          <w:b/>
          <w:bCs/>
        </w:rPr>
      </w:pPr>
      <w:r w:rsidRPr="00F91E87">
        <w:rPr>
          <w:b/>
          <w:bCs/>
        </w:rPr>
        <w:t>１、</w:t>
      </w:r>
      <w:r w:rsidR="00F91E87" w:rsidRPr="00F91E87">
        <w:rPr>
          <w:rFonts w:hint="eastAsia"/>
          <w:b/>
          <w:bCs/>
        </w:rPr>
        <w:t>102</w:t>
      </w:r>
      <w:r w:rsidR="00F91E87" w:rsidRPr="00F91E87">
        <w:rPr>
          <w:rFonts w:hint="eastAsia"/>
          <w:b/>
          <w:bCs/>
        </w:rPr>
        <w:t>年</w:t>
      </w:r>
      <w:r w:rsidR="00F91E87" w:rsidRPr="00F91E87">
        <w:rPr>
          <w:rFonts w:hint="eastAsia"/>
          <w:b/>
          <w:bCs/>
        </w:rPr>
        <w:t>6</w:t>
      </w:r>
      <w:r w:rsidR="00F91E87" w:rsidRPr="00F91E87">
        <w:rPr>
          <w:rFonts w:hint="eastAsia"/>
          <w:b/>
          <w:bCs/>
        </w:rPr>
        <w:t>月商業營業額</w:t>
      </w:r>
      <w:r w:rsidR="00F91E87" w:rsidRPr="00F91E87">
        <w:rPr>
          <w:rFonts w:hint="eastAsia"/>
          <w:b/>
          <w:bCs/>
        </w:rPr>
        <w:t>11,976</w:t>
      </w:r>
      <w:r w:rsidR="00F91E87" w:rsidRPr="00F91E87">
        <w:rPr>
          <w:rFonts w:hint="eastAsia"/>
          <w:b/>
          <w:bCs/>
        </w:rPr>
        <w:t>億元，減少</w:t>
      </w:r>
      <w:r w:rsidR="00F91E87" w:rsidRPr="00F91E87">
        <w:rPr>
          <w:rFonts w:hint="eastAsia"/>
          <w:b/>
          <w:bCs/>
        </w:rPr>
        <w:t>0.3</w:t>
      </w:r>
      <w:r w:rsidR="00F91E87" w:rsidRPr="00F91E87">
        <w:rPr>
          <w:rFonts w:hint="eastAsia"/>
          <w:b/>
          <w:bCs/>
        </w:rPr>
        <w:t>％</w:t>
      </w:r>
    </w:p>
    <w:p w:rsidR="00345470" w:rsidRPr="00F91E87" w:rsidRDefault="00F91E87" w:rsidP="00B86F73">
      <w:pPr>
        <w:pStyle w:val="k32"/>
        <w:topLinePunct/>
        <w:ind w:left="0" w:rightChars="-21" w:right="-50"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月批發、零售及餐飲業營業額</w:t>
      </w:r>
      <w:r w:rsidRPr="00F91E87">
        <w:rPr>
          <w:rFonts w:hint="eastAsia"/>
        </w:rPr>
        <w:t>11,976</w:t>
      </w:r>
      <w:r w:rsidRPr="00F91E87">
        <w:rPr>
          <w:rFonts w:hint="eastAsia"/>
        </w:rPr>
        <w:t>億元，較</w:t>
      </w:r>
      <w:r w:rsidR="00357E8F">
        <w:rPr>
          <w:rFonts w:hint="eastAsia"/>
        </w:rPr>
        <w:t>上</w:t>
      </w:r>
      <w:r w:rsidRPr="00F91E87">
        <w:rPr>
          <w:rFonts w:hint="eastAsia"/>
        </w:rPr>
        <w:t>年同月減少</w:t>
      </w:r>
      <w:r w:rsidRPr="00F91E87">
        <w:rPr>
          <w:rFonts w:hint="eastAsia"/>
        </w:rPr>
        <w:t>0.3</w:t>
      </w:r>
      <w:r w:rsidRPr="00F91E87">
        <w:rPr>
          <w:rFonts w:hint="eastAsia"/>
        </w:rPr>
        <w:t>％。其中批發業減少</w:t>
      </w:r>
      <w:r w:rsidRPr="00F91E87">
        <w:rPr>
          <w:rFonts w:hint="eastAsia"/>
        </w:rPr>
        <w:t>1.6</w:t>
      </w:r>
      <w:r w:rsidRPr="00F91E87">
        <w:rPr>
          <w:rFonts w:hint="eastAsia"/>
        </w:rPr>
        <w:t>％，零售業增加</w:t>
      </w:r>
      <w:r w:rsidRPr="00F91E87">
        <w:rPr>
          <w:rFonts w:hint="eastAsia"/>
        </w:rPr>
        <w:t>3.0</w:t>
      </w:r>
      <w:r w:rsidRPr="00F91E87">
        <w:rPr>
          <w:rFonts w:hint="eastAsia"/>
        </w:rPr>
        <w:t>％，餐飲業增加</w:t>
      </w:r>
      <w:r w:rsidRPr="00F91E87">
        <w:rPr>
          <w:rFonts w:hint="eastAsia"/>
        </w:rPr>
        <w:t>3.4</w:t>
      </w:r>
      <w:r w:rsidRPr="00F91E87">
        <w:rPr>
          <w:rFonts w:hint="eastAsia"/>
        </w:rPr>
        <w:t>％。累計</w:t>
      </w:r>
      <w:r w:rsidRPr="00F91E87">
        <w:rPr>
          <w:rFonts w:hint="eastAsia"/>
        </w:rPr>
        <w:t>1</w:t>
      </w:r>
      <w:r w:rsidRPr="00F91E87">
        <w:rPr>
          <w:rFonts w:hint="eastAsia"/>
        </w:rPr>
        <w:t>至</w:t>
      </w:r>
      <w:r w:rsidRPr="00F91E87">
        <w:rPr>
          <w:rFonts w:hint="eastAsia"/>
        </w:rPr>
        <w:t>6</w:t>
      </w:r>
      <w:r w:rsidRPr="00F91E87">
        <w:rPr>
          <w:rFonts w:hint="eastAsia"/>
        </w:rPr>
        <w:t>月，批發、零售及餐飲業營業額</w:t>
      </w:r>
      <w:r w:rsidRPr="00F91E87">
        <w:rPr>
          <w:rFonts w:hint="eastAsia"/>
        </w:rPr>
        <w:t>69,728</w:t>
      </w:r>
      <w:r w:rsidRPr="00F91E87">
        <w:rPr>
          <w:rFonts w:hint="eastAsia"/>
        </w:rPr>
        <w:t>億元，較</w:t>
      </w:r>
      <w:r w:rsidR="00357E8F">
        <w:rPr>
          <w:rFonts w:hint="eastAsia"/>
        </w:rPr>
        <w:t>上</w:t>
      </w:r>
      <w:r w:rsidRPr="00F91E87">
        <w:rPr>
          <w:rFonts w:hint="eastAsia"/>
        </w:rPr>
        <w:t>年同期持平。</w:t>
      </w:r>
    </w:p>
    <w:p w:rsidR="00345470" w:rsidRPr="00F91E87" w:rsidRDefault="00345470" w:rsidP="00345470">
      <w:pPr>
        <w:snapToGrid w:val="0"/>
        <w:spacing w:beforeLines="50" w:before="180"/>
        <w:ind w:right="-142"/>
        <w:jc w:val="center"/>
        <w:rPr>
          <w:rFonts w:eastAsia="標楷體"/>
          <w:b/>
          <w:bCs/>
          <w:sz w:val="28"/>
        </w:rPr>
      </w:pPr>
      <w:r w:rsidRPr="00F91E87">
        <w:rPr>
          <w:rFonts w:eastAsia="標楷體"/>
          <w:b/>
          <w:bCs/>
          <w:sz w:val="28"/>
        </w:rPr>
        <w:t>表</w:t>
      </w:r>
      <w:r w:rsidRPr="00F91E87">
        <w:rPr>
          <w:rFonts w:eastAsia="標楷體"/>
          <w:b/>
          <w:bCs/>
          <w:sz w:val="28"/>
        </w:rPr>
        <w:t xml:space="preserve">2-3-1  </w:t>
      </w:r>
      <w:r w:rsidRPr="00F91E87">
        <w:rPr>
          <w:rFonts w:eastAsia="標楷體"/>
          <w:b/>
          <w:bCs/>
          <w:sz w:val="28"/>
        </w:rPr>
        <w:t>商業營業額</w:t>
      </w:r>
    </w:p>
    <w:p w:rsidR="00345470" w:rsidRPr="003111E1" w:rsidRDefault="00345470" w:rsidP="00345470">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F91E87" w:rsidRPr="0012098B" w:rsidTr="00701C17">
        <w:trPr>
          <w:cantSplit/>
          <w:trHeight w:val="20"/>
        </w:trPr>
        <w:tc>
          <w:tcPr>
            <w:tcW w:w="1640" w:type="dxa"/>
            <w:vMerge w:val="restart"/>
            <w:tcBorders>
              <w:top w:val="single" w:sz="4" w:space="0" w:color="auto"/>
              <w:left w:val="nil"/>
              <w:bottom w:val="single" w:sz="4" w:space="0" w:color="auto"/>
              <w:right w:val="nil"/>
            </w:tcBorders>
            <w:vAlign w:val="center"/>
          </w:tcPr>
          <w:p w:rsidR="00F91E87" w:rsidRPr="00D625FD" w:rsidRDefault="00F91E87" w:rsidP="00701C17">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F91E87" w:rsidRPr="00D625FD" w:rsidRDefault="00F91E87" w:rsidP="00701C17">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F91E87" w:rsidRPr="00D625FD" w:rsidRDefault="00F91E87" w:rsidP="00701C17">
            <w:pPr>
              <w:adjustRightInd w:val="0"/>
              <w:snapToGrid w:val="0"/>
              <w:ind w:left="30" w:firstLineChars="100" w:firstLine="240"/>
              <w:jc w:val="both"/>
              <w:rPr>
                <w:rFonts w:eastAsia="標楷體"/>
              </w:rPr>
            </w:pPr>
          </w:p>
        </w:tc>
      </w:tr>
      <w:tr w:rsidR="00F91E87" w:rsidRPr="0012098B" w:rsidTr="00701C17">
        <w:trPr>
          <w:cantSplit/>
          <w:trHeight w:val="20"/>
        </w:trPr>
        <w:tc>
          <w:tcPr>
            <w:tcW w:w="1640" w:type="dxa"/>
            <w:vMerge/>
            <w:tcBorders>
              <w:top w:val="single" w:sz="4" w:space="0" w:color="auto"/>
              <w:left w:val="nil"/>
              <w:bottom w:val="single" w:sz="4" w:space="0" w:color="auto"/>
              <w:right w:val="nil"/>
            </w:tcBorders>
            <w:vAlign w:val="center"/>
          </w:tcPr>
          <w:p w:rsidR="00F91E87" w:rsidRPr="00D625FD" w:rsidRDefault="00F91E87" w:rsidP="00701C17">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F91E87" w:rsidRPr="00D625FD" w:rsidRDefault="00F91E87" w:rsidP="00701C17">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F91E87" w:rsidRPr="00D625FD" w:rsidRDefault="00F91E87" w:rsidP="00701C17">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F91E87" w:rsidRPr="00D625FD" w:rsidRDefault="00F91E87" w:rsidP="00701C17">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F91E87" w:rsidRPr="00D625FD" w:rsidRDefault="00F91E87" w:rsidP="00701C17">
            <w:pPr>
              <w:adjustRightInd w:val="0"/>
              <w:snapToGrid w:val="0"/>
              <w:ind w:left="30"/>
              <w:jc w:val="center"/>
              <w:rPr>
                <w:rFonts w:eastAsia="標楷體"/>
              </w:rPr>
            </w:pPr>
            <w:r w:rsidRPr="00D625FD">
              <w:rPr>
                <w:rFonts w:eastAsia="標楷體"/>
              </w:rPr>
              <w:t>餐飲業</w:t>
            </w:r>
          </w:p>
        </w:tc>
      </w:tr>
      <w:tr w:rsidR="00F91E87" w:rsidRPr="0012098B" w:rsidTr="00701C17">
        <w:trPr>
          <w:cantSplit/>
          <w:trHeight w:val="20"/>
        </w:trPr>
        <w:tc>
          <w:tcPr>
            <w:tcW w:w="1640" w:type="dxa"/>
            <w:vMerge/>
            <w:tcBorders>
              <w:top w:val="single" w:sz="4" w:space="0" w:color="auto"/>
              <w:left w:val="nil"/>
              <w:bottom w:val="single" w:sz="4" w:space="0" w:color="auto"/>
              <w:right w:val="nil"/>
            </w:tcBorders>
            <w:vAlign w:val="center"/>
          </w:tcPr>
          <w:p w:rsidR="00F91E87" w:rsidRPr="00D625FD" w:rsidRDefault="00F91E87" w:rsidP="00701C17">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F91E87" w:rsidRDefault="00F91E87" w:rsidP="00701C17">
            <w:pPr>
              <w:adjustRightInd w:val="0"/>
              <w:snapToGrid w:val="0"/>
              <w:ind w:left="30"/>
              <w:jc w:val="center"/>
              <w:rPr>
                <w:rFonts w:eastAsia="標楷體"/>
                <w:spacing w:val="-20"/>
              </w:rPr>
            </w:pPr>
            <w:r w:rsidRPr="00D625FD">
              <w:rPr>
                <w:rFonts w:eastAsia="標楷體"/>
                <w:spacing w:val="-20"/>
              </w:rPr>
              <w:t>金額</w:t>
            </w:r>
          </w:p>
          <w:p w:rsidR="00F91E87" w:rsidRPr="00D625FD" w:rsidRDefault="00F91E87" w:rsidP="00701C17">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F91E87" w:rsidRDefault="00F91E87" w:rsidP="00701C17">
            <w:pPr>
              <w:adjustRightInd w:val="0"/>
              <w:snapToGrid w:val="0"/>
              <w:ind w:left="30"/>
              <w:jc w:val="center"/>
              <w:rPr>
                <w:rFonts w:eastAsia="標楷體"/>
                <w:spacing w:val="-20"/>
              </w:rPr>
            </w:pPr>
            <w:r w:rsidRPr="00D625FD">
              <w:rPr>
                <w:rFonts w:eastAsia="標楷體"/>
                <w:spacing w:val="-20"/>
              </w:rPr>
              <w:t>年增率</w:t>
            </w:r>
          </w:p>
          <w:p w:rsidR="00F91E87" w:rsidRPr="00D625FD" w:rsidRDefault="00F91E87" w:rsidP="00701C17">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F91E87" w:rsidRDefault="00F91E87" w:rsidP="00701C17">
            <w:pPr>
              <w:adjustRightInd w:val="0"/>
              <w:snapToGrid w:val="0"/>
              <w:ind w:left="30"/>
              <w:jc w:val="center"/>
              <w:rPr>
                <w:rFonts w:eastAsia="標楷體"/>
                <w:spacing w:val="-20"/>
              </w:rPr>
            </w:pPr>
            <w:r w:rsidRPr="00D625FD">
              <w:rPr>
                <w:rFonts w:eastAsia="標楷體"/>
                <w:spacing w:val="-20"/>
              </w:rPr>
              <w:t>金額</w:t>
            </w:r>
          </w:p>
          <w:p w:rsidR="00F91E87" w:rsidRPr="00D625FD" w:rsidRDefault="00F91E87" w:rsidP="00701C17">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91E87" w:rsidRPr="00D625FD" w:rsidRDefault="00F91E87" w:rsidP="00701C17">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F91E87" w:rsidRDefault="00F91E87" w:rsidP="00701C17">
            <w:pPr>
              <w:adjustRightInd w:val="0"/>
              <w:snapToGrid w:val="0"/>
              <w:ind w:left="30"/>
              <w:jc w:val="center"/>
              <w:rPr>
                <w:rFonts w:eastAsia="標楷體"/>
                <w:spacing w:val="-20"/>
              </w:rPr>
            </w:pPr>
            <w:r w:rsidRPr="00D625FD">
              <w:rPr>
                <w:rFonts w:eastAsia="標楷體"/>
                <w:spacing w:val="-20"/>
              </w:rPr>
              <w:t>金額</w:t>
            </w:r>
          </w:p>
          <w:p w:rsidR="00F91E87" w:rsidRPr="00D625FD" w:rsidRDefault="00F91E87" w:rsidP="00701C17">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91E87" w:rsidRPr="00D625FD" w:rsidRDefault="00F91E87" w:rsidP="00701C17">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F91E87" w:rsidRDefault="00F91E87" w:rsidP="00701C17">
            <w:pPr>
              <w:adjustRightInd w:val="0"/>
              <w:snapToGrid w:val="0"/>
              <w:ind w:left="30"/>
              <w:jc w:val="center"/>
              <w:rPr>
                <w:rFonts w:eastAsia="標楷體"/>
                <w:spacing w:val="-20"/>
              </w:rPr>
            </w:pPr>
            <w:r w:rsidRPr="00D625FD">
              <w:rPr>
                <w:rFonts w:eastAsia="標楷體"/>
                <w:spacing w:val="-20"/>
              </w:rPr>
              <w:t>金額</w:t>
            </w:r>
          </w:p>
          <w:p w:rsidR="00F91E87" w:rsidRPr="00D625FD" w:rsidRDefault="00F91E87" w:rsidP="00701C17">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F91E87" w:rsidRPr="00D625FD" w:rsidRDefault="00F91E87" w:rsidP="00701C17">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F91E87" w:rsidRPr="0012098B" w:rsidTr="00701C17">
        <w:trPr>
          <w:trHeight w:val="2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F91E87" w:rsidRPr="00330AD4" w:rsidRDefault="00F91E87" w:rsidP="00701C17">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F91E87" w:rsidRPr="00330AD4" w:rsidRDefault="00F91E87" w:rsidP="00701C17">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F91E87" w:rsidRPr="00330AD4" w:rsidRDefault="00F91E87" w:rsidP="00701C17">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F91E87" w:rsidRPr="00330AD4" w:rsidRDefault="00F91E87" w:rsidP="00701C17">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F91E87" w:rsidRPr="00330AD4" w:rsidRDefault="00F91E87" w:rsidP="00701C17">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F91E87" w:rsidRPr="00330AD4" w:rsidRDefault="00F91E87" w:rsidP="00701C17">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F91E87" w:rsidRPr="00330AD4" w:rsidRDefault="00F91E87" w:rsidP="00701C17">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F91E87" w:rsidRPr="00330AD4" w:rsidRDefault="00F91E87" w:rsidP="00701C17">
            <w:pPr>
              <w:adjustRightInd w:val="0"/>
              <w:snapToGrid w:val="0"/>
              <w:ind w:rightChars="75" w:right="180"/>
              <w:jc w:val="right"/>
              <w:rPr>
                <w:b/>
                <w:bCs/>
              </w:rPr>
            </w:pPr>
            <w:r w:rsidRPr="00330AD4">
              <w:rPr>
                <w:b/>
                <w:bCs/>
              </w:rPr>
              <w:t>1.8</w:t>
            </w:r>
          </w:p>
        </w:tc>
      </w:tr>
      <w:tr w:rsidR="00F91E87" w:rsidRPr="0012098B" w:rsidTr="00701C17">
        <w:trPr>
          <w:trHeight w:val="2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F91E87" w:rsidRPr="00330AD4" w:rsidRDefault="00F91E87" w:rsidP="00701C17">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F91E87" w:rsidRPr="00330AD4" w:rsidRDefault="00F91E87" w:rsidP="00701C17">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0.0</w:t>
            </w:r>
          </w:p>
        </w:tc>
      </w:tr>
      <w:tr w:rsidR="00F91E87" w:rsidRPr="0012098B" w:rsidTr="00701C17">
        <w:trPr>
          <w:trHeight w:val="2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F91E87" w:rsidRPr="00330AD4" w:rsidRDefault="00F91E87" w:rsidP="00701C17">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7.1</w:t>
            </w:r>
          </w:p>
        </w:tc>
      </w:tr>
      <w:tr w:rsidR="00F91E87" w:rsidRPr="0012098B" w:rsidTr="00701C17">
        <w:trPr>
          <w:trHeight w:val="360"/>
        </w:trPr>
        <w:tc>
          <w:tcPr>
            <w:tcW w:w="1640" w:type="dxa"/>
            <w:tcBorders>
              <w:top w:val="nil"/>
              <w:left w:val="nil"/>
              <w:bottom w:val="nil"/>
              <w:right w:val="double" w:sz="4" w:space="0" w:color="auto"/>
            </w:tcBorders>
          </w:tcPr>
          <w:p w:rsidR="00F91E87" w:rsidRPr="00D625FD" w:rsidRDefault="00F91E87" w:rsidP="00701C17">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7.9</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rFonts w:hint="eastAsia"/>
                <w:b/>
                <w:bCs/>
              </w:rPr>
              <w:t>3.6</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5.4</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3.6</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-2.0</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2.1</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F91E87" w:rsidRPr="00D625FD" w:rsidRDefault="00F91E87" w:rsidP="00701C17">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F91E87" w:rsidRPr="00D625FD" w:rsidRDefault="00F91E87" w:rsidP="00701C17">
            <w:pPr>
              <w:adjustRightInd w:val="0"/>
              <w:snapToGrid w:val="0"/>
              <w:ind w:left="28" w:rightChars="75" w:right="180"/>
              <w:jc w:val="right"/>
              <w:rPr>
                <w:rFonts w:eastAsia="標楷體"/>
              </w:rPr>
            </w:pPr>
            <w:r w:rsidRPr="00D625FD">
              <w:rPr>
                <w:rFonts w:eastAsia="標楷體" w:hint="eastAsia"/>
              </w:rPr>
              <w:t>7.8</w:t>
            </w:r>
          </w:p>
        </w:tc>
      </w:tr>
      <w:tr w:rsidR="00F91E87" w:rsidRPr="00D625FD" w:rsidTr="00701C17">
        <w:trPr>
          <w:trHeight w:val="360"/>
        </w:trPr>
        <w:tc>
          <w:tcPr>
            <w:tcW w:w="1640" w:type="dxa"/>
            <w:tcBorders>
              <w:top w:val="nil"/>
              <w:left w:val="nil"/>
              <w:bottom w:val="nil"/>
              <w:right w:val="double" w:sz="4" w:space="0" w:color="auto"/>
            </w:tcBorders>
          </w:tcPr>
          <w:p w:rsidR="00F91E87" w:rsidRPr="00D625FD" w:rsidRDefault="00F91E87" w:rsidP="00701C17">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1~6</w:t>
            </w:r>
            <w:r>
              <w:rPr>
                <w:rFonts w:eastAsia="標楷體" w:hint="eastAsia"/>
                <w:b/>
                <w:bCs/>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rPr>
                <w:b/>
                <w:bCs/>
              </w:rPr>
            </w:pPr>
            <w:r w:rsidRPr="00330AD4">
              <w:rPr>
                <w:b/>
                <w:bCs/>
              </w:rPr>
              <w:t xml:space="preserve">69,728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0.0</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48,873</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-0.5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18,910</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1.1</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1,945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b/>
                <w:bCs/>
              </w:rPr>
            </w:pPr>
            <w:r w:rsidRPr="00330AD4">
              <w:rPr>
                <w:b/>
                <w:bCs/>
              </w:rPr>
              <w:t>1.0</w:t>
            </w:r>
          </w:p>
        </w:tc>
      </w:tr>
      <w:tr w:rsidR="00F91E87" w:rsidRPr="0012098B"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pPr>
            <w:r w:rsidRPr="00330AD4">
              <w:t xml:space="preserve">12,144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7.9</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8,482</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12.6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3,336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-1.3</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325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-6.7</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pPr>
            <w:r w:rsidRPr="00330AD4">
              <w:t xml:space="preserve">10,405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-5.9</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6,976</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-11.1</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3,089</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6.4</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340</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10.2</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Pr="00D625FD" w:rsidRDefault="00F91E87" w:rsidP="00701C17">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pPr>
            <w:r w:rsidRPr="00330AD4">
              <w:t xml:space="preserve">11,783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-1.0</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8,452</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-0.8</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3,011</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-2.0</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320</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3.7</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Default="00F91E87" w:rsidP="00701C17">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pPr>
            <w:r w:rsidRPr="00330AD4">
              <w:t xml:space="preserve">11,581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1.1</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8,173</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1.4</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3,109</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0.7</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298</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-2.9</w:t>
            </w:r>
          </w:p>
        </w:tc>
      </w:tr>
      <w:tr w:rsidR="00F91E87" w:rsidRPr="00D625FD" w:rsidTr="00701C17">
        <w:trPr>
          <w:trHeight w:val="360"/>
        </w:trPr>
        <w:tc>
          <w:tcPr>
            <w:tcW w:w="1640" w:type="dxa"/>
            <w:tcBorders>
              <w:top w:val="nil"/>
              <w:left w:val="nil"/>
              <w:bottom w:val="nil"/>
              <w:right w:val="double" w:sz="4" w:space="0" w:color="auto"/>
            </w:tcBorders>
            <w:vAlign w:val="center"/>
          </w:tcPr>
          <w:p w:rsidR="00F91E87" w:rsidRDefault="00F91E87" w:rsidP="00701C17">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880" w:type="dxa"/>
            <w:tcBorders>
              <w:top w:val="nil"/>
              <w:left w:val="double" w:sz="4" w:space="0" w:color="auto"/>
              <w:bottom w:val="nil"/>
              <w:right w:val="nil"/>
            </w:tcBorders>
            <w:vAlign w:val="bottom"/>
          </w:tcPr>
          <w:p w:rsidR="00F91E87" w:rsidRPr="00330AD4" w:rsidRDefault="00F91E87" w:rsidP="00701C17">
            <w:pPr>
              <w:adjustRightInd w:val="0"/>
              <w:snapToGrid w:val="0"/>
              <w:jc w:val="right"/>
            </w:pPr>
            <w:r w:rsidRPr="00330AD4">
              <w:t xml:space="preserve">11,840 </w:t>
            </w:r>
          </w:p>
        </w:tc>
        <w:tc>
          <w:tcPr>
            <w:tcW w:w="97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-1.7</w:t>
            </w:r>
          </w:p>
        </w:tc>
        <w:tc>
          <w:tcPr>
            <w:tcW w:w="1096"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8,327</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-2.5</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3,184</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0.3</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329</w:t>
            </w:r>
          </w:p>
        </w:tc>
        <w:tc>
          <w:tcPr>
            <w:tcW w:w="1020" w:type="dxa"/>
            <w:tcBorders>
              <w:top w:val="nil"/>
              <w:left w:val="nil"/>
              <w:bottom w:val="nil"/>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-0.4</w:t>
            </w:r>
          </w:p>
        </w:tc>
      </w:tr>
      <w:tr w:rsidR="00F91E87" w:rsidRPr="00D625FD" w:rsidTr="00701C17">
        <w:trPr>
          <w:trHeight w:val="360"/>
        </w:trPr>
        <w:tc>
          <w:tcPr>
            <w:tcW w:w="1640" w:type="dxa"/>
            <w:tcBorders>
              <w:top w:val="nil"/>
              <w:left w:val="nil"/>
              <w:bottom w:val="single" w:sz="4" w:space="0" w:color="auto"/>
              <w:right w:val="double" w:sz="4" w:space="0" w:color="auto"/>
            </w:tcBorders>
            <w:vAlign w:val="center"/>
          </w:tcPr>
          <w:p w:rsidR="00F91E87" w:rsidRDefault="00F91E87" w:rsidP="00701C17">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880" w:type="dxa"/>
            <w:tcBorders>
              <w:top w:val="nil"/>
              <w:left w:val="double" w:sz="4" w:space="0" w:color="auto"/>
              <w:bottom w:val="single" w:sz="4" w:space="0" w:color="auto"/>
              <w:right w:val="nil"/>
            </w:tcBorders>
            <w:vAlign w:val="bottom"/>
          </w:tcPr>
          <w:p w:rsidR="00F91E87" w:rsidRPr="00330AD4" w:rsidRDefault="00F91E87" w:rsidP="00701C17">
            <w:pPr>
              <w:adjustRightInd w:val="0"/>
              <w:snapToGrid w:val="0"/>
              <w:jc w:val="right"/>
            </w:pPr>
            <w:r w:rsidRPr="00330AD4">
              <w:t xml:space="preserve">11,976 </w:t>
            </w:r>
          </w:p>
        </w:tc>
        <w:tc>
          <w:tcPr>
            <w:tcW w:w="976"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-0.3</w:t>
            </w:r>
          </w:p>
        </w:tc>
        <w:tc>
          <w:tcPr>
            <w:tcW w:w="1096"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8,462</w:t>
            </w:r>
          </w:p>
        </w:tc>
        <w:tc>
          <w:tcPr>
            <w:tcW w:w="1020"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-1.6</w:t>
            </w:r>
          </w:p>
        </w:tc>
        <w:tc>
          <w:tcPr>
            <w:tcW w:w="1020"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3,181</w:t>
            </w:r>
          </w:p>
        </w:tc>
        <w:tc>
          <w:tcPr>
            <w:tcW w:w="1020"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3.0</w:t>
            </w:r>
          </w:p>
        </w:tc>
        <w:tc>
          <w:tcPr>
            <w:tcW w:w="1020"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332</w:t>
            </w:r>
          </w:p>
        </w:tc>
        <w:tc>
          <w:tcPr>
            <w:tcW w:w="1020" w:type="dxa"/>
            <w:tcBorders>
              <w:top w:val="nil"/>
              <w:left w:val="nil"/>
              <w:bottom w:val="single" w:sz="4" w:space="0" w:color="auto"/>
              <w:right w:val="nil"/>
            </w:tcBorders>
            <w:vAlign w:val="bottom"/>
          </w:tcPr>
          <w:p w:rsidR="00F91E87" w:rsidRPr="00330AD4" w:rsidRDefault="00F91E87" w:rsidP="00701C17">
            <w:pPr>
              <w:adjustRightInd w:val="0"/>
              <w:snapToGrid w:val="0"/>
              <w:ind w:left="28" w:rightChars="75" w:right="180"/>
              <w:jc w:val="right"/>
              <w:rPr>
                <w:rFonts w:eastAsia="標楷體"/>
              </w:rPr>
            </w:pPr>
            <w:r w:rsidRPr="00330AD4">
              <w:rPr>
                <w:rFonts w:eastAsia="標楷體"/>
              </w:rPr>
              <w:t>3.4</w:t>
            </w:r>
          </w:p>
        </w:tc>
      </w:tr>
    </w:tbl>
    <w:p w:rsidR="00345470" w:rsidRPr="00F91E87" w:rsidRDefault="00345470" w:rsidP="00345470">
      <w:pPr>
        <w:tabs>
          <w:tab w:val="left" w:pos="540"/>
          <w:tab w:val="left" w:pos="900"/>
        </w:tabs>
        <w:snapToGrid w:val="0"/>
        <w:spacing w:line="320" w:lineRule="exact"/>
        <w:jc w:val="both"/>
        <w:rPr>
          <w:rFonts w:eastAsia="標楷體"/>
          <w:sz w:val="22"/>
          <w:szCs w:val="22"/>
        </w:rPr>
      </w:pPr>
      <w:r w:rsidRPr="00F91E87">
        <w:rPr>
          <w:rFonts w:eastAsia="標楷體"/>
          <w:sz w:val="22"/>
          <w:szCs w:val="22"/>
        </w:rPr>
        <w:t>資料來源：經濟部統計處。</w:t>
      </w:r>
    </w:p>
    <w:p w:rsidR="00345470" w:rsidRPr="00F91E87" w:rsidRDefault="00345470" w:rsidP="00345470">
      <w:pPr>
        <w:pStyle w:val="k3a"/>
        <w:tabs>
          <w:tab w:val="left" w:pos="540"/>
        </w:tabs>
        <w:spacing w:before="180" w:line="300" w:lineRule="auto"/>
        <w:ind w:leftChars="0" w:left="0" w:right="0" w:firstLineChars="0" w:firstLine="0"/>
        <w:rPr>
          <w:b/>
          <w:bCs/>
        </w:rPr>
      </w:pPr>
      <w:r w:rsidRPr="003111E1">
        <w:rPr>
          <w:b/>
          <w:bCs/>
          <w:color w:val="FF0000"/>
        </w:rPr>
        <w:br w:type="page"/>
      </w:r>
      <w:r w:rsidRPr="00F91E87">
        <w:rPr>
          <w:b/>
          <w:bCs/>
        </w:rPr>
        <w:lastRenderedPageBreak/>
        <w:t>２、</w:t>
      </w:r>
      <w:r w:rsidR="00F91E87" w:rsidRPr="00F91E87">
        <w:rPr>
          <w:rFonts w:hint="eastAsia"/>
          <w:b/>
          <w:bCs/>
        </w:rPr>
        <w:t>102</w:t>
      </w:r>
      <w:r w:rsidR="00F91E87" w:rsidRPr="00F91E87">
        <w:rPr>
          <w:rFonts w:hint="eastAsia"/>
          <w:b/>
          <w:bCs/>
        </w:rPr>
        <w:t>年</w:t>
      </w:r>
      <w:r w:rsidR="00F91E87" w:rsidRPr="00F91E87">
        <w:rPr>
          <w:rFonts w:hint="eastAsia"/>
          <w:b/>
          <w:bCs/>
        </w:rPr>
        <w:t>6</w:t>
      </w:r>
      <w:r w:rsidR="00F91E87" w:rsidRPr="00F91E87">
        <w:rPr>
          <w:rFonts w:hint="eastAsia"/>
          <w:b/>
          <w:bCs/>
        </w:rPr>
        <w:t>月批發業營業額減少</w:t>
      </w:r>
      <w:r w:rsidR="00F91E87" w:rsidRPr="00F91E87">
        <w:rPr>
          <w:rFonts w:hint="eastAsia"/>
          <w:b/>
          <w:bCs/>
        </w:rPr>
        <w:t>1.6</w:t>
      </w:r>
      <w:r w:rsidR="00F91E87" w:rsidRPr="00F91E87">
        <w:rPr>
          <w:rFonts w:hint="eastAsia"/>
          <w:b/>
          <w:bCs/>
        </w:rPr>
        <w:t>％</w:t>
      </w:r>
    </w:p>
    <w:p w:rsidR="00345470" w:rsidRPr="00F91E87" w:rsidRDefault="00F91E87" w:rsidP="00B86F73">
      <w:pPr>
        <w:pStyle w:val="k32"/>
        <w:topLinePunct/>
        <w:ind w:left="0" w:rightChars="-59"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月批發業營業額</w:t>
      </w:r>
      <w:r w:rsidRPr="00F91E87">
        <w:rPr>
          <w:rFonts w:hint="eastAsia"/>
        </w:rPr>
        <w:t>8,462</w:t>
      </w:r>
      <w:r w:rsidRPr="00F91E87">
        <w:rPr>
          <w:rFonts w:hint="eastAsia"/>
        </w:rPr>
        <w:t>億元，較</w:t>
      </w:r>
      <w:r w:rsidR="00357E8F">
        <w:rPr>
          <w:rFonts w:hint="eastAsia"/>
        </w:rPr>
        <w:t>上</w:t>
      </w:r>
      <w:r w:rsidRPr="00F91E87">
        <w:rPr>
          <w:rFonts w:hint="eastAsia"/>
        </w:rPr>
        <w:t>年同月減少</w:t>
      </w:r>
      <w:r w:rsidRPr="00F91E87">
        <w:rPr>
          <w:rFonts w:hint="eastAsia"/>
        </w:rPr>
        <w:t>1.6</w:t>
      </w:r>
      <w:r w:rsidRPr="00F91E87">
        <w:rPr>
          <w:rFonts w:hint="eastAsia"/>
        </w:rPr>
        <w:t>％，其中機械器具批發業因消費電子、通訊產品需求下滑，年減</w:t>
      </w:r>
      <w:r w:rsidRPr="00F91E87">
        <w:rPr>
          <w:rFonts w:hint="eastAsia"/>
        </w:rPr>
        <w:t>4.4</w:t>
      </w:r>
      <w:r w:rsidRPr="00F91E87">
        <w:rPr>
          <w:rFonts w:hint="eastAsia"/>
        </w:rPr>
        <w:t>％；建材批發</w:t>
      </w:r>
      <w:proofErr w:type="gramStart"/>
      <w:r w:rsidRPr="00F91E87">
        <w:rPr>
          <w:rFonts w:hint="eastAsia"/>
        </w:rPr>
        <w:t>業受鋼價</w:t>
      </w:r>
      <w:proofErr w:type="gramEnd"/>
      <w:r w:rsidRPr="00F91E87">
        <w:rPr>
          <w:rFonts w:hint="eastAsia"/>
        </w:rPr>
        <w:t>走低及市場買氣觀望影響而年減</w:t>
      </w:r>
      <w:r w:rsidRPr="00F91E87">
        <w:rPr>
          <w:rFonts w:hint="eastAsia"/>
        </w:rPr>
        <w:t>2.1</w:t>
      </w:r>
      <w:r w:rsidRPr="00F91E87">
        <w:rPr>
          <w:rFonts w:hint="eastAsia"/>
        </w:rPr>
        <w:t>％；增加者為汽機車及其零配件用品批發業，因車商加碼促銷及進口多款新車，買氣回籠而年增</w:t>
      </w:r>
      <w:r w:rsidRPr="00F91E87">
        <w:rPr>
          <w:rFonts w:hint="eastAsia"/>
        </w:rPr>
        <w:t>5.9</w:t>
      </w:r>
      <w:r w:rsidRPr="00F91E87">
        <w:rPr>
          <w:rFonts w:hint="eastAsia"/>
        </w:rPr>
        <w:t>％最多。累計</w:t>
      </w:r>
      <w:r w:rsidRPr="00F91E87">
        <w:rPr>
          <w:rFonts w:hint="eastAsia"/>
        </w:rPr>
        <w:t>1</w:t>
      </w:r>
      <w:r w:rsidRPr="00F91E87">
        <w:rPr>
          <w:rFonts w:hint="eastAsia"/>
        </w:rPr>
        <w:t>至</w:t>
      </w:r>
      <w:r w:rsidRPr="00F91E87">
        <w:rPr>
          <w:rFonts w:hint="eastAsia"/>
        </w:rPr>
        <w:t>6</w:t>
      </w:r>
      <w:r w:rsidRPr="00F91E87">
        <w:rPr>
          <w:rFonts w:hint="eastAsia"/>
        </w:rPr>
        <w:t>月批發業營業額</w:t>
      </w:r>
      <w:r w:rsidRPr="00F91E87">
        <w:rPr>
          <w:rFonts w:hint="eastAsia"/>
        </w:rPr>
        <w:t>48,873</w:t>
      </w:r>
      <w:r w:rsidRPr="00F91E87">
        <w:rPr>
          <w:rFonts w:hint="eastAsia"/>
        </w:rPr>
        <w:t>億元，較</w:t>
      </w:r>
      <w:r w:rsidR="00357E8F">
        <w:rPr>
          <w:rFonts w:hint="eastAsia"/>
        </w:rPr>
        <w:t>上</w:t>
      </w:r>
      <w:r w:rsidRPr="00F91E87">
        <w:rPr>
          <w:rFonts w:hint="eastAsia"/>
        </w:rPr>
        <w:t>年同期減少</w:t>
      </w:r>
      <w:r w:rsidRPr="00F91E87">
        <w:rPr>
          <w:rFonts w:hint="eastAsia"/>
        </w:rPr>
        <w:t>0.5</w:t>
      </w:r>
      <w:r w:rsidRPr="00F91E87">
        <w:rPr>
          <w:rFonts w:hint="eastAsia"/>
        </w:rPr>
        <w:t>％。</w:t>
      </w:r>
    </w:p>
    <w:p w:rsidR="00345470" w:rsidRPr="00F91E87" w:rsidRDefault="00345470" w:rsidP="00345470">
      <w:pPr>
        <w:snapToGrid w:val="0"/>
        <w:spacing w:beforeLines="50" w:before="180" w:afterLines="50" w:after="180"/>
        <w:ind w:right="-142"/>
        <w:jc w:val="center"/>
        <w:rPr>
          <w:rFonts w:eastAsia="標楷體"/>
          <w:sz w:val="28"/>
        </w:rPr>
      </w:pPr>
      <w:r w:rsidRPr="00F91E87">
        <w:rPr>
          <w:rFonts w:eastAsia="標楷體"/>
          <w:b/>
          <w:bCs/>
          <w:sz w:val="28"/>
        </w:rPr>
        <w:t>表</w:t>
      </w:r>
      <w:r w:rsidRPr="00F91E87">
        <w:rPr>
          <w:rFonts w:eastAsia="標楷體"/>
          <w:b/>
          <w:bCs/>
          <w:sz w:val="28"/>
        </w:rPr>
        <w:t>2-3-2</w:t>
      </w:r>
      <w:r w:rsidRPr="00F91E87">
        <w:rPr>
          <w:rFonts w:eastAsia="標楷體"/>
          <w:b/>
          <w:spacing w:val="20"/>
          <w:sz w:val="28"/>
        </w:rPr>
        <w:t xml:space="preserve">  </w:t>
      </w:r>
      <w:r w:rsidRPr="00F91E87">
        <w:rPr>
          <w:rFonts w:eastAsia="標楷體"/>
          <w:b/>
          <w:bCs/>
          <w:sz w:val="28"/>
        </w:rPr>
        <w:t>批發業營業額變動概況</w:t>
      </w:r>
      <w:r w:rsidRPr="00F91E87">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F91E87" w:rsidRPr="0012098B" w:rsidTr="00701C17">
        <w:tc>
          <w:tcPr>
            <w:tcW w:w="3060" w:type="dxa"/>
            <w:tcBorders>
              <w:top w:val="single" w:sz="4" w:space="0" w:color="auto"/>
              <w:bottom w:val="single" w:sz="4" w:space="0" w:color="auto"/>
              <w:right w:val="single" w:sz="4" w:space="0" w:color="auto"/>
            </w:tcBorders>
            <w:vAlign w:val="center"/>
          </w:tcPr>
          <w:p w:rsidR="00F91E87" w:rsidRPr="0042125E" w:rsidRDefault="00F91E87" w:rsidP="00701C17">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F91E87" w:rsidRPr="0042125E" w:rsidRDefault="00F91E87" w:rsidP="00701C17">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6</w:t>
            </w:r>
            <w:r w:rsidRPr="0042125E">
              <w:rPr>
                <w:rFonts w:eastAsia="標楷體"/>
              </w:rPr>
              <w:t>月</w:t>
            </w:r>
          </w:p>
          <w:p w:rsidR="00F91E87" w:rsidRPr="0042125E" w:rsidRDefault="00F91E87" w:rsidP="00701C17">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F91E87" w:rsidRPr="0042125E" w:rsidRDefault="00F91E87" w:rsidP="00701C17">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6</w:t>
            </w:r>
            <w:r w:rsidRPr="0042125E">
              <w:rPr>
                <w:rFonts w:eastAsia="標楷體"/>
              </w:rPr>
              <w:t>月</w:t>
            </w:r>
          </w:p>
          <w:p w:rsidR="00F91E87" w:rsidRPr="0042125E" w:rsidRDefault="00F91E87" w:rsidP="00701C17">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F91E87" w:rsidRPr="0012098B" w:rsidTr="00701C17">
        <w:tc>
          <w:tcPr>
            <w:tcW w:w="3060" w:type="dxa"/>
            <w:tcBorders>
              <w:top w:val="single" w:sz="4" w:space="0" w:color="auto"/>
              <w:right w:val="single" w:sz="4" w:space="0" w:color="auto"/>
            </w:tcBorders>
          </w:tcPr>
          <w:p w:rsidR="00F91E87" w:rsidRPr="0042125E" w:rsidRDefault="00F91E87" w:rsidP="00701C17">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F91E87" w:rsidRPr="00E34596" w:rsidRDefault="00F91E87" w:rsidP="00701C17">
            <w:pPr>
              <w:jc w:val="center"/>
            </w:pPr>
            <w:r w:rsidRPr="00E34596">
              <w:rPr>
                <w:rFonts w:hint="eastAsia"/>
              </w:rPr>
              <w:t>1</w:t>
            </w:r>
            <w:r w:rsidRPr="00E34596">
              <w:t>.</w:t>
            </w:r>
            <w:r w:rsidRPr="00E34596">
              <w:rPr>
                <w:rFonts w:hint="eastAsia"/>
              </w:rPr>
              <w:t>6</w:t>
            </w:r>
          </w:p>
        </w:tc>
        <w:tc>
          <w:tcPr>
            <w:tcW w:w="2667" w:type="dxa"/>
            <w:tcBorders>
              <w:top w:val="single" w:sz="4" w:space="0" w:color="auto"/>
            </w:tcBorders>
          </w:tcPr>
          <w:p w:rsidR="00F91E87" w:rsidRPr="00E34596" w:rsidRDefault="00F91E87" w:rsidP="00701C17">
            <w:pPr>
              <w:jc w:val="center"/>
            </w:pPr>
            <w:r w:rsidRPr="00E34596">
              <w:rPr>
                <w:rFonts w:hint="eastAsia"/>
              </w:rPr>
              <w:t>-1</w:t>
            </w:r>
            <w:r w:rsidRPr="00E34596">
              <w:t>.</w:t>
            </w:r>
            <w:r w:rsidRPr="00E34596">
              <w:rPr>
                <w:rFonts w:hint="eastAsia"/>
              </w:rPr>
              <w:t>6</w:t>
            </w:r>
          </w:p>
        </w:tc>
      </w:tr>
      <w:tr w:rsidR="00F91E87" w:rsidRPr="0012098B" w:rsidTr="00701C17">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F91E87" w:rsidRPr="00E34596" w:rsidRDefault="00F91E87" w:rsidP="00701C17">
            <w:pPr>
              <w:jc w:val="center"/>
            </w:pPr>
            <w:r w:rsidRPr="00E34596">
              <w:rPr>
                <w:rFonts w:hint="eastAsia"/>
              </w:rPr>
              <w:t>5.6</w:t>
            </w:r>
          </w:p>
        </w:tc>
        <w:tc>
          <w:tcPr>
            <w:tcW w:w="2667" w:type="dxa"/>
          </w:tcPr>
          <w:p w:rsidR="00F91E87" w:rsidRPr="00E34596" w:rsidRDefault="00F91E87" w:rsidP="00701C17">
            <w:pPr>
              <w:jc w:val="center"/>
            </w:pPr>
            <w:r w:rsidRPr="00E34596">
              <w:rPr>
                <w:rFonts w:hint="eastAsia"/>
              </w:rPr>
              <w:t>-4.4</w:t>
            </w:r>
          </w:p>
        </w:tc>
      </w:tr>
      <w:tr w:rsidR="00F91E87" w:rsidRPr="0012098B" w:rsidTr="00701C17">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F91E87" w:rsidRPr="00E34596" w:rsidRDefault="00F91E87" w:rsidP="00701C17">
            <w:pPr>
              <w:jc w:val="center"/>
            </w:pPr>
            <w:r w:rsidRPr="00E34596">
              <w:rPr>
                <w:rFonts w:hint="eastAsia"/>
              </w:rPr>
              <w:t>3.2</w:t>
            </w:r>
          </w:p>
        </w:tc>
        <w:tc>
          <w:tcPr>
            <w:tcW w:w="2667" w:type="dxa"/>
          </w:tcPr>
          <w:p w:rsidR="00F91E87" w:rsidRPr="00E34596" w:rsidRDefault="00F91E87" w:rsidP="00701C17">
            <w:pPr>
              <w:jc w:val="center"/>
            </w:pPr>
            <w:r w:rsidRPr="00E34596">
              <w:rPr>
                <w:rFonts w:hint="eastAsia"/>
              </w:rPr>
              <w:t>-1.9</w:t>
            </w:r>
          </w:p>
        </w:tc>
      </w:tr>
      <w:tr w:rsidR="00F91E87" w:rsidRPr="0012098B" w:rsidTr="00701C17">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F91E87" w:rsidRPr="00E34596" w:rsidRDefault="00F91E87" w:rsidP="00701C17">
            <w:pPr>
              <w:jc w:val="center"/>
            </w:pPr>
            <w:r w:rsidRPr="00E34596">
              <w:rPr>
                <w:rFonts w:hint="eastAsia"/>
              </w:rPr>
              <w:t>-2.5</w:t>
            </w:r>
          </w:p>
        </w:tc>
        <w:tc>
          <w:tcPr>
            <w:tcW w:w="2667" w:type="dxa"/>
          </w:tcPr>
          <w:p w:rsidR="00F91E87" w:rsidRPr="00E34596" w:rsidRDefault="00F91E87" w:rsidP="00701C17">
            <w:pPr>
              <w:jc w:val="center"/>
            </w:pPr>
            <w:r w:rsidRPr="00E34596">
              <w:rPr>
                <w:rFonts w:hint="eastAsia"/>
              </w:rPr>
              <w:t>2.8</w:t>
            </w:r>
          </w:p>
        </w:tc>
      </w:tr>
      <w:tr w:rsidR="00F91E87" w:rsidRPr="0012098B" w:rsidTr="00701C17">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F91E87" w:rsidRPr="00E34596" w:rsidRDefault="00F91E87" w:rsidP="00701C17">
            <w:pPr>
              <w:jc w:val="center"/>
            </w:pPr>
            <w:r w:rsidRPr="00E34596">
              <w:rPr>
                <w:rFonts w:hint="eastAsia"/>
              </w:rPr>
              <w:t>-0.6</w:t>
            </w:r>
          </w:p>
        </w:tc>
        <w:tc>
          <w:tcPr>
            <w:tcW w:w="2667" w:type="dxa"/>
          </w:tcPr>
          <w:p w:rsidR="00F91E87" w:rsidRPr="00E34596" w:rsidRDefault="00F91E87" w:rsidP="00701C17">
            <w:pPr>
              <w:jc w:val="center"/>
            </w:pPr>
            <w:r w:rsidRPr="00E34596">
              <w:t>-</w:t>
            </w:r>
            <w:r w:rsidRPr="00E34596">
              <w:rPr>
                <w:rFonts w:hint="eastAsia"/>
              </w:rPr>
              <w:t>2.1</w:t>
            </w:r>
          </w:p>
        </w:tc>
      </w:tr>
      <w:tr w:rsidR="00F91E87" w:rsidRPr="0012098B" w:rsidTr="00701C17">
        <w:trPr>
          <w:trHeight w:val="80"/>
        </w:trPr>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F91E87" w:rsidRPr="00E34596" w:rsidRDefault="00F91E87" w:rsidP="00701C17">
            <w:pPr>
              <w:jc w:val="center"/>
            </w:pPr>
            <w:r w:rsidRPr="00E34596">
              <w:rPr>
                <w:rFonts w:hint="eastAsia"/>
              </w:rPr>
              <w:t>-3.7</w:t>
            </w:r>
          </w:p>
        </w:tc>
        <w:tc>
          <w:tcPr>
            <w:tcW w:w="2667" w:type="dxa"/>
          </w:tcPr>
          <w:p w:rsidR="00F91E87" w:rsidRPr="00E34596" w:rsidRDefault="00F91E87" w:rsidP="00701C17">
            <w:pPr>
              <w:jc w:val="center"/>
            </w:pPr>
            <w:r w:rsidRPr="00E34596">
              <w:rPr>
                <w:rFonts w:hint="eastAsia"/>
              </w:rPr>
              <w:t>4.1</w:t>
            </w:r>
          </w:p>
        </w:tc>
      </w:tr>
      <w:tr w:rsidR="00F91E87" w:rsidRPr="0012098B" w:rsidTr="00701C17">
        <w:trPr>
          <w:trHeight w:val="80"/>
        </w:trPr>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F91E87" w:rsidRPr="00E34596" w:rsidRDefault="00F91E87" w:rsidP="00701C17">
            <w:pPr>
              <w:jc w:val="center"/>
            </w:pPr>
            <w:r w:rsidRPr="00E34596">
              <w:rPr>
                <w:rFonts w:hint="eastAsia"/>
              </w:rPr>
              <w:t>-3.1</w:t>
            </w:r>
          </w:p>
        </w:tc>
        <w:tc>
          <w:tcPr>
            <w:tcW w:w="2667" w:type="dxa"/>
          </w:tcPr>
          <w:p w:rsidR="00F91E87" w:rsidRPr="00E34596" w:rsidRDefault="00F91E87" w:rsidP="00701C17">
            <w:pPr>
              <w:jc w:val="center"/>
            </w:pPr>
            <w:r w:rsidRPr="00E34596">
              <w:rPr>
                <w:rFonts w:hint="eastAsia"/>
              </w:rPr>
              <w:t>2.2</w:t>
            </w:r>
          </w:p>
        </w:tc>
      </w:tr>
      <w:tr w:rsidR="00F91E87" w:rsidRPr="0012098B" w:rsidTr="00701C17">
        <w:trPr>
          <w:trHeight w:val="80"/>
        </w:trPr>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F91E87" w:rsidRPr="00E34596" w:rsidRDefault="00F91E87" w:rsidP="00701C17">
            <w:pPr>
              <w:jc w:val="center"/>
            </w:pPr>
            <w:r w:rsidRPr="00E34596">
              <w:rPr>
                <w:rFonts w:hint="eastAsia"/>
              </w:rPr>
              <w:t>3.6</w:t>
            </w:r>
          </w:p>
        </w:tc>
        <w:tc>
          <w:tcPr>
            <w:tcW w:w="2667" w:type="dxa"/>
          </w:tcPr>
          <w:p w:rsidR="00F91E87" w:rsidRPr="00E34596" w:rsidRDefault="00F91E87" w:rsidP="00701C17">
            <w:pPr>
              <w:jc w:val="center"/>
            </w:pPr>
            <w:r w:rsidRPr="00E34596">
              <w:rPr>
                <w:rFonts w:hint="eastAsia"/>
              </w:rPr>
              <w:t>5.9</w:t>
            </w:r>
          </w:p>
        </w:tc>
      </w:tr>
      <w:tr w:rsidR="00F91E87" w:rsidRPr="0012098B" w:rsidTr="00701C17">
        <w:trPr>
          <w:trHeight w:val="80"/>
        </w:trPr>
        <w:tc>
          <w:tcPr>
            <w:tcW w:w="3060" w:type="dxa"/>
            <w:tcBorders>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F91E87" w:rsidRPr="00E34596" w:rsidRDefault="00F91E87" w:rsidP="00701C17">
            <w:pPr>
              <w:jc w:val="center"/>
            </w:pPr>
            <w:r w:rsidRPr="00E34596">
              <w:rPr>
                <w:rFonts w:hint="eastAsia"/>
              </w:rPr>
              <w:t>-3.9</w:t>
            </w:r>
          </w:p>
        </w:tc>
        <w:tc>
          <w:tcPr>
            <w:tcW w:w="2667" w:type="dxa"/>
          </w:tcPr>
          <w:p w:rsidR="00F91E87" w:rsidRPr="00E34596" w:rsidRDefault="00F91E87" w:rsidP="00701C17">
            <w:pPr>
              <w:jc w:val="center"/>
            </w:pPr>
            <w:r w:rsidRPr="00E34596">
              <w:rPr>
                <w:rFonts w:hint="eastAsia"/>
              </w:rPr>
              <w:t>1.0</w:t>
            </w:r>
          </w:p>
        </w:tc>
      </w:tr>
      <w:tr w:rsidR="00F91E87" w:rsidRPr="0012098B" w:rsidTr="00701C17">
        <w:trPr>
          <w:trHeight w:val="80"/>
        </w:trPr>
        <w:tc>
          <w:tcPr>
            <w:tcW w:w="3060" w:type="dxa"/>
            <w:tcBorders>
              <w:bottom w:val="single" w:sz="4" w:space="0" w:color="auto"/>
              <w:right w:val="single" w:sz="4" w:space="0" w:color="auto"/>
            </w:tcBorders>
            <w:vAlign w:val="bottom"/>
          </w:tcPr>
          <w:p w:rsidR="00F91E87" w:rsidRPr="0042125E" w:rsidRDefault="00F91E87" w:rsidP="00701C17">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F91E87" w:rsidRPr="00E34596" w:rsidRDefault="00F91E87" w:rsidP="00701C17">
            <w:pPr>
              <w:jc w:val="center"/>
            </w:pPr>
            <w:r w:rsidRPr="00E34596">
              <w:rPr>
                <w:rFonts w:hint="eastAsia"/>
              </w:rPr>
              <w:t>-2.5</w:t>
            </w:r>
          </w:p>
        </w:tc>
        <w:tc>
          <w:tcPr>
            <w:tcW w:w="2667" w:type="dxa"/>
            <w:tcBorders>
              <w:bottom w:val="single" w:sz="4" w:space="0" w:color="auto"/>
            </w:tcBorders>
          </w:tcPr>
          <w:p w:rsidR="00F91E87" w:rsidRPr="00E34596" w:rsidRDefault="00F91E87" w:rsidP="00701C17">
            <w:pPr>
              <w:jc w:val="center"/>
            </w:pPr>
            <w:r w:rsidRPr="00E34596">
              <w:rPr>
                <w:rFonts w:hint="eastAsia"/>
              </w:rPr>
              <w:t>-2</w:t>
            </w:r>
            <w:r w:rsidRPr="00E34596">
              <w:t>.</w:t>
            </w:r>
            <w:r w:rsidRPr="00E34596">
              <w:rPr>
                <w:rFonts w:hint="eastAsia"/>
              </w:rPr>
              <w:t>9</w:t>
            </w:r>
          </w:p>
        </w:tc>
      </w:tr>
    </w:tbl>
    <w:p w:rsidR="00345470" w:rsidRPr="00F91E87" w:rsidRDefault="00345470" w:rsidP="00345470">
      <w:pPr>
        <w:pStyle w:val="k3a"/>
        <w:tabs>
          <w:tab w:val="left" w:pos="426"/>
        </w:tabs>
        <w:spacing w:beforeLines="0" w:before="0"/>
        <w:ind w:leftChars="0" w:left="0" w:right="0" w:firstLineChars="0" w:firstLine="0"/>
        <w:rPr>
          <w:sz w:val="22"/>
          <w:szCs w:val="22"/>
        </w:rPr>
      </w:pPr>
      <w:proofErr w:type="gramStart"/>
      <w:r w:rsidRPr="00F91E87">
        <w:rPr>
          <w:sz w:val="22"/>
          <w:szCs w:val="22"/>
        </w:rPr>
        <w:t>註</w:t>
      </w:r>
      <w:proofErr w:type="gramEnd"/>
      <w:r w:rsidRPr="00F91E87">
        <w:rPr>
          <w:sz w:val="22"/>
          <w:szCs w:val="22"/>
        </w:rPr>
        <w:t>：</w:t>
      </w:r>
      <w:r w:rsidRPr="00F91E87">
        <w:rPr>
          <w:sz w:val="22"/>
          <w:szCs w:val="22"/>
        </w:rPr>
        <w:t>1.</w:t>
      </w:r>
      <w:r w:rsidRPr="00F91E87">
        <w:rPr>
          <w:sz w:val="22"/>
          <w:szCs w:val="22"/>
        </w:rPr>
        <w:t>機械器具業：包括電腦、手持行動裝置、電子與電力設備、機械及其配備等。</w:t>
      </w:r>
    </w:p>
    <w:p w:rsidR="00345470" w:rsidRPr="00F91E87" w:rsidRDefault="00345470" w:rsidP="00345470">
      <w:pPr>
        <w:pStyle w:val="k3a"/>
        <w:tabs>
          <w:tab w:val="left" w:pos="426"/>
        </w:tabs>
        <w:spacing w:beforeLines="0" w:before="0"/>
        <w:ind w:leftChars="0" w:left="0" w:right="0" w:firstLineChars="0" w:firstLine="0"/>
        <w:rPr>
          <w:sz w:val="22"/>
          <w:szCs w:val="22"/>
        </w:rPr>
      </w:pPr>
      <w:r w:rsidRPr="00F91E87">
        <w:rPr>
          <w:sz w:val="22"/>
          <w:szCs w:val="22"/>
        </w:rPr>
        <w:t xml:space="preserve">    2.</w:t>
      </w:r>
      <w:r w:rsidRPr="00F91E87">
        <w:rPr>
          <w:sz w:val="22"/>
          <w:szCs w:val="22"/>
        </w:rPr>
        <w:t>家庭器具及用品業：包括電器、家具、光學器材、黃金白銀貴金屬等。</w:t>
      </w:r>
    </w:p>
    <w:p w:rsidR="00345470" w:rsidRPr="00F91E87" w:rsidRDefault="00345470" w:rsidP="00345470">
      <w:pPr>
        <w:pStyle w:val="k3a"/>
        <w:tabs>
          <w:tab w:val="left" w:pos="426"/>
        </w:tabs>
        <w:spacing w:beforeLines="0" w:before="0"/>
        <w:ind w:leftChars="0" w:left="0" w:right="0" w:firstLineChars="0" w:firstLine="0"/>
        <w:rPr>
          <w:sz w:val="22"/>
          <w:szCs w:val="22"/>
        </w:rPr>
      </w:pPr>
      <w:r w:rsidRPr="00F91E87">
        <w:rPr>
          <w:sz w:val="22"/>
          <w:szCs w:val="22"/>
        </w:rPr>
        <w:t xml:space="preserve">    3.</w:t>
      </w:r>
      <w:r w:rsidRPr="00F91E87">
        <w:rPr>
          <w:sz w:val="22"/>
          <w:szCs w:val="22"/>
        </w:rPr>
        <w:t>其他批發業：包含藥品及化妝品、文教、育樂用品等</w:t>
      </w:r>
      <w:r w:rsidRPr="00F91E87">
        <w:rPr>
          <w:sz w:val="22"/>
          <w:szCs w:val="22"/>
        </w:rPr>
        <w:t>6</w:t>
      </w:r>
      <w:r w:rsidRPr="00F91E87">
        <w:rPr>
          <w:sz w:val="22"/>
          <w:szCs w:val="22"/>
        </w:rPr>
        <w:t>項中業別。</w:t>
      </w:r>
    </w:p>
    <w:p w:rsidR="00345470" w:rsidRPr="00F91E87" w:rsidRDefault="00345470" w:rsidP="00345470">
      <w:pPr>
        <w:pStyle w:val="k3a"/>
        <w:tabs>
          <w:tab w:val="left" w:pos="426"/>
        </w:tabs>
        <w:spacing w:beforeLines="0" w:before="0"/>
        <w:ind w:leftChars="0" w:left="0" w:right="0" w:firstLineChars="0" w:firstLine="0"/>
        <w:rPr>
          <w:sz w:val="22"/>
          <w:szCs w:val="22"/>
        </w:rPr>
      </w:pPr>
      <w:r w:rsidRPr="00F91E87">
        <w:rPr>
          <w:sz w:val="22"/>
          <w:szCs w:val="22"/>
        </w:rPr>
        <w:t>資料來源：經濟部統計處。</w:t>
      </w:r>
    </w:p>
    <w:p w:rsidR="00345470" w:rsidRPr="00F91E87" w:rsidRDefault="00345470" w:rsidP="00B86F73">
      <w:pPr>
        <w:pStyle w:val="k3a"/>
        <w:tabs>
          <w:tab w:val="left" w:pos="540"/>
        </w:tabs>
        <w:spacing w:beforeLines="100" w:before="360" w:line="300" w:lineRule="auto"/>
        <w:ind w:leftChars="0" w:left="566" w:right="0" w:hangingChars="202" w:hanging="566"/>
        <w:rPr>
          <w:b/>
          <w:bCs/>
        </w:rPr>
      </w:pPr>
      <w:r w:rsidRPr="00F91E87">
        <w:rPr>
          <w:b/>
          <w:bCs/>
        </w:rPr>
        <w:t>３、</w:t>
      </w:r>
      <w:r w:rsidR="00F91E87" w:rsidRPr="00F91E87">
        <w:rPr>
          <w:rFonts w:hint="eastAsia"/>
          <w:b/>
          <w:bCs/>
        </w:rPr>
        <w:t>102</w:t>
      </w:r>
      <w:r w:rsidR="00F91E87" w:rsidRPr="00F91E87">
        <w:rPr>
          <w:rFonts w:hint="eastAsia"/>
          <w:b/>
          <w:bCs/>
        </w:rPr>
        <w:t>年</w:t>
      </w:r>
      <w:r w:rsidR="00F91E87" w:rsidRPr="00F91E87">
        <w:rPr>
          <w:rFonts w:hint="eastAsia"/>
          <w:b/>
          <w:bCs/>
        </w:rPr>
        <w:t>6</w:t>
      </w:r>
      <w:r w:rsidR="00F91E87" w:rsidRPr="00F91E87">
        <w:rPr>
          <w:rFonts w:hint="eastAsia"/>
          <w:b/>
          <w:bCs/>
        </w:rPr>
        <w:t>月零售業營業額增加</w:t>
      </w:r>
      <w:r w:rsidR="00F91E87" w:rsidRPr="00F91E87">
        <w:rPr>
          <w:rFonts w:hint="eastAsia"/>
          <w:b/>
          <w:bCs/>
        </w:rPr>
        <w:t>3.0</w:t>
      </w:r>
      <w:r w:rsidR="00F91E87" w:rsidRPr="00F91E87">
        <w:rPr>
          <w:rFonts w:hint="eastAsia"/>
          <w:b/>
          <w:bCs/>
        </w:rPr>
        <w:t>％，其中綜合商品零售業營業額增加</w:t>
      </w:r>
      <w:r w:rsidR="00F91E87" w:rsidRPr="00F91E87">
        <w:rPr>
          <w:rFonts w:hint="eastAsia"/>
          <w:b/>
          <w:bCs/>
        </w:rPr>
        <w:t>4.6</w:t>
      </w:r>
      <w:r w:rsidR="00F91E87" w:rsidRPr="00F91E87">
        <w:rPr>
          <w:rFonts w:hint="eastAsia"/>
          <w:b/>
          <w:bCs/>
        </w:rPr>
        <w:t>％</w:t>
      </w:r>
    </w:p>
    <w:p w:rsidR="00A47840" w:rsidRPr="00F91E87" w:rsidRDefault="00F91E87" w:rsidP="00B86F73">
      <w:pPr>
        <w:pStyle w:val="k32"/>
        <w:topLinePunct/>
        <w:spacing w:beforeLines="100" w:before="360"/>
        <w:ind w:left="0" w:rightChars="-59"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月零售業營業額</w:t>
      </w:r>
      <w:r w:rsidRPr="00F91E87">
        <w:rPr>
          <w:rFonts w:hint="eastAsia"/>
        </w:rPr>
        <w:t>3,181</w:t>
      </w:r>
      <w:r w:rsidRPr="00F91E87">
        <w:rPr>
          <w:rFonts w:hint="eastAsia"/>
        </w:rPr>
        <w:t>億元，較</w:t>
      </w:r>
      <w:r w:rsidR="00357E8F">
        <w:rPr>
          <w:rFonts w:hint="eastAsia"/>
        </w:rPr>
        <w:t>上</w:t>
      </w:r>
      <w:r w:rsidRPr="00F91E87">
        <w:rPr>
          <w:rFonts w:hint="eastAsia"/>
        </w:rPr>
        <w:t>年同月增加</w:t>
      </w:r>
      <w:r w:rsidRPr="00F91E87">
        <w:rPr>
          <w:rFonts w:hint="eastAsia"/>
        </w:rPr>
        <w:t>3.0</w:t>
      </w:r>
      <w:r w:rsidRPr="00F91E87">
        <w:rPr>
          <w:rFonts w:hint="eastAsia"/>
        </w:rPr>
        <w:t>％，其中食品、飲料及菸草製品零售業因</w:t>
      </w:r>
      <w:r w:rsidRPr="00F91E87">
        <w:rPr>
          <w:rFonts w:hint="eastAsia"/>
        </w:rPr>
        <w:t>6</w:t>
      </w:r>
      <w:r w:rsidRPr="00F91E87">
        <w:rPr>
          <w:rFonts w:hint="eastAsia"/>
        </w:rPr>
        <w:t>月天氣炎熱，冰品、飲品等消暑商品熱銷，推升營收成長</w:t>
      </w:r>
      <w:r w:rsidRPr="00F91E87">
        <w:rPr>
          <w:rFonts w:hint="eastAsia"/>
        </w:rPr>
        <w:t>11.0</w:t>
      </w:r>
      <w:r>
        <w:rPr>
          <w:rFonts w:hint="eastAsia"/>
        </w:rPr>
        <w:t>％</w:t>
      </w:r>
      <w:r w:rsidRPr="00F91E87">
        <w:rPr>
          <w:rFonts w:hint="eastAsia"/>
        </w:rPr>
        <w:t>最多；無店面零售業因民眾消費習慣改變及</w:t>
      </w:r>
      <w:r w:rsidR="00F47D25" w:rsidRPr="00F91E87">
        <w:rPr>
          <w:rFonts w:hint="eastAsia"/>
        </w:rPr>
        <w:t>氣候</w:t>
      </w:r>
      <w:r w:rsidRPr="00F91E87">
        <w:rPr>
          <w:rFonts w:hint="eastAsia"/>
        </w:rPr>
        <w:t>炎熱減少外出，帶動網購業績持續攀升，年增</w:t>
      </w:r>
      <w:r w:rsidRPr="00F91E87">
        <w:rPr>
          <w:rFonts w:hint="eastAsia"/>
        </w:rPr>
        <w:t>6.6</w:t>
      </w:r>
      <w:r>
        <w:rPr>
          <w:rFonts w:hint="eastAsia"/>
        </w:rPr>
        <w:t>％</w:t>
      </w:r>
      <w:r w:rsidRPr="00F91E87">
        <w:rPr>
          <w:rFonts w:hint="eastAsia"/>
        </w:rPr>
        <w:t>。累計</w:t>
      </w:r>
      <w:r w:rsidRPr="00F91E87">
        <w:rPr>
          <w:rFonts w:hint="eastAsia"/>
        </w:rPr>
        <w:t>1</w:t>
      </w:r>
      <w:r w:rsidRPr="00F91E87">
        <w:rPr>
          <w:rFonts w:hint="eastAsia"/>
        </w:rPr>
        <w:t>至</w:t>
      </w:r>
      <w:r w:rsidRPr="00F91E87">
        <w:rPr>
          <w:rFonts w:hint="eastAsia"/>
        </w:rPr>
        <w:t>6</w:t>
      </w:r>
      <w:r w:rsidRPr="00F91E87">
        <w:rPr>
          <w:rFonts w:hint="eastAsia"/>
        </w:rPr>
        <w:t>月零售業營業額</w:t>
      </w:r>
      <w:r w:rsidRPr="00F91E87">
        <w:rPr>
          <w:rFonts w:hint="eastAsia"/>
        </w:rPr>
        <w:t>18,910</w:t>
      </w:r>
      <w:r w:rsidRPr="00F91E87">
        <w:rPr>
          <w:rFonts w:hint="eastAsia"/>
        </w:rPr>
        <w:t>億元，較</w:t>
      </w:r>
      <w:r w:rsidR="00357E8F">
        <w:rPr>
          <w:rFonts w:hint="eastAsia"/>
        </w:rPr>
        <w:t>上</w:t>
      </w:r>
      <w:r w:rsidRPr="00F91E87">
        <w:rPr>
          <w:rFonts w:hint="eastAsia"/>
        </w:rPr>
        <w:t>年同期增加</w:t>
      </w:r>
      <w:r w:rsidRPr="00F91E87">
        <w:rPr>
          <w:rFonts w:hint="eastAsia"/>
        </w:rPr>
        <w:t>1.1</w:t>
      </w:r>
      <w:r w:rsidRPr="00F91E87">
        <w:rPr>
          <w:rFonts w:hint="eastAsia"/>
        </w:rPr>
        <w:t>％。</w:t>
      </w:r>
    </w:p>
    <w:p w:rsidR="00345470" w:rsidRPr="00F91E87" w:rsidRDefault="00345470" w:rsidP="00A47840">
      <w:pPr>
        <w:snapToGrid w:val="0"/>
        <w:spacing w:beforeLines="100" w:before="360" w:afterLines="50" w:after="180" w:line="300" w:lineRule="auto"/>
        <w:ind w:right="-153"/>
        <w:jc w:val="center"/>
        <w:rPr>
          <w:rFonts w:eastAsia="標楷體"/>
        </w:rPr>
      </w:pPr>
      <w:r w:rsidRPr="00F91E87">
        <w:rPr>
          <w:rFonts w:eastAsia="標楷體"/>
          <w:b/>
          <w:sz w:val="28"/>
        </w:rPr>
        <w:lastRenderedPageBreak/>
        <w:t>表</w:t>
      </w:r>
      <w:r w:rsidRPr="00F91E87">
        <w:rPr>
          <w:rFonts w:eastAsia="標楷體"/>
          <w:b/>
          <w:sz w:val="28"/>
        </w:rPr>
        <w:t xml:space="preserve">2-3-3  </w:t>
      </w:r>
      <w:r w:rsidRPr="00F91E87">
        <w:rPr>
          <w:rFonts w:eastAsia="標楷體"/>
          <w:b/>
          <w:sz w:val="28"/>
        </w:rPr>
        <w:t>零售業營業額變動概況</w:t>
      </w:r>
      <w:r w:rsidRPr="00F91E87">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F91E87" w:rsidRPr="00E44E09" w:rsidTr="00701C17">
        <w:trPr>
          <w:jc w:val="center"/>
        </w:trPr>
        <w:tc>
          <w:tcPr>
            <w:tcW w:w="2997" w:type="dxa"/>
            <w:tcBorders>
              <w:top w:val="single" w:sz="4" w:space="0" w:color="auto"/>
              <w:bottom w:val="single" w:sz="4" w:space="0" w:color="auto"/>
              <w:right w:val="single" w:sz="4" w:space="0" w:color="auto"/>
            </w:tcBorders>
            <w:vAlign w:val="center"/>
          </w:tcPr>
          <w:p w:rsidR="00F91E87" w:rsidRPr="00E44E09" w:rsidRDefault="00F91E87" w:rsidP="00701C17">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F91E87" w:rsidRPr="00E44E09" w:rsidRDefault="00F91E87" w:rsidP="00701C17">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6</w:t>
            </w:r>
            <w:r w:rsidRPr="00E44E09">
              <w:rPr>
                <w:rFonts w:eastAsia="標楷體"/>
              </w:rPr>
              <w:t>月</w:t>
            </w:r>
          </w:p>
          <w:p w:rsidR="00F91E87" w:rsidRPr="00E44E09" w:rsidRDefault="00F91E87" w:rsidP="00701C17">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F91E87" w:rsidRPr="00E44E09" w:rsidRDefault="00F91E87" w:rsidP="00701C17">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6</w:t>
            </w:r>
            <w:r w:rsidRPr="00E44E09">
              <w:rPr>
                <w:rFonts w:eastAsia="標楷體"/>
              </w:rPr>
              <w:t>月</w:t>
            </w:r>
          </w:p>
          <w:p w:rsidR="00F91E87" w:rsidRPr="00E44E09" w:rsidRDefault="00F91E87" w:rsidP="00701C17">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F91E87" w:rsidRPr="00E44E09" w:rsidTr="00701C17">
        <w:trPr>
          <w:trHeight w:val="315"/>
          <w:jc w:val="center"/>
        </w:trPr>
        <w:tc>
          <w:tcPr>
            <w:tcW w:w="2997" w:type="dxa"/>
            <w:tcBorders>
              <w:top w:val="single" w:sz="4" w:space="0" w:color="auto"/>
              <w:right w:val="single" w:sz="4" w:space="0" w:color="auto"/>
            </w:tcBorders>
          </w:tcPr>
          <w:p w:rsidR="00F91E87" w:rsidRPr="00E44E09" w:rsidRDefault="00F91E87" w:rsidP="00701C17">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F91E87" w:rsidRPr="00FD2B44" w:rsidRDefault="00F91E87" w:rsidP="00701C17">
            <w:pPr>
              <w:jc w:val="center"/>
            </w:pPr>
            <w:r w:rsidRPr="00FD2B44">
              <w:rPr>
                <w:rFonts w:hint="eastAsia"/>
              </w:rPr>
              <w:t>-0.1</w:t>
            </w:r>
          </w:p>
        </w:tc>
        <w:tc>
          <w:tcPr>
            <w:tcW w:w="2721" w:type="dxa"/>
            <w:tcBorders>
              <w:top w:val="single" w:sz="4" w:space="0" w:color="auto"/>
            </w:tcBorders>
          </w:tcPr>
          <w:p w:rsidR="00F91E87" w:rsidRPr="00FD2B44" w:rsidRDefault="00F91E87" w:rsidP="00701C17">
            <w:pPr>
              <w:jc w:val="center"/>
            </w:pPr>
            <w:r w:rsidRPr="00FD2B44">
              <w:rPr>
                <w:rFonts w:hint="eastAsia"/>
              </w:rPr>
              <w:t>3.0</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F91E87" w:rsidRPr="00FD2B44" w:rsidRDefault="00F91E87" w:rsidP="00701C17">
            <w:pPr>
              <w:jc w:val="center"/>
            </w:pPr>
            <w:r w:rsidRPr="00FD2B44">
              <w:rPr>
                <w:rFonts w:hint="eastAsia"/>
              </w:rPr>
              <w:t>-1.0</w:t>
            </w:r>
          </w:p>
        </w:tc>
        <w:tc>
          <w:tcPr>
            <w:tcW w:w="2721" w:type="dxa"/>
          </w:tcPr>
          <w:p w:rsidR="00F91E87" w:rsidRPr="00FD2B44" w:rsidRDefault="00F91E87" w:rsidP="00701C17">
            <w:pPr>
              <w:jc w:val="center"/>
            </w:pPr>
            <w:r w:rsidRPr="00FD2B44">
              <w:rPr>
                <w:rFonts w:hint="eastAsia"/>
              </w:rPr>
              <w:t>4.6</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F91E87" w:rsidRPr="00FD2B44" w:rsidRDefault="00F91E87" w:rsidP="00701C17">
            <w:pPr>
              <w:jc w:val="center"/>
            </w:pPr>
            <w:r w:rsidRPr="00FD2B44">
              <w:rPr>
                <w:rFonts w:hint="eastAsia"/>
              </w:rPr>
              <w:t>3.2</w:t>
            </w:r>
          </w:p>
        </w:tc>
        <w:tc>
          <w:tcPr>
            <w:tcW w:w="2721" w:type="dxa"/>
          </w:tcPr>
          <w:p w:rsidR="00F91E87" w:rsidRPr="00FD2B44" w:rsidRDefault="00F91E87" w:rsidP="00701C17">
            <w:pPr>
              <w:jc w:val="center"/>
            </w:pPr>
            <w:r w:rsidRPr="00FD2B44">
              <w:rPr>
                <w:rFonts w:hint="eastAsia"/>
              </w:rPr>
              <w:t>1.5</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F91E87" w:rsidRPr="00FD2B44" w:rsidRDefault="00F91E87" w:rsidP="00701C17">
            <w:pPr>
              <w:jc w:val="center"/>
            </w:pPr>
            <w:r w:rsidRPr="00FD2B44">
              <w:rPr>
                <w:rFonts w:hint="eastAsia"/>
              </w:rPr>
              <w:t>-1.0</w:t>
            </w:r>
          </w:p>
        </w:tc>
        <w:tc>
          <w:tcPr>
            <w:tcW w:w="2721" w:type="dxa"/>
          </w:tcPr>
          <w:p w:rsidR="00F91E87" w:rsidRPr="00FD2B44" w:rsidRDefault="00F91E87" w:rsidP="00701C17">
            <w:pPr>
              <w:jc w:val="center"/>
            </w:pPr>
            <w:r w:rsidRPr="00FD2B44">
              <w:rPr>
                <w:rFonts w:hint="eastAsia"/>
              </w:rPr>
              <w:t>11.0</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F91E87" w:rsidRPr="00FD2B44" w:rsidRDefault="00F91E87" w:rsidP="00701C17">
            <w:pPr>
              <w:jc w:val="center"/>
            </w:pPr>
            <w:r w:rsidRPr="00FD2B44">
              <w:rPr>
                <w:rFonts w:hint="eastAsia"/>
              </w:rPr>
              <w:t>0.6</w:t>
            </w:r>
          </w:p>
        </w:tc>
        <w:tc>
          <w:tcPr>
            <w:tcW w:w="2721" w:type="dxa"/>
          </w:tcPr>
          <w:p w:rsidR="00F91E87" w:rsidRPr="00FD2B44" w:rsidRDefault="00F91E87" w:rsidP="00701C17">
            <w:pPr>
              <w:jc w:val="center"/>
            </w:pPr>
            <w:r w:rsidRPr="00FD2B44">
              <w:rPr>
                <w:rFonts w:hint="eastAsia"/>
              </w:rPr>
              <w:t>-0.7</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F91E87" w:rsidRPr="00FD2B44" w:rsidRDefault="00F91E87" w:rsidP="00701C17">
            <w:pPr>
              <w:jc w:val="center"/>
            </w:pPr>
            <w:r w:rsidRPr="00FD2B44">
              <w:rPr>
                <w:rFonts w:hint="eastAsia"/>
              </w:rPr>
              <w:t>0.0</w:t>
            </w:r>
          </w:p>
        </w:tc>
        <w:tc>
          <w:tcPr>
            <w:tcW w:w="2721" w:type="dxa"/>
          </w:tcPr>
          <w:p w:rsidR="00F91E87" w:rsidRPr="00FD2B44" w:rsidRDefault="00F91E87" w:rsidP="00701C17">
            <w:pPr>
              <w:jc w:val="center"/>
            </w:pPr>
            <w:r w:rsidRPr="00FD2B44">
              <w:rPr>
                <w:rFonts w:hint="eastAsia"/>
              </w:rPr>
              <w:t>4.9</w:t>
            </w:r>
          </w:p>
        </w:tc>
      </w:tr>
      <w:tr w:rsidR="00F91E87" w:rsidRPr="00E44E09" w:rsidTr="00701C17">
        <w:trPr>
          <w:trHeight w:val="315"/>
          <w:jc w:val="center"/>
        </w:trPr>
        <w:tc>
          <w:tcPr>
            <w:tcW w:w="2997" w:type="dxa"/>
            <w:tcBorders>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F91E87" w:rsidRPr="00FD2B44" w:rsidRDefault="00F91E87" w:rsidP="00701C17">
            <w:pPr>
              <w:jc w:val="center"/>
            </w:pPr>
            <w:r w:rsidRPr="00FD2B44">
              <w:rPr>
                <w:rFonts w:hint="eastAsia"/>
              </w:rPr>
              <w:t>-9.1</w:t>
            </w:r>
          </w:p>
        </w:tc>
        <w:tc>
          <w:tcPr>
            <w:tcW w:w="2721" w:type="dxa"/>
          </w:tcPr>
          <w:p w:rsidR="00F91E87" w:rsidRPr="00FD2B44" w:rsidRDefault="00F91E87" w:rsidP="00701C17">
            <w:pPr>
              <w:jc w:val="center"/>
            </w:pPr>
            <w:r w:rsidRPr="00FD2B44">
              <w:rPr>
                <w:rFonts w:hint="eastAsia"/>
              </w:rPr>
              <w:t>6.6</w:t>
            </w:r>
          </w:p>
        </w:tc>
      </w:tr>
      <w:tr w:rsidR="00F91E87" w:rsidRPr="00E44E09" w:rsidTr="00701C17">
        <w:trPr>
          <w:trHeight w:val="315"/>
          <w:jc w:val="center"/>
        </w:trPr>
        <w:tc>
          <w:tcPr>
            <w:tcW w:w="2997" w:type="dxa"/>
            <w:tcBorders>
              <w:bottom w:val="single" w:sz="4" w:space="0" w:color="auto"/>
              <w:right w:val="single" w:sz="4" w:space="0" w:color="auto"/>
            </w:tcBorders>
            <w:vAlign w:val="bottom"/>
          </w:tcPr>
          <w:p w:rsidR="00F91E87" w:rsidRPr="00E44E09" w:rsidRDefault="00F91E87" w:rsidP="00701C17">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F91E87" w:rsidRPr="00FD2B44" w:rsidRDefault="00F91E87" w:rsidP="00701C17">
            <w:pPr>
              <w:jc w:val="center"/>
            </w:pPr>
            <w:r w:rsidRPr="00FD2B44">
              <w:rPr>
                <w:rFonts w:hint="eastAsia"/>
              </w:rPr>
              <w:t>2.3</w:t>
            </w:r>
          </w:p>
        </w:tc>
        <w:tc>
          <w:tcPr>
            <w:tcW w:w="2721" w:type="dxa"/>
            <w:tcBorders>
              <w:bottom w:val="single" w:sz="4" w:space="0" w:color="auto"/>
            </w:tcBorders>
          </w:tcPr>
          <w:p w:rsidR="00F91E87" w:rsidRPr="00FD2B44" w:rsidRDefault="00F91E87" w:rsidP="00701C17">
            <w:pPr>
              <w:jc w:val="center"/>
            </w:pPr>
            <w:r w:rsidRPr="00FD2B44">
              <w:rPr>
                <w:rFonts w:hint="eastAsia"/>
              </w:rPr>
              <w:t>-0.8</w:t>
            </w:r>
          </w:p>
        </w:tc>
      </w:tr>
    </w:tbl>
    <w:p w:rsidR="00345470" w:rsidRPr="00F91E87" w:rsidRDefault="00345470" w:rsidP="00345470">
      <w:pPr>
        <w:snapToGrid w:val="0"/>
        <w:spacing w:line="320" w:lineRule="exact"/>
        <w:ind w:right="-142"/>
        <w:jc w:val="both"/>
        <w:rPr>
          <w:rFonts w:eastAsia="標楷體"/>
          <w:bCs/>
          <w:sz w:val="22"/>
          <w:szCs w:val="22"/>
        </w:rPr>
      </w:pPr>
      <w:proofErr w:type="gramStart"/>
      <w:r w:rsidRPr="00F91E87">
        <w:rPr>
          <w:rFonts w:eastAsia="標楷體"/>
          <w:bCs/>
          <w:sz w:val="22"/>
          <w:szCs w:val="22"/>
        </w:rPr>
        <w:t>註</w:t>
      </w:r>
      <w:proofErr w:type="gramEnd"/>
      <w:r w:rsidRPr="00F91E87">
        <w:rPr>
          <w:rFonts w:eastAsia="標楷體"/>
          <w:bCs/>
          <w:sz w:val="22"/>
          <w:szCs w:val="22"/>
        </w:rPr>
        <w:t>：其他零售業包含家庭器具及用品零售業、布</w:t>
      </w:r>
      <w:proofErr w:type="gramStart"/>
      <w:r w:rsidRPr="00F91E87">
        <w:rPr>
          <w:rFonts w:eastAsia="標楷體"/>
          <w:bCs/>
          <w:sz w:val="22"/>
          <w:szCs w:val="22"/>
        </w:rPr>
        <w:t>疋</w:t>
      </w:r>
      <w:proofErr w:type="gramEnd"/>
      <w:r w:rsidRPr="00F91E87">
        <w:rPr>
          <w:rFonts w:eastAsia="標楷體"/>
          <w:bCs/>
          <w:sz w:val="22"/>
          <w:szCs w:val="22"/>
        </w:rPr>
        <w:t>服飾品零售業等</w:t>
      </w:r>
      <w:r w:rsidRPr="00F91E87">
        <w:rPr>
          <w:rFonts w:eastAsia="標楷體"/>
          <w:bCs/>
          <w:sz w:val="22"/>
          <w:szCs w:val="22"/>
        </w:rPr>
        <w:t>6</w:t>
      </w:r>
      <w:r w:rsidRPr="00F91E87">
        <w:rPr>
          <w:rFonts w:eastAsia="標楷體"/>
          <w:bCs/>
          <w:sz w:val="22"/>
          <w:szCs w:val="22"/>
        </w:rPr>
        <w:t>項中業別。</w:t>
      </w:r>
    </w:p>
    <w:p w:rsidR="008D5624" w:rsidRPr="00F91E87" w:rsidRDefault="00345470" w:rsidP="00187900">
      <w:pPr>
        <w:snapToGrid w:val="0"/>
        <w:spacing w:line="320" w:lineRule="exact"/>
        <w:ind w:right="-142"/>
        <w:jc w:val="both"/>
      </w:pPr>
      <w:r w:rsidRPr="00F91E87">
        <w:rPr>
          <w:rFonts w:eastAsia="標楷體"/>
          <w:sz w:val="22"/>
          <w:szCs w:val="22"/>
        </w:rPr>
        <w:t>資料來源：經濟部統計處。</w:t>
      </w:r>
    </w:p>
    <w:p w:rsidR="00345470" w:rsidRPr="00F91E87" w:rsidRDefault="00F91E87" w:rsidP="00B86F73">
      <w:pPr>
        <w:pStyle w:val="k32"/>
        <w:topLinePunct/>
        <w:spacing w:beforeLines="100" w:before="360"/>
        <w:ind w:left="0" w:rightChars="-59"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月綜合商品零售業營業額</w:t>
      </w:r>
      <w:r w:rsidRPr="00F91E87">
        <w:rPr>
          <w:rFonts w:hint="eastAsia"/>
        </w:rPr>
        <w:t>847</w:t>
      </w:r>
      <w:r w:rsidRPr="00F91E87">
        <w:rPr>
          <w:rFonts w:hint="eastAsia"/>
        </w:rPr>
        <w:t>億元，較</w:t>
      </w:r>
      <w:r w:rsidR="00357E8F">
        <w:rPr>
          <w:rFonts w:hint="eastAsia"/>
        </w:rPr>
        <w:t>上</w:t>
      </w:r>
      <w:r w:rsidRPr="00F91E87">
        <w:rPr>
          <w:rFonts w:hint="eastAsia"/>
        </w:rPr>
        <w:t>年同月增加</w:t>
      </w:r>
      <w:r w:rsidRPr="00F91E87">
        <w:rPr>
          <w:rFonts w:hint="eastAsia"/>
        </w:rPr>
        <w:t>4.6</w:t>
      </w:r>
      <w:r w:rsidRPr="00F91E87">
        <w:rPr>
          <w:rFonts w:hint="eastAsia"/>
        </w:rPr>
        <w:t>％，其中百貨公司成長</w:t>
      </w:r>
      <w:r w:rsidRPr="00F91E87">
        <w:rPr>
          <w:rFonts w:hint="eastAsia"/>
        </w:rPr>
        <w:t>11.1</w:t>
      </w:r>
      <w:r>
        <w:rPr>
          <w:rFonts w:hint="eastAsia"/>
        </w:rPr>
        <w:t>％</w:t>
      </w:r>
      <w:r w:rsidRPr="00F91E87">
        <w:rPr>
          <w:rFonts w:hint="eastAsia"/>
        </w:rPr>
        <w:t>最多，主因</w:t>
      </w:r>
      <w:r w:rsidR="00F47D25">
        <w:rPr>
          <w:rFonts w:hint="eastAsia"/>
        </w:rPr>
        <w:t>戶</w:t>
      </w:r>
      <w:r w:rsidR="00357E8F">
        <w:rPr>
          <w:rFonts w:hint="eastAsia"/>
        </w:rPr>
        <w:t>外</w:t>
      </w:r>
      <w:r w:rsidRPr="00F91E87">
        <w:rPr>
          <w:rFonts w:hint="eastAsia"/>
        </w:rPr>
        <w:t>悶熱及年中慶加碼促銷雙重效應，帶動人潮及消費力，</w:t>
      </w:r>
      <w:proofErr w:type="gramStart"/>
      <w:r w:rsidRPr="00F91E87">
        <w:rPr>
          <w:rFonts w:hint="eastAsia"/>
        </w:rPr>
        <w:t>挹注營</w:t>
      </w:r>
      <w:proofErr w:type="gramEnd"/>
      <w:r w:rsidRPr="00F91E87">
        <w:rPr>
          <w:rFonts w:hint="eastAsia"/>
        </w:rPr>
        <w:t>收成長；</w:t>
      </w:r>
      <w:proofErr w:type="gramStart"/>
      <w:r w:rsidRPr="00F91E87">
        <w:rPr>
          <w:rFonts w:hint="eastAsia"/>
        </w:rPr>
        <w:t>超級市場因展店</w:t>
      </w:r>
      <w:proofErr w:type="gramEnd"/>
      <w:r w:rsidRPr="00F91E87">
        <w:rPr>
          <w:rFonts w:hint="eastAsia"/>
        </w:rPr>
        <w:t>及消暑商品貢獻，年增</w:t>
      </w:r>
      <w:r w:rsidRPr="00F91E87">
        <w:rPr>
          <w:rFonts w:hint="eastAsia"/>
        </w:rPr>
        <w:t>5.8</w:t>
      </w:r>
      <w:r>
        <w:rPr>
          <w:rFonts w:hint="eastAsia"/>
        </w:rPr>
        <w:t>％</w:t>
      </w:r>
      <w:r w:rsidRPr="00F91E87">
        <w:rPr>
          <w:rFonts w:hint="eastAsia"/>
        </w:rPr>
        <w:t>居次；便利商店、量販店亦在飲料、冰品業績帶動下，分別成長</w:t>
      </w:r>
      <w:r w:rsidRPr="00F91E87">
        <w:rPr>
          <w:rFonts w:hint="eastAsia"/>
        </w:rPr>
        <w:t>2.0</w:t>
      </w:r>
      <w:r>
        <w:rPr>
          <w:rFonts w:hint="eastAsia"/>
        </w:rPr>
        <w:t>％</w:t>
      </w:r>
      <w:r w:rsidRPr="00F91E87">
        <w:rPr>
          <w:rFonts w:hint="eastAsia"/>
        </w:rPr>
        <w:t>、</w:t>
      </w:r>
      <w:r w:rsidRPr="00F91E87">
        <w:rPr>
          <w:rFonts w:hint="eastAsia"/>
        </w:rPr>
        <w:t>1.7</w:t>
      </w:r>
      <w:r>
        <w:rPr>
          <w:rFonts w:hint="eastAsia"/>
        </w:rPr>
        <w:t>％</w:t>
      </w:r>
      <w:r w:rsidRPr="00F91E87">
        <w:rPr>
          <w:rFonts w:hint="eastAsia"/>
        </w:rPr>
        <w:t>。累計</w:t>
      </w:r>
      <w:r w:rsidRPr="00F91E87">
        <w:rPr>
          <w:rFonts w:hint="eastAsia"/>
        </w:rPr>
        <w:t>1</w:t>
      </w:r>
      <w:r w:rsidRPr="00F91E87">
        <w:rPr>
          <w:rFonts w:hint="eastAsia"/>
        </w:rPr>
        <w:t>至</w:t>
      </w:r>
      <w:r w:rsidRPr="00F91E87">
        <w:rPr>
          <w:rFonts w:hint="eastAsia"/>
        </w:rPr>
        <w:t>6</w:t>
      </w:r>
      <w:r w:rsidRPr="00F91E87">
        <w:rPr>
          <w:rFonts w:hint="eastAsia"/>
        </w:rPr>
        <w:t>月綜合商品零售業較</w:t>
      </w:r>
      <w:r w:rsidR="00357E8F">
        <w:rPr>
          <w:rFonts w:hint="eastAsia"/>
        </w:rPr>
        <w:t>上</w:t>
      </w:r>
      <w:r w:rsidRPr="00F91E87">
        <w:rPr>
          <w:rFonts w:hint="eastAsia"/>
        </w:rPr>
        <w:t>年同期增加</w:t>
      </w:r>
      <w:r w:rsidRPr="00F91E87">
        <w:rPr>
          <w:rFonts w:hint="eastAsia"/>
        </w:rPr>
        <w:t>1.9</w:t>
      </w:r>
      <w:r w:rsidRPr="00F91E87">
        <w:rPr>
          <w:rFonts w:hint="eastAsia"/>
        </w:rPr>
        <w:t>％。</w:t>
      </w:r>
    </w:p>
    <w:p w:rsidR="00345470" w:rsidRPr="00F91E87" w:rsidRDefault="00345470" w:rsidP="00345470">
      <w:pPr>
        <w:spacing w:beforeLines="50" w:before="180" w:afterLines="50" w:after="180" w:line="380" w:lineRule="exact"/>
        <w:jc w:val="center"/>
        <w:textDirection w:val="lrTbV"/>
        <w:rPr>
          <w:rFonts w:eastAsia="標楷體"/>
          <w:b/>
          <w:sz w:val="28"/>
        </w:rPr>
      </w:pPr>
      <w:r w:rsidRPr="00F91E87">
        <w:rPr>
          <w:rFonts w:eastAsia="標楷體"/>
          <w:b/>
          <w:sz w:val="28"/>
        </w:rPr>
        <w:t xml:space="preserve">　表</w:t>
      </w:r>
      <w:r w:rsidRPr="00F91E87">
        <w:rPr>
          <w:rFonts w:eastAsia="標楷體"/>
          <w:b/>
          <w:sz w:val="28"/>
        </w:rPr>
        <w:t xml:space="preserve">2-3-4  </w:t>
      </w:r>
      <w:r w:rsidRPr="00F91E87">
        <w:rPr>
          <w:rFonts w:eastAsia="標楷體"/>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F91E87" w:rsidRPr="00E44E09" w:rsidTr="00701C17">
        <w:trPr>
          <w:cantSplit/>
          <w:trHeight w:val="50"/>
          <w:jc w:val="center"/>
        </w:trPr>
        <w:tc>
          <w:tcPr>
            <w:tcW w:w="1650" w:type="pct"/>
            <w:tcBorders>
              <w:top w:val="single" w:sz="8" w:space="0" w:color="000000"/>
              <w:right w:val="single" w:sz="8" w:space="0" w:color="auto"/>
            </w:tcBorders>
          </w:tcPr>
          <w:p w:rsidR="00F91E87" w:rsidRPr="00E44E09" w:rsidRDefault="00F91E87" w:rsidP="00701C17">
            <w:pPr>
              <w:pStyle w:val="af"/>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F91E87" w:rsidRPr="00E44E09" w:rsidRDefault="00F91E87" w:rsidP="00701C17">
            <w:pPr>
              <w:pStyle w:val="af"/>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6</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F91E87" w:rsidRPr="00E44E09" w:rsidRDefault="00F91E87" w:rsidP="00701C17">
            <w:pPr>
              <w:pStyle w:val="af"/>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F91E87" w:rsidRPr="00E44E09" w:rsidRDefault="00F91E87" w:rsidP="00701C17">
            <w:pPr>
              <w:pStyle w:val="af"/>
              <w:snapToGrid w:val="0"/>
              <w:spacing w:before="0"/>
              <w:ind w:left="28" w:right="28" w:firstLine="0"/>
              <w:jc w:val="center"/>
              <w:rPr>
                <w:rFonts w:ascii="Times New Roman" w:eastAsia="標楷體" w:hAnsi="Times New Roman"/>
                <w:spacing w:val="0"/>
                <w:kern w:val="0"/>
                <w:sz w:val="24"/>
                <w:szCs w:val="24"/>
              </w:rPr>
            </w:pPr>
          </w:p>
        </w:tc>
      </w:tr>
      <w:tr w:rsidR="00F91E87" w:rsidRPr="00E44E09" w:rsidTr="00701C17">
        <w:trPr>
          <w:cantSplit/>
          <w:jc w:val="center"/>
        </w:trPr>
        <w:tc>
          <w:tcPr>
            <w:tcW w:w="1650" w:type="pct"/>
            <w:tcBorders>
              <w:bottom w:val="single" w:sz="6" w:space="0" w:color="auto"/>
              <w:right w:val="single" w:sz="8" w:space="0" w:color="auto"/>
            </w:tcBorders>
          </w:tcPr>
          <w:p w:rsidR="00F91E87" w:rsidRPr="00E44E09" w:rsidRDefault="00F91E87" w:rsidP="00701C17">
            <w:pPr>
              <w:pStyle w:val="af"/>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F91E87" w:rsidRPr="00E44E09" w:rsidRDefault="00F91E87" w:rsidP="00701C17">
            <w:pPr>
              <w:pStyle w:val="af"/>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F91E87" w:rsidRPr="00E44E09" w:rsidRDefault="00F91E87" w:rsidP="00701C17">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F91E87" w:rsidRPr="00E44E09" w:rsidRDefault="00F91E87" w:rsidP="00701C17">
            <w:pPr>
              <w:pStyle w:val="af"/>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F91E87" w:rsidRPr="00E44E09" w:rsidTr="00701C17">
        <w:trPr>
          <w:jc w:val="center"/>
        </w:trPr>
        <w:tc>
          <w:tcPr>
            <w:tcW w:w="1650" w:type="pct"/>
            <w:tcBorders>
              <w:top w:val="single" w:sz="6" w:space="0" w:color="auto"/>
              <w:right w:val="single" w:sz="8" w:space="0" w:color="auto"/>
            </w:tcBorders>
          </w:tcPr>
          <w:p w:rsidR="00F91E87" w:rsidRPr="00E44E09" w:rsidRDefault="00F91E87" w:rsidP="00701C17">
            <w:pPr>
              <w:pStyle w:val="afc"/>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F91E87" w:rsidRPr="00025EE1" w:rsidRDefault="00F91E87" w:rsidP="00701C17">
            <w:pPr>
              <w:jc w:val="center"/>
            </w:pPr>
            <w:r w:rsidRPr="00025EE1">
              <w:t xml:space="preserve">  </w:t>
            </w:r>
            <w:r w:rsidRPr="00025EE1">
              <w:rPr>
                <w:rFonts w:hint="eastAsia"/>
              </w:rPr>
              <w:t>847</w:t>
            </w:r>
          </w:p>
        </w:tc>
        <w:tc>
          <w:tcPr>
            <w:tcW w:w="1100" w:type="pct"/>
            <w:tcBorders>
              <w:top w:val="single" w:sz="6" w:space="0" w:color="auto"/>
            </w:tcBorders>
          </w:tcPr>
          <w:p w:rsidR="00F91E87" w:rsidRPr="00025EE1" w:rsidRDefault="00F91E87" w:rsidP="00701C17">
            <w:pPr>
              <w:jc w:val="center"/>
            </w:pPr>
            <w:r w:rsidRPr="00025EE1">
              <w:rPr>
                <w:rFonts w:hint="eastAsia"/>
              </w:rPr>
              <w:t>-1.0</w:t>
            </w:r>
          </w:p>
        </w:tc>
        <w:tc>
          <w:tcPr>
            <w:tcW w:w="1082" w:type="pct"/>
            <w:tcBorders>
              <w:top w:val="single" w:sz="6" w:space="0" w:color="auto"/>
            </w:tcBorders>
          </w:tcPr>
          <w:p w:rsidR="00F91E87" w:rsidRPr="00025EE1" w:rsidRDefault="00F91E87" w:rsidP="00701C17">
            <w:pPr>
              <w:jc w:val="center"/>
            </w:pPr>
            <w:r w:rsidRPr="00025EE1">
              <w:rPr>
                <w:rFonts w:hint="eastAsia"/>
              </w:rPr>
              <w:t>4</w:t>
            </w:r>
            <w:r w:rsidRPr="00025EE1">
              <w:t>.</w:t>
            </w:r>
            <w:r w:rsidRPr="00025EE1">
              <w:rPr>
                <w:rFonts w:hint="eastAsia"/>
              </w:rPr>
              <w:t>6</w:t>
            </w:r>
          </w:p>
        </w:tc>
      </w:tr>
      <w:tr w:rsidR="00F91E87" w:rsidRPr="00E44E09" w:rsidTr="00701C17">
        <w:trPr>
          <w:jc w:val="center"/>
        </w:trPr>
        <w:tc>
          <w:tcPr>
            <w:tcW w:w="1650" w:type="pct"/>
            <w:tcBorders>
              <w:right w:val="single" w:sz="8" w:space="0" w:color="auto"/>
            </w:tcBorders>
          </w:tcPr>
          <w:p w:rsidR="00F91E87" w:rsidRPr="00E44E09" w:rsidRDefault="00F91E87" w:rsidP="00701C17">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F91E87" w:rsidRPr="00025EE1" w:rsidRDefault="00F91E87" w:rsidP="00701C17">
            <w:pPr>
              <w:jc w:val="center"/>
            </w:pPr>
            <w:r w:rsidRPr="00025EE1">
              <w:t xml:space="preserve">  </w:t>
            </w:r>
            <w:r w:rsidRPr="00025EE1">
              <w:rPr>
                <w:rFonts w:hint="eastAsia"/>
              </w:rPr>
              <w:t>207</w:t>
            </w:r>
          </w:p>
        </w:tc>
        <w:tc>
          <w:tcPr>
            <w:tcW w:w="1100" w:type="pct"/>
          </w:tcPr>
          <w:p w:rsidR="00F91E87" w:rsidRPr="00025EE1" w:rsidRDefault="00F91E87" w:rsidP="00701C17">
            <w:pPr>
              <w:jc w:val="center"/>
            </w:pPr>
            <w:r w:rsidRPr="00025EE1">
              <w:rPr>
                <w:rFonts w:hint="eastAsia"/>
              </w:rPr>
              <w:t>-8</w:t>
            </w:r>
            <w:r w:rsidRPr="00025EE1">
              <w:t>.</w:t>
            </w:r>
            <w:r w:rsidRPr="00025EE1">
              <w:rPr>
                <w:rFonts w:hint="eastAsia"/>
              </w:rPr>
              <w:t>5</w:t>
            </w:r>
          </w:p>
        </w:tc>
        <w:tc>
          <w:tcPr>
            <w:tcW w:w="1082" w:type="pct"/>
          </w:tcPr>
          <w:p w:rsidR="00F91E87" w:rsidRPr="00025EE1" w:rsidRDefault="00F91E87" w:rsidP="00701C17">
            <w:pPr>
              <w:jc w:val="center"/>
            </w:pPr>
            <w:r w:rsidRPr="00025EE1">
              <w:rPr>
                <w:rFonts w:hint="eastAsia"/>
              </w:rPr>
              <w:t>11</w:t>
            </w:r>
            <w:r w:rsidRPr="00025EE1">
              <w:t>.</w:t>
            </w:r>
            <w:r w:rsidRPr="00025EE1">
              <w:rPr>
                <w:rFonts w:hint="eastAsia"/>
              </w:rPr>
              <w:t>1</w:t>
            </w:r>
          </w:p>
        </w:tc>
      </w:tr>
      <w:tr w:rsidR="00F91E87" w:rsidRPr="00E44E09" w:rsidTr="00701C17">
        <w:trPr>
          <w:jc w:val="center"/>
        </w:trPr>
        <w:tc>
          <w:tcPr>
            <w:tcW w:w="1650" w:type="pct"/>
            <w:tcBorders>
              <w:right w:val="single" w:sz="8" w:space="0" w:color="auto"/>
            </w:tcBorders>
          </w:tcPr>
          <w:p w:rsidR="00F91E87" w:rsidRPr="00E44E09" w:rsidRDefault="00F91E87" w:rsidP="00701C17">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F91E87" w:rsidRPr="00025EE1" w:rsidRDefault="00F91E87" w:rsidP="00701C17">
            <w:pPr>
              <w:jc w:val="center"/>
            </w:pPr>
            <w:r w:rsidRPr="00025EE1">
              <w:t xml:space="preserve">  1</w:t>
            </w:r>
            <w:r w:rsidRPr="00025EE1">
              <w:rPr>
                <w:rFonts w:hint="eastAsia"/>
              </w:rPr>
              <w:t>35</w:t>
            </w:r>
          </w:p>
        </w:tc>
        <w:tc>
          <w:tcPr>
            <w:tcW w:w="1100" w:type="pct"/>
          </w:tcPr>
          <w:p w:rsidR="00F91E87" w:rsidRPr="00025EE1" w:rsidRDefault="00F91E87" w:rsidP="00701C17">
            <w:pPr>
              <w:jc w:val="center"/>
            </w:pPr>
            <w:r w:rsidRPr="00025EE1">
              <w:rPr>
                <w:rFonts w:hint="eastAsia"/>
              </w:rPr>
              <w:t>4</w:t>
            </w:r>
            <w:r w:rsidRPr="00025EE1">
              <w:t>.</w:t>
            </w:r>
            <w:r w:rsidRPr="00025EE1">
              <w:rPr>
                <w:rFonts w:hint="eastAsia"/>
              </w:rPr>
              <w:t>2</w:t>
            </w:r>
          </w:p>
        </w:tc>
        <w:tc>
          <w:tcPr>
            <w:tcW w:w="1082" w:type="pct"/>
          </w:tcPr>
          <w:p w:rsidR="00F91E87" w:rsidRPr="00025EE1" w:rsidRDefault="00F91E87" w:rsidP="00701C17">
            <w:pPr>
              <w:jc w:val="center"/>
            </w:pPr>
            <w:r w:rsidRPr="00025EE1">
              <w:rPr>
                <w:rFonts w:hint="eastAsia"/>
              </w:rPr>
              <w:t>5</w:t>
            </w:r>
            <w:r w:rsidRPr="00025EE1">
              <w:t>.</w:t>
            </w:r>
            <w:r w:rsidRPr="00025EE1">
              <w:rPr>
                <w:rFonts w:hint="eastAsia"/>
              </w:rPr>
              <w:t>8</w:t>
            </w:r>
          </w:p>
        </w:tc>
      </w:tr>
      <w:tr w:rsidR="00F91E87" w:rsidRPr="00E44E09" w:rsidTr="00701C17">
        <w:trPr>
          <w:jc w:val="center"/>
        </w:trPr>
        <w:tc>
          <w:tcPr>
            <w:tcW w:w="1650" w:type="pct"/>
            <w:tcBorders>
              <w:right w:val="single" w:sz="8" w:space="0" w:color="auto"/>
            </w:tcBorders>
          </w:tcPr>
          <w:p w:rsidR="00F91E87" w:rsidRPr="00E44E09" w:rsidRDefault="00F91E87" w:rsidP="00701C17">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F91E87" w:rsidRPr="00025EE1" w:rsidRDefault="00F91E87" w:rsidP="00701C17">
            <w:pPr>
              <w:jc w:val="center"/>
            </w:pPr>
            <w:r w:rsidRPr="00025EE1">
              <w:t xml:space="preserve">  2</w:t>
            </w:r>
            <w:r w:rsidRPr="00025EE1">
              <w:rPr>
                <w:rFonts w:hint="eastAsia"/>
              </w:rPr>
              <w:t>35</w:t>
            </w:r>
          </w:p>
        </w:tc>
        <w:tc>
          <w:tcPr>
            <w:tcW w:w="1100" w:type="pct"/>
          </w:tcPr>
          <w:p w:rsidR="00F91E87" w:rsidRPr="00025EE1" w:rsidRDefault="00F91E87" w:rsidP="00701C17">
            <w:pPr>
              <w:jc w:val="center"/>
            </w:pPr>
            <w:r w:rsidRPr="00025EE1">
              <w:rPr>
                <w:rFonts w:hint="eastAsia"/>
              </w:rPr>
              <w:t>0.2</w:t>
            </w:r>
          </w:p>
        </w:tc>
        <w:tc>
          <w:tcPr>
            <w:tcW w:w="1082" w:type="pct"/>
          </w:tcPr>
          <w:p w:rsidR="00F91E87" w:rsidRPr="00025EE1" w:rsidRDefault="00F91E87" w:rsidP="00701C17">
            <w:pPr>
              <w:jc w:val="center"/>
            </w:pPr>
            <w:r w:rsidRPr="00025EE1">
              <w:rPr>
                <w:rFonts w:hint="eastAsia"/>
              </w:rPr>
              <w:t>2.0</w:t>
            </w:r>
          </w:p>
        </w:tc>
      </w:tr>
      <w:tr w:rsidR="00F91E87" w:rsidRPr="00E44E09" w:rsidTr="00701C17">
        <w:trPr>
          <w:jc w:val="center"/>
        </w:trPr>
        <w:tc>
          <w:tcPr>
            <w:tcW w:w="1650" w:type="pct"/>
            <w:tcBorders>
              <w:right w:val="single" w:sz="8" w:space="0" w:color="auto"/>
            </w:tcBorders>
          </w:tcPr>
          <w:p w:rsidR="00F91E87" w:rsidRPr="00E44E09" w:rsidRDefault="00F91E87" w:rsidP="00701C17">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F91E87" w:rsidRPr="00025EE1" w:rsidRDefault="00F91E87" w:rsidP="00701C17">
            <w:pPr>
              <w:jc w:val="center"/>
            </w:pPr>
            <w:r w:rsidRPr="00025EE1">
              <w:t xml:space="preserve">  1</w:t>
            </w:r>
            <w:r w:rsidRPr="00025EE1">
              <w:rPr>
                <w:rFonts w:hint="eastAsia"/>
              </w:rPr>
              <w:t>37</w:t>
            </w:r>
          </w:p>
        </w:tc>
        <w:tc>
          <w:tcPr>
            <w:tcW w:w="1100" w:type="pct"/>
          </w:tcPr>
          <w:p w:rsidR="00F91E87" w:rsidRPr="00025EE1" w:rsidRDefault="00F91E87" w:rsidP="00701C17">
            <w:pPr>
              <w:jc w:val="center"/>
            </w:pPr>
            <w:r w:rsidRPr="00025EE1">
              <w:rPr>
                <w:rFonts w:hint="eastAsia"/>
              </w:rPr>
              <w:t>0</w:t>
            </w:r>
            <w:r w:rsidRPr="00025EE1">
              <w:t>.</w:t>
            </w:r>
            <w:r w:rsidRPr="00025EE1">
              <w:rPr>
                <w:rFonts w:hint="eastAsia"/>
              </w:rPr>
              <w:t>5</w:t>
            </w:r>
          </w:p>
        </w:tc>
        <w:tc>
          <w:tcPr>
            <w:tcW w:w="1082" w:type="pct"/>
          </w:tcPr>
          <w:p w:rsidR="00F91E87" w:rsidRPr="00025EE1" w:rsidRDefault="00F91E87" w:rsidP="00701C17">
            <w:pPr>
              <w:jc w:val="center"/>
            </w:pPr>
            <w:r w:rsidRPr="00025EE1">
              <w:rPr>
                <w:rFonts w:hint="eastAsia"/>
              </w:rPr>
              <w:t>1</w:t>
            </w:r>
            <w:r w:rsidRPr="00025EE1">
              <w:t>.</w:t>
            </w:r>
            <w:r w:rsidRPr="00025EE1">
              <w:rPr>
                <w:rFonts w:hint="eastAsia"/>
              </w:rPr>
              <w:t>7</w:t>
            </w:r>
          </w:p>
        </w:tc>
      </w:tr>
      <w:tr w:rsidR="00F91E87" w:rsidRPr="00E44E09" w:rsidTr="00701C17">
        <w:trPr>
          <w:jc w:val="center"/>
        </w:trPr>
        <w:tc>
          <w:tcPr>
            <w:tcW w:w="1650" w:type="pct"/>
            <w:tcBorders>
              <w:bottom w:val="single" w:sz="8" w:space="0" w:color="000000"/>
              <w:right w:val="single" w:sz="8" w:space="0" w:color="auto"/>
            </w:tcBorders>
          </w:tcPr>
          <w:p w:rsidR="00F91E87" w:rsidRPr="00E44E09" w:rsidRDefault="00F91E87" w:rsidP="00701C17">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F91E87" w:rsidRPr="00025EE1" w:rsidRDefault="00F91E87" w:rsidP="00701C17">
            <w:pPr>
              <w:jc w:val="center"/>
            </w:pPr>
            <w:r w:rsidRPr="00025EE1">
              <w:t xml:space="preserve">  1</w:t>
            </w:r>
            <w:r w:rsidRPr="00025EE1">
              <w:rPr>
                <w:rFonts w:hint="eastAsia"/>
              </w:rPr>
              <w:t>33</w:t>
            </w:r>
          </w:p>
        </w:tc>
        <w:tc>
          <w:tcPr>
            <w:tcW w:w="1100" w:type="pct"/>
            <w:tcBorders>
              <w:bottom w:val="single" w:sz="8" w:space="0" w:color="000000"/>
            </w:tcBorders>
          </w:tcPr>
          <w:p w:rsidR="00F91E87" w:rsidRPr="00025EE1" w:rsidRDefault="00F91E87" w:rsidP="00701C17">
            <w:pPr>
              <w:jc w:val="center"/>
            </w:pPr>
            <w:r w:rsidRPr="00025EE1">
              <w:rPr>
                <w:rFonts w:hint="eastAsia"/>
              </w:rPr>
              <w:t>3.4</w:t>
            </w:r>
          </w:p>
        </w:tc>
        <w:tc>
          <w:tcPr>
            <w:tcW w:w="1082" w:type="pct"/>
            <w:tcBorders>
              <w:bottom w:val="single" w:sz="8" w:space="0" w:color="000000"/>
            </w:tcBorders>
          </w:tcPr>
          <w:p w:rsidR="00F91E87" w:rsidRPr="00025EE1" w:rsidRDefault="00F91E87" w:rsidP="00701C17">
            <w:pPr>
              <w:jc w:val="center"/>
            </w:pPr>
            <w:r w:rsidRPr="00025EE1">
              <w:rPr>
                <w:rFonts w:hint="eastAsia"/>
              </w:rPr>
              <w:t>1.8</w:t>
            </w:r>
          </w:p>
        </w:tc>
      </w:tr>
    </w:tbl>
    <w:p w:rsidR="008D5624" w:rsidRPr="00F91E87" w:rsidRDefault="00345470" w:rsidP="00187900">
      <w:pPr>
        <w:snapToGrid w:val="0"/>
        <w:spacing w:line="320" w:lineRule="exact"/>
        <w:ind w:right="-142"/>
        <w:jc w:val="both"/>
        <w:rPr>
          <w:rFonts w:eastAsia="標楷體"/>
          <w:b/>
          <w:bCs/>
          <w:kern w:val="0"/>
          <w:sz w:val="28"/>
          <w:szCs w:val="20"/>
        </w:rPr>
      </w:pPr>
      <w:r w:rsidRPr="00F91E87">
        <w:rPr>
          <w:rFonts w:eastAsia="標楷體"/>
          <w:sz w:val="22"/>
          <w:szCs w:val="22"/>
        </w:rPr>
        <w:t>資料來源：經濟部統計處。</w:t>
      </w:r>
      <w:r w:rsidR="008D5624" w:rsidRPr="00F91E87">
        <w:rPr>
          <w:rFonts w:eastAsia="標楷體"/>
          <w:b/>
          <w:bCs/>
          <w:kern w:val="0"/>
          <w:sz w:val="28"/>
          <w:szCs w:val="20"/>
        </w:rPr>
        <w:br w:type="page"/>
      </w:r>
    </w:p>
    <w:p w:rsidR="00345470" w:rsidRPr="00F91E87" w:rsidRDefault="00345470" w:rsidP="00345470">
      <w:pPr>
        <w:pStyle w:val="k3a"/>
        <w:tabs>
          <w:tab w:val="left" w:pos="540"/>
        </w:tabs>
        <w:spacing w:before="180" w:line="300" w:lineRule="auto"/>
        <w:ind w:leftChars="0" w:left="0" w:right="0" w:firstLineChars="0" w:firstLine="0"/>
        <w:rPr>
          <w:b/>
          <w:bCs/>
        </w:rPr>
      </w:pPr>
      <w:r w:rsidRPr="00F91E87">
        <w:rPr>
          <w:b/>
          <w:bCs/>
        </w:rPr>
        <w:lastRenderedPageBreak/>
        <w:t>４、</w:t>
      </w:r>
      <w:r w:rsidR="00F91E87" w:rsidRPr="00F91E87">
        <w:rPr>
          <w:rFonts w:hint="eastAsia"/>
          <w:b/>
          <w:bCs/>
        </w:rPr>
        <w:t>102</w:t>
      </w:r>
      <w:r w:rsidR="00F91E87" w:rsidRPr="00F91E87">
        <w:rPr>
          <w:rFonts w:hint="eastAsia"/>
          <w:b/>
          <w:bCs/>
        </w:rPr>
        <w:t>年</w:t>
      </w:r>
      <w:r w:rsidR="00F91E87" w:rsidRPr="00F91E87">
        <w:rPr>
          <w:rFonts w:hint="eastAsia"/>
          <w:b/>
          <w:bCs/>
        </w:rPr>
        <w:t>6</w:t>
      </w:r>
      <w:r w:rsidR="00F91E87" w:rsidRPr="00F91E87">
        <w:rPr>
          <w:rFonts w:hint="eastAsia"/>
          <w:b/>
          <w:bCs/>
        </w:rPr>
        <w:t>月餐飲業營業額增加</w:t>
      </w:r>
      <w:r w:rsidR="00F91E87" w:rsidRPr="00F91E87">
        <w:rPr>
          <w:rFonts w:hint="eastAsia"/>
          <w:b/>
          <w:bCs/>
        </w:rPr>
        <w:t>3.4</w:t>
      </w:r>
      <w:r w:rsidR="00F91E87" w:rsidRPr="00F91E87">
        <w:rPr>
          <w:rFonts w:hint="eastAsia"/>
          <w:b/>
          <w:bCs/>
        </w:rPr>
        <w:t>％</w:t>
      </w:r>
    </w:p>
    <w:p w:rsidR="00345470" w:rsidRPr="00F91E87" w:rsidRDefault="00F91E87" w:rsidP="00B86F73">
      <w:pPr>
        <w:pStyle w:val="k32"/>
        <w:topLinePunct/>
        <w:ind w:left="0" w:rightChars="-59" w:firstLineChars="202" w:firstLine="566"/>
      </w:pPr>
      <w:r w:rsidRPr="00F91E87">
        <w:rPr>
          <w:rFonts w:hint="eastAsia"/>
        </w:rPr>
        <w:t>102</w:t>
      </w:r>
      <w:r w:rsidRPr="00F91E87">
        <w:rPr>
          <w:rFonts w:hint="eastAsia"/>
        </w:rPr>
        <w:t>年</w:t>
      </w:r>
      <w:r w:rsidRPr="00F91E87">
        <w:rPr>
          <w:rFonts w:hint="eastAsia"/>
        </w:rPr>
        <w:t>6</w:t>
      </w:r>
      <w:r w:rsidRPr="00F91E87">
        <w:rPr>
          <w:rFonts w:hint="eastAsia"/>
        </w:rPr>
        <w:t>月餐飲業營業額</w:t>
      </w:r>
      <w:r w:rsidRPr="00F91E87">
        <w:rPr>
          <w:rFonts w:hint="eastAsia"/>
        </w:rPr>
        <w:t>332</w:t>
      </w:r>
      <w:r w:rsidRPr="00F91E87">
        <w:rPr>
          <w:rFonts w:hint="eastAsia"/>
        </w:rPr>
        <w:t>億元，較</w:t>
      </w:r>
      <w:r w:rsidR="00357E8F">
        <w:rPr>
          <w:rFonts w:hint="eastAsia"/>
        </w:rPr>
        <w:t>上</w:t>
      </w:r>
      <w:r w:rsidRPr="00F91E87">
        <w:rPr>
          <w:rFonts w:hint="eastAsia"/>
        </w:rPr>
        <w:t>年同月增加</w:t>
      </w:r>
      <w:r w:rsidRPr="00F91E87">
        <w:rPr>
          <w:rFonts w:hint="eastAsia"/>
        </w:rPr>
        <w:t>3.4</w:t>
      </w:r>
      <w:r w:rsidRPr="00F91E87">
        <w:rPr>
          <w:rFonts w:hint="eastAsia"/>
        </w:rPr>
        <w:t>％，其中飲料店因積極展店，加上飲品促銷帶動熱賣，</w:t>
      </w:r>
      <w:proofErr w:type="gramStart"/>
      <w:r w:rsidRPr="00F91E87">
        <w:rPr>
          <w:rFonts w:hint="eastAsia"/>
        </w:rPr>
        <w:t>致年增</w:t>
      </w:r>
      <w:proofErr w:type="gramEnd"/>
      <w:r w:rsidRPr="00F91E87">
        <w:rPr>
          <w:rFonts w:hint="eastAsia"/>
        </w:rPr>
        <w:t>10.4</w:t>
      </w:r>
      <w:r>
        <w:rPr>
          <w:rFonts w:hint="eastAsia"/>
        </w:rPr>
        <w:t>％</w:t>
      </w:r>
      <w:r w:rsidRPr="00F91E87">
        <w:rPr>
          <w:rFonts w:hint="eastAsia"/>
        </w:rPr>
        <w:t>；餐館業受惠旺季及展店效應，加上食品安全疑慮減緩，消費回籠而年成長</w:t>
      </w:r>
      <w:r w:rsidRPr="00F91E87">
        <w:rPr>
          <w:rFonts w:hint="eastAsia"/>
        </w:rPr>
        <w:t>2.6</w:t>
      </w:r>
      <w:r>
        <w:rPr>
          <w:rFonts w:hint="eastAsia"/>
        </w:rPr>
        <w:t>％</w:t>
      </w:r>
      <w:r w:rsidRPr="00F91E87">
        <w:rPr>
          <w:rFonts w:hint="eastAsia"/>
        </w:rPr>
        <w:t>。累計</w:t>
      </w:r>
      <w:r w:rsidRPr="00F91E87">
        <w:rPr>
          <w:rFonts w:hint="eastAsia"/>
        </w:rPr>
        <w:t>1</w:t>
      </w:r>
      <w:r w:rsidRPr="00F91E87">
        <w:rPr>
          <w:rFonts w:hint="eastAsia"/>
        </w:rPr>
        <w:t>至</w:t>
      </w:r>
      <w:r w:rsidRPr="00F91E87">
        <w:rPr>
          <w:rFonts w:hint="eastAsia"/>
        </w:rPr>
        <w:t>6</w:t>
      </w:r>
      <w:r w:rsidRPr="00F91E87">
        <w:rPr>
          <w:rFonts w:hint="eastAsia"/>
        </w:rPr>
        <w:t>月餐飲業營業額</w:t>
      </w:r>
      <w:r w:rsidRPr="00F91E87">
        <w:rPr>
          <w:rFonts w:hint="eastAsia"/>
        </w:rPr>
        <w:t>1,945</w:t>
      </w:r>
      <w:r w:rsidRPr="00F91E87">
        <w:rPr>
          <w:rFonts w:hint="eastAsia"/>
        </w:rPr>
        <w:t>億元，較</w:t>
      </w:r>
      <w:r w:rsidR="00357E8F">
        <w:rPr>
          <w:rFonts w:hint="eastAsia"/>
        </w:rPr>
        <w:t>上年</w:t>
      </w:r>
      <w:r w:rsidRPr="00F91E87">
        <w:rPr>
          <w:rFonts w:hint="eastAsia"/>
        </w:rPr>
        <w:t>同期增加</w:t>
      </w:r>
      <w:r w:rsidRPr="00F91E87">
        <w:rPr>
          <w:rFonts w:hint="eastAsia"/>
        </w:rPr>
        <w:t>1.0</w:t>
      </w:r>
      <w:r w:rsidRPr="00F91E87">
        <w:rPr>
          <w:rFonts w:hint="eastAsia"/>
        </w:rPr>
        <w:t>％。</w:t>
      </w:r>
    </w:p>
    <w:p w:rsidR="00345470" w:rsidRPr="00F91E87" w:rsidRDefault="00345470" w:rsidP="00345470">
      <w:pPr>
        <w:snapToGrid w:val="0"/>
        <w:spacing w:before="240" w:afterLines="50" w:after="180"/>
        <w:ind w:right="-692"/>
        <w:jc w:val="center"/>
        <w:rPr>
          <w:rFonts w:eastAsia="標楷體"/>
          <w:sz w:val="28"/>
        </w:rPr>
      </w:pPr>
      <w:r w:rsidRPr="00F91E87">
        <w:rPr>
          <w:rFonts w:eastAsia="標楷體"/>
          <w:b/>
          <w:bCs/>
          <w:sz w:val="28"/>
        </w:rPr>
        <w:t>表</w:t>
      </w:r>
      <w:r w:rsidRPr="00F91E87">
        <w:rPr>
          <w:rFonts w:eastAsia="標楷體"/>
          <w:b/>
          <w:bCs/>
          <w:sz w:val="28"/>
        </w:rPr>
        <w:t xml:space="preserve">2-3-5  </w:t>
      </w:r>
      <w:r w:rsidRPr="00F91E87">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F91E87" w:rsidRPr="00E44E09" w:rsidTr="00701C17">
        <w:tc>
          <w:tcPr>
            <w:tcW w:w="1800" w:type="dxa"/>
            <w:tcBorders>
              <w:top w:val="single" w:sz="4" w:space="0" w:color="auto"/>
              <w:left w:val="nil"/>
              <w:bottom w:val="single" w:sz="4" w:space="0" w:color="auto"/>
              <w:right w:val="single" w:sz="4" w:space="0" w:color="auto"/>
            </w:tcBorders>
            <w:vAlign w:val="center"/>
          </w:tcPr>
          <w:p w:rsidR="00F91E87" w:rsidRPr="00E44E09" w:rsidRDefault="00F91E87" w:rsidP="00701C17">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F91E87" w:rsidRPr="00E44E09" w:rsidRDefault="00F91E87" w:rsidP="00701C17">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6</w:t>
            </w:r>
            <w:r w:rsidRPr="00E44E09">
              <w:rPr>
                <w:rFonts w:eastAsia="標楷體"/>
              </w:rPr>
              <w:t>月</w:t>
            </w:r>
          </w:p>
          <w:p w:rsidR="00F91E87" w:rsidRPr="00E44E09" w:rsidRDefault="00F91E87" w:rsidP="00701C17">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F91E87" w:rsidRPr="00E44E09" w:rsidRDefault="00F91E87" w:rsidP="00701C17">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6</w:t>
            </w:r>
            <w:r w:rsidRPr="00E44E09">
              <w:rPr>
                <w:rFonts w:eastAsia="標楷體"/>
              </w:rPr>
              <w:t>月</w:t>
            </w:r>
          </w:p>
          <w:p w:rsidR="00F91E87" w:rsidRPr="00E44E09" w:rsidRDefault="00F91E87" w:rsidP="00701C17">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F91E87" w:rsidRPr="00E44E09" w:rsidTr="00701C17">
        <w:tc>
          <w:tcPr>
            <w:tcW w:w="1800" w:type="dxa"/>
            <w:tcBorders>
              <w:top w:val="single" w:sz="4" w:space="0" w:color="auto"/>
              <w:left w:val="nil"/>
              <w:bottom w:val="nil"/>
              <w:right w:val="single" w:sz="4" w:space="0" w:color="auto"/>
            </w:tcBorders>
          </w:tcPr>
          <w:p w:rsidR="00F91E87" w:rsidRPr="00E44E09" w:rsidRDefault="00F91E87" w:rsidP="00701C17">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F91E87" w:rsidRPr="00707595" w:rsidRDefault="00F91E87" w:rsidP="00701C17">
            <w:pPr>
              <w:jc w:val="center"/>
            </w:pPr>
            <w:r w:rsidRPr="00707595">
              <w:rPr>
                <w:rFonts w:hint="eastAsia"/>
              </w:rPr>
              <w:t>1</w:t>
            </w:r>
            <w:r w:rsidRPr="00707595">
              <w:t>.</w:t>
            </w:r>
            <w:r w:rsidRPr="00707595">
              <w:rPr>
                <w:rFonts w:hint="eastAsia"/>
              </w:rPr>
              <w:t>0</w:t>
            </w:r>
          </w:p>
        </w:tc>
        <w:tc>
          <w:tcPr>
            <w:tcW w:w="3150" w:type="dxa"/>
            <w:tcBorders>
              <w:top w:val="single" w:sz="4" w:space="0" w:color="auto"/>
              <w:left w:val="nil"/>
              <w:bottom w:val="nil"/>
              <w:right w:val="nil"/>
            </w:tcBorders>
          </w:tcPr>
          <w:p w:rsidR="00F91E87" w:rsidRPr="00707595" w:rsidRDefault="00F91E87" w:rsidP="00701C17">
            <w:pPr>
              <w:jc w:val="center"/>
            </w:pPr>
            <w:r w:rsidRPr="00707595">
              <w:rPr>
                <w:rFonts w:hint="eastAsia"/>
              </w:rPr>
              <w:t>3</w:t>
            </w:r>
            <w:r w:rsidRPr="00707595">
              <w:t>.</w:t>
            </w:r>
            <w:r w:rsidRPr="00707595">
              <w:rPr>
                <w:rFonts w:hint="eastAsia"/>
              </w:rPr>
              <w:t>4</w:t>
            </w:r>
          </w:p>
        </w:tc>
      </w:tr>
      <w:tr w:rsidR="00F91E87" w:rsidRPr="00E44E09" w:rsidTr="00701C17">
        <w:tc>
          <w:tcPr>
            <w:tcW w:w="1800" w:type="dxa"/>
            <w:tcBorders>
              <w:top w:val="nil"/>
              <w:left w:val="nil"/>
              <w:bottom w:val="nil"/>
              <w:right w:val="single" w:sz="4" w:space="0" w:color="auto"/>
            </w:tcBorders>
          </w:tcPr>
          <w:p w:rsidR="00F91E87" w:rsidRPr="00E44E09" w:rsidRDefault="00F91E87" w:rsidP="00701C17">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F91E87" w:rsidRPr="00707595" w:rsidRDefault="00F91E87" w:rsidP="00701C17">
            <w:pPr>
              <w:jc w:val="center"/>
            </w:pPr>
            <w:r w:rsidRPr="00707595">
              <w:rPr>
                <w:rFonts w:hint="eastAsia"/>
              </w:rPr>
              <w:t>0</w:t>
            </w:r>
            <w:r w:rsidRPr="00707595">
              <w:t>.</w:t>
            </w:r>
            <w:r w:rsidRPr="00707595">
              <w:rPr>
                <w:rFonts w:hint="eastAsia"/>
              </w:rPr>
              <w:t>6</w:t>
            </w:r>
          </w:p>
        </w:tc>
        <w:tc>
          <w:tcPr>
            <w:tcW w:w="3150" w:type="dxa"/>
            <w:tcBorders>
              <w:top w:val="nil"/>
              <w:left w:val="nil"/>
              <w:bottom w:val="nil"/>
              <w:right w:val="nil"/>
            </w:tcBorders>
          </w:tcPr>
          <w:p w:rsidR="00F91E87" w:rsidRPr="00707595" w:rsidRDefault="00F91E87" w:rsidP="00701C17">
            <w:pPr>
              <w:jc w:val="center"/>
            </w:pPr>
            <w:r w:rsidRPr="00707595">
              <w:rPr>
                <w:rFonts w:hint="eastAsia"/>
              </w:rPr>
              <w:t>2</w:t>
            </w:r>
            <w:r w:rsidRPr="00707595">
              <w:t>.</w:t>
            </w:r>
            <w:r w:rsidRPr="00707595">
              <w:rPr>
                <w:rFonts w:hint="eastAsia"/>
              </w:rPr>
              <w:t>6</w:t>
            </w:r>
          </w:p>
        </w:tc>
      </w:tr>
      <w:tr w:rsidR="00F91E87" w:rsidRPr="00E44E09" w:rsidTr="00701C17">
        <w:tc>
          <w:tcPr>
            <w:tcW w:w="1800" w:type="dxa"/>
            <w:tcBorders>
              <w:top w:val="nil"/>
              <w:left w:val="nil"/>
              <w:bottom w:val="nil"/>
              <w:right w:val="single" w:sz="4" w:space="0" w:color="auto"/>
            </w:tcBorders>
          </w:tcPr>
          <w:p w:rsidR="00F91E87" w:rsidRPr="00E44E09" w:rsidRDefault="00F91E87" w:rsidP="00701C17">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F91E87" w:rsidRPr="00707595" w:rsidRDefault="00F91E87" w:rsidP="00701C17">
            <w:pPr>
              <w:jc w:val="center"/>
            </w:pPr>
            <w:r w:rsidRPr="00707595">
              <w:rPr>
                <w:rFonts w:hint="eastAsia"/>
              </w:rPr>
              <w:t>1</w:t>
            </w:r>
            <w:r w:rsidRPr="00707595">
              <w:t>.</w:t>
            </w:r>
            <w:r w:rsidRPr="00707595">
              <w:rPr>
                <w:rFonts w:hint="eastAsia"/>
              </w:rPr>
              <w:t>9</w:t>
            </w:r>
          </w:p>
        </w:tc>
        <w:tc>
          <w:tcPr>
            <w:tcW w:w="3150" w:type="dxa"/>
            <w:tcBorders>
              <w:top w:val="nil"/>
              <w:left w:val="nil"/>
              <w:bottom w:val="nil"/>
              <w:right w:val="nil"/>
            </w:tcBorders>
          </w:tcPr>
          <w:p w:rsidR="00F91E87" w:rsidRPr="00707595" w:rsidRDefault="00F91E87" w:rsidP="00701C17">
            <w:pPr>
              <w:jc w:val="center"/>
            </w:pPr>
            <w:r w:rsidRPr="00707595">
              <w:t>1</w:t>
            </w:r>
            <w:r w:rsidRPr="00707595">
              <w:rPr>
                <w:rFonts w:hint="eastAsia"/>
              </w:rPr>
              <w:t>0</w:t>
            </w:r>
            <w:r w:rsidRPr="00707595">
              <w:t>.</w:t>
            </w:r>
            <w:r w:rsidRPr="00707595">
              <w:rPr>
                <w:rFonts w:hint="eastAsia"/>
              </w:rPr>
              <w:t>4</w:t>
            </w:r>
          </w:p>
        </w:tc>
      </w:tr>
      <w:tr w:rsidR="00F91E87" w:rsidRPr="00E44E09" w:rsidTr="00701C17">
        <w:tc>
          <w:tcPr>
            <w:tcW w:w="1800" w:type="dxa"/>
            <w:tcBorders>
              <w:top w:val="nil"/>
              <w:left w:val="nil"/>
              <w:bottom w:val="single" w:sz="4" w:space="0" w:color="auto"/>
              <w:right w:val="single" w:sz="4" w:space="0" w:color="auto"/>
            </w:tcBorders>
          </w:tcPr>
          <w:p w:rsidR="00F91E87" w:rsidRPr="00E44E09" w:rsidRDefault="00F91E87" w:rsidP="00701C17">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F91E87" w:rsidRPr="00707595" w:rsidRDefault="00F91E87" w:rsidP="00701C17">
            <w:pPr>
              <w:jc w:val="center"/>
            </w:pPr>
            <w:r w:rsidRPr="00707595">
              <w:rPr>
                <w:rFonts w:hint="eastAsia"/>
              </w:rPr>
              <w:t>7</w:t>
            </w:r>
            <w:r w:rsidRPr="00707595">
              <w:t>.</w:t>
            </w:r>
            <w:r w:rsidRPr="00707595">
              <w:rPr>
                <w:rFonts w:hint="eastAsia"/>
              </w:rPr>
              <w:t>1</w:t>
            </w:r>
          </w:p>
        </w:tc>
        <w:tc>
          <w:tcPr>
            <w:tcW w:w="3150" w:type="dxa"/>
            <w:tcBorders>
              <w:top w:val="nil"/>
              <w:left w:val="nil"/>
              <w:bottom w:val="single" w:sz="4" w:space="0" w:color="auto"/>
              <w:right w:val="nil"/>
            </w:tcBorders>
          </w:tcPr>
          <w:p w:rsidR="00F91E87" w:rsidRPr="00707595" w:rsidRDefault="00F91E87" w:rsidP="00701C17">
            <w:pPr>
              <w:jc w:val="center"/>
            </w:pPr>
            <w:r w:rsidRPr="00707595">
              <w:rPr>
                <w:rFonts w:hint="eastAsia"/>
              </w:rPr>
              <w:t>0</w:t>
            </w:r>
            <w:r w:rsidRPr="00707595">
              <w:t>.</w:t>
            </w:r>
            <w:r w:rsidRPr="00707595">
              <w:rPr>
                <w:rFonts w:hint="eastAsia"/>
              </w:rPr>
              <w:t>4</w:t>
            </w:r>
          </w:p>
        </w:tc>
      </w:tr>
    </w:tbl>
    <w:p w:rsidR="00345470" w:rsidRPr="00F91E87" w:rsidRDefault="00345470" w:rsidP="00DF3D2A">
      <w:pPr>
        <w:snapToGrid w:val="0"/>
        <w:spacing w:line="400" w:lineRule="atLeast"/>
        <w:ind w:right="-142"/>
        <w:jc w:val="both"/>
        <w:rPr>
          <w:rFonts w:eastAsia="標楷體"/>
          <w:sz w:val="22"/>
          <w:szCs w:val="22"/>
        </w:rPr>
      </w:pPr>
      <w:r w:rsidRPr="00F91E87">
        <w:rPr>
          <w:rFonts w:eastAsia="標楷體"/>
          <w:sz w:val="22"/>
          <w:szCs w:val="22"/>
        </w:rPr>
        <w:t>資料來源：經濟部統計處。</w:t>
      </w:r>
    </w:p>
    <w:p w:rsidR="00345470" w:rsidRPr="003111E1"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3111E1"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3111E1">
        <w:rPr>
          <w:b/>
          <w:bCs/>
          <w:color w:val="FF0000"/>
        </w:rPr>
        <w:br w:type="page"/>
      </w:r>
    </w:p>
    <w:p w:rsidR="00345470" w:rsidRPr="00F91E87" w:rsidRDefault="00EC4A60" w:rsidP="00345470">
      <w:pPr>
        <w:pStyle w:val="t-3"/>
        <w:snapToGrid w:val="0"/>
        <w:spacing w:beforeLines="50" w:before="180" w:line="300" w:lineRule="auto"/>
        <w:ind w:right="-60"/>
      </w:pPr>
      <w:hyperlink w:anchor="c17" w:history="1">
        <w:bookmarkStart w:id="67" w:name="_Toc349916584"/>
        <w:bookmarkStart w:id="68" w:name="_Toc358042579"/>
        <w:r w:rsidR="00345470" w:rsidRPr="00F91E87">
          <w:t>（四）貿易</w:t>
        </w:r>
        <w:bookmarkEnd w:id="67"/>
        <w:bookmarkEnd w:id="68"/>
      </w:hyperlink>
    </w:p>
    <w:p w:rsidR="00345470" w:rsidRPr="00701C17" w:rsidRDefault="00345470" w:rsidP="00345470">
      <w:pPr>
        <w:pStyle w:val="k3a"/>
        <w:tabs>
          <w:tab w:val="left" w:pos="540"/>
        </w:tabs>
        <w:spacing w:before="180" w:line="300" w:lineRule="auto"/>
        <w:ind w:leftChars="0" w:left="0" w:right="0" w:firstLineChars="0" w:firstLine="0"/>
        <w:rPr>
          <w:b/>
          <w:bCs/>
        </w:rPr>
      </w:pPr>
      <w:r w:rsidRPr="00701C17">
        <w:rPr>
          <w:b/>
          <w:bCs/>
        </w:rPr>
        <w:t>１、</w:t>
      </w:r>
      <w:r w:rsidR="00701C17" w:rsidRPr="00701C17">
        <w:rPr>
          <w:rFonts w:hint="eastAsia"/>
          <w:b/>
          <w:bCs/>
        </w:rPr>
        <w:t>102</w:t>
      </w:r>
      <w:r w:rsidR="00701C17" w:rsidRPr="00701C17">
        <w:rPr>
          <w:rFonts w:hint="eastAsia"/>
          <w:b/>
          <w:bCs/>
        </w:rPr>
        <w:t>年</w:t>
      </w:r>
      <w:r w:rsidR="00AE0F75">
        <w:rPr>
          <w:rFonts w:hint="eastAsia"/>
          <w:b/>
          <w:bCs/>
        </w:rPr>
        <w:t>6</w:t>
      </w:r>
      <w:r w:rsidR="00701C17" w:rsidRPr="00701C17">
        <w:rPr>
          <w:rFonts w:hint="eastAsia"/>
          <w:b/>
          <w:bCs/>
        </w:rPr>
        <w:t>月出口增加</w:t>
      </w:r>
      <w:r w:rsidR="00701C17" w:rsidRPr="00701C17">
        <w:rPr>
          <w:rFonts w:hint="eastAsia"/>
          <w:b/>
          <w:bCs/>
        </w:rPr>
        <w:t>8.6</w:t>
      </w:r>
      <w:r w:rsidR="00701C17" w:rsidRPr="00701C17">
        <w:rPr>
          <w:rFonts w:hint="eastAsia"/>
          <w:b/>
          <w:bCs/>
        </w:rPr>
        <w:t>％、進口</w:t>
      </w:r>
      <w:r w:rsidR="007D1AF6">
        <w:rPr>
          <w:rFonts w:hint="eastAsia"/>
          <w:b/>
          <w:bCs/>
        </w:rPr>
        <w:t>增加</w:t>
      </w:r>
      <w:r w:rsidR="00701C17" w:rsidRPr="00701C17">
        <w:rPr>
          <w:rFonts w:hint="eastAsia"/>
          <w:b/>
          <w:bCs/>
        </w:rPr>
        <w:t>6.8</w:t>
      </w:r>
      <w:r w:rsidR="00701C17" w:rsidRPr="00701C17">
        <w:rPr>
          <w:rFonts w:hint="eastAsia"/>
          <w:b/>
          <w:bCs/>
        </w:rPr>
        <w:t>％</w:t>
      </w:r>
    </w:p>
    <w:p w:rsidR="00345470" w:rsidRPr="00701C17" w:rsidRDefault="00701C17" w:rsidP="00701C17">
      <w:pPr>
        <w:snapToGrid w:val="0"/>
        <w:spacing w:before="120" w:line="300" w:lineRule="auto"/>
        <w:ind w:right="-142" w:firstLineChars="202" w:firstLine="566"/>
        <w:jc w:val="both"/>
        <w:rPr>
          <w:rFonts w:eastAsia="標楷體"/>
          <w:snapToGrid w:val="0"/>
          <w:spacing w:val="-2"/>
          <w:sz w:val="28"/>
          <w:szCs w:val="28"/>
        </w:rPr>
      </w:pPr>
      <w:r w:rsidRPr="00701C17">
        <w:rPr>
          <w:rFonts w:eastAsia="標楷體" w:hint="eastAsia"/>
          <w:sz w:val="28"/>
        </w:rPr>
        <w:t>102</w:t>
      </w:r>
      <w:r w:rsidRPr="00701C17">
        <w:rPr>
          <w:rFonts w:eastAsia="標楷體" w:hint="eastAsia"/>
          <w:sz w:val="28"/>
        </w:rPr>
        <w:t>年</w:t>
      </w:r>
      <w:r w:rsidRPr="00701C17">
        <w:rPr>
          <w:rFonts w:eastAsia="標楷體" w:hint="eastAsia"/>
          <w:sz w:val="28"/>
        </w:rPr>
        <w:t>6</w:t>
      </w:r>
      <w:r w:rsidRPr="00701C17">
        <w:rPr>
          <w:rFonts w:eastAsia="標楷體" w:hint="eastAsia"/>
          <w:sz w:val="28"/>
        </w:rPr>
        <w:t>月出口總值</w:t>
      </w:r>
      <w:r w:rsidRPr="00701C17">
        <w:rPr>
          <w:rFonts w:eastAsia="標楷體" w:hint="eastAsia"/>
          <w:sz w:val="28"/>
        </w:rPr>
        <w:t>264.8</w:t>
      </w:r>
      <w:r w:rsidRPr="00701C17">
        <w:rPr>
          <w:rFonts w:eastAsia="標楷體" w:hint="eastAsia"/>
          <w:sz w:val="28"/>
        </w:rPr>
        <w:t>億美元，較</w:t>
      </w:r>
      <w:r w:rsidR="00357E8F">
        <w:rPr>
          <w:rFonts w:eastAsia="標楷體" w:hint="eastAsia"/>
          <w:sz w:val="28"/>
        </w:rPr>
        <w:t>上</w:t>
      </w:r>
      <w:r w:rsidRPr="00701C17">
        <w:rPr>
          <w:rFonts w:eastAsia="標楷體" w:hint="eastAsia"/>
          <w:sz w:val="28"/>
        </w:rPr>
        <w:t>年同月增加</w:t>
      </w:r>
      <w:r w:rsidRPr="00701C17">
        <w:rPr>
          <w:rFonts w:eastAsia="標楷體" w:hint="eastAsia"/>
          <w:sz w:val="28"/>
        </w:rPr>
        <w:t>8.6</w:t>
      </w:r>
      <w:r w:rsidRPr="00701C17">
        <w:rPr>
          <w:rFonts w:eastAsia="標楷體" w:hint="eastAsia"/>
          <w:sz w:val="28"/>
        </w:rPr>
        <w:t>％；進口總值</w:t>
      </w:r>
      <w:r w:rsidRPr="00701C17">
        <w:rPr>
          <w:rFonts w:eastAsia="標楷體" w:hint="eastAsia"/>
          <w:sz w:val="28"/>
        </w:rPr>
        <w:t>232.3</w:t>
      </w:r>
      <w:r w:rsidRPr="00701C17">
        <w:rPr>
          <w:rFonts w:eastAsia="標楷體" w:hint="eastAsia"/>
          <w:sz w:val="28"/>
        </w:rPr>
        <w:t>億美元，較</w:t>
      </w:r>
      <w:r w:rsidR="0010173C">
        <w:rPr>
          <w:rFonts w:eastAsia="標楷體" w:hint="eastAsia"/>
          <w:sz w:val="28"/>
        </w:rPr>
        <w:t>上</w:t>
      </w:r>
      <w:r w:rsidRPr="00701C17">
        <w:rPr>
          <w:rFonts w:eastAsia="標楷體" w:hint="eastAsia"/>
          <w:sz w:val="28"/>
        </w:rPr>
        <w:t>年同月增加</w:t>
      </w:r>
      <w:r w:rsidRPr="00701C17">
        <w:rPr>
          <w:rFonts w:eastAsia="標楷體" w:hint="eastAsia"/>
          <w:sz w:val="28"/>
        </w:rPr>
        <w:t>6.8</w:t>
      </w:r>
      <w:r w:rsidRPr="00701C17">
        <w:rPr>
          <w:rFonts w:eastAsia="標楷體" w:hint="eastAsia"/>
          <w:sz w:val="28"/>
        </w:rPr>
        <w:t>％；出超</w:t>
      </w:r>
      <w:r w:rsidRPr="00701C17">
        <w:rPr>
          <w:rFonts w:eastAsia="標楷體" w:hint="eastAsia"/>
          <w:sz w:val="28"/>
        </w:rPr>
        <w:t>32.5</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sidRPr="00701C17">
        <w:rPr>
          <w:rFonts w:eastAsia="標楷體" w:hint="eastAsia"/>
          <w:sz w:val="28"/>
        </w:rPr>
        <w:t>6</w:t>
      </w:r>
      <w:r w:rsidRPr="00701C17">
        <w:rPr>
          <w:rFonts w:eastAsia="標楷體" w:hint="eastAsia"/>
          <w:sz w:val="28"/>
        </w:rPr>
        <w:t>月出口總值</w:t>
      </w:r>
      <w:r w:rsidRPr="00701C17">
        <w:rPr>
          <w:rFonts w:eastAsia="標楷體" w:hint="eastAsia"/>
          <w:sz w:val="28"/>
        </w:rPr>
        <w:t>1,504.8</w:t>
      </w:r>
      <w:r w:rsidRPr="00701C17">
        <w:rPr>
          <w:rFonts w:eastAsia="標楷體" w:hint="eastAsia"/>
          <w:sz w:val="28"/>
        </w:rPr>
        <w:t>億美元，進口</w:t>
      </w:r>
      <w:r w:rsidRPr="00701C17">
        <w:rPr>
          <w:rFonts w:eastAsia="標楷體" w:hint="eastAsia"/>
          <w:sz w:val="28"/>
        </w:rPr>
        <w:t>1,358.8</w:t>
      </w:r>
      <w:r w:rsidRPr="00701C17">
        <w:rPr>
          <w:rFonts w:eastAsia="標楷體" w:hint="eastAsia"/>
          <w:sz w:val="28"/>
        </w:rPr>
        <w:t>億美元，分別較</w:t>
      </w:r>
      <w:r w:rsidR="00357E8F">
        <w:rPr>
          <w:rFonts w:eastAsia="標楷體" w:hint="eastAsia"/>
          <w:sz w:val="28"/>
        </w:rPr>
        <w:t>上</w:t>
      </w:r>
      <w:r w:rsidRPr="00701C17">
        <w:rPr>
          <w:rFonts w:eastAsia="標楷體" w:hint="eastAsia"/>
          <w:sz w:val="28"/>
        </w:rPr>
        <w:t>年同期增加</w:t>
      </w:r>
      <w:r w:rsidRPr="00701C17">
        <w:rPr>
          <w:rFonts w:eastAsia="標楷體" w:hint="eastAsia"/>
          <w:sz w:val="28"/>
        </w:rPr>
        <w:t>2.4</w:t>
      </w:r>
      <w:r w:rsidRPr="00701C17">
        <w:rPr>
          <w:rFonts w:eastAsia="標楷體" w:hint="eastAsia"/>
          <w:sz w:val="28"/>
        </w:rPr>
        <w:t>％及</w:t>
      </w:r>
      <w:r w:rsidRPr="00701C17">
        <w:rPr>
          <w:rFonts w:eastAsia="標楷體" w:hint="eastAsia"/>
          <w:sz w:val="28"/>
        </w:rPr>
        <w:t>0.3</w:t>
      </w:r>
      <w:r w:rsidRPr="00701C17">
        <w:rPr>
          <w:rFonts w:eastAsia="標楷體" w:hint="eastAsia"/>
          <w:sz w:val="28"/>
        </w:rPr>
        <w:t>％；出超</w:t>
      </w:r>
      <w:r w:rsidRPr="00701C17">
        <w:rPr>
          <w:rFonts w:eastAsia="標楷體" w:hint="eastAsia"/>
          <w:sz w:val="28"/>
        </w:rPr>
        <w:t>146.1</w:t>
      </w:r>
      <w:r w:rsidRPr="00701C17">
        <w:rPr>
          <w:rFonts w:eastAsia="標楷體" w:hint="eastAsia"/>
          <w:sz w:val="28"/>
        </w:rPr>
        <w:t>億美元。</w:t>
      </w:r>
    </w:p>
    <w:p w:rsidR="00345470" w:rsidRPr="002652F8" w:rsidRDefault="00345470" w:rsidP="00345470">
      <w:pPr>
        <w:snapToGrid w:val="0"/>
        <w:spacing w:beforeLines="50" w:before="180" w:line="300" w:lineRule="auto"/>
        <w:jc w:val="center"/>
        <w:rPr>
          <w:rFonts w:eastAsia="標楷體"/>
          <w:b/>
          <w:bCs/>
          <w:sz w:val="28"/>
        </w:rPr>
      </w:pPr>
      <w:r w:rsidRPr="002652F8">
        <w:rPr>
          <w:rFonts w:eastAsia="標楷體"/>
          <w:b/>
          <w:bCs/>
          <w:sz w:val="28"/>
        </w:rPr>
        <w:t>表</w:t>
      </w:r>
      <w:r w:rsidRPr="002652F8">
        <w:rPr>
          <w:rFonts w:eastAsia="標楷體"/>
          <w:b/>
          <w:bCs/>
          <w:sz w:val="28"/>
        </w:rPr>
        <w:t xml:space="preserve"> 2-4-1   </w:t>
      </w:r>
      <w:r w:rsidRPr="002652F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2652F8" w:rsidRPr="009A14ED" w:rsidTr="00A10DDB">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2652F8" w:rsidRPr="009A14ED" w:rsidTr="00A10DDB">
        <w:trPr>
          <w:cantSplit/>
          <w:trHeight w:val="326"/>
        </w:trPr>
        <w:tc>
          <w:tcPr>
            <w:tcW w:w="1544" w:type="dxa"/>
            <w:vMerge/>
            <w:tcBorders>
              <w:top w:val="single" w:sz="4" w:space="0" w:color="auto"/>
              <w:left w:val="nil"/>
              <w:bottom w:val="single" w:sz="4" w:space="0" w:color="auto"/>
              <w:right w:val="single" w:sz="4" w:space="0" w:color="auto"/>
            </w:tcBorders>
            <w:vAlign w:val="center"/>
          </w:tcPr>
          <w:p w:rsidR="002652F8" w:rsidRPr="009A14ED" w:rsidRDefault="002652F8" w:rsidP="00A10DDB">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2652F8" w:rsidRPr="009A14ED" w:rsidRDefault="00F47D25" w:rsidP="00F47D2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002652F8" w:rsidRPr="009A14ED">
              <w:rPr>
                <w:rFonts w:eastAsia="標楷體" w:hint="eastAsia"/>
              </w:rPr>
              <w:t>率</w:t>
            </w:r>
            <w:r w:rsidR="002652F8" w:rsidRPr="009A14ED">
              <w:rPr>
                <w:rFonts w:eastAsia="標楷體" w:hint="eastAsia"/>
              </w:rPr>
              <w:t>(</w:t>
            </w:r>
            <w:r w:rsidR="002652F8" w:rsidRPr="009A14ED">
              <w:rPr>
                <w:rFonts w:eastAsia="標楷體" w:hint="eastAsia"/>
              </w:rPr>
              <w:t>％</w:t>
            </w:r>
            <w:r w:rsidR="002652F8"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2652F8" w:rsidRPr="009A14ED" w:rsidRDefault="00F47D25"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002652F8" w:rsidRPr="009A14ED">
              <w:rPr>
                <w:rFonts w:eastAsia="標楷體" w:hint="eastAsia"/>
              </w:rPr>
              <w:t>率</w:t>
            </w:r>
            <w:r w:rsidR="002652F8" w:rsidRPr="009A14ED">
              <w:rPr>
                <w:rFonts w:eastAsia="標楷體" w:hint="eastAsia"/>
              </w:rPr>
              <w:t>(</w:t>
            </w:r>
            <w:r w:rsidR="002652F8" w:rsidRPr="009A14ED">
              <w:rPr>
                <w:rFonts w:eastAsia="標楷體" w:hint="eastAsia"/>
              </w:rPr>
              <w:t>％</w:t>
            </w:r>
            <w:r w:rsidR="002652F8"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2652F8" w:rsidRPr="009A14ED" w:rsidRDefault="002652F8" w:rsidP="00A10DDB">
            <w:pPr>
              <w:snapToGrid w:val="0"/>
              <w:spacing w:line="340" w:lineRule="exact"/>
              <w:ind w:left="30"/>
              <w:jc w:val="center"/>
              <w:rPr>
                <w:rFonts w:eastAsia="標楷體"/>
              </w:rPr>
            </w:pP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標楷體"/>
                <w:b/>
                <w:bCs/>
              </w:rPr>
            </w:pPr>
            <w:r w:rsidRPr="009A14ED">
              <w:rPr>
                <w:rFonts w:eastAsia="標楷體"/>
                <w:b/>
                <w:bCs/>
              </w:rPr>
              <w:t>151.8</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2652F8" w:rsidRPr="009A14ED" w:rsidRDefault="002652F8" w:rsidP="00A10DDB">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2652F8" w:rsidRPr="009A14ED" w:rsidRDefault="002652F8" w:rsidP="00A10DDB">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2652F8" w:rsidRPr="009A14ED" w:rsidRDefault="002652F8" w:rsidP="00A10DDB">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2652F8" w:rsidRPr="009A14ED" w:rsidRDefault="002652F8" w:rsidP="00A10DDB">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2652F8" w:rsidRPr="009A14ED" w:rsidRDefault="002652F8" w:rsidP="00A10DDB">
            <w:pPr>
              <w:snapToGrid w:val="0"/>
              <w:spacing w:line="320" w:lineRule="exact"/>
              <w:ind w:right="460"/>
              <w:jc w:val="right"/>
              <w:rPr>
                <w:rFonts w:eastAsia="標楷體"/>
                <w:b/>
                <w:bCs/>
              </w:rPr>
            </w:pPr>
            <w:r w:rsidRPr="009A14ED">
              <w:rPr>
                <w:rFonts w:eastAsia="標楷體"/>
                <w:b/>
                <w:bCs/>
              </w:rPr>
              <w:t>293.0</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b/>
                <w:bCs/>
              </w:rPr>
            </w:pPr>
            <w:r w:rsidRPr="009A14ED">
              <w:rPr>
                <w:rFonts w:eastAsia="細明體"/>
                <w:b/>
                <w:bCs/>
              </w:rPr>
              <w:t>232.5</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2652F8" w:rsidRPr="009A14ED" w:rsidRDefault="002652F8" w:rsidP="00A10DDB">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b/>
                <w:bCs/>
              </w:rPr>
            </w:pPr>
            <w:r w:rsidRPr="009A14ED">
              <w:rPr>
                <w:rFonts w:eastAsia="細明體" w:hint="eastAsia"/>
                <w:b/>
                <w:bCs/>
              </w:rPr>
              <w:t>303.8</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rPr>
              <w:t>25.8</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rPr>
              <w:t>9.0</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rPr>
              <w:t>33.1</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hint="eastAsia"/>
              </w:rPr>
              <w:t>40.8</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hint="eastAsia"/>
              </w:rPr>
              <w:t>32.6</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hint="eastAsia"/>
              </w:rPr>
              <w:t>34.0</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2652F8" w:rsidRPr="009A14ED" w:rsidRDefault="002652F8" w:rsidP="00A10DDB">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2652F8" w:rsidRPr="009A14ED" w:rsidRDefault="002652F8" w:rsidP="00A10DDB">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2652F8" w:rsidRPr="009A14ED" w:rsidRDefault="002652F8" w:rsidP="00A10DDB">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2652F8" w:rsidRPr="009A14ED" w:rsidRDefault="002652F8" w:rsidP="00A10DDB">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2652F8" w:rsidRPr="009A14ED" w:rsidRDefault="002652F8" w:rsidP="00A10DDB">
            <w:pPr>
              <w:snapToGrid w:val="0"/>
              <w:spacing w:line="320" w:lineRule="exact"/>
              <w:ind w:right="460"/>
              <w:jc w:val="right"/>
              <w:rPr>
                <w:rFonts w:eastAsia="細明體"/>
              </w:rPr>
            </w:pPr>
            <w:r w:rsidRPr="009A14ED">
              <w:rPr>
                <w:rFonts w:eastAsia="細明體" w:hint="eastAsia"/>
              </w:rPr>
              <w:t>41.3</w:t>
            </w:r>
          </w:p>
        </w:tc>
      </w:tr>
      <w:tr w:rsidR="002652F8" w:rsidRPr="009A14ED" w:rsidTr="00A10DDB">
        <w:trPr>
          <w:trHeight w:val="351"/>
        </w:trPr>
        <w:tc>
          <w:tcPr>
            <w:tcW w:w="1544" w:type="dxa"/>
            <w:tcBorders>
              <w:top w:val="nil"/>
              <w:left w:val="nil"/>
              <w:bottom w:val="nil"/>
              <w:right w:val="single" w:sz="4" w:space="0" w:color="auto"/>
            </w:tcBorders>
          </w:tcPr>
          <w:p w:rsidR="002652F8" w:rsidRPr="009A14ED"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1~6</w:t>
            </w:r>
            <w:r>
              <w:rPr>
                <w:rFonts w:eastAsia="標楷體" w:hint="eastAsia"/>
                <w:b/>
                <w:bCs/>
              </w:rPr>
              <w:t>月</w:t>
            </w:r>
          </w:p>
        </w:tc>
        <w:tc>
          <w:tcPr>
            <w:tcW w:w="1800" w:type="dxa"/>
            <w:tcBorders>
              <w:top w:val="nil"/>
              <w:left w:val="single" w:sz="4" w:space="0" w:color="auto"/>
              <w:bottom w:val="nil"/>
              <w:right w:val="nil"/>
            </w:tcBorders>
            <w:vAlign w:val="center"/>
          </w:tcPr>
          <w:p w:rsidR="002652F8" w:rsidRPr="004F507E" w:rsidRDefault="002652F8" w:rsidP="00A10DDB">
            <w:pPr>
              <w:snapToGrid w:val="0"/>
              <w:spacing w:line="320" w:lineRule="exact"/>
              <w:ind w:right="480"/>
              <w:jc w:val="right"/>
              <w:rPr>
                <w:rFonts w:eastAsia="細明體"/>
                <w:b/>
              </w:rPr>
            </w:pPr>
            <w:r>
              <w:rPr>
                <w:rFonts w:eastAsia="細明體" w:hint="eastAsia"/>
                <w:b/>
              </w:rPr>
              <w:t>1,504.8</w:t>
            </w:r>
          </w:p>
        </w:tc>
        <w:tc>
          <w:tcPr>
            <w:tcW w:w="1233" w:type="dxa"/>
            <w:tcBorders>
              <w:top w:val="nil"/>
              <w:left w:val="nil"/>
              <w:bottom w:val="nil"/>
              <w:right w:val="nil"/>
            </w:tcBorders>
            <w:vAlign w:val="center"/>
          </w:tcPr>
          <w:p w:rsidR="002652F8" w:rsidRPr="004F507E" w:rsidRDefault="002652F8" w:rsidP="00A10DDB">
            <w:pPr>
              <w:snapToGrid w:val="0"/>
              <w:spacing w:line="320" w:lineRule="exact"/>
              <w:ind w:right="296"/>
              <w:jc w:val="right"/>
              <w:rPr>
                <w:rFonts w:eastAsia="細明體"/>
                <w:b/>
              </w:rPr>
            </w:pPr>
            <w:r>
              <w:rPr>
                <w:rFonts w:eastAsia="細明體" w:hint="eastAsia"/>
                <w:b/>
              </w:rPr>
              <w:t>2.4</w:t>
            </w:r>
          </w:p>
        </w:tc>
        <w:tc>
          <w:tcPr>
            <w:tcW w:w="1800" w:type="dxa"/>
            <w:tcBorders>
              <w:top w:val="nil"/>
              <w:left w:val="nil"/>
              <w:bottom w:val="nil"/>
              <w:right w:val="nil"/>
            </w:tcBorders>
            <w:vAlign w:val="center"/>
          </w:tcPr>
          <w:p w:rsidR="002652F8" w:rsidRPr="004F507E" w:rsidRDefault="002652F8" w:rsidP="00A10DDB">
            <w:pPr>
              <w:snapToGrid w:val="0"/>
              <w:spacing w:line="320" w:lineRule="exact"/>
              <w:ind w:right="536"/>
              <w:jc w:val="right"/>
              <w:rPr>
                <w:rFonts w:eastAsia="細明體"/>
                <w:b/>
              </w:rPr>
            </w:pPr>
            <w:r>
              <w:rPr>
                <w:rFonts w:eastAsia="細明體" w:hint="eastAsia"/>
                <w:b/>
              </w:rPr>
              <w:t>1,358.8</w:t>
            </w:r>
          </w:p>
        </w:tc>
        <w:tc>
          <w:tcPr>
            <w:tcW w:w="1440" w:type="dxa"/>
            <w:tcBorders>
              <w:top w:val="nil"/>
              <w:left w:val="nil"/>
              <w:bottom w:val="nil"/>
              <w:right w:val="nil"/>
            </w:tcBorders>
            <w:vAlign w:val="center"/>
          </w:tcPr>
          <w:p w:rsidR="002652F8" w:rsidRPr="004F507E" w:rsidRDefault="002652F8" w:rsidP="00A10DDB">
            <w:pPr>
              <w:snapToGrid w:val="0"/>
              <w:spacing w:line="320" w:lineRule="exact"/>
              <w:ind w:right="417"/>
              <w:jc w:val="right"/>
              <w:rPr>
                <w:rFonts w:eastAsia="細明體"/>
                <w:b/>
              </w:rPr>
            </w:pPr>
            <w:r>
              <w:rPr>
                <w:rFonts w:eastAsia="細明體" w:hint="eastAsia"/>
                <w:b/>
              </w:rPr>
              <w:t>0.3</w:t>
            </w:r>
          </w:p>
        </w:tc>
        <w:tc>
          <w:tcPr>
            <w:tcW w:w="1460" w:type="dxa"/>
            <w:tcBorders>
              <w:top w:val="nil"/>
              <w:left w:val="nil"/>
              <w:bottom w:val="nil"/>
              <w:right w:val="nil"/>
            </w:tcBorders>
            <w:vAlign w:val="center"/>
          </w:tcPr>
          <w:p w:rsidR="002652F8" w:rsidRPr="004F507E" w:rsidRDefault="002652F8" w:rsidP="00A10DDB">
            <w:pPr>
              <w:snapToGrid w:val="0"/>
              <w:spacing w:line="320" w:lineRule="exact"/>
              <w:ind w:right="460"/>
              <w:jc w:val="right"/>
              <w:rPr>
                <w:rFonts w:eastAsia="細明體"/>
                <w:b/>
              </w:rPr>
            </w:pPr>
            <w:r>
              <w:rPr>
                <w:rFonts w:eastAsia="細明體" w:hint="eastAsia"/>
                <w:b/>
              </w:rPr>
              <w:t>146.1</w:t>
            </w:r>
          </w:p>
        </w:tc>
      </w:tr>
      <w:tr w:rsidR="00337C6C" w:rsidRPr="00337C6C" w:rsidTr="00A10DDB">
        <w:trPr>
          <w:trHeight w:val="351"/>
        </w:trPr>
        <w:tc>
          <w:tcPr>
            <w:tcW w:w="1544" w:type="dxa"/>
            <w:tcBorders>
              <w:top w:val="nil"/>
              <w:left w:val="nil"/>
              <w:bottom w:val="nil"/>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2652F8" w:rsidRPr="00337C6C" w:rsidRDefault="002652F8" w:rsidP="00A10DDB">
            <w:pPr>
              <w:snapToGrid w:val="0"/>
              <w:spacing w:line="320" w:lineRule="exact"/>
              <w:ind w:right="480"/>
              <w:jc w:val="right"/>
              <w:rPr>
                <w:rFonts w:eastAsia="細明體"/>
              </w:rPr>
            </w:pPr>
            <w:r w:rsidRPr="00337C6C">
              <w:rPr>
                <w:rFonts w:eastAsia="細明體" w:hint="eastAsia"/>
              </w:rPr>
              <w:t>256.7</w:t>
            </w:r>
          </w:p>
        </w:tc>
        <w:tc>
          <w:tcPr>
            <w:tcW w:w="1233" w:type="dxa"/>
            <w:tcBorders>
              <w:top w:val="nil"/>
              <w:left w:val="nil"/>
              <w:bottom w:val="nil"/>
              <w:right w:val="nil"/>
            </w:tcBorders>
            <w:vAlign w:val="center"/>
          </w:tcPr>
          <w:p w:rsidR="002652F8" w:rsidRPr="00337C6C" w:rsidRDefault="002652F8" w:rsidP="00337C6C">
            <w:pPr>
              <w:snapToGrid w:val="0"/>
              <w:spacing w:line="320" w:lineRule="exact"/>
              <w:ind w:right="296"/>
              <w:jc w:val="right"/>
              <w:rPr>
                <w:rFonts w:eastAsia="細明體"/>
              </w:rPr>
            </w:pPr>
            <w:r w:rsidRPr="00337C6C">
              <w:rPr>
                <w:rFonts w:eastAsia="細明體" w:hint="eastAsia"/>
              </w:rPr>
              <w:t>21.</w:t>
            </w:r>
            <w:r w:rsidR="00337C6C" w:rsidRPr="00337C6C">
              <w:rPr>
                <w:rFonts w:eastAsia="細明體" w:hint="eastAsia"/>
              </w:rPr>
              <w:t>6</w:t>
            </w:r>
          </w:p>
        </w:tc>
        <w:tc>
          <w:tcPr>
            <w:tcW w:w="1800" w:type="dxa"/>
            <w:tcBorders>
              <w:top w:val="nil"/>
              <w:left w:val="nil"/>
              <w:bottom w:val="nil"/>
              <w:right w:val="nil"/>
            </w:tcBorders>
            <w:vAlign w:val="center"/>
          </w:tcPr>
          <w:p w:rsidR="002652F8" w:rsidRPr="00337C6C" w:rsidRDefault="002652F8" w:rsidP="00337C6C">
            <w:pPr>
              <w:snapToGrid w:val="0"/>
              <w:spacing w:line="320" w:lineRule="exact"/>
              <w:ind w:right="536"/>
              <w:jc w:val="right"/>
              <w:rPr>
                <w:rFonts w:eastAsia="細明體"/>
              </w:rPr>
            </w:pPr>
            <w:r w:rsidRPr="00337C6C">
              <w:rPr>
                <w:rFonts w:eastAsia="細明體" w:hint="eastAsia"/>
              </w:rPr>
              <w:t>25</w:t>
            </w:r>
            <w:r w:rsidR="00337C6C" w:rsidRPr="00337C6C">
              <w:rPr>
                <w:rFonts w:eastAsia="細明體" w:hint="eastAsia"/>
              </w:rPr>
              <w:t>1.6</w:t>
            </w:r>
          </w:p>
        </w:tc>
        <w:tc>
          <w:tcPr>
            <w:tcW w:w="1440" w:type="dxa"/>
            <w:tcBorders>
              <w:top w:val="nil"/>
              <w:left w:val="nil"/>
              <w:bottom w:val="nil"/>
              <w:right w:val="nil"/>
            </w:tcBorders>
            <w:vAlign w:val="center"/>
          </w:tcPr>
          <w:p w:rsidR="002652F8" w:rsidRPr="00337C6C" w:rsidRDefault="002652F8" w:rsidP="00337C6C">
            <w:pPr>
              <w:snapToGrid w:val="0"/>
              <w:spacing w:line="320" w:lineRule="exact"/>
              <w:ind w:right="417"/>
              <w:jc w:val="right"/>
              <w:rPr>
                <w:rFonts w:eastAsia="細明體"/>
              </w:rPr>
            </w:pPr>
            <w:r w:rsidRPr="00337C6C">
              <w:rPr>
                <w:rFonts w:eastAsia="細明體" w:hint="eastAsia"/>
              </w:rPr>
              <w:t>22.</w:t>
            </w:r>
            <w:r w:rsidR="00337C6C" w:rsidRPr="00337C6C">
              <w:rPr>
                <w:rFonts w:eastAsia="細明體" w:hint="eastAsia"/>
              </w:rPr>
              <w:t>2</w:t>
            </w:r>
          </w:p>
        </w:tc>
        <w:tc>
          <w:tcPr>
            <w:tcW w:w="1460" w:type="dxa"/>
            <w:tcBorders>
              <w:top w:val="nil"/>
              <w:left w:val="nil"/>
              <w:bottom w:val="nil"/>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4.7</w:t>
            </w:r>
          </w:p>
        </w:tc>
      </w:tr>
      <w:tr w:rsidR="00337C6C" w:rsidRPr="00337C6C" w:rsidTr="00A10DDB">
        <w:trPr>
          <w:trHeight w:val="351"/>
        </w:trPr>
        <w:tc>
          <w:tcPr>
            <w:tcW w:w="1544" w:type="dxa"/>
            <w:tcBorders>
              <w:top w:val="nil"/>
              <w:left w:val="nil"/>
              <w:bottom w:val="nil"/>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2652F8" w:rsidRPr="00337C6C" w:rsidRDefault="002652F8" w:rsidP="00337C6C">
            <w:pPr>
              <w:snapToGrid w:val="0"/>
              <w:spacing w:line="320" w:lineRule="exact"/>
              <w:ind w:right="480"/>
              <w:jc w:val="right"/>
              <w:rPr>
                <w:rFonts w:eastAsia="細明體"/>
              </w:rPr>
            </w:pPr>
            <w:r w:rsidRPr="00337C6C">
              <w:rPr>
                <w:rFonts w:eastAsia="細明體" w:hint="eastAsia"/>
              </w:rPr>
              <w:t>197.</w:t>
            </w:r>
            <w:r w:rsidR="00337C6C" w:rsidRPr="00337C6C">
              <w:rPr>
                <w:rFonts w:eastAsia="細明體" w:hint="eastAsia"/>
              </w:rPr>
              <w:t>3</w:t>
            </w:r>
          </w:p>
        </w:tc>
        <w:tc>
          <w:tcPr>
            <w:tcW w:w="1233" w:type="dxa"/>
            <w:tcBorders>
              <w:top w:val="nil"/>
              <w:left w:val="nil"/>
              <w:bottom w:val="nil"/>
              <w:right w:val="nil"/>
            </w:tcBorders>
            <w:vAlign w:val="center"/>
          </w:tcPr>
          <w:p w:rsidR="002652F8" w:rsidRPr="00337C6C" w:rsidRDefault="002652F8" w:rsidP="00A10DDB">
            <w:pPr>
              <w:snapToGrid w:val="0"/>
              <w:spacing w:line="320" w:lineRule="exact"/>
              <w:ind w:right="296"/>
              <w:jc w:val="right"/>
              <w:rPr>
                <w:rFonts w:eastAsia="細明體"/>
              </w:rPr>
            </w:pPr>
            <w:r w:rsidRPr="00337C6C">
              <w:rPr>
                <w:rFonts w:eastAsia="細明體" w:hint="eastAsia"/>
              </w:rPr>
              <w:t>-15.8</w:t>
            </w:r>
          </w:p>
        </w:tc>
        <w:tc>
          <w:tcPr>
            <w:tcW w:w="1800" w:type="dxa"/>
            <w:tcBorders>
              <w:top w:val="nil"/>
              <w:left w:val="nil"/>
              <w:bottom w:val="nil"/>
              <w:right w:val="nil"/>
            </w:tcBorders>
            <w:vAlign w:val="center"/>
          </w:tcPr>
          <w:p w:rsidR="002652F8" w:rsidRPr="00337C6C" w:rsidRDefault="002652F8" w:rsidP="00337C6C">
            <w:pPr>
              <w:snapToGrid w:val="0"/>
              <w:spacing w:line="320" w:lineRule="exact"/>
              <w:ind w:right="536"/>
              <w:jc w:val="right"/>
              <w:rPr>
                <w:rFonts w:eastAsia="細明體"/>
              </w:rPr>
            </w:pPr>
            <w:r w:rsidRPr="00337C6C">
              <w:rPr>
                <w:rFonts w:eastAsia="細明體" w:hint="eastAsia"/>
              </w:rPr>
              <w:t>188.</w:t>
            </w:r>
            <w:r w:rsidR="00337C6C" w:rsidRPr="00337C6C">
              <w:rPr>
                <w:rFonts w:eastAsia="細明體" w:hint="eastAsia"/>
              </w:rPr>
              <w:t>1</w:t>
            </w:r>
          </w:p>
        </w:tc>
        <w:tc>
          <w:tcPr>
            <w:tcW w:w="1440" w:type="dxa"/>
            <w:tcBorders>
              <w:top w:val="nil"/>
              <w:left w:val="nil"/>
              <w:bottom w:val="nil"/>
              <w:right w:val="nil"/>
            </w:tcBorders>
            <w:vAlign w:val="center"/>
          </w:tcPr>
          <w:p w:rsidR="002652F8" w:rsidRPr="00337C6C" w:rsidRDefault="002652F8" w:rsidP="00A10DDB">
            <w:pPr>
              <w:snapToGrid w:val="0"/>
              <w:spacing w:line="320" w:lineRule="exact"/>
              <w:ind w:right="417"/>
              <w:jc w:val="right"/>
              <w:rPr>
                <w:rFonts w:eastAsia="細明體"/>
              </w:rPr>
            </w:pPr>
            <w:r w:rsidRPr="00337C6C">
              <w:rPr>
                <w:rFonts w:eastAsia="細明體" w:hint="eastAsia"/>
              </w:rPr>
              <w:t>-8.5</w:t>
            </w:r>
          </w:p>
        </w:tc>
        <w:tc>
          <w:tcPr>
            <w:tcW w:w="1460" w:type="dxa"/>
            <w:tcBorders>
              <w:top w:val="nil"/>
              <w:left w:val="nil"/>
              <w:bottom w:val="nil"/>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9.2</w:t>
            </w:r>
          </w:p>
        </w:tc>
      </w:tr>
      <w:tr w:rsidR="00337C6C" w:rsidRPr="00337C6C" w:rsidTr="00A10DDB">
        <w:trPr>
          <w:trHeight w:val="351"/>
        </w:trPr>
        <w:tc>
          <w:tcPr>
            <w:tcW w:w="1544" w:type="dxa"/>
            <w:tcBorders>
              <w:top w:val="nil"/>
              <w:left w:val="nil"/>
              <w:bottom w:val="nil"/>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2652F8" w:rsidRPr="00337C6C" w:rsidRDefault="002652F8" w:rsidP="00337C6C">
            <w:pPr>
              <w:snapToGrid w:val="0"/>
              <w:spacing w:line="320" w:lineRule="exact"/>
              <w:ind w:right="480"/>
              <w:jc w:val="right"/>
              <w:rPr>
                <w:rFonts w:eastAsia="細明體"/>
              </w:rPr>
            </w:pPr>
            <w:r w:rsidRPr="00337C6C">
              <w:rPr>
                <w:rFonts w:eastAsia="細明體" w:hint="eastAsia"/>
              </w:rPr>
              <w:t>272.</w:t>
            </w:r>
            <w:r w:rsidR="00337C6C" w:rsidRPr="00337C6C">
              <w:rPr>
                <w:rFonts w:eastAsia="細明體" w:hint="eastAsia"/>
              </w:rPr>
              <w:t>1</w:t>
            </w:r>
          </w:p>
        </w:tc>
        <w:tc>
          <w:tcPr>
            <w:tcW w:w="1233" w:type="dxa"/>
            <w:tcBorders>
              <w:top w:val="nil"/>
              <w:left w:val="nil"/>
              <w:bottom w:val="nil"/>
              <w:right w:val="nil"/>
            </w:tcBorders>
            <w:vAlign w:val="center"/>
          </w:tcPr>
          <w:p w:rsidR="002652F8" w:rsidRPr="00337C6C" w:rsidRDefault="002652F8" w:rsidP="00337C6C">
            <w:pPr>
              <w:snapToGrid w:val="0"/>
              <w:spacing w:line="320" w:lineRule="exact"/>
              <w:ind w:right="296"/>
              <w:jc w:val="right"/>
              <w:rPr>
                <w:rFonts w:eastAsia="細明體"/>
              </w:rPr>
            </w:pPr>
            <w:r w:rsidRPr="00337C6C">
              <w:rPr>
                <w:rFonts w:eastAsia="細明體" w:hint="eastAsia"/>
              </w:rPr>
              <w:t>3.</w:t>
            </w:r>
            <w:r w:rsidR="00337C6C" w:rsidRPr="00337C6C">
              <w:rPr>
                <w:rFonts w:eastAsia="細明體" w:hint="eastAsia"/>
              </w:rPr>
              <w:t>2</w:t>
            </w:r>
          </w:p>
        </w:tc>
        <w:tc>
          <w:tcPr>
            <w:tcW w:w="1800" w:type="dxa"/>
            <w:tcBorders>
              <w:top w:val="nil"/>
              <w:left w:val="nil"/>
              <w:bottom w:val="nil"/>
              <w:right w:val="nil"/>
            </w:tcBorders>
            <w:vAlign w:val="center"/>
          </w:tcPr>
          <w:p w:rsidR="002652F8" w:rsidRPr="00337C6C" w:rsidRDefault="002652F8" w:rsidP="00337C6C">
            <w:pPr>
              <w:snapToGrid w:val="0"/>
              <w:spacing w:line="320" w:lineRule="exact"/>
              <w:ind w:right="536"/>
              <w:jc w:val="right"/>
              <w:rPr>
                <w:rFonts w:eastAsia="細明體"/>
              </w:rPr>
            </w:pPr>
            <w:r w:rsidRPr="00337C6C">
              <w:rPr>
                <w:rFonts w:eastAsia="細明體" w:hint="eastAsia"/>
              </w:rPr>
              <w:t>240.</w:t>
            </w:r>
            <w:r w:rsidR="00337C6C" w:rsidRPr="00337C6C">
              <w:rPr>
                <w:rFonts w:eastAsia="細明體" w:hint="eastAsia"/>
              </w:rPr>
              <w:t>2</w:t>
            </w:r>
          </w:p>
        </w:tc>
        <w:tc>
          <w:tcPr>
            <w:tcW w:w="1440" w:type="dxa"/>
            <w:tcBorders>
              <w:top w:val="nil"/>
              <w:left w:val="nil"/>
              <w:bottom w:val="nil"/>
              <w:right w:val="nil"/>
            </w:tcBorders>
            <w:vAlign w:val="center"/>
          </w:tcPr>
          <w:p w:rsidR="002652F8" w:rsidRPr="00337C6C" w:rsidRDefault="002652F8" w:rsidP="00A10DDB">
            <w:pPr>
              <w:snapToGrid w:val="0"/>
              <w:spacing w:line="320" w:lineRule="exact"/>
              <w:ind w:right="417"/>
              <w:jc w:val="right"/>
              <w:rPr>
                <w:rFonts w:eastAsia="細明體"/>
              </w:rPr>
            </w:pPr>
            <w:r w:rsidRPr="00337C6C">
              <w:rPr>
                <w:rFonts w:eastAsia="細明體" w:hint="eastAsia"/>
              </w:rPr>
              <w:t>0.2</w:t>
            </w:r>
          </w:p>
        </w:tc>
        <w:tc>
          <w:tcPr>
            <w:tcW w:w="1460" w:type="dxa"/>
            <w:tcBorders>
              <w:top w:val="nil"/>
              <w:left w:val="nil"/>
              <w:bottom w:val="nil"/>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32.0</w:t>
            </w:r>
          </w:p>
        </w:tc>
      </w:tr>
      <w:tr w:rsidR="00337C6C" w:rsidRPr="00337C6C" w:rsidTr="00A10DDB">
        <w:trPr>
          <w:trHeight w:val="351"/>
        </w:trPr>
        <w:tc>
          <w:tcPr>
            <w:tcW w:w="1544" w:type="dxa"/>
            <w:tcBorders>
              <w:top w:val="nil"/>
              <w:left w:val="nil"/>
              <w:bottom w:val="nil"/>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2652F8" w:rsidRPr="00337C6C" w:rsidRDefault="002652F8" w:rsidP="00337C6C">
            <w:pPr>
              <w:snapToGrid w:val="0"/>
              <w:spacing w:line="320" w:lineRule="exact"/>
              <w:ind w:right="480"/>
              <w:jc w:val="right"/>
              <w:rPr>
                <w:rFonts w:eastAsia="細明體"/>
              </w:rPr>
            </w:pPr>
            <w:r w:rsidRPr="00337C6C">
              <w:rPr>
                <w:rFonts w:eastAsia="細明體" w:hint="eastAsia"/>
              </w:rPr>
              <w:t>250.</w:t>
            </w:r>
            <w:r w:rsidR="00337C6C" w:rsidRPr="00337C6C">
              <w:rPr>
                <w:rFonts w:eastAsia="細明體" w:hint="eastAsia"/>
              </w:rPr>
              <w:t>4</w:t>
            </w:r>
          </w:p>
        </w:tc>
        <w:tc>
          <w:tcPr>
            <w:tcW w:w="1233" w:type="dxa"/>
            <w:tcBorders>
              <w:top w:val="nil"/>
              <w:left w:val="nil"/>
              <w:bottom w:val="nil"/>
              <w:right w:val="nil"/>
            </w:tcBorders>
            <w:vAlign w:val="center"/>
          </w:tcPr>
          <w:p w:rsidR="002652F8" w:rsidRPr="00337C6C" w:rsidRDefault="002652F8" w:rsidP="00A10DDB">
            <w:pPr>
              <w:snapToGrid w:val="0"/>
              <w:spacing w:line="320" w:lineRule="exact"/>
              <w:ind w:right="296"/>
              <w:jc w:val="right"/>
              <w:rPr>
                <w:rFonts w:eastAsia="細明體"/>
              </w:rPr>
            </w:pPr>
            <w:r w:rsidRPr="00337C6C">
              <w:rPr>
                <w:rFonts w:eastAsia="細明體" w:hint="eastAsia"/>
              </w:rPr>
              <w:t>-1.9</w:t>
            </w:r>
          </w:p>
        </w:tc>
        <w:tc>
          <w:tcPr>
            <w:tcW w:w="1800" w:type="dxa"/>
            <w:tcBorders>
              <w:top w:val="nil"/>
              <w:left w:val="nil"/>
              <w:bottom w:val="nil"/>
              <w:right w:val="nil"/>
            </w:tcBorders>
            <w:vAlign w:val="center"/>
          </w:tcPr>
          <w:p w:rsidR="002652F8" w:rsidRPr="00337C6C" w:rsidRDefault="002652F8" w:rsidP="00A10DDB">
            <w:pPr>
              <w:snapToGrid w:val="0"/>
              <w:spacing w:line="320" w:lineRule="exact"/>
              <w:ind w:right="536"/>
              <w:jc w:val="right"/>
              <w:rPr>
                <w:rFonts w:eastAsia="細明體"/>
              </w:rPr>
            </w:pPr>
            <w:r w:rsidRPr="00337C6C">
              <w:rPr>
                <w:rFonts w:eastAsia="細明體" w:hint="eastAsia"/>
              </w:rPr>
              <w:t>227.7</w:t>
            </w:r>
          </w:p>
        </w:tc>
        <w:tc>
          <w:tcPr>
            <w:tcW w:w="1440" w:type="dxa"/>
            <w:tcBorders>
              <w:top w:val="nil"/>
              <w:left w:val="nil"/>
              <w:bottom w:val="nil"/>
              <w:right w:val="nil"/>
            </w:tcBorders>
            <w:vAlign w:val="center"/>
          </w:tcPr>
          <w:p w:rsidR="002652F8" w:rsidRPr="00337C6C" w:rsidRDefault="002652F8" w:rsidP="00A10DDB">
            <w:pPr>
              <w:snapToGrid w:val="0"/>
              <w:spacing w:line="320" w:lineRule="exact"/>
              <w:ind w:right="417"/>
              <w:jc w:val="right"/>
              <w:rPr>
                <w:rFonts w:eastAsia="細明體"/>
              </w:rPr>
            </w:pPr>
            <w:r w:rsidRPr="00337C6C">
              <w:rPr>
                <w:rFonts w:eastAsia="細明體" w:hint="eastAsia"/>
              </w:rPr>
              <w:t>-8.2</w:t>
            </w:r>
          </w:p>
        </w:tc>
        <w:tc>
          <w:tcPr>
            <w:tcW w:w="1460" w:type="dxa"/>
            <w:tcBorders>
              <w:top w:val="nil"/>
              <w:left w:val="nil"/>
              <w:bottom w:val="nil"/>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22.7</w:t>
            </w:r>
          </w:p>
        </w:tc>
      </w:tr>
      <w:tr w:rsidR="00337C6C" w:rsidRPr="00337C6C" w:rsidTr="00A10DDB">
        <w:trPr>
          <w:trHeight w:val="351"/>
        </w:trPr>
        <w:tc>
          <w:tcPr>
            <w:tcW w:w="1544" w:type="dxa"/>
            <w:tcBorders>
              <w:top w:val="nil"/>
              <w:left w:val="nil"/>
              <w:bottom w:val="nil"/>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2652F8" w:rsidRPr="00337C6C" w:rsidRDefault="002652F8" w:rsidP="00A10DDB">
            <w:pPr>
              <w:snapToGrid w:val="0"/>
              <w:spacing w:line="320" w:lineRule="exact"/>
              <w:ind w:right="480"/>
              <w:jc w:val="right"/>
              <w:rPr>
                <w:rFonts w:eastAsia="細明體"/>
              </w:rPr>
            </w:pPr>
            <w:r w:rsidRPr="00337C6C">
              <w:rPr>
                <w:rFonts w:eastAsia="細明體" w:hint="eastAsia"/>
              </w:rPr>
              <w:t>263.4</w:t>
            </w:r>
          </w:p>
        </w:tc>
        <w:tc>
          <w:tcPr>
            <w:tcW w:w="1233" w:type="dxa"/>
            <w:tcBorders>
              <w:top w:val="nil"/>
              <w:left w:val="nil"/>
              <w:bottom w:val="nil"/>
              <w:right w:val="nil"/>
            </w:tcBorders>
            <w:vAlign w:val="center"/>
          </w:tcPr>
          <w:p w:rsidR="002652F8" w:rsidRPr="00337C6C" w:rsidRDefault="002652F8" w:rsidP="00A10DDB">
            <w:pPr>
              <w:snapToGrid w:val="0"/>
              <w:spacing w:line="320" w:lineRule="exact"/>
              <w:ind w:right="296"/>
              <w:jc w:val="right"/>
              <w:rPr>
                <w:rFonts w:eastAsia="細明體"/>
              </w:rPr>
            </w:pPr>
            <w:r w:rsidRPr="00337C6C">
              <w:rPr>
                <w:rFonts w:eastAsia="細明體" w:hint="eastAsia"/>
              </w:rPr>
              <w:t>0.9</w:t>
            </w:r>
          </w:p>
        </w:tc>
        <w:tc>
          <w:tcPr>
            <w:tcW w:w="1800" w:type="dxa"/>
            <w:tcBorders>
              <w:top w:val="nil"/>
              <w:left w:val="nil"/>
              <w:bottom w:val="nil"/>
              <w:right w:val="nil"/>
            </w:tcBorders>
            <w:vAlign w:val="center"/>
          </w:tcPr>
          <w:p w:rsidR="002652F8" w:rsidRPr="00337C6C" w:rsidRDefault="002652F8" w:rsidP="00A10DDB">
            <w:pPr>
              <w:snapToGrid w:val="0"/>
              <w:spacing w:line="320" w:lineRule="exact"/>
              <w:ind w:right="536"/>
              <w:jc w:val="right"/>
              <w:rPr>
                <w:rFonts w:eastAsia="細明體"/>
              </w:rPr>
            </w:pPr>
            <w:r w:rsidRPr="00337C6C">
              <w:rPr>
                <w:rFonts w:eastAsia="細明體" w:hint="eastAsia"/>
              </w:rPr>
              <w:t>218.9</w:t>
            </w:r>
          </w:p>
        </w:tc>
        <w:tc>
          <w:tcPr>
            <w:tcW w:w="1440" w:type="dxa"/>
            <w:tcBorders>
              <w:top w:val="nil"/>
              <w:left w:val="nil"/>
              <w:bottom w:val="nil"/>
              <w:right w:val="nil"/>
            </w:tcBorders>
            <w:vAlign w:val="center"/>
          </w:tcPr>
          <w:p w:rsidR="002652F8" w:rsidRPr="00337C6C" w:rsidRDefault="002652F8" w:rsidP="00A10DDB">
            <w:pPr>
              <w:snapToGrid w:val="0"/>
              <w:spacing w:line="320" w:lineRule="exact"/>
              <w:ind w:right="417"/>
              <w:jc w:val="right"/>
              <w:rPr>
                <w:rFonts w:eastAsia="細明體"/>
              </w:rPr>
            </w:pPr>
            <w:r w:rsidRPr="00337C6C">
              <w:rPr>
                <w:rFonts w:eastAsia="細明體" w:hint="eastAsia"/>
              </w:rPr>
              <w:t>-8.0</w:t>
            </w:r>
          </w:p>
        </w:tc>
        <w:tc>
          <w:tcPr>
            <w:tcW w:w="1460" w:type="dxa"/>
            <w:tcBorders>
              <w:top w:val="nil"/>
              <w:left w:val="nil"/>
              <w:bottom w:val="nil"/>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44.6</w:t>
            </w:r>
          </w:p>
        </w:tc>
      </w:tr>
      <w:tr w:rsidR="00337C6C" w:rsidRPr="00337C6C" w:rsidTr="00A10DDB">
        <w:trPr>
          <w:trHeight w:val="351"/>
        </w:trPr>
        <w:tc>
          <w:tcPr>
            <w:tcW w:w="1544" w:type="dxa"/>
            <w:tcBorders>
              <w:top w:val="nil"/>
              <w:left w:val="nil"/>
              <w:bottom w:val="single" w:sz="4" w:space="0" w:color="auto"/>
              <w:right w:val="single" w:sz="4" w:space="0" w:color="auto"/>
            </w:tcBorders>
          </w:tcPr>
          <w:p w:rsidR="002652F8" w:rsidRPr="00337C6C" w:rsidRDefault="002652F8" w:rsidP="00A10DD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single" w:sz="4" w:space="0" w:color="auto"/>
              <w:right w:val="nil"/>
            </w:tcBorders>
            <w:vAlign w:val="center"/>
          </w:tcPr>
          <w:p w:rsidR="002652F8" w:rsidRPr="00337C6C" w:rsidRDefault="002652F8" w:rsidP="00A10DDB">
            <w:pPr>
              <w:snapToGrid w:val="0"/>
              <w:spacing w:line="320" w:lineRule="exact"/>
              <w:ind w:right="480"/>
              <w:jc w:val="right"/>
              <w:rPr>
                <w:rFonts w:eastAsia="細明體"/>
              </w:rPr>
            </w:pPr>
            <w:r w:rsidRPr="00337C6C">
              <w:rPr>
                <w:rFonts w:eastAsia="細明體" w:hint="eastAsia"/>
              </w:rPr>
              <w:t>264.8</w:t>
            </w:r>
          </w:p>
        </w:tc>
        <w:tc>
          <w:tcPr>
            <w:tcW w:w="1233" w:type="dxa"/>
            <w:tcBorders>
              <w:top w:val="nil"/>
              <w:left w:val="nil"/>
              <w:bottom w:val="single" w:sz="4" w:space="0" w:color="auto"/>
              <w:right w:val="nil"/>
            </w:tcBorders>
            <w:vAlign w:val="center"/>
          </w:tcPr>
          <w:p w:rsidR="002652F8" w:rsidRPr="00337C6C" w:rsidRDefault="002652F8" w:rsidP="00A10DDB">
            <w:pPr>
              <w:snapToGrid w:val="0"/>
              <w:spacing w:line="320" w:lineRule="exact"/>
              <w:ind w:right="296"/>
              <w:jc w:val="right"/>
              <w:rPr>
                <w:rFonts w:eastAsia="細明體"/>
              </w:rPr>
            </w:pPr>
            <w:r w:rsidRPr="00337C6C">
              <w:rPr>
                <w:rFonts w:eastAsia="細明體" w:hint="eastAsia"/>
              </w:rPr>
              <w:t>8.6</w:t>
            </w:r>
          </w:p>
        </w:tc>
        <w:tc>
          <w:tcPr>
            <w:tcW w:w="1800" w:type="dxa"/>
            <w:tcBorders>
              <w:top w:val="nil"/>
              <w:left w:val="nil"/>
              <w:bottom w:val="single" w:sz="4" w:space="0" w:color="auto"/>
              <w:right w:val="nil"/>
            </w:tcBorders>
            <w:vAlign w:val="center"/>
          </w:tcPr>
          <w:p w:rsidR="002652F8" w:rsidRPr="00337C6C" w:rsidRDefault="002652F8" w:rsidP="00A10DDB">
            <w:pPr>
              <w:snapToGrid w:val="0"/>
              <w:spacing w:line="320" w:lineRule="exact"/>
              <w:ind w:right="536"/>
              <w:jc w:val="right"/>
              <w:rPr>
                <w:rFonts w:eastAsia="細明體"/>
              </w:rPr>
            </w:pPr>
            <w:r w:rsidRPr="00337C6C">
              <w:rPr>
                <w:rFonts w:eastAsia="細明體" w:hint="eastAsia"/>
              </w:rPr>
              <w:t>232.3</w:t>
            </w:r>
          </w:p>
        </w:tc>
        <w:tc>
          <w:tcPr>
            <w:tcW w:w="1440" w:type="dxa"/>
            <w:tcBorders>
              <w:top w:val="nil"/>
              <w:left w:val="nil"/>
              <w:bottom w:val="single" w:sz="4" w:space="0" w:color="auto"/>
              <w:right w:val="nil"/>
            </w:tcBorders>
            <w:vAlign w:val="center"/>
          </w:tcPr>
          <w:p w:rsidR="002652F8" w:rsidRPr="00337C6C" w:rsidRDefault="002652F8" w:rsidP="00A10DDB">
            <w:pPr>
              <w:snapToGrid w:val="0"/>
              <w:spacing w:line="320" w:lineRule="exact"/>
              <w:ind w:right="417"/>
              <w:jc w:val="right"/>
              <w:rPr>
                <w:rFonts w:eastAsia="細明體"/>
              </w:rPr>
            </w:pPr>
            <w:r w:rsidRPr="00337C6C">
              <w:rPr>
                <w:rFonts w:eastAsia="細明體" w:hint="eastAsia"/>
              </w:rPr>
              <w:t>6.8</w:t>
            </w:r>
          </w:p>
        </w:tc>
        <w:tc>
          <w:tcPr>
            <w:tcW w:w="1460" w:type="dxa"/>
            <w:tcBorders>
              <w:top w:val="nil"/>
              <w:left w:val="nil"/>
              <w:bottom w:val="single" w:sz="4" w:space="0" w:color="auto"/>
              <w:right w:val="nil"/>
            </w:tcBorders>
            <w:vAlign w:val="center"/>
          </w:tcPr>
          <w:p w:rsidR="002652F8" w:rsidRPr="00337C6C" w:rsidRDefault="002652F8" w:rsidP="00A10DDB">
            <w:pPr>
              <w:snapToGrid w:val="0"/>
              <w:spacing w:line="320" w:lineRule="exact"/>
              <w:ind w:right="460"/>
              <w:jc w:val="right"/>
              <w:rPr>
                <w:rFonts w:eastAsia="細明體"/>
              </w:rPr>
            </w:pPr>
            <w:r w:rsidRPr="00337C6C">
              <w:rPr>
                <w:rFonts w:eastAsia="細明體" w:hint="eastAsia"/>
              </w:rPr>
              <w:t>32.5</w:t>
            </w:r>
          </w:p>
        </w:tc>
      </w:tr>
    </w:tbl>
    <w:p w:rsidR="00345470" w:rsidRPr="002652F8" w:rsidRDefault="00345470" w:rsidP="00357E8F">
      <w:pPr>
        <w:spacing w:line="320" w:lineRule="exact"/>
        <w:ind w:left="708" w:rightChars="-187" w:right="-449" w:hangingChars="322" w:hanging="708"/>
        <w:rPr>
          <w:rFonts w:eastAsia="標楷體"/>
          <w:sz w:val="22"/>
          <w:szCs w:val="22"/>
        </w:rPr>
      </w:pPr>
      <w:proofErr w:type="gramStart"/>
      <w:r w:rsidRPr="002652F8">
        <w:rPr>
          <w:rFonts w:eastAsia="標楷體"/>
          <w:sz w:val="22"/>
          <w:szCs w:val="22"/>
        </w:rPr>
        <w:t>註</w:t>
      </w:r>
      <w:proofErr w:type="gramEnd"/>
      <w:r w:rsidRPr="002652F8">
        <w:rPr>
          <w:rFonts w:eastAsia="標楷體"/>
          <w:sz w:val="22"/>
          <w:szCs w:val="22"/>
        </w:rPr>
        <w:t>：</w:t>
      </w:r>
      <w:r w:rsidRPr="002652F8">
        <w:rPr>
          <w:rFonts w:eastAsia="標楷體"/>
          <w:sz w:val="22"/>
          <w:szCs w:val="22"/>
        </w:rPr>
        <w:t>1.</w:t>
      </w:r>
      <w:r w:rsidRPr="002652F8">
        <w:rPr>
          <w:rFonts w:eastAsia="標楷體"/>
          <w:sz w:val="22"/>
          <w:szCs w:val="22"/>
        </w:rPr>
        <w:t>自</w:t>
      </w:r>
      <w:r w:rsidRPr="002652F8">
        <w:rPr>
          <w:rFonts w:eastAsia="標楷體"/>
          <w:sz w:val="22"/>
          <w:szCs w:val="22"/>
        </w:rPr>
        <w:t>95</w:t>
      </w:r>
      <w:r w:rsidRPr="002652F8">
        <w:rPr>
          <w:rFonts w:eastAsia="標楷體"/>
          <w:sz w:val="22"/>
          <w:szCs w:val="22"/>
        </w:rPr>
        <w:t>年</w:t>
      </w:r>
      <w:r w:rsidRPr="002652F8">
        <w:rPr>
          <w:rFonts w:eastAsia="標楷體"/>
          <w:sz w:val="22"/>
          <w:szCs w:val="22"/>
        </w:rPr>
        <w:t>1</w:t>
      </w:r>
      <w:r w:rsidRPr="002652F8">
        <w:rPr>
          <w:rFonts w:eastAsia="標楷體"/>
          <w:sz w:val="22"/>
          <w:szCs w:val="22"/>
        </w:rPr>
        <w:t>月起，進出口貿易統計改依聯合國</w:t>
      </w:r>
      <w:r w:rsidRPr="002652F8">
        <w:rPr>
          <w:rFonts w:eastAsia="標楷體"/>
          <w:sz w:val="22"/>
          <w:szCs w:val="22"/>
        </w:rPr>
        <w:t>2004</w:t>
      </w:r>
      <w:r w:rsidRPr="002652F8">
        <w:rPr>
          <w:rFonts w:eastAsia="標楷體"/>
          <w:sz w:val="22"/>
          <w:szCs w:val="22"/>
        </w:rPr>
        <w:t>年版「國際商品貿易統計手冊」規範之</w:t>
      </w:r>
      <w:proofErr w:type="gramStart"/>
      <w:r w:rsidRPr="002652F8">
        <w:rPr>
          <w:rFonts w:eastAsia="標楷體"/>
          <w:sz w:val="22"/>
          <w:szCs w:val="22"/>
        </w:rPr>
        <w:t>準則編布</w:t>
      </w:r>
      <w:proofErr w:type="gramEnd"/>
      <w:r w:rsidRPr="002652F8">
        <w:rPr>
          <w:rFonts w:eastAsia="標楷體"/>
          <w:sz w:val="22"/>
          <w:szCs w:val="22"/>
        </w:rPr>
        <w:t>，出口及進口總值改</w:t>
      </w:r>
      <w:proofErr w:type="gramStart"/>
      <w:r w:rsidRPr="002652F8">
        <w:rPr>
          <w:rFonts w:eastAsia="標楷體"/>
          <w:sz w:val="22"/>
          <w:szCs w:val="22"/>
        </w:rPr>
        <w:t>採</w:t>
      </w:r>
      <w:proofErr w:type="gramEnd"/>
      <w:r w:rsidRPr="002652F8">
        <w:rPr>
          <w:rFonts w:eastAsia="標楷體"/>
          <w:sz w:val="22"/>
          <w:szCs w:val="22"/>
        </w:rPr>
        <w:t>「出口總值＝出口＋復出口」、「進口總值＝進口＋復進口」之</w:t>
      </w:r>
      <w:proofErr w:type="gramStart"/>
      <w:r w:rsidRPr="002652F8">
        <w:rPr>
          <w:rFonts w:eastAsia="標楷體"/>
          <w:sz w:val="22"/>
          <w:szCs w:val="22"/>
        </w:rPr>
        <w:t>編法列</w:t>
      </w:r>
      <w:proofErr w:type="gramEnd"/>
      <w:r w:rsidRPr="002652F8">
        <w:rPr>
          <w:rFonts w:eastAsia="標楷體"/>
          <w:sz w:val="22"/>
          <w:szCs w:val="22"/>
        </w:rPr>
        <w:t>示。</w:t>
      </w:r>
    </w:p>
    <w:p w:rsidR="00345470" w:rsidRPr="002652F8" w:rsidRDefault="00345470" w:rsidP="00357E8F">
      <w:pPr>
        <w:spacing w:line="320" w:lineRule="exact"/>
        <w:ind w:leftChars="178" w:left="709" w:rightChars="-187" w:right="-449" w:hangingChars="128" w:hanging="282"/>
        <w:rPr>
          <w:rFonts w:eastAsia="標楷體"/>
          <w:sz w:val="22"/>
          <w:szCs w:val="22"/>
        </w:rPr>
      </w:pPr>
      <w:r w:rsidRPr="002652F8">
        <w:rPr>
          <w:rFonts w:eastAsia="標楷體"/>
          <w:sz w:val="22"/>
          <w:szCs w:val="22"/>
        </w:rPr>
        <w:t>2.</w:t>
      </w:r>
      <w:r w:rsidRPr="002652F8">
        <w:rPr>
          <w:rFonts w:eastAsia="標楷體"/>
          <w:sz w:val="22"/>
          <w:szCs w:val="22"/>
        </w:rPr>
        <w:t>依據財政部定義，復出口：為外貨進口後因故退回或再轉售國外、或經簡易加工後再出口者。復進口：為國貨出口後因故退回或委外簡易加工後再進口。</w:t>
      </w:r>
    </w:p>
    <w:p w:rsidR="00345470" w:rsidRPr="002652F8" w:rsidRDefault="00345470" w:rsidP="00036CE8">
      <w:pPr>
        <w:spacing w:line="320" w:lineRule="exact"/>
        <w:rPr>
          <w:rFonts w:eastAsia="標楷體"/>
        </w:rPr>
      </w:pPr>
      <w:r w:rsidRPr="002652F8">
        <w:rPr>
          <w:rFonts w:eastAsia="標楷體"/>
          <w:sz w:val="22"/>
          <w:szCs w:val="22"/>
        </w:rPr>
        <w:t>資料來源：財政部進出口貿易統計。</w:t>
      </w:r>
    </w:p>
    <w:p w:rsidR="00345470" w:rsidRPr="00CA07C6" w:rsidRDefault="00345470" w:rsidP="00506996">
      <w:pPr>
        <w:pStyle w:val="k3a"/>
        <w:tabs>
          <w:tab w:val="left" w:pos="540"/>
        </w:tabs>
        <w:spacing w:before="180" w:line="300" w:lineRule="auto"/>
        <w:ind w:leftChars="0" w:left="566" w:right="0" w:hangingChars="257" w:hanging="566"/>
        <w:rPr>
          <w:b/>
          <w:bCs/>
        </w:rPr>
      </w:pPr>
      <w:r w:rsidRPr="003111E1">
        <w:rPr>
          <w:b/>
          <w:bCs/>
          <w:color w:val="FF0000"/>
          <w:sz w:val="22"/>
          <w:szCs w:val="22"/>
        </w:rPr>
        <w:br w:type="page"/>
      </w:r>
      <w:r w:rsidRPr="00CA07C6">
        <w:rPr>
          <w:b/>
          <w:bCs/>
        </w:rPr>
        <w:lastRenderedPageBreak/>
        <w:t>２、</w:t>
      </w:r>
      <w:r w:rsidR="002652F8" w:rsidRPr="00CA07C6">
        <w:rPr>
          <w:rFonts w:hint="eastAsia"/>
          <w:b/>
          <w:bCs/>
        </w:rPr>
        <w:t>102</w:t>
      </w:r>
      <w:r w:rsidR="002652F8" w:rsidRPr="00CA07C6">
        <w:rPr>
          <w:rFonts w:hint="eastAsia"/>
          <w:b/>
          <w:bCs/>
        </w:rPr>
        <w:t>年</w:t>
      </w:r>
      <w:r w:rsidR="002652F8" w:rsidRPr="00CA07C6">
        <w:rPr>
          <w:rFonts w:hint="eastAsia"/>
          <w:b/>
          <w:bCs/>
        </w:rPr>
        <w:t>6</w:t>
      </w:r>
      <w:r w:rsidR="002652F8" w:rsidRPr="00CA07C6">
        <w:rPr>
          <w:rFonts w:hint="eastAsia"/>
          <w:b/>
          <w:bCs/>
        </w:rPr>
        <w:t>月我對主要國家（地區）出口</w:t>
      </w:r>
      <w:r w:rsidR="009E0B50">
        <w:rPr>
          <w:rFonts w:hint="eastAsia"/>
          <w:b/>
          <w:bCs/>
        </w:rPr>
        <w:t>增加</w:t>
      </w:r>
      <w:r w:rsidR="002652F8" w:rsidRPr="00CA07C6">
        <w:rPr>
          <w:rFonts w:hint="eastAsia"/>
          <w:b/>
          <w:bCs/>
        </w:rPr>
        <w:t>最多為</w:t>
      </w:r>
      <w:r w:rsidR="00CA07C6" w:rsidRPr="00CA07C6">
        <w:rPr>
          <w:rFonts w:hint="eastAsia"/>
          <w:b/>
          <w:bCs/>
        </w:rPr>
        <w:t>科威特</w:t>
      </w:r>
      <w:r w:rsidR="00CA07C6" w:rsidRPr="00CA07C6">
        <w:rPr>
          <w:rFonts w:hint="eastAsia"/>
          <w:b/>
          <w:bCs/>
        </w:rPr>
        <w:t>76.4</w:t>
      </w:r>
      <w:r w:rsidR="002652F8" w:rsidRPr="00CA07C6">
        <w:rPr>
          <w:rFonts w:hint="eastAsia"/>
          <w:b/>
          <w:bCs/>
        </w:rPr>
        <w:t>％</w:t>
      </w:r>
      <w:r w:rsidR="009E0B50">
        <w:rPr>
          <w:rFonts w:hint="eastAsia"/>
          <w:b/>
          <w:bCs/>
        </w:rPr>
        <w:t>，</w:t>
      </w:r>
      <w:r w:rsidR="002652F8" w:rsidRPr="00CA07C6">
        <w:rPr>
          <w:rFonts w:hint="eastAsia"/>
          <w:b/>
          <w:bCs/>
        </w:rPr>
        <w:t>進口</w:t>
      </w:r>
      <w:r w:rsidR="009E0B50">
        <w:rPr>
          <w:rFonts w:hint="eastAsia"/>
          <w:b/>
          <w:bCs/>
        </w:rPr>
        <w:t>增加</w:t>
      </w:r>
      <w:r w:rsidR="002652F8" w:rsidRPr="00CA07C6">
        <w:rPr>
          <w:rFonts w:hint="eastAsia"/>
          <w:b/>
          <w:bCs/>
        </w:rPr>
        <w:t>最多為沙烏地阿拉伯</w:t>
      </w:r>
      <w:r w:rsidR="002652F8" w:rsidRPr="00CA07C6">
        <w:rPr>
          <w:rFonts w:hint="eastAsia"/>
          <w:b/>
          <w:bCs/>
        </w:rPr>
        <w:t>55.4</w:t>
      </w:r>
      <w:r w:rsidR="002652F8" w:rsidRPr="00CA07C6">
        <w:rPr>
          <w:rFonts w:hint="eastAsia"/>
          <w:b/>
          <w:bCs/>
        </w:rPr>
        <w:t>％</w:t>
      </w:r>
    </w:p>
    <w:p w:rsidR="002652F8" w:rsidRPr="00CA07C6" w:rsidRDefault="002652F8" w:rsidP="002652F8">
      <w:pPr>
        <w:pStyle w:val="affffc"/>
        <w:numPr>
          <w:ilvl w:val="0"/>
          <w:numId w:val="45"/>
        </w:numPr>
        <w:tabs>
          <w:tab w:val="left" w:pos="709"/>
        </w:tabs>
        <w:snapToGrid w:val="0"/>
        <w:spacing w:before="180" w:line="300" w:lineRule="auto"/>
        <w:ind w:leftChars="0" w:left="709" w:firstLineChars="0"/>
        <w:rPr>
          <w:rFonts w:ascii="Times New Roman" w:eastAsia="標楷體" w:hAnsi="Times New Roman"/>
          <w:bCs/>
          <w:sz w:val="28"/>
        </w:rPr>
      </w:pPr>
      <w:r w:rsidRPr="00CA07C6">
        <w:rPr>
          <w:rFonts w:ascii="Times New Roman" w:eastAsia="標楷體" w:hAnsi="Times New Roman" w:hint="eastAsia"/>
          <w:bCs/>
          <w:sz w:val="28"/>
        </w:rPr>
        <w:t>6</w:t>
      </w:r>
      <w:r w:rsidRPr="00CA07C6">
        <w:rPr>
          <w:rFonts w:ascii="Times New Roman" w:eastAsia="標楷體" w:hAnsi="Times New Roman" w:hint="eastAsia"/>
          <w:bCs/>
          <w:sz w:val="28"/>
        </w:rPr>
        <w:t>月我對主要國家（地區）出口</w:t>
      </w:r>
      <w:r w:rsidR="009E0B50">
        <w:rPr>
          <w:rFonts w:ascii="Times New Roman" w:eastAsia="標楷體" w:hAnsi="Times New Roman" w:hint="eastAsia"/>
          <w:bCs/>
          <w:sz w:val="28"/>
        </w:rPr>
        <w:t>增加</w:t>
      </w:r>
      <w:r w:rsidRPr="00CA07C6">
        <w:rPr>
          <w:rFonts w:ascii="Times New Roman" w:eastAsia="標楷體" w:hAnsi="Times New Roman" w:hint="eastAsia"/>
          <w:bCs/>
          <w:sz w:val="28"/>
        </w:rPr>
        <w:t>最多為</w:t>
      </w:r>
      <w:r w:rsidR="00CA07C6" w:rsidRPr="00CA07C6">
        <w:rPr>
          <w:rFonts w:ascii="Times New Roman" w:eastAsia="標楷體" w:hAnsi="Times New Roman" w:hint="eastAsia"/>
          <w:bCs/>
          <w:sz w:val="28"/>
        </w:rPr>
        <w:t>科威特</w:t>
      </w:r>
      <w:r w:rsidRPr="00CA07C6">
        <w:rPr>
          <w:rFonts w:ascii="Times New Roman" w:eastAsia="標楷體" w:hAnsi="Times New Roman" w:hint="eastAsia"/>
          <w:bCs/>
          <w:sz w:val="28"/>
        </w:rPr>
        <w:t>，增幅為</w:t>
      </w:r>
      <w:r w:rsidR="00CA07C6" w:rsidRPr="00CA07C6">
        <w:rPr>
          <w:rFonts w:ascii="Times New Roman" w:eastAsia="標楷體" w:hAnsi="Times New Roman" w:hint="eastAsia"/>
          <w:bCs/>
          <w:sz w:val="28"/>
        </w:rPr>
        <w:t>76.4</w:t>
      </w:r>
      <w:r w:rsidRPr="00CA07C6">
        <w:rPr>
          <w:rFonts w:ascii="Times New Roman" w:eastAsia="標楷體" w:hAnsi="Times New Roman" w:hint="eastAsia"/>
          <w:bCs/>
          <w:sz w:val="28"/>
        </w:rPr>
        <w:t>％；進口</w:t>
      </w:r>
      <w:r w:rsidR="009E0B50">
        <w:rPr>
          <w:rFonts w:ascii="Times New Roman" w:eastAsia="標楷體" w:hAnsi="Times New Roman" w:hint="eastAsia"/>
          <w:bCs/>
          <w:sz w:val="28"/>
        </w:rPr>
        <w:t>增加</w:t>
      </w:r>
      <w:r w:rsidRPr="00CA07C6">
        <w:rPr>
          <w:rFonts w:ascii="Times New Roman" w:eastAsia="標楷體" w:hAnsi="Times New Roman" w:hint="eastAsia"/>
          <w:bCs/>
          <w:sz w:val="28"/>
        </w:rPr>
        <w:t>最多為沙烏地阿拉伯，增幅為</w:t>
      </w:r>
      <w:r w:rsidRPr="00CA07C6">
        <w:rPr>
          <w:rFonts w:ascii="Times New Roman" w:eastAsia="標楷體" w:hAnsi="Times New Roman" w:hint="eastAsia"/>
          <w:bCs/>
          <w:sz w:val="28"/>
        </w:rPr>
        <w:t>55.4</w:t>
      </w:r>
      <w:r w:rsidRPr="00CA07C6">
        <w:rPr>
          <w:rFonts w:ascii="Times New Roman" w:eastAsia="標楷體" w:hAnsi="Times New Roman" w:hint="eastAsia"/>
          <w:bCs/>
          <w:sz w:val="28"/>
        </w:rPr>
        <w:t>％。</w:t>
      </w:r>
    </w:p>
    <w:p w:rsidR="002652F8" w:rsidRPr="002652F8" w:rsidRDefault="002652F8" w:rsidP="002652F8">
      <w:pPr>
        <w:pStyle w:val="affffc"/>
        <w:numPr>
          <w:ilvl w:val="0"/>
          <w:numId w:val="45"/>
        </w:numPr>
        <w:tabs>
          <w:tab w:val="left" w:pos="709"/>
        </w:tabs>
        <w:snapToGrid w:val="0"/>
        <w:spacing w:before="180" w:line="300" w:lineRule="auto"/>
        <w:ind w:leftChars="0" w:left="709" w:firstLineChars="0"/>
        <w:rPr>
          <w:rFonts w:ascii="Times New Roman" w:eastAsia="標楷體" w:hAnsi="Times New Roman"/>
          <w:bCs/>
          <w:sz w:val="28"/>
        </w:rPr>
      </w:pPr>
      <w:r w:rsidRPr="00CA07C6">
        <w:rPr>
          <w:rFonts w:ascii="Times New Roman" w:eastAsia="標楷體" w:hAnsi="Times New Roman" w:hint="eastAsia"/>
          <w:bCs/>
          <w:sz w:val="28"/>
        </w:rPr>
        <w:t>6</w:t>
      </w:r>
      <w:r w:rsidRPr="00CA07C6">
        <w:rPr>
          <w:rFonts w:ascii="Times New Roman" w:eastAsia="標楷體" w:hAnsi="Times New Roman" w:hint="eastAsia"/>
          <w:bCs/>
          <w:sz w:val="28"/>
        </w:rPr>
        <w:t>月我國最大出口國為中國大陸（含香港），比重達</w:t>
      </w:r>
      <w:r w:rsidRPr="00CA07C6">
        <w:rPr>
          <w:rFonts w:ascii="Times New Roman" w:eastAsia="標楷體" w:hAnsi="Times New Roman" w:hint="eastAsia"/>
          <w:bCs/>
          <w:sz w:val="28"/>
        </w:rPr>
        <w:t>38.9</w:t>
      </w:r>
      <w:r w:rsidRPr="00CA07C6">
        <w:rPr>
          <w:rFonts w:ascii="Times New Roman" w:eastAsia="標楷體" w:hAnsi="Times New Roman" w:hint="eastAsia"/>
          <w:bCs/>
          <w:sz w:val="28"/>
        </w:rPr>
        <w:t>％</w:t>
      </w:r>
      <w:r w:rsidRPr="002652F8">
        <w:rPr>
          <w:rFonts w:ascii="Times New Roman" w:eastAsia="標楷體" w:hAnsi="Times New Roman" w:hint="eastAsia"/>
          <w:bCs/>
          <w:sz w:val="28"/>
        </w:rPr>
        <w:t>，最大進口國為日本，比重達</w:t>
      </w:r>
      <w:r w:rsidRPr="002652F8">
        <w:rPr>
          <w:rFonts w:ascii="Times New Roman" w:eastAsia="標楷體" w:hAnsi="Times New Roman" w:hint="eastAsia"/>
          <w:bCs/>
          <w:sz w:val="28"/>
        </w:rPr>
        <w:t>17.4</w:t>
      </w:r>
      <w:r w:rsidRPr="002652F8">
        <w:rPr>
          <w:rFonts w:ascii="Times New Roman" w:eastAsia="標楷體" w:hAnsi="Times New Roman" w:hint="eastAsia"/>
          <w:bCs/>
          <w:sz w:val="28"/>
        </w:rPr>
        <w:t>％。</w:t>
      </w:r>
    </w:p>
    <w:p w:rsidR="00345470" w:rsidRPr="002652F8" w:rsidRDefault="002652F8" w:rsidP="002652F8">
      <w:pPr>
        <w:pStyle w:val="affffc"/>
        <w:numPr>
          <w:ilvl w:val="0"/>
          <w:numId w:val="45"/>
        </w:numPr>
        <w:tabs>
          <w:tab w:val="left" w:pos="709"/>
        </w:tabs>
        <w:snapToGrid w:val="0"/>
        <w:spacing w:before="180" w:line="300" w:lineRule="auto"/>
        <w:ind w:leftChars="0" w:left="709" w:firstLineChars="0"/>
        <w:rPr>
          <w:rFonts w:ascii="Times New Roman" w:eastAsia="標楷體" w:hAnsi="Times New Roman"/>
          <w:bCs/>
          <w:sz w:val="28"/>
        </w:rPr>
      </w:pPr>
      <w:r w:rsidRPr="002652F8">
        <w:rPr>
          <w:rFonts w:ascii="Times New Roman" w:eastAsia="標楷體" w:hAnsi="Times New Roman" w:hint="eastAsia"/>
          <w:bCs/>
          <w:sz w:val="28"/>
        </w:rPr>
        <w:t>6</w:t>
      </w:r>
      <w:r w:rsidRPr="002652F8">
        <w:rPr>
          <w:rFonts w:ascii="Times New Roman" w:eastAsia="標楷體" w:hAnsi="Times New Roman" w:hint="eastAsia"/>
          <w:bCs/>
          <w:sz w:val="28"/>
        </w:rPr>
        <w:t>月我對主要貿易夥伴中，中國大陸（含香港）為最主要出超來源國，出超</w:t>
      </w:r>
      <w:r w:rsidRPr="002652F8">
        <w:rPr>
          <w:rFonts w:ascii="Times New Roman" w:eastAsia="標楷體" w:hAnsi="Times New Roman" w:hint="eastAsia"/>
          <w:bCs/>
          <w:sz w:val="28"/>
        </w:rPr>
        <w:t>66.53</w:t>
      </w:r>
      <w:r w:rsidRPr="002652F8">
        <w:rPr>
          <w:rFonts w:ascii="Times New Roman" w:eastAsia="標楷體" w:hAnsi="Times New Roman" w:hint="eastAsia"/>
          <w:bCs/>
          <w:sz w:val="28"/>
        </w:rPr>
        <w:t>億美元；主要入超來源國為日本，入超</w:t>
      </w:r>
      <w:r w:rsidRPr="002652F8">
        <w:rPr>
          <w:rFonts w:ascii="Times New Roman" w:eastAsia="標楷體" w:hAnsi="Times New Roman" w:hint="eastAsia"/>
          <w:bCs/>
          <w:sz w:val="28"/>
        </w:rPr>
        <w:t>23.56</w:t>
      </w:r>
      <w:r w:rsidRPr="002652F8">
        <w:rPr>
          <w:rFonts w:ascii="Times New Roman" w:eastAsia="標楷體" w:hAnsi="Times New Roman" w:hint="eastAsia"/>
          <w:bCs/>
          <w:sz w:val="28"/>
        </w:rPr>
        <w:t>億美元。</w:t>
      </w:r>
    </w:p>
    <w:p w:rsidR="00345470" w:rsidRPr="002652F8" w:rsidRDefault="00345470" w:rsidP="00345470">
      <w:pPr>
        <w:snapToGrid w:val="0"/>
        <w:spacing w:before="240"/>
        <w:ind w:right="-153"/>
        <w:jc w:val="center"/>
        <w:rPr>
          <w:rFonts w:eastAsia="標楷體"/>
          <w:b/>
          <w:bCs/>
          <w:sz w:val="28"/>
        </w:rPr>
      </w:pPr>
      <w:r w:rsidRPr="002652F8">
        <w:rPr>
          <w:rFonts w:eastAsia="標楷體"/>
          <w:b/>
          <w:bCs/>
          <w:sz w:val="28"/>
        </w:rPr>
        <w:t>表</w:t>
      </w:r>
      <w:r w:rsidRPr="002652F8">
        <w:rPr>
          <w:rFonts w:eastAsia="標楷體"/>
          <w:b/>
          <w:bCs/>
          <w:sz w:val="28"/>
        </w:rPr>
        <w:t xml:space="preserve">2-4-2  </w:t>
      </w:r>
      <w:r w:rsidRPr="002652F8">
        <w:rPr>
          <w:rFonts w:eastAsia="標楷體"/>
          <w:b/>
          <w:bCs/>
          <w:sz w:val="28"/>
        </w:rPr>
        <w:t>主要貿易夥伴貿易概況</w:t>
      </w:r>
    </w:p>
    <w:p w:rsidR="00345470" w:rsidRPr="002652F8" w:rsidRDefault="00345470" w:rsidP="00345470">
      <w:pPr>
        <w:snapToGrid w:val="0"/>
        <w:spacing w:line="300" w:lineRule="auto"/>
        <w:ind w:right="-508"/>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2652F8" w:rsidRPr="00741C67" w:rsidTr="00A10DDB">
        <w:trPr>
          <w:cantSplit/>
        </w:trPr>
        <w:tc>
          <w:tcPr>
            <w:tcW w:w="540" w:type="dxa"/>
            <w:tcBorders>
              <w:top w:val="single" w:sz="4" w:space="0" w:color="auto"/>
              <w:left w:val="nil"/>
              <w:bottom w:val="single" w:sz="4" w:space="0" w:color="auto"/>
              <w:right w:val="nil"/>
            </w:tcBorders>
            <w:textDirection w:val="tbRlV"/>
            <w:vAlign w:val="center"/>
          </w:tcPr>
          <w:p w:rsidR="002652F8" w:rsidRPr="00741C67" w:rsidRDefault="002652F8" w:rsidP="00A10DDB">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2652F8" w:rsidRPr="00741C67" w:rsidRDefault="002652F8" w:rsidP="00A10DDB">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中國大陸</w:t>
            </w:r>
          </w:p>
          <w:p w:rsidR="002652F8" w:rsidRPr="00741C67" w:rsidRDefault="002652F8" w:rsidP="00357E8F">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2652F8" w:rsidRPr="00741C67" w:rsidRDefault="002652F8" w:rsidP="00357E8F">
            <w:pPr>
              <w:jc w:val="center"/>
              <w:rPr>
                <w:rFonts w:eastAsia="標楷體"/>
                <w:color w:val="000000" w:themeColor="text1"/>
              </w:rPr>
            </w:pPr>
            <w:r w:rsidRPr="00741C67">
              <w:rPr>
                <w:rFonts w:eastAsia="標楷體" w:hint="eastAsia"/>
                <w:color w:val="000000" w:themeColor="text1"/>
              </w:rPr>
              <w:t>越南</w:t>
            </w:r>
          </w:p>
        </w:tc>
      </w:tr>
      <w:tr w:rsidR="002652F8" w:rsidRPr="00D65D7C" w:rsidTr="00A10DDB">
        <w:trPr>
          <w:cantSplit/>
          <w:trHeight w:val="503"/>
        </w:trPr>
        <w:tc>
          <w:tcPr>
            <w:tcW w:w="540" w:type="dxa"/>
            <w:vMerge w:val="restart"/>
            <w:tcBorders>
              <w:top w:val="single" w:sz="4" w:space="0" w:color="auto"/>
              <w:left w:val="nil"/>
              <w:right w:val="single" w:sz="4" w:space="0" w:color="auto"/>
            </w:tcBorders>
            <w:textDirection w:val="tbRlV"/>
            <w:vAlign w:val="center"/>
          </w:tcPr>
          <w:p w:rsidR="002652F8" w:rsidRPr="00741C67" w:rsidRDefault="002652F8" w:rsidP="00A10DDB">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2652F8" w:rsidRPr="00741C67" w:rsidRDefault="002652F8" w:rsidP="00A10DDB">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6</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10,288.1</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2,742.9</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1,695.9</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1,124.4</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1,989.9</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849.3</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2652F8" w:rsidRPr="00741C67" w:rsidRDefault="002652F8" w:rsidP="00A10DDB">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38.9</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10.4</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6.4</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4.2</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7.5</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3.2</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2652F8" w:rsidRPr="00741C67" w:rsidRDefault="007F5BF5" w:rsidP="00A10DDB">
            <w:pPr>
              <w:jc w:val="both"/>
              <w:rPr>
                <w:rFonts w:eastAsia="標楷體"/>
                <w:color w:val="000000" w:themeColor="text1"/>
              </w:rPr>
            </w:pPr>
            <w:r>
              <w:rPr>
                <w:rFonts w:eastAsia="標楷體" w:hint="eastAsia"/>
                <w:color w:val="000000" w:themeColor="text1"/>
              </w:rPr>
              <w:t>年增</w:t>
            </w:r>
            <w:r w:rsidR="002652F8" w:rsidRPr="00741C67">
              <w:rPr>
                <w:rFonts w:eastAsia="標楷體" w:hint="eastAsia"/>
                <w:color w:val="000000" w:themeColor="text1"/>
              </w:rPr>
              <w:t>率</w:t>
            </w:r>
          </w:p>
        </w:tc>
        <w:tc>
          <w:tcPr>
            <w:tcW w:w="1386" w:type="dxa"/>
            <w:tcBorders>
              <w:top w:val="nil"/>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6.0</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-3.1</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9.0</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14.4</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24.8</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13.4</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color w:val="000000" w:themeColor="text1"/>
              </w:rPr>
            </w:pPr>
          </w:p>
        </w:tc>
        <w:tc>
          <w:tcPr>
            <w:tcW w:w="2340" w:type="dxa"/>
            <w:tcBorders>
              <w:top w:val="nil"/>
              <w:left w:val="single" w:sz="4" w:space="0" w:color="auto"/>
              <w:right w:val="single" w:sz="4" w:space="0" w:color="auto"/>
            </w:tcBorders>
            <w:vAlign w:val="center"/>
          </w:tcPr>
          <w:p w:rsidR="002652F8" w:rsidRPr="00741C67" w:rsidRDefault="002652F8" w:rsidP="00A10DDB">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6</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59,074.1</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15,876.5</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9,367.6</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6,174.3</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10,118.1</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4,322.6</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color w:val="000000" w:themeColor="text1"/>
              </w:rPr>
            </w:pPr>
          </w:p>
        </w:tc>
        <w:tc>
          <w:tcPr>
            <w:tcW w:w="2340" w:type="dxa"/>
            <w:tcBorders>
              <w:top w:val="nil"/>
              <w:left w:val="single" w:sz="4" w:space="0" w:color="auto"/>
              <w:right w:val="single" w:sz="4" w:space="0" w:color="auto"/>
            </w:tcBorders>
            <w:vAlign w:val="center"/>
          </w:tcPr>
          <w:p w:rsidR="002652F8" w:rsidRPr="00741C67" w:rsidRDefault="002652F8" w:rsidP="00A10DDB">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39.3</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6.2</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6.7</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2.9</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color w:val="000000" w:themeColor="text1"/>
              </w:rPr>
            </w:pPr>
          </w:p>
        </w:tc>
        <w:tc>
          <w:tcPr>
            <w:tcW w:w="2340" w:type="dxa"/>
            <w:tcBorders>
              <w:top w:val="nil"/>
              <w:left w:val="single" w:sz="4" w:space="0" w:color="auto"/>
              <w:right w:val="single" w:sz="4" w:space="0" w:color="auto"/>
            </w:tcBorders>
            <w:vAlign w:val="center"/>
          </w:tcPr>
          <w:p w:rsidR="002652F8" w:rsidRPr="00741C67" w:rsidRDefault="007F5BF5" w:rsidP="00A10DDB">
            <w:pPr>
              <w:jc w:val="both"/>
              <w:rPr>
                <w:rFonts w:eastAsia="標楷體"/>
                <w:color w:val="000000" w:themeColor="text1"/>
              </w:rPr>
            </w:pPr>
            <w:r>
              <w:rPr>
                <w:rFonts w:eastAsia="標楷體" w:hint="eastAsia"/>
                <w:color w:val="000000" w:themeColor="text1"/>
              </w:rPr>
              <w:t>年增</w:t>
            </w:r>
            <w:r w:rsidR="002652F8"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3.8</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-1.3</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5.5</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5.4</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5.6</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2.6</w:t>
            </w:r>
          </w:p>
        </w:tc>
      </w:tr>
      <w:tr w:rsidR="002652F8" w:rsidRPr="0012098B" w:rsidTr="00A10DDB">
        <w:trPr>
          <w:cantSplit/>
          <w:trHeight w:val="503"/>
        </w:trPr>
        <w:tc>
          <w:tcPr>
            <w:tcW w:w="540" w:type="dxa"/>
            <w:vMerge w:val="restart"/>
            <w:tcBorders>
              <w:top w:val="double" w:sz="4" w:space="0" w:color="auto"/>
              <w:left w:val="nil"/>
              <w:right w:val="single" w:sz="4" w:space="0" w:color="auto"/>
            </w:tcBorders>
            <w:textDirection w:val="tbRlV"/>
            <w:vAlign w:val="center"/>
          </w:tcPr>
          <w:p w:rsidR="002652F8" w:rsidRPr="00741C67" w:rsidRDefault="002652F8" w:rsidP="00A10DDB">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2652F8" w:rsidRPr="00D65D7C" w:rsidRDefault="002652F8" w:rsidP="00A10DDB">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6</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3,634.7</w:t>
            </w:r>
          </w:p>
        </w:tc>
        <w:tc>
          <w:tcPr>
            <w:tcW w:w="1047" w:type="dxa"/>
            <w:tcBorders>
              <w:top w:val="double" w:sz="4" w:space="0" w:color="auto"/>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2,057.7</w:t>
            </w:r>
          </w:p>
        </w:tc>
        <w:tc>
          <w:tcPr>
            <w:tcW w:w="1046" w:type="dxa"/>
            <w:tcBorders>
              <w:top w:val="double" w:sz="4" w:space="0" w:color="auto"/>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4,051.5</w:t>
            </w:r>
          </w:p>
        </w:tc>
        <w:tc>
          <w:tcPr>
            <w:tcW w:w="1047" w:type="dxa"/>
            <w:tcBorders>
              <w:top w:val="double" w:sz="4" w:space="0" w:color="auto"/>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1,313.2</w:t>
            </w:r>
          </w:p>
        </w:tc>
        <w:tc>
          <w:tcPr>
            <w:tcW w:w="1046" w:type="dxa"/>
            <w:tcBorders>
              <w:top w:val="double" w:sz="4" w:space="0" w:color="auto"/>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685.7</w:t>
            </w:r>
          </w:p>
        </w:tc>
        <w:tc>
          <w:tcPr>
            <w:tcW w:w="1046" w:type="dxa"/>
            <w:tcBorders>
              <w:top w:val="double" w:sz="4" w:space="0" w:color="auto"/>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279.7</w:t>
            </w:r>
          </w:p>
        </w:tc>
      </w:tr>
      <w:tr w:rsidR="002652F8" w:rsidRPr="00D65D7C" w:rsidTr="00A10DDB">
        <w:trPr>
          <w:cantSplit/>
          <w:trHeight w:val="503"/>
        </w:trPr>
        <w:tc>
          <w:tcPr>
            <w:tcW w:w="540" w:type="dxa"/>
            <w:vMerge/>
            <w:tcBorders>
              <w:left w:val="nil"/>
              <w:right w:val="single" w:sz="4" w:space="0" w:color="auto"/>
            </w:tcBorders>
            <w:textDirection w:val="tbRlV"/>
            <w:vAlign w:val="center"/>
          </w:tcPr>
          <w:p w:rsidR="002652F8" w:rsidRPr="00741C67" w:rsidRDefault="002652F8" w:rsidP="00A10DDB">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2652F8" w:rsidRPr="00D65D7C" w:rsidRDefault="002652F8" w:rsidP="00A10DDB">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15.6</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8.9</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17.4</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5.7</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1.2</w:t>
            </w:r>
          </w:p>
        </w:tc>
      </w:tr>
      <w:tr w:rsidR="002652F8" w:rsidRPr="00D65D7C" w:rsidTr="00A10DDB">
        <w:trPr>
          <w:cantSplit/>
          <w:trHeight w:val="503"/>
        </w:trPr>
        <w:tc>
          <w:tcPr>
            <w:tcW w:w="540" w:type="dxa"/>
            <w:vMerge/>
            <w:tcBorders>
              <w:left w:val="nil"/>
              <w:right w:val="single" w:sz="4" w:space="0" w:color="auto"/>
            </w:tcBorders>
            <w:textDirection w:val="tbRlV"/>
            <w:vAlign w:val="center"/>
          </w:tcPr>
          <w:p w:rsidR="002652F8" w:rsidRPr="00741C67" w:rsidRDefault="002652F8" w:rsidP="00A10DDB">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2652F8" w:rsidRPr="00D65D7C" w:rsidRDefault="007F5BF5" w:rsidP="00A10DDB">
            <w:pPr>
              <w:jc w:val="both"/>
              <w:rPr>
                <w:rFonts w:eastAsia="標楷體"/>
                <w:color w:val="000000" w:themeColor="text1"/>
              </w:rPr>
            </w:pPr>
            <w:r>
              <w:rPr>
                <w:rFonts w:eastAsia="標楷體" w:hint="eastAsia"/>
                <w:color w:val="000000" w:themeColor="text1"/>
              </w:rPr>
              <w:t>年增</w:t>
            </w:r>
            <w:r w:rsidR="002652F8" w:rsidRPr="00D65D7C">
              <w:rPr>
                <w:rFonts w:eastAsia="標楷體" w:hint="eastAsia"/>
                <w:color w:val="000000" w:themeColor="text1"/>
              </w:rPr>
              <w:t>率</w:t>
            </w:r>
          </w:p>
        </w:tc>
        <w:tc>
          <w:tcPr>
            <w:tcW w:w="1386" w:type="dxa"/>
            <w:tcBorders>
              <w:top w:val="nil"/>
              <w:left w:val="single" w:sz="4" w:space="0" w:color="auto"/>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5.9</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6.5</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-0.4</w:t>
            </w:r>
          </w:p>
        </w:tc>
        <w:tc>
          <w:tcPr>
            <w:tcW w:w="1047"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8.6</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-0.1</w:t>
            </w:r>
          </w:p>
        </w:tc>
        <w:tc>
          <w:tcPr>
            <w:tcW w:w="1046" w:type="dxa"/>
            <w:tcBorders>
              <w:top w:val="nil"/>
              <w:left w:val="nil"/>
              <w:bottom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45.1</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2652F8" w:rsidRPr="00D65D7C" w:rsidRDefault="002652F8" w:rsidP="00A10DDB">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6</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21,626.8</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13,228.5</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22,130.7</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8,039.4</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4,297.6</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1,280.0</w:t>
            </w:r>
          </w:p>
        </w:tc>
      </w:tr>
      <w:tr w:rsidR="002652F8" w:rsidRPr="00D65D7C"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2652F8" w:rsidRPr="00D65D7C" w:rsidRDefault="002652F8" w:rsidP="00A10DDB">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15.9</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9.7</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16.3</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5.9</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3.2</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0.9</w:t>
            </w:r>
          </w:p>
        </w:tc>
      </w:tr>
      <w:tr w:rsidR="002652F8" w:rsidRPr="0012098B" w:rsidTr="00A10DDB">
        <w:trPr>
          <w:cantSplit/>
          <w:trHeight w:val="503"/>
        </w:trPr>
        <w:tc>
          <w:tcPr>
            <w:tcW w:w="540" w:type="dxa"/>
            <w:vMerge/>
            <w:tcBorders>
              <w:left w:val="nil"/>
              <w:right w:val="single" w:sz="4" w:space="0" w:color="auto"/>
            </w:tcBorders>
            <w:vAlign w:val="center"/>
          </w:tcPr>
          <w:p w:rsidR="002652F8" w:rsidRPr="00741C67" w:rsidRDefault="002652F8" w:rsidP="00A10DDB">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2652F8" w:rsidRPr="00D65D7C" w:rsidRDefault="007F5BF5" w:rsidP="00A10DDB">
            <w:pPr>
              <w:jc w:val="both"/>
              <w:rPr>
                <w:rFonts w:eastAsia="標楷體"/>
                <w:color w:val="000000" w:themeColor="text1"/>
              </w:rPr>
            </w:pPr>
            <w:r>
              <w:rPr>
                <w:rFonts w:eastAsia="標楷體" w:hint="eastAsia"/>
                <w:color w:val="000000" w:themeColor="text1"/>
              </w:rPr>
              <w:t>年增</w:t>
            </w:r>
            <w:r w:rsidR="002652F8"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1.1</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11.5</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-6.8</w:t>
            </w:r>
          </w:p>
        </w:tc>
        <w:tc>
          <w:tcPr>
            <w:tcW w:w="1047"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3.5</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1.5</w:t>
            </w:r>
          </w:p>
        </w:tc>
        <w:tc>
          <w:tcPr>
            <w:tcW w:w="1046" w:type="dxa"/>
            <w:tcBorders>
              <w:top w:val="nil"/>
              <w:left w:val="nil"/>
              <w:right w:val="nil"/>
            </w:tcBorders>
            <w:vAlign w:val="center"/>
          </w:tcPr>
          <w:p w:rsidR="002652F8" w:rsidRPr="00D65D7C" w:rsidRDefault="002652F8" w:rsidP="00A10DDB">
            <w:pPr>
              <w:jc w:val="center"/>
              <w:rPr>
                <w:rFonts w:eastAsia="標楷體"/>
                <w:color w:val="000000" w:themeColor="text1"/>
              </w:rPr>
            </w:pPr>
            <w:r>
              <w:rPr>
                <w:rFonts w:eastAsia="標楷體" w:hint="eastAsia"/>
                <w:color w:val="000000" w:themeColor="text1"/>
              </w:rPr>
              <w:t>25.0</w:t>
            </w:r>
          </w:p>
        </w:tc>
      </w:tr>
    </w:tbl>
    <w:p w:rsidR="00345470" w:rsidRPr="002652F8" w:rsidRDefault="00345470" w:rsidP="00345470">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2652F8">
        <w:rPr>
          <w:rFonts w:ascii="Times New Roman" w:eastAsia="標楷體" w:hAnsi="Times New Roman" w:cs="Times New Roman" w:hint="default"/>
          <w:color w:val="auto"/>
          <w:kern w:val="2"/>
        </w:rPr>
        <w:t>資料來源：財政部。</w:t>
      </w:r>
    </w:p>
    <w:p w:rsidR="00DF4629" w:rsidRPr="002652F8" w:rsidRDefault="00E750C9" w:rsidP="00506996">
      <w:pPr>
        <w:pStyle w:val="k3a"/>
        <w:tabs>
          <w:tab w:val="left" w:pos="540"/>
        </w:tabs>
        <w:spacing w:before="180" w:line="300" w:lineRule="auto"/>
        <w:ind w:leftChars="0" w:left="566" w:right="0" w:hangingChars="202" w:hanging="566"/>
        <w:rPr>
          <w:color w:val="FF0000"/>
          <w:spacing w:val="-4"/>
          <w:kern w:val="2"/>
          <w:szCs w:val="24"/>
        </w:rPr>
      </w:pPr>
      <w:r w:rsidRPr="003111E1">
        <w:rPr>
          <w:color w:val="FF0000"/>
        </w:rPr>
        <w:br w:type="page"/>
      </w:r>
      <w:r w:rsidR="00DF4629" w:rsidRPr="00F430CB">
        <w:rPr>
          <w:b/>
          <w:bCs/>
        </w:rPr>
        <w:lastRenderedPageBreak/>
        <w:t>３、</w:t>
      </w:r>
      <w:r w:rsidR="00F430CB" w:rsidRPr="00F430CB">
        <w:rPr>
          <w:rFonts w:hint="eastAsia"/>
          <w:b/>
          <w:bCs/>
        </w:rPr>
        <w:t>102</w:t>
      </w:r>
      <w:r w:rsidR="00F430CB" w:rsidRPr="00F430CB">
        <w:rPr>
          <w:rFonts w:hint="eastAsia"/>
          <w:b/>
          <w:bCs/>
        </w:rPr>
        <w:t>年</w:t>
      </w:r>
      <w:r w:rsidR="00F430CB" w:rsidRPr="00F430CB">
        <w:rPr>
          <w:rFonts w:hint="eastAsia"/>
          <w:b/>
          <w:bCs/>
        </w:rPr>
        <w:t>6</w:t>
      </w:r>
      <w:r w:rsidR="00F430CB" w:rsidRPr="00F430CB">
        <w:rPr>
          <w:rFonts w:hint="eastAsia"/>
          <w:b/>
          <w:bCs/>
        </w:rPr>
        <w:t>月按產品別觀察，出口以礦產品增幅</w:t>
      </w:r>
      <w:r w:rsidR="00F430CB" w:rsidRPr="00F430CB">
        <w:rPr>
          <w:rFonts w:hint="eastAsia"/>
          <w:b/>
          <w:bCs/>
        </w:rPr>
        <w:t>39.4</w:t>
      </w:r>
      <w:r w:rsidR="00F430CB" w:rsidRPr="00F430CB">
        <w:rPr>
          <w:rFonts w:hint="eastAsia"/>
          <w:b/>
          <w:bCs/>
        </w:rPr>
        <w:t>％最大，進口以車輛、航空器、船舶及有關運輸設備增幅達</w:t>
      </w:r>
      <w:r w:rsidR="00F430CB" w:rsidRPr="00F430CB">
        <w:rPr>
          <w:rFonts w:hint="eastAsia"/>
          <w:b/>
          <w:bCs/>
        </w:rPr>
        <w:t>42.6</w:t>
      </w:r>
      <w:r w:rsidR="00F430CB" w:rsidRPr="00F430CB">
        <w:rPr>
          <w:rFonts w:hint="eastAsia"/>
          <w:b/>
          <w:bCs/>
        </w:rPr>
        <w:t>％最大</w:t>
      </w:r>
    </w:p>
    <w:p w:rsidR="00DF4629" w:rsidRPr="002652F8" w:rsidRDefault="002652F8" w:rsidP="002652F8">
      <w:pPr>
        <w:pStyle w:val="affffc"/>
        <w:numPr>
          <w:ilvl w:val="0"/>
          <w:numId w:val="46"/>
        </w:numPr>
        <w:snapToGrid w:val="0"/>
        <w:spacing w:before="180" w:line="300" w:lineRule="auto"/>
        <w:ind w:leftChars="0" w:left="851" w:right="-142" w:firstLineChars="0" w:hanging="567"/>
        <w:rPr>
          <w:rFonts w:ascii="Times New Roman" w:eastAsia="標楷體" w:hAnsi="Times New Roman"/>
          <w:kern w:val="0"/>
          <w:sz w:val="28"/>
        </w:rPr>
      </w:pPr>
      <w:r w:rsidRPr="002652F8">
        <w:rPr>
          <w:rFonts w:ascii="Times New Roman" w:eastAsia="標楷體" w:hAnsi="Times New Roman"/>
          <w:color w:val="000000" w:themeColor="text1"/>
          <w:kern w:val="0"/>
          <w:sz w:val="28"/>
        </w:rPr>
        <w:t>6</w:t>
      </w:r>
      <w:r w:rsidRPr="002652F8">
        <w:rPr>
          <w:rFonts w:ascii="Times New Roman" w:eastAsia="標楷體" w:hAnsi="Times New Roman"/>
          <w:color w:val="000000" w:themeColor="text1"/>
          <w:kern w:val="0"/>
          <w:sz w:val="28"/>
        </w:rPr>
        <w:t>月出口</w:t>
      </w:r>
      <w:r w:rsidRPr="002652F8">
        <w:rPr>
          <w:rFonts w:ascii="Times New Roman" w:eastAsia="標楷體" w:hAnsi="Times New Roman"/>
          <w:kern w:val="0"/>
          <w:sz w:val="28"/>
        </w:rPr>
        <w:t>前</w:t>
      </w:r>
      <w:r w:rsidRPr="002652F8">
        <w:rPr>
          <w:rFonts w:ascii="Times New Roman" w:eastAsia="標楷體" w:hAnsi="Times New Roman"/>
          <w:kern w:val="0"/>
          <w:sz w:val="28"/>
        </w:rPr>
        <w:t>3</w:t>
      </w:r>
      <w:r w:rsidRPr="002652F8">
        <w:rPr>
          <w:rFonts w:ascii="Times New Roman" w:eastAsia="標楷體" w:hAnsi="Times New Roman"/>
          <w:kern w:val="0"/>
          <w:sz w:val="28"/>
        </w:rPr>
        <w:t>大貨品依序為：電子產品</w:t>
      </w:r>
      <w:r w:rsidRPr="002652F8">
        <w:rPr>
          <w:rFonts w:ascii="Times New Roman" w:eastAsia="標楷體" w:hAnsi="Times New Roman"/>
          <w:kern w:val="0"/>
          <w:sz w:val="28"/>
        </w:rPr>
        <w:t>75.7</w:t>
      </w:r>
      <w:r w:rsidRPr="002652F8">
        <w:rPr>
          <w:rFonts w:ascii="Times New Roman" w:eastAsia="標楷體" w:hAnsi="Times New Roman"/>
          <w:kern w:val="0"/>
          <w:sz w:val="28"/>
        </w:rPr>
        <w:t>億美元，占出口總值</w:t>
      </w:r>
      <w:r w:rsidRPr="002652F8">
        <w:rPr>
          <w:rFonts w:ascii="Times New Roman" w:eastAsia="標楷體" w:hAnsi="Times New Roman"/>
          <w:kern w:val="0"/>
          <w:sz w:val="28"/>
        </w:rPr>
        <w:t>28.6</w:t>
      </w:r>
      <w:r w:rsidRPr="002652F8">
        <w:rPr>
          <w:rFonts w:ascii="Times New Roman" w:eastAsia="標楷體" w:hAnsi="Times New Roman"/>
          <w:kern w:val="0"/>
          <w:sz w:val="28"/>
        </w:rPr>
        <w:t>％，較</w:t>
      </w:r>
      <w:r w:rsidR="00357E8F">
        <w:rPr>
          <w:rFonts w:ascii="Times New Roman" w:eastAsia="標楷體" w:hAnsi="Times New Roman" w:hint="eastAsia"/>
          <w:kern w:val="0"/>
          <w:sz w:val="28"/>
        </w:rPr>
        <w:t>上</w:t>
      </w:r>
      <w:r w:rsidRPr="002652F8">
        <w:rPr>
          <w:rFonts w:ascii="Times New Roman" w:eastAsia="標楷體" w:hAnsi="Times New Roman"/>
          <w:kern w:val="0"/>
          <w:sz w:val="28"/>
        </w:rPr>
        <w:t>年同月</w:t>
      </w:r>
      <w:r w:rsidR="00CA07C6">
        <w:rPr>
          <w:rFonts w:ascii="Times New Roman" w:eastAsia="標楷體" w:hAnsi="Times New Roman" w:hint="eastAsia"/>
          <w:kern w:val="0"/>
          <w:sz w:val="28"/>
        </w:rPr>
        <w:t>增加</w:t>
      </w:r>
      <w:r w:rsidRPr="002652F8">
        <w:rPr>
          <w:rFonts w:ascii="Times New Roman" w:eastAsia="標楷體" w:hAnsi="Times New Roman"/>
          <w:kern w:val="0"/>
          <w:sz w:val="28"/>
        </w:rPr>
        <w:t>10.9</w:t>
      </w:r>
      <w:r w:rsidRPr="002652F8">
        <w:rPr>
          <w:rFonts w:ascii="Times New Roman" w:eastAsia="標楷體" w:hAnsi="Times New Roman"/>
          <w:kern w:val="0"/>
          <w:sz w:val="28"/>
        </w:rPr>
        <w:t>％；基本金屬及其製品</w:t>
      </w:r>
      <w:r w:rsidRPr="002652F8">
        <w:rPr>
          <w:rFonts w:ascii="Times New Roman" w:eastAsia="標楷體" w:hAnsi="Times New Roman"/>
          <w:kern w:val="0"/>
          <w:sz w:val="28"/>
        </w:rPr>
        <w:t>22.5</w:t>
      </w:r>
      <w:r w:rsidRPr="002652F8">
        <w:rPr>
          <w:rFonts w:ascii="Times New Roman" w:eastAsia="標楷體" w:hAnsi="Times New Roman"/>
          <w:kern w:val="0"/>
          <w:sz w:val="28"/>
        </w:rPr>
        <w:t>億美元，比重</w:t>
      </w:r>
      <w:r w:rsidRPr="002652F8">
        <w:rPr>
          <w:rFonts w:ascii="Times New Roman" w:eastAsia="標楷體" w:hAnsi="Times New Roman"/>
          <w:kern w:val="0"/>
          <w:sz w:val="28"/>
        </w:rPr>
        <w:t>8.5</w:t>
      </w:r>
      <w:r w:rsidRPr="002652F8">
        <w:rPr>
          <w:rFonts w:ascii="Times New Roman" w:eastAsia="標楷體" w:hAnsi="Times New Roman"/>
          <w:kern w:val="0"/>
          <w:sz w:val="28"/>
        </w:rPr>
        <w:t>％，</w:t>
      </w:r>
      <w:r w:rsidR="00CA07C6">
        <w:rPr>
          <w:rFonts w:ascii="Times New Roman" w:eastAsia="標楷體" w:hAnsi="Times New Roman" w:hint="eastAsia"/>
          <w:kern w:val="0"/>
          <w:sz w:val="28"/>
        </w:rPr>
        <w:t>減少</w:t>
      </w:r>
      <w:r w:rsidRPr="002652F8">
        <w:rPr>
          <w:rFonts w:ascii="Times New Roman" w:eastAsia="標楷體" w:hAnsi="Times New Roman"/>
          <w:kern w:val="0"/>
          <w:sz w:val="28"/>
        </w:rPr>
        <w:t>0.8</w:t>
      </w:r>
      <w:r w:rsidRPr="002652F8">
        <w:rPr>
          <w:rFonts w:ascii="Times New Roman" w:eastAsia="標楷體" w:hAnsi="Times New Roman"/>
          <w:kern w:val="0"/>
          <w:sz w:val="28"/>
        </w:rPr>
        <w:t>％；</w:t>
      </w:r>
      <w:proofErr w:type="gramStart"/>
      <w:r w:rsidRPr="002652F8">
        <w:rPr>
          <w:rFonts w:ascii="Times New Roman" w:eastAsia="標楷體" w:hAnsi="Times New Roman"/>
          <w:kern w:val="0"/>
          <w:sz w:val="28"/>
        </w:rPr>
        <w:t>塑</w:t>
      </w:r>
      <w:proofErr w:type="gramEnd"/>
      <w:r w:rsidRPr="002652F8">
        <w:rPr>
          <w:rFonts w:ascii="Times New Roman" w:eastAsia="標楷體" w:hAnsi="Times New Roman"/>
          <w:kern w:val="0"/>
          <w:sz w:val="28"/>
        </w:rPr>
        <w:t>橡膠及其製品</w:t>
      </w:r>
      <w:r w:rsidRPr="002652F8">
        <w:rPr>
          <w:rFonts w:ascii="Times New Roman" w:eastAsia="標楷體" w:hAnsi="Times New Roman"/>
          <w:kern w:val="0"/>
          <w:sz w:val="28"/>
        </w:rPr>
        <w:t>21.4</w:t>
      </w:r>
      <w:r w:rsidRPr="002652F8">
        <w:rPr>
          <w:rFonts w:ascii="Times New Roman" w:eastAsia="標楷體" w:hAnsi="Times New Roman"/>
          <w:kern w:val="0"/>
          <w:sz w:val="28"/>
        </w:rPr>
        <w:t>億美元，比重</w:t>
      </w:r>
      <w:r w:rsidRPr="002652F8">
        <w:rPr>
          <w:rFonts w:ascii="Times New Roman" w:eastAsia="標楷體" w:hAnsi="Times New Roman"/>
          <w:kern w:val="0"/>
          <w:sz w:val="28"/>
        </w:rPr>
        <w:t>8.1</w:t>
      </w:r>
      <w:r w:rsidRPr="002652F8">
        <w:rPr>
          <w:rFonts w:ascii="Times New Roman" w:eastAsia="標楷體" w:hAnsi="Times New Roman"/>
          <w:kern w:val="0"/>
          <w:sz w:val="28"/>
        </w:rPr>
        <w:t>％，</w:t>
      </w:r>
      <w:r w:rsidR="00CA07C6">
        <w:rPr>
          <w:rFonts w:ascii="Times New Roman" w:eastAsia="標楷體" w:hAnsi="Times New Roman" w:hint="eastAsia"/>
          <w:kern w:val="0"/>
          <w:sz w:val="28"/>
        </w:rPr>
        <w:t>增加</w:t>
      </w:r>
      <w:r w:rsidRPr="002652F8">
        <w:rPr>
          <w:rFonts w:ascii="Times New Roman" w:eastAsia="標楷體" w:hAnsi="Times New Roman"/>
          <w:kern w:val="0"/>
          <w:sz w:val="28"/>
        </w:rPr>
        <w:t>10.6</w:t>
      </w:r>
      <w:r w:rsidRPr="002652F8">
        <w:rPr>
          <w:rFonts w:ascii="Times New Roman" w:eastAsia="標楷體" w:hAnsi="Times New Roman"/>
          <w:kern w:val="0"/>
          <w:sz w:val="28"/>
        </w:rPr>
        <w:t>％。</w:t>
      </w:r>
    </w:p>
    <w:p w:rsidR="00DF4629" w:rsidRPr="002652F8" w:rsidRDefault="002652F8" w:rsidP="002652F8">
      <w:pPr>
        <w:pStyle w:val="affffc"/>
        <w:numPr>
          <w:ilvl w:val="0"/>
          <w:numId w:val="46"/>
        </w:numPr>
        <w:snapToGrid w:val="0"/>
        <w:spacing w:before="180" w:line="300" w:lineRule="auto"/>
        <w:ind w:leftChars="0" w:left="851" w:right="-142" w:firstLineChars="0" w:hanging="567"/>
        <w:rPr>
          <w:rFonts w:ascii="Times New Roman" w:eastAsia="標楷體" w:hAnsi="Times New Roman"/>
          <w:kern w:val="0"/>
          <w:sz w:val="28"/>
        </w:rPr>
      </w:pPr>
      <w:r w:rsidRPr="002652F8">
        <w:rPr>
          <w:rFonts w:ascii="Times New Roman" w:eastAsia="標楷體" w:hAnsi="Times New Roman"/>
          <w:kern w:val="0"/>
          <w:sz w:val="28"/>
        </w:rPr>
        <w:t>6</w:t>
      </w:r>
      <w:r w:rsidRPr="002652F8">
        <w:rPr>
          <w:rFonts w:ascii="Times New Roman" w:eastAsia="標楷體" w:hAnsi="Times New Roman"/>
          <w:kern w:val="0"/>
          <w:sz w:val="28"/>
        </w:rPr>
        <w:t>月進口前</w:t>
      </w:r>
      <w:r w:rsidRPr="002652F8">
        <w:rPr>
          <w:rFonts w:ascii="Times New Roman" w:eastAsia="標楷體" w:hAnsi="Times New Roman"/>
          <w:kern w:val="0"/>
          <w:sz w:val="28"/>
        </w:rPr>
        <w:t>3</w:t>
      </w:r>
      <w:r w:rsidRPr="002652F8">
        <w:rPr>
          <w:rFonts w:ascii="Times New Roman" w:eastAsia="標楷體" w:hAnsi="Times New Roman"/>
          <w:kern w:val="0"/>
          <w:sz w:val="28"/>
        </w:rPr>
        <w:t>大貨品依序為：礦產品</w:t>
      </w:r>
      <w:r w:rsidRPr="002652F8">
        <w:rPr>
          <w:rFonts w:ascii="Times New Roman" w:eastAsia="標楷體" w:hAnsi="Times New Roman"/>
          <w:kern w:val="0"/>
          <w:sz w:val="28"/>
        </w:rPr>
        <w:t>60.8</w:t>
      </w:r>
      <w:r w:rsidRPr="002652F8">
        <w:rPr>
          <w:rFonts w:ascii="Times New Roman" w:eastAsia="標楷體" w:hAnsi="Times New Roman"/>
          <w:kern w:val="0"/>
          <w:sz w:val="28"/>
        </w:rPr>
        <w:t>億美元，占進口總值</w:t>
      </w:r>
      <w:r w:rsidRPr="002652F8">
        <w:rPr>
          <w:rFonts w:ascii="Times New Roman" w:eastAsia="標楷體" w:hAnsi="Times New Roman"/>
          <w:kern w:val="0"/>
          <w:sz w:val="28"/>
        </w:rPr>
        <w:t>26.2</w:t>
      </w:r>
      <w:r w:rsidRPr="002652F8">
        <w:rPr>
          <w:rFonts w:ascii="Times New Roman" w:eastAsia="標楷體" w:hAnsi="Times New Roman"/>
          <w:kern w:val="0"/>
          <w:sz w:val="28"/>
        </w:rPr>
        <w:t>％，增加</w:t>
      </w:r>
      <w:r w:rsidRPr="002652F8">
        <w:rPr>
          <w:rFonts w:ascii="Times New Roman" w:eastAsia="標楷體" w:hAnsi="Times New Roman"/>
          <w:kern w:val="0"/>
          <w:sz w:val="28"/>
        </w:rPr>
        <w:t>8.1</w:t>
      </w:r>
      <w:r w:rsidRPr="002652F8">
        <w:rPr>
          <w:rFonts w:ascii="Times New Roman" w:eastAsia="標楷體" w:hAnsi="Times New Roman"/>
          <w:kern w:val="0"/>
          <w:sz w:val="28"/>
        </w:rPr>
        <w:t>％；電子產品</w:t>
      </w:r>
      <w:r w:rsidRPr="002652F8">
        <w:rPr>
          <w:rFonts w:ascii="Times New Roman" w:eastAsia="標楷體" w:hAnsi="Times New Roman"/>
          <w:kern w:val="0"/>
          <w:sz w:val="28"/>
        </w:rPr>
        <w:t>37.8</w:t>
      </w:r>
      <w:r w:rsidRPr="002652F8">
        <w:rPr>
          <w:rFonts w:ascii="Times New Roman" w:eastAsia="標楷體" w:hAnsi="Times New Roman"/>
          <w:kern w:val="0"/>
          <w:sz w:val="28"/>
        </w:rPr>
        <w:t>億美元，比重</w:t>
      </w:r>
      <w:r w:rsidRPr="002652F8">
        <w:rPr>
          <w:rFonts w:ascii="Times New Roman" w:eastAsia="標楷體" w:hAnsi="Times New Roman"/>
          <w:kern w:val="0"/>
          <w:sz w:val="28"/>
        </w:rPr>
        <w:t>16.3</w:t>
      </w:r>
      <w:r w:rsidRPr="002652F8">
        <w:rPr>
          <w:rFonts w:ascii="Times New Roman" w:eastAsia="標楷體" w:hAnsi="Times New Roman"/>
          <w:kern w:val="0"/>
          <w:sz w:val="28"/>
        </w:rPr>
        <w:t>％，增加</w:t>
      </w:r>
      <w:r w:rsidRPr="002652F8">
        <w:rPr>
          <w:rFonts w:ascii="Times New Roman" w:eastAsia="標楷體" w:hAnsi="Times New Roman"/>
          <w:kern w:val="0"/>
          <w:sz w:val="28"/>
        </w:rPr>
        <w:t>16.1</w:t>
      </w:r>
      <w:r w:rsidRPr="002652F8">
        <w:rPr>
          <w:rFonts w:ascii="Times New Roman" w:eastAsia="標楷體" w:hAnsi="Times New Roman"/>
          <w:kern w:val="0"/>
          <w:sz w:val="28"/>
        </w:rPr>
        <w:t>％；化學品</w:t>
      </w:r>
      <w:r w:rsidRPr="002652F8">
        <w:rPr>
          <w:rFonts w:ascii="Times New Roman" w:eastAsia="標楷體" w:hAnsi="Times New Roman"/>
          <w:kern w:val="0"/>
          <w:sz w:val="28"/>
        </w:rPr>
        <w:t>26.1</w:t>
      </w:r>
      <w:r w:rsidRPr="002652F8">
        <w:rPr>
          <w:rFonts w:ascii="Times New Roman" w:eastAsia="標楷體" w:hAnsi="Times New Roman"/>
          <w:kern w:val="0"/>
          <w:sz w:val="28"/>
        </w:rPr>
        <w:t>億美元，比重</w:t>
      </w:r>
      <w:r w:rsidRPr="002652F8">
        <w:rPr>
          <w:rFonts w:ascii="Times New Roman" w:eastAsia="標楷體" w:hAnsi="Times New Roman"/>
          <w:kern w:val="0"/>
          <w:sz w:val="28"/>
        </w:rPr>
        <w:t>11.2</w:t>
      </w:r>
      <w:r w:rsidRPr="002652F8">
        <w:rPr>
          <w:rFonts w:ascii="Times New Roman" w:eastAsia="標楷體" w:hAnsi="Times New Roman"/>
          <w:kern w:val="0"/>
          <w:sz w:val="28"/>
        </w:rPr>
        <w:t>％，增加</w:t>
      </w:r>
      <w:r w:rsidRPr="002652F8">
        <w:rPr>
          <w:rFonts w:ascii="Times New Roman" w:eastAsia="標楷體" w:hAnsi="Times New Roman"/>
          <w:kern w:val="0"/>
          <w:sz w:val="28"/>
        </w:rPr>
        <w:t>6.2</w:t>
      </w:r>
      <w:r w:rsidRPr="002652F8">
        <w:rPr>
          <w:rFonts w:ascii="Times New Roman" w:eastAsia="標楷體" w:hAnsi="Times New Roman"/>
          <w:kern w:val="0"/>
          <w:sz w:val="28"/>
        </w:rPr>
        <w:t>％。</w:t>
      </w:r>
    </w:p>
    <w:p w:rsidR="00DF4629" w:rsidRPr="002652F8" w:rsidRDefault="00DF4629" w:rsidP="00DF4629">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002652F8" w:rsidRPr="002652F8">
        <w:rPr>
          <w:rFonts w:eastAsia="標楷體" w:hint="eastAsia"/>
          <w:b/>
          <w:bCs/>
          <w:sz w:val="28"/>
        </w:rPr>
        <w:t>102</w:t>
      </w:r>
      <w:r w:rsidR="002652F8" w:rsidRPr="002652F8">
        <w:rPr>
          <w:rFonts w:eastAsia="標楷體" w:hint="eastAsia"/>
          <w:b/>
          <w:bCs/>
          <w:sz w:val="28"/>
        </w:rPr>
        <w:t>年</w:t>
      </w:r>
      <w:r w:rsidR="002652F8" w:rsidRPr="002652F8">
        <w:rPr>
          <w:rFonts w:eastAsia="標楷體" w:hint="eastAsia"/>
          <w:b/>
          <w:bCs/>
          <w:sz w:val="28"/>
        </w:rPr>
        <w:t>6</w:t>
      </w:r>
      <w:r w:rsidR="002652F8" w:rsidRPr="002652F8">
        <w:rPr>
          <w:rFonts w:eastAsia="標楷體" w:hint="eastAsia"/>
          <w:b/>
          <w:bCs/>
          <w:sz w:val="28"/>
        </w:rPr>
        <w:t>月重要進出口產品結構</w:t>
      </w:r>
    </w:p>
    <w:p w:rsidR="00DF4629" w:rsidRPr="002652F8" w:rsidRDefault="00DF4629" w:rsidP="00DF4629">
      <w:pPr>
        <w:snapToGrid w:val="0"/>
        <w:spacing w:line="300" w:lineRule="auto"/>
        <w:ind w:right="-510"/>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652F8" w:rsidRPr="00EC0BDB" w:rsidTr="00A10DDB">
        <w:trPr>
          <w:trHeight w:val="458"/>
        </w:trPr>
        <w:tc>
          <w:tcPr>
            <w:tcW w:w="2030" w:type="dxa"/>
            <w:tcBorders>
              <w:top w:val="single" w:sz="4" w:space="0" w:color="auto"/>
              <w:left w:val="nil"/>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652F8" w:rsidRPr="00EC0BDB" w:rsidRDefault="005C6DDA" w:rsidP="00A10DDB">
            <w:pPr>
              <w:snapToGrid w:val="0"/>
              <w:ind w:left="28"/>
              <w:jc w:val="center"/>
              <w:rPr>
                <w:rFonts w:eastAsia="標楷體"/>
                <w:color w:val="000000" w:themeColor="text1"/>
                <w:sz w:val="22"/>
              </w:rPr>
            </w:pPr>
            <w:r>
              <w:rPr>
                <w:rFonts w:eastAsia="標楷體" w:hint="eastAsia"/>
                <w:color w:val="000000" w:themeColor="text1"/>
                <w:sz w:val="22"/>
              </w:rPr>
              <w:t>年增</w:t>
            </w:r>
            <w:r w:rsidR="002652F8"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652F8" w:rsidRPr="00EC0BDB" w:rsidRDefault="002652F8" w:rsidP="00A10DDB">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2652F8" w:rsidRPr="00EC0BDB" w:rsidRDefault="005C6DDA" w:rsidP="00A10DDB">
            <w:pPr>
              <w:snapToGrid w:val="0"/>
              <w:ind w:left="28"/>
              <w:jc w:val="center"/>
              <w:rPr>
                <w:rFonts w:eastAsia="標楷體"/>
                <w:color w:val="000000" w:themeColor="text1"/>
                <w:sz w:val="22"/>
              </w:rPr>
            </w:pPr>
            <w:r>
              <w:rPr>
                <w:rFonts w:eastAsia="標楷體" w:hint="eastAsia"/>
                <w:color w:val="000000" w:themeColor="text1"/>
                <w:sz w:val="22"/>
              </w:rPr>
              <w:t>年增</w:t>
            </w:r>
            <w:r w:rsidR="002652F8" w:rsidRPr="00EC0BDB">
              <w:rPr>
                <w:rFonts w:eastAsia="標楷體" w:hint="eastAsia"/>
                <w:color w:val="000000" w:themeColor="text1"/>
                <w:sz w:val="22"/>
              </w:rPr>
              <w:t>率</w:t>
            </w:r>
          </w:p>
        </w:tc>
      </w:tr>
      <w:tr w:rsidR="002652F8" w:rsidRPr="0012098B" w:rsidTr="00A10DDB">
        <w:trPr>
          <w:trHeight w:val="580"/>
        </w:trPr>
        <w:tc>
          <w:tcPr>
            <w:tcW w:w="2030" w:type="dxa"/>
            <w:tcBorders>
              <w:top w:val="single" w:sz="4" w:space="0" w:color="auto"/>
              <w:left w:val="nil"/>
              <w:bottom w:val="nil"/>
              <w:right w:val="single" w:sz="4" w:space="0" w:color="auto"/>
            </w:tcBorders>
            <w:vAlign w:val="center"/>
          </w:tcPr>
          <w:p w:rsidR="002652F8" w:rsidRPr="00EC0BDB" w:rsidRDefault="002652F8" w:rsidP="00A10DDB">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7,571.9</w:t>
            </w:r>
          </w:p>
        </w:tc>
        <w:tc>
          <w:tcPr>
            <w:tcW w:w="784" w:type="dxa"/>
            <w:tcBorders>
              <w:top w:val="single" w:sz="4" w:space="0" w:color="auto"/>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28.6</w:t>
            </w:r>
          </w:p>
        </w:tc>
        <w:tc>
          <w:tcPr>
            <w:tcW w:w="855" w:type="dxa"/>
            <w:tcBorders>
              <w:top w:val="single" w:sz="4" w:space="0" w:color="auto"/>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10.9</w:t>
            </w:r>
          </w:p>
        </w:tc>
        <w:tc>
          <w:tcPr>
            <w:tcW w:w="2141" w:type="dxa"/>
            <w:tcBorders>
              <w:top w:val="single" w:sz="4" w:space="0" w:color="auto"/>
              <w:left w:val="double" w:sz="4" w:space="0" w:color="auto"/>
              <w:bottom w:val="nil"/>
              <w:right w:val="single" w:sz="4" w:space="0" w:color="auto"/>
            </w:tcBorders>
            <w:vAlign w:val="center"/>
          </w:tcPr>
          <w:p w:rsidR="002652F8" w:rsidRPr="001408A5" w:rsidRDefault="002652F8" w:rsidP="00A10DDB">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6,084.8</w:t>
            </w:r>
          </w:p>
        </w:tc>
        <w:tc>
          <w:tcPr>
            <w:tcW w:w="730" w:type="dxa"/>
            <w:tcBorders>
              <w:top w:val="single" w:sz="4" w:space="0" w:color="auto"/>
              <w:left w:val="single" w:sz="4" w:space="0" w:color="auto"/>
              <w:bottom w:val="nil"/>
              <w:right w:val="single" w:sz="4" w:space="0" w:color="auto"/>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26.2</w:t>
            </w:r>
          </w:p>
        </w:tc>
        <w:tc>
          <w:tcPr>
            <w:tcW w:w="807" w:type="dxa"/>
            <w:tcBorders>
              <w:top w:val="single" w:sz="4" w:space="0" w:color="auto"/>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p>
        </w:tc>
      </w:tr>
      <w:tr w:rsidR="002652F8" w:rsidRPr="001408A5" w:rsidTr="00A10DDB">
        <w:trPr>
          <w:trHeight w:val="580"/>
        </w:trPr>
        <w:tc>
          <w:tcPr>
            <w:tcW w:w="2030" w:type="dxa"/>
            <w:tcBorders>
              <w:top w:val="nil"/>
              <w:left w:val="nil"/>
              <w:bottom w:val="nil"/>
              <w:right w:val="single" w:sz="4" w:space="0" w:color="auto"/>
            </w:tcBorders>
            <w:vAlign w:val="center"/>
          </w:tcPr>
          <w:p w:rsidR="002652F8" w:rsidRPr="00EC0BDB" w:rsidRDefault="002652F8" w:rsidP="00A10DDB">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2,252.4</w:t>
            </w:r>
          </w:p>
        </w:tc>
        <w:tc>
          <w:tcPr>
            <w:tcW w:w="784" w:type="dxa"/>
            <w:tcBorders>
              <w:top w:val="nil"/>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8.5</w:t>
            </w:r>
          </w:p>
        </w:tc>
        <w:tc>
          <w:tcPr>
            <w:tcW w:w="855" w:type="dxa"/>
            <w:tcBorders>
              <w:top w:val="nil"/>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-0.8</w:t>
            </w:r>
          </w:p>
        </w:tc>
        <w:tc>
          <w:tcPr>
            <w:tcW w:w="2141" w:type="dxa"/>
            <w:tcBorders>
              <w:top w:val="nil"/>
              <w:left w:val="double" w:sz="4" w:space="0" w:color="auto"/>
              <w:bottom w:val="nil"/>
              <w:right w:val="single" w:sz="4" w:space="0" w:color="auto"/>
            </w:tcBorders>
            <w:vAlign w:val="center"/>
          </w:tcPr>
          <w:p w:rsidR="002652F8" w:rsidRPr="001408A5" w:rsidRDefault="002652F8" w:rsidP="00A10DDB">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3,777.2</w:t>
            </w:r>
          </w:p>
        </w:tc>
        <w:tc>
          <w:tcPr>
            <w:tcW w:w="730" w:type="dxa"/>
            <w:tcBorders>
              <w:top w:val="nil"/>
              <w:left w:val="single" w:sz="4" w:space="0" w:color="auto"/>
              <w:bottom w:val="nil"/>
              <w:right w:val="single" w:sz="4" w:space="0" w:color="auto"/>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16.3</w:t>
            </w:r>
          </w:p>
        </w:tc>
        <w:tc>
          <w:tcPr>
            <w:tcW w:w="807" w:type="dxa"/>
            <w:tcBorders>
              <w:top w:val="nil"/>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16.1</w:t>
            </w:r>
          </w:p>
        </w:tc>
      </w:tr>
      <w:tr w:rsidR="002652F8" w:rsidRPr="0012098B" w:rsidTr="00A10DDB">
        <w:trPr>
          <w:trHeight w:val="580"/>
        </w:trPr>
        <w:tc>
          <w:tcPr>
            <w:tcW w:w="2030" w:type="dxa"/>
            <w:tcBorders>
              <w:top w:val="nil"/>
              <w:left w:val="nil"/>
              <w:bottom w:val="nil"/>
              <w:right w:val="single" w:sz="4" w:space="0" w:color="auto"/>
            </w:tcBorders>
            <w:vAlign w:val="center"/>
          </w:tcPr>
          <w:p w:rsidR="002652F8" w:rsidRPr="00EC0BDB" w:rsidRDefault="002652F8" w:rsidP="00A10DDB">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2,143.7</w:t>
            </w:r>
          </w:p>
        </w:tc>
        <w:tc>
          <w:tcPr>
            <w:tcW w:w="784" w:type="dxa"/>
            <w:tcBorders>
              <w:top w:val="nil"/>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p>
        </w:tc>
        <w:tc>
          <w:tcPr>
            <w:tcW w:w="855" w:type="dxa"/>
            <w:tcBorders>
              <w:top w:val="nil"/>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10.6</w:t>
            </w:r>
          </w:p>
        </w:tc>
        <w:tc>
          <w:tcPr>
            <w:tcW w:w="2141" w:type="dxa"/>
            <w:tcBorders>
              <w:top w:val="nil"/>
              <w:left w:val="double" w:sz="4" w:space="0" w:color="auto"/>
              <w:bottom w:val="nil"/>
              <w:right w:val="single" w:sz="4" w:space="0" w:color="auto"/>
            </w:tcBorders>
            <w:vAlign w:val="center"/>
          </w:tcPr>
          <w:p w:rsidR="002652F8" w:rsidRPr="001408A5" w:rsidRDefault="002652F8" w:rsidP="00A10DDB">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2,609.4</w:t>
            </w:r>
          </w:p>
        </w:tc>
        <w:tc>
          <w:tcPr>
            <w:tcW w:w="730" w:type="dxa"/>
            <w:tcBorders>
              <w:top w:val="nil"/>
              <w:left w:val="single" w:sz="4" w:space="0" w:color="auto"/>
              <w:bottom w:val="nil"/>
              <w:right w:val="single" w:sz="4" w:space="0" w:color="auto"/>
            </w:tcBorders>
            <w:vAlign w:val="center"/>
          </w:tcPr>
          <w:p w:rsidR="002652F8" w:rsidRPr="00CE0F4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11.2</w:t>
            </w:r>
          </w:p>
        </w:tc>
        <w:tc>
          <w:tcPr>
            <w:tcW w:w="807" w:type="dxa"/>
            <w:tcBorders>
              <w:top w:val="nil"/>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w:t>
            </w:r>
          </w:p>
        </w:tc>
      </w:tr>
      <w:tr w:rsidR="002652F8" w:rsidRPr="001408A5" w:rsidTr="00A10DDB">
        <w:trPr>
          <w:trHeight w:val="580"/>
        </w:trPr>
        <w:tc>
          <w:tcPr>
            <w:tcW w:w="2030" w:type="dxa"/>
            <w:tcBorders>
              <w:top w:val="nil"/>
              <w:left w:val="nil"/>
              <w:bottom w:val="nil"/>
              <w:right w:val="single" w:sz="4" w:space="0" w:color="auto"/>
            </w:tcBorders>
            <w:vAlign w:val="center"/>
          </w:tcPr>
          <w:p w:rsidR="002652F8" w:rsidRPr="00EC0BDB" w:rsidRDefault="002652F8" w:rsidP="00A10DDB">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2,130.5</w:t>
            </w:r>
          </w:p>
        </w:tc>
        <w:tc>
          <w:tcPr>
            <w:tcW w:w="784" w:type="dxa"/>
            <w:tcBorders>
              <w:top w:val="nil"/>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855" w:type="dxa"/>
            <w:tcBorders>
              <w:top w:val="nil"/>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39.4</w:t>
            </w:r>
          </w:p>
        </w:tc>
        <w:tc>
          <w:tcPr>
            <w:tcW w:w="2141" w:type="dxa"/>
            <w:tcBorders>
              <w:top w:val="nil"/>
              <w:left w:val="double" w:sz="4" w:space="0" w:color="auto"/>
              <w:bottom w:val="nil"/>
              <w:right w:val="single" w:sz="4" w:space="0" w:color="auto"/>
            </w:tcBorders>
            <w:vAlign w:val="center"/>
          </w:tcPr>
          <w:p w:rsidR="002652F8" w:rsidRPr="001408A5" w:rsidRDefault="002652F8" w:rsidP="00A10DDB">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2,123.0</w:t>
            </w:r>
          </w:p>
        </w:tc>
        <w:tc>
          <w:tcPr>
            <w:tcW w:w="730" w:type="dxa"/>
            <w:tcBorders>
              <w:top w:val="nil"/>
              <w:left w:val="single" w:sz="4" w:space="0" w:color="auto"/>
              <w:bottom w:val="nil"/>
              <w:right w:val="single" w:sz="4" w:space="0" w:color="auto"/>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9.1</w:t>
            </w:r>
          </w:p>
        </w:tc>
        <w:tc>
          <w:tcPr>
            <w:tcW w:w="807" w:type="dxa"/>
            <w:tcBorders>
              <w:top w:val="nil"/>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4.9</w:t>
            </w:r>
          </w:p>
        </w:tc>
      </w:tr>
      <w:tr w:rsidR="002652F8" w:rsidRPr="001408A5" w:rsidTr="00A10DDB">
        <w:trPr>
          <w:trHeight w:val="580"/>
        </w:trPr>
        <w:tc>
          <w:tcPr>
            <w:tcW w:w="2030" w:type="dxa"/>
            <w:tcBorders>
              <w:top w:val="nil"/>
              <w:left w:val="nil"/>
              <w:bottom w:val="nil"/>
              <w:right w:val="single" w:sz="4" w:space="0" w:color="auto"/>
            </w:tcBorders>
            <w:vAlign w:val="center"/>
          </w:tcPr>
          <w:p w:rsidR="002652F8" w:rsidRPr="00EC0BDB" w:rsidRDefault="002652F8" w:rsidP="00A10DDB">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1,903.6</w:t>
            </w:r>
          </w:p>
        </w:tc>
        <w:tc>
          <w:tcPr>
            <w:tcW w:w="784" w:type="dxa"/>
            <w:tcBorders>
              <w:top w:val="nil"/>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p>
        </w:tc>
        <w:tc>
          <w:tcPr>
            <w:tcW w:w="855" w:type="dxa"/>
            <w:tcBorders>
              <w:top w:val="nil"/>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9.7</w:t>
            </w:r>
          </w:p>
        </w:tc>
        <w:tc>
          <w:tcPr>
            <w:tcW w:w="2141" w:type="dxa"/>
            <w:tcBorders>
              <w:top w:val="nil"/>
              <w:left w:val="double" w:sz="4" w:space="0" w:color="auto"/>
              <w:bottom w:val="nil"/>
              <w:right w:val="single" w:sz="4" w:space="0" w:color="auto"/>
            </w:tcBorders>
            <w:vAlign w:val="center"/>
          </w:tcPr>
          <w:p w:rsidR="002652F8" w:rsidRPr="001408A5" w:rsidRDefault="002652F8" w:rsidP="00A10DDB">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1,848.3</w:t>
            </w:r>
          </w:p>
        </w:tc>
        <w:tc>
          <w:tcPr>
            <w:tcW w:w="730" w:type="dxa"/>
            <w:tcBorders>
              <w:top w:val="nil"/>
              <w:left w:val="single" w:sz="4" w:space="0" w:color="auto"/>
              <w:bottom w:val="nil"/>
              <w:right w:val="single" w:sz="4" w:space="0" w:color="auto"/>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807" w:type="dxa"/>
            <w:tcBorders>
              <w:top w:val="nil"/>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w:t>
            </w:r>
          </w:p>
        </w:tc>
      </w:tr>
      <w:tr w:rsidR="002652F8" w:rsidRPr="0012098B" w:rsidTr="00A10DDB">
        <w:trPr>
          <w:trHeight w:val="580"/>
        </w:trPr>
        <w:tc>
          <w:tcPr>
            <w:tcW w:w="2030" w:type="dxa"/>
            <w:tcBorders>
              <w:top w:val="nil"/>
              <w:left w:val="nil"/>
              <w:bottom w:val="nil"/>
              <w:right w:val="single" w:sz="4" w:space="0" w:color="auto"/>
            </w:tcBorders>
            <w:vAlign w:val="center"/>
          </w:tcPr>
          <w:p w:rsidR="002652F8" w:rsidRPr="00EC0BDB" w:rsidRDefault="002652F8" w:rsidP="00A10DDB">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1,705.4</w:t>
            </w:r>
          </w:p>
        </w:tc>
        <w:tc>
          <w:tcPr>
            <w:tcW w:w="784" w:type="dxa"/>
            <w:tcBorders>
              <w:top w:val="nil"/>
              <w:left w:val="single" w:sz="4" w:space="0" w:color="auto"/>
              <w:bottom w:val="nil"/>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6.4</w:t>
            </w:r>
          </w:p>
        </w:tc>
        <w:tc>
          <w:tcPr>
            <w:tcW w:w="855" w:type="dxa"/>
            <w:tcBorders>
              <w:top w:val="nil"/>
              <w:left w:val="nil"/>
              <w:bottom w:val="nil"/>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w:t>
            </w:r>
          </w:p>
        </w:tc>
        <w:tc>
          <w:tcPr>
            <w:tcW w:w="2141" w:type="dxa"/>
            <w:tcBorders>
              <w:top w:val="nil"/>
              <w:left w:val="double" w:sz="4" w:space="0" w:color="auto"/>
              <w:bottom w:val="nil"/>
              <w:right w:val="single" w:sz="4" w:space="0" w:color="auto"/>
            </w:tcBorders>
            <w:vAlign w:val="center"/>
          </w:tcPr>
          <w:p w:rsidR="002652F8" w:rsidRPr="001408A5" w:rsidRDefault="002652F8" w:rsidP="00A10DDB">
            <w:pPr>
              <w:topLinePunct/>
              <w:rPr>
                <w:rFonts w:eastAsia="標楷體"/>
                <w:bCs/>
                <w:color w:val="000000" w:themeColor="text1"/>
                <w:szCs w:val="20"/>
              </w:rPr>
            </w:pPr>
            <w:r w:rsidRPr="001408A5">
              <w:rPr>
                <w:rFonts w:eastAsia="標楷體" w:hint="eastAsia"/>
                <w:bCs/>
                <w:color w:val="000000" w:themeColor="text1"/>
                <w:szCs w:val="20"/>
              </w:rPr>
              <w:t>精密儀器、鐘錶、</w:t>
            </w:r>
          </w:p>
          <w:p w:rsidR="002652F8" w:rsidRPr="001408A5" w:rsidRDefault="002652F8" w:rsidP="00A10DDB">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1,029.7</w:t>
            </w:r>
          </w:p>
        </w:tc>
        <w:tc>
          <w:tcPr>
            <w:tcW w:w="730" w:type="dxa"/>
            <w:tcBorders>
              <w:top w:val="nil"/>
              <w:left w:val="single" w:sz="4" w:space="0" w:color="auto"/>
              <w:bottom w:val="nil"/>
              <w:right w:val="single" w:sz="4" w:space="0" w:color="auto"/>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4.4</w:t>
            </w:r>
          </w:p>
        </w:tc>
        <w:tc>
          <w:tcPr>
            <w:tcW w:w="807" w:type="dxa"/>
            <w:tcBorders>
              <w:top w:val="nil"/>
              <w:left w:val="nil"/>
              <w:bottom w:val="nil"/>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w:t>
            </w:r>
          </w:p>
        </w:tc>
      </w:tr>
      <w:tr w:rsidR="002652F8" w:rsidRPr="0012098B" w:rsidTr="00A10DDB">
        <w:trPr>
          <w:trHeight w:val="580"/>
        </w:trPr>
        <w:tc>
          <w:tcPr>
            <w:tcW w:w="2030" w:type="dxa"/>
            <w:tcBorders>
              <w:top w:val="nil"/>
              <w:left w:val="nil"/>
              <w:bottom w:val="single" w:sz="4" w:space="0" w:color="auto"/>
              <w:right w:val="single" w:sz="4" w:space="0" w:color="auto"/>
            </w:tcBorders>
            <w:vAlign w:val="center"/>
          </w:tcPr>
          <w:p w:rsidR="002652F8" w:rsidRPr="00EC0BDB" w:rsidRDefault="002652F8" w:rsidP="00A10DDB">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single" w:sz="4" w:space="0" w:color="auto"/>
              <w:right w:val="nil"/>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1,868.2</w:t>
            </w:r>
          </w:p>
        </w:tc>
        <w:tc>
          <w:tcPr>
            <w:tcW w:w="784" w:type="dxa"/>
            <w:tcBorders>
              <w:top w:val="nil"/>
              <w:left w:val="single" w:sz="4" w:space="0" w:color="auto"/>
              <w:bottom w:val="single" w:sz="4" w:space="0" w:color="auto"/>
              <w:right w:val="sing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c>
          <w:tcPr>
            <w:tcW w:w="855" w:type="dxa"/>
            <w:tcBorders>
              <w:top w:val="nil"/>
              <w:left w:val="nil"/>
              <w:bottom w:val="single" w:sz="4" w:space="0" w:color="auto"/>
              <w:right w:val="double" w:sz="4" w:space="0" w:color="auto"/>
            </w:tcBorders>
            <w:vAlign w:val="center"/>
          </w:tcPr>
          <w:p w:rsidR="002652F8" w:rsidRPr="001A3518"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10.7</w:t>
            </w:r>
          </w:p>
        </w:tc>
        <w:tc>
          <w:tcPr>
            <w:tcW w:w="2141" w:type="dxa"/>
            <w:tcBorders>
              <w:top w:val="nil"/>
              <w:left w:val="double" w:sz="4" w:space="0" w:color="auto"/>
              <w:bottom w:val="single" w:sz="4" w:space="0" w:color="auto"/>
              <w:right w:val="single" w:sz="4" w:space="0" w:color="auto"/>
            </w:tcBorders>
            <w:vAlign w:val="center"/>
          </w:tcPr>
          <w:p w:rsidR="002652F8" w:rsidRPr="001408A5" w:rsidRDefault="002652F8" w:rsidP="00A10DDB">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628.9</w:t>
            </w:r>
          </w:p>
        </w:tc>
        <w:tc>
          <w:tcPr>
            <w:tcW w:w="730" w:type="dxa"/>
            <w:tcBorders>
              <w:top w:val="nil"/>
              <w:left w:val="single" w:sz="4" w:space="0" w:color="auto"/>
              <w:bottom w:val="single" w:sz="4" w:space="0" w:color="auto"/>
              <w:right w:val="single" w:sz="4" w:space="0" w:color="auto"/>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w:t>
            </w:r>
          </w:p>
        </w:tc>
        <w:tc>
          <w:tcPr>
            <w:tcW w:w="807" w:type="dxa"/>
            <w:tcBorders>
              <w:top w:val="nil"/>
              <w:left w:val="nil"/>
              <w:bottom w:val="single" w:sz="4" w:space="0" w:color="auto"/>
              <w:right w:val="nil"/>
            </w:tcBorders>
            <w:vAlign w:val="center"/>
          </w:tcPr>
          <w:p w:rsidR="002652F8" w:rsidRPr="001408A5" w:rsidRDefault="002652F8" w:rsidP="00A10DD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9.5</w:t>
            </w:r>
          </w:p>
        </w:tc>
      </w:tr>
    </w:tbl>
    <w:p w:rsidR="00DF4629" w:rsidRPr="002652F8" w:rsidRDefault="00DF4629" w:rsidP="00DF4629">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2652F8">
        <w:rPr>
          <w:rFonts w:ascii="Times New Roman" w:eastAsia="標楷體" w:hAnsi="Times New Roman" w:cs="Times New Roman" w:hint="default"/>
          <w:color w:val="auto"/>
          <w:sz w:val="22"/>
          <w:szCs w:val="22"/>
        </w:rPr>
        <w:t>資料來源：財政部。</w:t>
      </w:r>
    </w:p>
    <w:p w:rsidR="00E750C9" w:rsidRPr="003111E1" w:rsidRDefault="00E750C9" w:rsidP="00DF4629">
      <w:pPr>
        <w:pStyle w:val="k3a"/>
        <w:tabs>
          <w:tab w:val="left" w:pos="540"/>
        </w:tabs>
        <w:spacing w:before="180" w:line="300" w:lineRule="auto"/>
        <w:ind w:leftChars="0" w:left="0" w:right="0" w:firstLineChars="0" w:firstLine="0"/>
        <w:rPr>
          <w:b/>
          <w:bCs/>
          <w:color w:val="FF0000"/>
          <w:sz w:val="32"/>
          <w:szCs w:val="32"/>
        </w:rPr>
      </w:pPr>
      <w:r w:rsidRPr="003111E1">
        <w:rPr>
          <w:color w:val="FF0000"/>
        </w:rPr>
        <w:br w:type="page"/>
      </w:r>
    </w:p>
    <w:p w:rsidR="00E750C9" w:rsidRPr="005A2B7B" w:rsidRDefault="00E750C9" w:rsidP="00E750C9">
      <w:pPr>
        <w:pStyle w:val="t-3"/>
        <w:spacing w:beforeLines="50" w:before="180" w:line="300" w:lineRule="auto"/>
        <w:ind w:right="-60"/>
      </w:pPr>
      <w:bookmarkStart w:id="69" w:name="_Toc349916585"/>
      <w:bookmarkStart w:id="70" w:name="_Toc358042580"/>
      <w:r w:rsidRPr="005A2B7B">
        <w:lastRenderedPageBreak/>
        <w:t>（五）外銷訂單</w:t>
      </w:r>
      <w:bookmarkEnd w:id="69"/>
      <w:bookmarkEnd w:id="70"/>
    </w:p>
    <w:p w:rsidR="00EE4C3E" w:rsidRPr="005A2B7B" w:rsidRDefault="00EE4C3E" w:rsidP="005A2B7B">
      <w:pPr>
        <w:pStyle w:val="k3a"/>
        <w:tabs>
          <w:tab w:val="left" w:pos="540"/>
        </w:tabs>
        <w:spacing w:beforeLines="0" w:before="0" w:line="300" w:lineRule="auto"/>
        <w:ind w:leftChars="0" w:left="0" w:right="0" w:firstLineChars="0" w:firstLine="0"/>
        <w:rPr>
          <w:b/>
          <w:bCs/>
        </w:rPr>
      </w:pPr>
      <w:bookmarkStart w:id="71" w:name="_Toc349916586"/>
      <w:r w:rsidRPr="005A2B7B">
        <w:rPr>
          <w:b/>
          <w:bCs/>
        </w:rPr>
        <w:t>１、</w:t>
      </w:r>
      <w:r w:rsidR="005A2B7B" w:rsidRPr="005A2B7B">
        <w:rPr>
          <w:rFonts w:hint="eastAsia"/>
          <w:b/>
          <w:bCs/>
        </w:rPr>
        <w:t>102</w:t>
      </w:r>
      <w:r w:rsidR="005A2B7B" w:rsidRPr="005A2B7B">
        <w:rPr>
          <w:rFonts w:hint="eastAsia"/>
          <w:b/>
          <w:bCs/>
        </w:rPr>
        <w:t>年</w:t>
      </w:r>
      <w:r w:rsidR="005A2B7B" w:rsidRPr="005A2B7B">
        <w:rPr>
          <w:rFonts w:hint="eastAsia"/>
          <w:b/>
          <w:bCs/>
        </w:rPr>
        <w:t>6</w:t>
      </w:r>
      <w:r w:rsidR="005A2B7B" w:rsidRPr="005A2B7B">
        <w:rPr>
          <w:rFonts w:hint="eastAsia"/>
          <w:b/>
          <w:bCs/>
        </w:rPr>
        <w:t>月外銷訂單</w:t>
      </w:r>
      <w:r w:rsidR="005A2B7B" w:rsidRPr="005A2B7B">
        <w:rPr>
          <w:rFonts w:hint="eastAsia"/>
          <w:b/>
          <w:bCs/>
        </w:rPr>
        <w:t>351.0</w:t>
      </w:r>
      <w:r w:rsidR="005A2B7B" w:rsidRPr="005A2B7B">
        <w:rPr>
          <w:rFonts w:hint="eastAsia"/>
          <w:b/>
          <w:bCs/>
        </w:rPr>
        <w:t>億美元，減少</w:t>
      </w:r>
      <w:r w:rsidR="005A2B7B" w:rsidRPr="005A2B7B">
        <w:rPr>
          <w:rFonts w:hint="eastAsia"/>
          <w:b/>
          <w:bCs/>
        </w:rPr>
        <w:t>3.5</w:t>
      </w:r>
      <w:r w:rsidR="005A2B7B" w:rsidRPr="005A2B7B">
        <w:rPr>
          <w:rFonts w:hint="eastAsia"/>
          <w:b/>
          <w:bCs/>
        </w:rPr>
        <w:t>％</w:t>
      </w:r>
    </w:p>
    <w:p w:rsidR="00EE4C3E" w:rsidRPr="005A2B7B" w:rsidRDefault="005A2B7B" w:rsidP="00506996">
      <w:pPr>
        <w:pStyle w:val="k32"/>
        <w:topLinePunct/>
        <w:ind w:left="0" w:rightChars="-59" w:firstLineChars="202" w:firstLine="566"/>
        <w:rPr>
          <w:b/>
          <w:bCs/>
          <w:kern w:val="2"/>
          <w:szCs w:val="24"/>
        </w:rPr>
      </w:pPr>
      <w:r w:rsidRPr="005A2B7B">
        <w:rPr>
          <w:rFonts w:hint="eastAsia"/>
        </w:rPr>
        <w:t>102</w:t>
      </w:r>
      <w:r w:rsidRPr="005A2B7B">
        <w:rPr>
          <w:rFonts w:hint="eastAsia"/>
        </w:rPr>
        <w:t>年</w:t>
      </w:r>
      <w:r w:rsidRPr="005A2B7B">
        <w:rPr>
          <w:rFonts w:hint="eastAsia"/>
        </w:rPr>
        <w:t>6</w:t>
      </w:r>
      <w:r w:rsidRPr="005A2B7B">
        <w:rPr>
          <w:rFonts w:hint="eastAsia"/>
        </w:rPr>
        <w:t>月外銷訂單金額</w:t>
      </w:r>
      <w:r w:rsidRPr="005A2B7B">
        <w:rPr>
          <w:rFonts w:hint="eastAsia"/>
        </w:rPr>
        <w:t>351.0</w:t>
      </w:r>
      <w:r w:rsidRPr="005A2B7B">
        <w:rPr>
          <w:rFonts w:hint="eastAsia"/>
        </w:rPr>
        <w:t>億美元，較</w:t>
      </w:r>
      <w:r w:rsidR="00357E8F">
        <w:rPr>
          <w:rFonts w:hint="eastAsia"/>
        </w:rPr>
        <w:t>上</w:t>
      </w:r>
      <w:r w:rsidRPr="005A2B7B">
        <w:rPr>
          <w:rFonts w:hint="eastAsia"/>
        </w:rPr>
        <w:t>年同月減少</w:t>
      </w:r>
      <w:r w:rsidRPr="005A2B7B">
        <w:rPr>
          <w:rFonts w:hint="eastAsia"/>
        </w:rPr>
        <w:t>12.9</w:t>
      </w:r>
      <w:r w:rsidRPr="005A2B7B">
        <w:rPr>
          <w:rFonts w:hint="eastAsia"/>
        </w:rPr>
        <w:t>億美元，減</w:t>
      </w:r>
      <w:r w:rsidR="009E0B50">
        <w:rPr>
          <w:rFonts w:hint="eastAsia"/>
        </w:rPr>
        <w:t>幅</w:t>
      </w:r>
      <w:r w:rsidRPr="005A2B7B">
        <w:rPr>
          <w:rFonts w:hint="eastAsia"/>
        </w:rPr>
        <w:t>3.5</w:t>
      </w:r>
      <w:r w:rsidRPr="005A2B7B">
        <w:rPr>
          <w:rFonts w:hint="eastAsia"/>
        </w:rPr>
        <w:t>％。累計</w:t>
      </w:r>
      <w:r w:rsidRPr="005A2B7B">
        <w:rPr>
          <w:rFonts w:hint="eastAsia"/>
        </w:rPr>
        <w:t>1</w:t>
      </w:r>
      <w:r w:rsidRPr="005A2B7B">
        <w:rPr>
          <w:rFonts w:hint="eastAsia"/>
        </w:rPr>
        <w:t>至</w:t>
      </w:r>
      <w:r w:rsidRPr="005A2B7B">
        <w:rPr>
          <w:rFonts w:hint="eastAsia"/>
        </w:rPr>
        <w:t>6</w:t>
      </w:r>
      <w:r w:rsidRPr="005A2B7B">
        <w:rPr>
          <w:rFonts w:hint="eastAsia"/>
        </w:rPr>
        <w:t>月，外銷訂單金額</w:t>
      </w:r>
      <w:r w:rsidRPr="005A2B7B">
        <w:rPr>
          <w:rFonts w:hint="eastAsia"/>
        </w:rPr>
        <w:t>2,091.2</w:t>
      </w:r>
      <w:r w:rsidRPr="005A2B7B">
        <w:rPr>
          <w:rFonts w:hint="eastAsia"/>
        </w:rPr>
        <w:t>億美元，較</w:t>
      </w:r>
      <w:r w:rsidR="00357E8F">
        <w:rPr>
          <w:rFonts w:hint="eastAsia"/>
        </w:rPr>
        <w:t>上</w:t>
      </w:r>
      <w:r w:rsidRPr="005A2B7B">
        <w:rPr>
          <w:rFonts w:hint="eastAsia"/>
        </w:rPr>
        <w:t>年同期減少</w:t>
      </w:r>
      <w:r w:rsidRPr="005A2B7B">
        <w:rPr>
          <w:rFonts w:hint="eastAsia"/>
        </w:rPr>
        <w:t>36.3</w:t>
      </w:r>
      <w:r w:rsidRPr="005A2B7B">
        <w:rPr>
          <w:rFonts w:hint="eastAsia"/>
        </w:rPr>
        <w:t>億美元，</w:t>
      </w:r>
      <w:r w:rsidR="009E0B50">
        <w:rPr>
          <w:rFonts w:hint="eastAsia"/>
        </w:rPr>
        <w:t>減幅</w:t>
      </w:r>
      <w:r w:rsidRPr="005A2B7B">
        <w:rPr>
          <w:rFonts w:hint="eastAsia"/>
        </w:rPr>
        <w:t>1.7</w:t>
      </w:r>
      <w:r w:rsidRPr="005A2B7B">
        <w:rPr>
          <w:rFonts w:hint="eastAsia"/>
        </w:rPr>
        <w:t>％。</w:t>
      </w:r>
    </w:p>
    <w:p w:rsidR="00EE4C3E" w:rsidRPr="005A2B7B" w:rsidRDefault="00EE4C3E" w:rsidP="00EE4C3E">
      <w:pPr>
        <w:spacing w:beforeLines="50" w:before="180" w:afterLines="50" w:after="180" w:line="420" w:lineRule="exact"/>
        <w:jc w:val="center"/>
        <w:rPr>
          <w:rFonts w:eastAsia="標楷體"/>
          <w:sz w:val="28"/>
        </w:rPr>
      </w:pPr>
      <w:r w:rsidRPr="005A2B7B">
        <w:rPr>
          <w:rFonts w:eastAsia="標楷體"/>
          <w:b/>
          <w:bCs/>
          <w:sz w:val="28"/>
        </w:rPr>
        <w:t>表</w:t>
      </w:r>
      <w:r w:rsidRPr="005A2B7B">
        <w:rPr>
          <w:rFonts w:eastAsia="標楷體"/>
          <w:b/>
          <w:bCs/>
          <w:sz w:val="28"/>
        </w:rPr>
        <w:t>2-5-1</w:t>
      </w:r>
      <w:r w:rsidRPr="005A2B7B">
        <w:rPr>
          <w:rFonts w:eastAsia="標楷體"/>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5A2B7B" w:rsidRPr="00731FC1" w:rsidTr="00A10DDB">
        <w:trPr>
          <w:jc w:val="center"/>
        </w:trPr>
        <w:tc>
          <w:tcPr>
            <w:tcW w:w="1502" w:type="dxa"/>
            <w:tcBorders>
              <w:bottom w:val="single" w:sz="4" w:space="0" w:color="auto"/>
              <w:right w:val="single" w:sz="4" w:space="0" w:color="auto"/>
            </w:tcBorders>
          </w:tcPr>
          <w:p w:rsidR="005A2B7B" w:rsidRPr="00731FC1" w:rsidRDefault="005A2B7B" w:rsidP="00A10DDB">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5A2B7B" w:rsidRPr="00731FC1" w:rsidRDefault="005A2B7B" w:rsidP="00A10DDB">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5A2B7B" w:rsidRPr="00731FC1" w:rsidRDefault="005A2B7B" w:rsidP="00A10DDB">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b/>
                <w:bCs/>
              </w:rPr>
            </w:pPr>
            <w:r w:rsidRPr="007B1A63">
              <w:rPr>
                <w:rFonts w:eastAsia="標楷體"/>
                <w:b/>
                <w:bCs/>
              </w:rPr>
              <w:t>1.7</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5A2B7B" w:rsidRPr="007B1A63" w:rsidRDefault="005A2B7B" w:rsidP="00A10DDB">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5A2B7B" w:rsidRPr="007B1A63" w:rsidRDefault="005A2B7B" w:rsidP="00A10DDB">
            <w:pPr>
              <w:snapToGrid w:val="0"/>
              <w:spacing w:line="360" w:lineRule="exact"/>
              <w:ind w:rightChars="397" w:right="953"/>
              <w:jc w:val="right"/>
              <w:rPr>
                <w:rFonts w:eastAsia="標楷體"/>
                <w:b/>
                <w:bCs/>
              </w:rPr>
            </w:pPr>
            <w:r w:rsidRPr="007B1A63">
              <w:rPr>
                <w:rFonts w:eastAsia="標楷體"/>
                <w:b/>
                <w:bCs/>
              </w:rPr>
              <w:t>-8.3</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5A2B7B" w:rsidRPr="007B1A63" w:rsidRDefault="005A2B7B" w:rsidP="00A10DDB">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5A2B7B" w:rsidRPr="007B1A63" w:rsidRDefault="005A2B7B" w:rsidP="00A10DDB">
            <w:pPr>
              <w:snapToGrid w:val="0"/>
              <w:spacing w:line="360" w:lineRule="exact"/>
              <w:ind w:rightChars="397" w:right="953"/>
              <w:jc w:val="right"/>
              <w:rPr>
                <w:rFonts w:eastAsia="標楷體"/>
                <w:b/>
                <w:bCs/>
              </w:rPr>
            </w:pPr>
            <w:r w:rsidRPr="007B1A63">
              <w:rPr>
                <w:rFonts w:eastAsia="標楷體"/>
                <w:b/>
                <w:bCs/>
              </w:rPr>
              <w:t>26.14</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1~6</w:t>
            </w:r>
            <w:r>
              <w:rPr>
                <w:rFonts w:eastAsia="標楷體" w:hint="eastAsia"/>
                <w:b/>
              </w:rPr>
              <w:t>月</w:t>
            </w:r>
          </w:p>
        </w:tc>
        <w:tc>
          <w:tcPr>
            <w:tcW w:w="2880" w:type="dxa"/>
            <w:tcBorders>
              <w:top w:val="nil"/>
              <w:left w:val="single" w:sz="4" w:space="0" w:color="auto"/>
              <w:bottom w:val="nil"/>
              <w:right w:val="single" w:sz="4" w:space="0" w:color="auto"/>
            </w:tcBorders>
          </w:tcPr>
          <w:p w:rsidR="005A2B7B" w:rsidRPr="004F507E" w:rsidRDefault="005A2B7B" w:rsidP="00A10DDB">
            <w:pPr>
              <w:snapToGrid w:val="0"/>
              <w:spacing w:line="360" w:lineRule="exact"/>
              <w:ind w:rightChars="379" w:right="910"/>
              <w:jc w:val="right"/>
              <w:rPr>
                <w:rFonts w:eastAsia="標楷體" w:cs="Courier New"/>
                <w:b/>
                <w:noProof/>
              </w:rPr>
            </w:pPr>
            <w:r>
              <w:rPr>
                <w:rFonts w:eastAsia="標楷體" w:cs="Courier New" w:hint="eastAsia"/>
                <w:b/>
                <w:noProof/>
              </w:rPr>
              <w:t>2,091.2</w:t>
            </w:r>
          </w:p>
        </w:tc>
        <w:tc>
          <w:tcPr>
            <w:tcW w:w="2880" w:type="dxa"/>
            <w:tcBorders>
              <w:top w:val="nil"/>
              <w:left w:val="single" w:sz="4" w:space="0" w:color="auto"/>
              <w:bottom w:val="nil"/>
              <w:right w:val="nil"/>
            </w:tcBorders>
          </w:tcPr>
          <w:p w:rsidR="005A2B7B" w:rsidRPr="004F507E" w:rsidRDefault="005A2B7B" w:rsidP="00A10DDB">
            <w:pPr>
              <w:snapToGrid w:val="0"/>
              <w:spacing w:line="360" w:lineRule="exact"/>
              <w:ind w:rightChars="397" w:right="953"/>
              <w:jc w:val="right"/>
              <w:rPr>
                <w:rFonts w:eastAsia="標楷體" w:cs="Courier New"/>
                <w:b/>
                <w:noProof/>
              </w:rPr>
            </w:pPr>
            <w:r>
              <w:rPr>
                <w:rFonts w:eastAsia="標楷體" w:cs="Courier New" w:hint="eastAsia"/>
                <w:b/>
                <w:noProof/>
              </w:rPr>
              <w:t>-1.7</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Pr>
                <w:rFonts w:eastAsia="標楷體" w:cs="Courier New" w:hint="eastAsia"/>
                <w:noProof/>
              </w:rPr>
              <w:t>-14.5</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7B1A63" w:rsidRDefault="005A2B7B" w:rsidP="00A10DDB">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5A2B7B" w:rsidRPr="007B1A63" w:rsidRDefault="005A2B7B" w:rsidP="00A10DDB">
            <w:pPr>
              <w:snapToGrid w:val="0"/>
              <w:spacing w:line="360" w:lineRule="exact"/>
              <w:ind w:rightChars="397" w:right="953"/>
              <w:jc w:val="right"/>
              <w:rPr>
                <w:rFonts w:eastAsia="標楷體" w:cs="Courier New"/>
                <w:noProof/>
              </w:rPr>
            </w:pPr>
            <w:r>
              <w:rPr>
                <w:rFonts w:eastAsia="標楷體" w:cs="Courier New" w:hint="eastAsia"/>
                <w:noProof/>
              </w:rPr>
              <w:t>-6.6</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5A2B7B" w:rsidRPr="00E13D45" w:rsidRDefault="005A2B7B" w:rsidP="00A10DDB">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5A2B7B" w:rsidRPr="00E13D45" w:rsidRDefault="005A2B7B" w:rsidP="00A10DDB">
            <w:pPr>
              <w:snapToGrid w:val="0"/>
              <w:spacing w:line="360" w:lineRule="exact"/>
              <w:ind w:rightChars="397" w:right="953"/>
              <w:jc w:val="right"/>
              <w:rPr>
                <w:rFonts w:eastAsia="標楷體"/>
              </w:rPr>
            </w:pPr>
            <w:r w:rsidRPr="00E13D45">
              <w:rPr>
                <w:rFonts w:eastAsia="標楷體" w:hint="eastAsia"/>
              </w:rPr>
              <w:t>-1.1</w:t>
            </w:r>
          </w:p>
        </w:tc>
      </w:tr>
      <w:tr w:rsidR="005A2B7B" w:rsidRPr="007B1A63" w:rsidTr="00A10DDB">
        <w:trPr>
          <w:jc w:val="center"/>
        </w:trPr>
        <w:tc>
          <w:tcPr>
            <w:tcW w:w="1502" w:type="dxa"/>
            <w:tcBorders>
              <w:top w:val="nil"/>
              <w:bottom w:val="nil"/>
              <w:right w:val="single" w:sz="4" w:space="0" w:color="auto"/>
            </w:tcBorders>
          </w:tcPr>
          <w:p w:rsidR="005A2B7B" w:rsidRPr="007B1A63" w:rsidRDefault="005A2B7B" w:rsidP="00A10DDB">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5A2B7B" w:rsidRPr="00E13D45" w:rsidRDefault="005A2B7B" w:rsidP="00A10DDB">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5A2B7B" w:rsidRPr="00E13D45" w:rsidRDefault="005A2B7B" w:rsidP="00A10DDB">
            <w:pPr>
              <w:snapToGrid w:val="0"/>
              <w:spacing w:line="360" w:lineRule="exact"/>
              <w:ind w:rightChars="397" w:right="953"/>
              <w:jc w:val="right"/>
              <w:rPr>
                <w:rFonts w:eastAsia="標楷體"/>
              </w:rPr>
            </w:pPr>
            <w:r>
              <w:rPr>
                <w:rFonts w:eastAsia="標楷體" w:hint="eastAsia"/>
              </w:rPr>
              <w:t>-0.4</w:t>
            </w:r>
          </w:p>
        </w:tc>
      </w:tr>
      <w:tr w:rsidR="005A2B7B" w:rsidRPr="007B1A63" w:rsidTr="00A10DDB">
        <w:trPr>
          <w:jc w:val="center"/>
        </w:trPr>
        <w:tc>
          <w:tcPr>
            <w:tcW w:w="1502" w:type="dxa"/>
            <w:tcBorders>
              <w:top w:val="nil"/>
              <w:bottom w:val="single" w:sz="4" w:space="0" w:color="auto"/>
              <w:right w:val="single" w:sz="4" w:space="0" w:color="auto"/>
            </w:tcBorders>
          </w:tcPr>
          <w:p w:rsidR="005A2B7B" w:rsidRPr="007B1A63" w:rsidRDefault="005A2B7B" w:rsidP="00A10DDB">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5A2B7B" w:rsidRPr="00E13D45" w:rsidRDefault="005A2B7B" w:rsidP="00A10DDB">
            <w:pPr>
              <w:snapToGrid w:val="0"/>
              <w:spacing w:line="360" w:lineRule="exact"/>
              <w:ind w:rightChars="379" w:right="910"/>
              <w:jc w:val="right"/>
              <w:rPr>
                <w:rFonts w:eastAsia="標楷體"/>
              </w:rPr>
            </w:pPr>
            <w:r>
              <w:rPr>
                <w:rFonts w:eastAsia="標楷體" w:hint="eastAsia"/>
              </w:rPr>
              <w:t>351.0</w:t>
            </w:r>
          </w:p>
        </w:tc>
        <w:tc>
          <w:tcPr>
            <w:tcW w:w="2880" w:type="dxa"/>
            <w:tcBorders>
              <w:top w:val="nil"/>
              <w:left w:val="single" w:sz="4" w:space="0" w:color="auto"/>
              <w:bottom w:val="single" w:sz="4" w:space="0" w:color="auto"/>
              <w:right w:val="nil"/>
            </w:tcBorders>
          </w:tcPr>
          <w:p w:rsidR="005A2B7B" w:rsidRPr="00E13D45" w:rsidRDefault="005A2B7B" w:rsidP="00A10DDB">
            <w:pPr>
              <w:snapToGrid w:val="0"/>
              <w:spacing w:line="360" w:lineRule="exact"/>
              <w:ind w:rightChars="397" w:right="953"/>
              <w:jc w:val="right"/>
              <w:rPr>
                <w:rFonts w:eastAsia="標楷體"/>
              </w:rPr>
            </w:pPr>
            <w:r>
              <w:rPr>
                <w:rFonts w:eastAsia="標楷體" w:hint="eastAsia"/>
              </w:rPr>
              <w:t>-3.5</w:t>
            </w:r>
          </w:p>
        </w:tc>
      </w:tr>
    </w:tbl>
    <w:p w:rsidR="00EE4C3E" w:rsidRPr="005A2B7B" w:rsidRDefault="00EE4C3E" w:rsidP="005A2B7B">
      <w:pPr>
        <w:pStyle w:val="k02"/>
        <w:snapToGrid w:val="0"/>
        <w:spacing w:before="0" w:beforeAutospacing="0" w:after="0" w:afterAutospacing="0" w:line="240" w:lineRule="atLeast"/>
        <w:ind w:leftChars="236" w:left="566"/>
        <w:jc w:val="both"/>
        <w:rPr>
          <w:rFonts w:ascii="Times New Roman" w:eastAsia="標楷體"/>
          <w:sz w:val="22"/>
          <w:szCs w:val="22"/>
        </w:rPr>
      </w:pPr>
      <w:r w:rsidRPr="005A2B7B">
        <w:rPr>
          <w:rFonts w:ascii="Times New Roman" w:eastAsia="標楷體"/>
          <w:sz w:val="22"/>
          <w:szCs w:val="22"/>
        </w:rPr>
        <w:t>資料來源：經濟部統計處。</w:t>
      </w:r>
    </w:p>
    <w:p w:rsidR="00EE4C3E" w:rsidRPr="005A2B7B" w:rsidRDefault="00EE4C3E" w:rsidP="00506996">
      <w:pPr>
        <w:pStyle w:val="k3a"/>
        <w:tabs>
          <w:tab w:val="left" w:pos="540"/>
        </w:tabs>
        <w:spacing w:before="180" w:line="300" w:lineRule="auto"/>
        <w:ind w:leftChars="0" w:left="426" w:right="0" w:hangingChars="152" w:hanging="426"/>
        <w:rPr>
          <w:b/>
          <w:bCs/>
        </w:rPr>
      </w:pPr>
      <w:r w:rsidRPr="005A2B7B">
        <w:rPr>
          <w:b/>
          <w:bCs/>
        </w:rPr>
        <w:t>２、</w:t>
      </w:r>
      <w:r w:rsidR="005A2B7B" w:rsidRPr="005A2B7B">
        <w:rPr>
          <w:rFonts w:hint="eastAsia"/>
          <w:b/>
          <w:bCs/>
        </w:rPr>
        <w:t>102</w:t>
      </w:r>
      <w:r w:rsidR="005A2B7B" w:rsidRPr="005A2B7B">
        <w:rPr>
          <w:rFonts w:hint="eastAsia"/>
          <w:b/>
          <w:bCs/>
        </w:rPr>
        <w:t>年</w:t>
      </w:r>
      <w:r w:rsidR="005A2B7B" w:rsidRPr="005A2B7B">
        <w:rPr>
          <w:rFonts w:hint="eastAsia"/>
          <w:b/>
          <w:bCs/>
        </w:rPr>
        <w:t>6</w:t>
      </w:r>
      <w:r w:rsidR="005A2B7B" w:rsidRPr="005A2B7B">
        <w:rPr>
          <w:rFonts w:hint="eastAsia"/>
          <w:b/>
          <w:bCs/>
        </w:rPr>
        <w:t>月訂單金額中，以動植物及其產品增加</w:t>
      </w:r>
      <w:r w:rsidR="005A2B7B" w:rsidRPr="005A2B7B">
        <w:rPr>
          <w:rFonts w:hint="eastAsia"/>
          <w:b/>
          <w:bCs/>
        </w:rPr>
        <w:t>25.25</w:t>
      </w:r>
      <w:r w:rsidR="005A2B7B" w:rsidRPr="005A2B7B">
        <w:rPr>
          <w:rFonts w:hint="eastAsia"/>
          <w:b/>
          <w:bCs/>
        </w:rPr>
        <w:t>％最多，資訊與通信產品、電子產品仍為我國前二大接單貨品</w:t>
      </w:r>
    </w:p>
    <w:p w:rsidR="00EE4C3E" w:rsidRPr="005A2B7B" w:rsidRDefault="005A2B7B" w:rsidP="005A2B7B">
      <w:pPr>
        <w:pStyle w:val="affffc"/>
        <w:numPr>
          <w:ilvl w:val="0"/>
          <w:numId w:val="4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sidRPr="005A2B7B">
        <w:rPr>
          <w:rFonts w:ascii="Times New Roman" w:eastAsia="標楷體" w:hAnsi="Times New Roman"/>
          <w:color w:val="000000" w:themeColor="text1"/>
          <w:spacing w:val="-4"/>
          <w:sz w:val="28"/>
        </w:rPr>
        <w:t>6</w:t>
      </w:r>
      <w:r w:rsidRPr="005A2B7B">
        <w:rPr>
          <w:rFonts w:ascii="Times New Roman" w:eastAsia="標楷體" w:hAnsi="Times New Roman"/>
          <w:color w:val="000000" w:themeColor="text1"/>
          <w:spacing w:val="-4"/>
          <w:sz w:val="28"/>
        </w:rPr>
        <w:t>月主要訂單貨品中以</w:t>
      </w:r>
      <w:r w:rsidRPr="005A2B7B">
        <w:rPr>
          <w:rFonts w:ascii="Times New Roman" w:eastAsia="標楷體" w:hAnsi="Times New Roman"/>
          <w:bCs/>
          <w:color w:val="000000" w:themeColor="text1"/>
          <w:spacing w:val="-4"/>
          <w:sz w:val="28"/>
        </w:rPr>
        <w:t>資訊與通信產品、電子產品</w:t>
      </w:r>
      <w:r w:rsidRPr="005A2B7B">
        <w:rPr>
          <w:rFonts w:ascii="Times New Roman" w:eastAsia="標楷體" w:hAnsi="Times New Roman"/>
          <w:color w:val="000000" w:themeColor="text1"/>
          <w:spacing w:val="-4"/>
          <w:sz w:val="28"/>
        </w:rPr>
        <w:t>為主，占總訂單金額的</w:t>
      </w:r>
      <w:r w:rsidRPr="005A2B7B">
        <w:rPr>
          <w:rFonts w:ascii="Times New Roman" w:eastAsia="標楷體" w:hAnsi="Times New Roman"/>
          <w:color w:val="000000" w:themeColor="text1"/>
          <w:spacing w:val="-4"/>
          <w:sz w:val="28"/>
        </w:rPr>
        <w:t>26.7</w:t>
      </w:r>
      <w:r w:rsidRPr="005A2B7B">
        <w:rPr>
          <w:rFonts w:ascii="Times New Roman" w:eastAsia="標楷體" w:hAnsi="Times New Roman"/>
          <w:color w:val="000000" w:themeColor="text1"/>
          <w:spacing w:val="-4"/>
          <w:sz w:val="28"/>
        </w:rPr>
        <w:t>％及</w:t>
      </w:r>
      <w:r w:rsidRPr="005A2B7B">
        <w:rPr>
          <w:rFonts w:ascii="Times New Roman" w:eastAsia="標楷體" w:hAnsi="Times New Roman"/>
          <w:color w:val="000000" w:themeColor="text1"/>
          <w:spacing w:val="-4"/>
          <w:sz w:val="28"/>
        </w:rPr>
        <w:t>23.8</w:t>
      </w:r>
      <w:r w:rsidRPr="005A2B7B">
        <w:rPr>
          <w:rFonts w:ascii="Times New Roman" w:eastAsia="標楷體" w:hAnsi="Times New Roman"/>
          <w:color w:val="000000" w:themeColor="text1"/>
          <w:spacing w:val="-4"/>
          <w:sz w:val="28"/>
        </w:rPr>
        <w:t>％，</w:t>
      </w:r>
      <w:r w:rsidRPr="005A2B7B">
        <w:rPr>
          <w:rFonts w:ascii="Times New Roman" w:eastAsia="標楷體" w:hAnsi="Times New Roman"/>
          <w:bCs/>
          <w:color w:val="000000" w:themeColor="text1"/>
          <w:spacing w:val="-4"/>
          <w:sz w:val="28"/>
        </w:rPr>
        <w:t>分別</w:t>
      </w:r>
      <w:r w:rsidRPr="005A2B7B">
        <w:rPr>
          <w:rFonts w:ascii="Times New Roman" w:eastAsia="標楷體" w:hAnsi="Times New Roman"/>
          <w:color w:val="000000" w:themeColor="text1"/>
          <w:spacing w:val="-4"/>
          <w:sz w:val="28"/>
        </w:rPr>
        <w:t>較</w:t>
      </w:r>
      <w:r w:rsidR="00357E8F">
        <w:rPr>
          <w:rFonts w:ascii="Times New Roman" w:eastAsia="標楷體" w:hAnsi="Times New Roman" w:hint="eastAsia"/>
          <w:color w:val="000000" w:themeColor="text1"/>
          <w:spacing w:val="-4"/>
          <w:sz w:val="28"/>
        </w:rPr>
        <w:t>上</w:t>
      </w:r>
      <w:r w:rsidRPr="005A2B7B">
        <w:rPr>
          <w:rFonts w:ascii="Times New Roman" w:eastAsia="標楷體" w:hAnsi="Times New Roman"/>
          <w:color w:val="000000" w:themeColor="text1"/>
          <w:spacing w:val="-4"/>
          <w:sz w:val="28"/>
        </w:rPr>
        <w:t>年同月減少</w:t>
      </w:r>
      <w:r w:rsidRPr="005A2B7B">
        <w:rPr>
          <w:rFonts w:ascii="Times New Roman" w:eastAsia="標楷體" w:hAnsi="Times New Roman"/>
          <w:color w:val="000000" w:themeColor="text1"/>
          <w:spacing w:val="-4"/>
          <w:sz w:val="28"/>
        </w:rPr>
        <w:t>3.9</w:t>
      </w:r>
      <w:r w:rsidRPr="005A2B7B">
        <w:rPr>
          <w:rFonts w:ascii="Times New Roman" w:eastAsia="標楷體" w:hAnsi="Times New Roman"/>
          <w:color w:val="000000" w:themeColor="text1"/>
          <w:spacing w:val="-4"/>
          <w:sz w:val="28"/>
        </w:rPr>
        <w:t>％及增加</w:t>
      </w:r>
      <w:r w:rsidRPr="005A2B7B">
        <w:rPr>
          <w:rFonts w:ascii="Times New Roman" w:eastAsia="標楷體" w:hAnsi="Times New Roman"/>
          <w:color w:val="000000" w:themeColor="text1"/>
          <w:spacing w:val="-4"/>
          <w:sz w:val="28"/>
        </w:rPr>
        <w:t>0.4</w:t>
      </w:r>
      <w:r w:rsidRPr="005A2B7B">
        <w:rPr>
          <w:rFonts w:ascii="Times New Roman" w:eastAsia="標楷體" w:hAnsi="Times New Roman"/>
          <w:color w:val="000000" w:themeColor="text1"/>
          <w:spacing w:val="-4"/>
          <w:sz w:val="28"/>
        </w:rPr>
        <w:t>％。</w:t>
      </w:r>
    </w:p>
    <w:p w:rsidR="005A2B7B" w:rsidRPr="005A2B7B" w:rsidRDefault="005A2B7B" w:rsidP="005A2B7B">
      <w:pPr>
        <w:pStyle w:val="affffc"/>
        <w:numPr>
          <w:ilvl w:val="0"/>
          <w:numId w:val="4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spacing w:val="-4"/>
          <w:sz w:val="28"/>
        </w:rPr>
        <w:lastRenderedPageBreak/>
        <w:t>1</w:t>
      </w:r>
      <w:r w:rsidRPr="005A2B7B">
        <w:rPr>
          <w:rFonts w:ascii="Times New Roman" w:eastAsia="標楷體" w:hAnsi="Times New Roman"/>
          <w:color w:val="000000" w:themeColor="text1"/>
          <w:spacing w:val="-4"/>
          <w:sz w:val="28"/>
        </w:rPr>
        <w:t>02</w:t>
      </w:r>
      <w:r w:rsidRPr="005A2B7B">
        <w:rPr>
          <w:rFonts w:ascii="Times New Roman" w:eastAsia="標楷體" w:hAnsi="Times New Roman"/>
          <w:color w:val="000000" w:themeColor="text1"/>
          <w:spacing w:val="-4"/>
          <w:sz w:val="28"/>
        </w:rPr>
        <w:t>年</w:t>
      </w:r>
      <w:r w:rsidRPr="005A2B7B">
        <w:rPr>
          <w:rFonts w:ascii="Times New Roman" w:eastAsia="標楷體" w:hAnsi="Times New Roman"/>
          <w:color w:val="000000" w:themeColor="text1"/>
          <w:spacing w:val="-4"/>
          <w:sz w:val="28"/>
        </w:rPr>
        <w:t>6</w:t>
      </w:r>
      <w:r w:rsidRPr="005A2B7B">
        <w:rPr>
          <w:rFonts w:ascii="Times New Roman" w:eastAsia="標楷體" w:hAnsi="Times New Roman"/>
          <w:color w:val="000000" w:themeColor="text1"/>
          <w:spacing w:val="-4"/>
          <w:sz w:val="28"/>
        </w:rPr>
        <w:t>月各類接單產品</w:t>
      </w:r>
      <w:r w:rsidRPr="005A2B7B">
        <w:rPr>
          <w:rFonts w:ascii="Times New Roman" w:eastAsia="標楷體" w:hAnsi="Times New Roman"/>
          <w:color w:val="000000" w:themeColor="text1"/>
          <w:spacing w:val="-4"/>
          <w:sz w:val="28"/>
          <w:szCs w:val="28"/>
        </w:rPr>
        <w:t>中</w:t>
      </w:r>
      <w:r w:rsidRPr="005A2B7B">
        <w:rPr>
          <w:rFonts w:ascii="Times New Roman" w:eastAsia="標楷體" w:hAnsi="Times New Roman"/>
          <w:color w:val="000000" w:themeColor="text1"/>
          <w:spacing w:val="-4"/>
          <w:sz w:val="28"/>
        </w:rPr>
        <w:t>，以動植物及其產品增加</w:t>
      </w:r>
      <w:r w:rsidRPr="005A2B7B">
        <w:rPr>
          <w:rFonts w:ascii="Times New Roman" w:eastAsia="標楷體" w:hAnsi="Times New Roman"/>
          <w:color w:val="000000" w:themeColor="text1"/>
          <w:spacing w:val="-4"/>
          <w:sz w:val="28"/>
        </w:rPr>
        <w:t>25.3</w:t>
      </w:r>
      <w:r w:rsidRPr="005A2B7B">
        <w:rPr>
          <w:rFonts w:ascii="Times New Roman" w:eastAsia="標楷體" w:hAnsi="Times New Roman"/>
          <w:color w:val="000000" w:themeColor="text1"/>
          <w:spacing w:val="-4"/>
          <w:sz w:val="28"/>
        </w:rPr>
        <w:t>％最多，</w:t>
      </w:r>
      <w:r w:rsidRPr="005A2B7B">
        <w:rPr>
          <w:rFonts w:ascii="Times New Roman" w:eastAsia="標楷體" w:hAnsi="Times New Roman"/>
          <w:spacing w:val="-4"/>
          <w:sz w:val="28"/>
        </w:rPr>
        <w:t>其次</w:t>
      </w:r>
      <w:r w:rsidRPr="005A2B7B">
        <w:rPr>
          <w:rFonts w:ascii="Times New Roman" w:eastAsia="標楷體" w:hAnsi="Times New Roman"/>
          <w:color w:val="000000" w:themeColor="text1"/>
          <w:spacing w:val="-4"/>
          <w:sz w:val="28"/>
        </w:rPr>
        <w:t>為調製食品、飲料及菸酒類，</w:t>
      </w:r>
      <w:r w:rsidRPr="005A2B7B">
        <w:rPr>
          <w:rFonts w:ascii="Times New Roman" w:eastAsia="標楷體" w:hAnsi="Times New Roman"/>
          <w:bCs/>
          <w:color w:val="000000" w:themeColor="text1"/>
          <w:spacing w:val="-4"/>
          <w:sz w:val="28"/>
        </w:rPr>
        <w:t>增加</w:t>
      </w:r>
      <w:r w:rsidRPr="005A2B7B">
        <w:rPr>
          <w:rFonts w:ascii="Times New Roman" w:eastAsia="標楷體" w:hAnsi="Times New Roman"/>
          <w:bCs/>
          <w:color w:val="000000" w:themeColor="text1"/>
          <w:spacing w:val="-4"/>
          <w:sz w:val="28"/>
        </w:rPr>
        <w:t>7.9</w:t>
      </w:r>
      <w:r w:rsidRPr="005A2B7B">
        <w:rPr>
          <w:rFonts w:ascii="Times New Roman" w:eastAsia="標楷體" w:hAnsi="Times New Roman"/>
          <w:bCs/>
          <w:color w:val="000000" w:themeColor="text1"/>
          <w:spacing w:val="-4"/>
          <w:sz w:val="28"/>
        </w:rPr>
        <w:t>％</w:t>
      </w:r>
      <w:r w:rsidRPr="005A2B7B">
        <w:rPr>
          <w:rFonts w:ascii="Times New Roman" w:eastAsia="標楷體" w:hAnsi="Times New Roman"/>
          <w:color w:val="000000" w:themeColor="text1"/>
          <w:spacing w:val="-4"/>
          <w:sz w:val="28"/>
        </w:rPr>
        <w:t>；木材、木製品及</w:t>
      </w:r>
      <w:proofErr w:type="gramStart"/>
      <w:r w:rsidRPr="005A2B7B">
        <w:rPr>
          <w:rFonts w:ascii="Times New Roman" w:eastAsia="標楷體" w:hAnsi="Times New Roman"/>
          <w:color w:val="000000" w:themeColor="text1"/>
          <w:spacing w:val="-4"/>
          <w:sz w:val="28"/>
        </w:rPr>
        <w:t>編結品則</w:t>
      </w:r>
      <w:proofErr w:type="gramEnd"/>
      <w:r w:rsidRPr="005A2B7B">
        <w:rPr>
          <w:rFonts w:ascii="Times New Roman" w:eastAsia="標楷體" w:hAnsi="Times New Roman"/>
          <w:color w:val="000000" w:themeColor="text1"/>
          <w:spacing w:val="-4"/>
          <w:sz w:val="28"/>
        </w:rPr>
        <w:t>減少</w:t>
      </w:r>
      <w:r w:rsidRPr="005A2B7B">
        <w:rPr>
          <w:rFonts w:ascii="Times New Roman" w:eastAsia="標楷體" w:hAnsi="Times New Roman"/>
          <w:color w:val="000000" w:themeColor="text1"/>
          <w:spacing w:val="-4"/>
          <w:sz w:val="28"/>
        </w:rPr>
        <w:t>22.2</w:t>
      </w:r>
      <w:r w:rsidRPr="005A2B7B">
        <w:rPr>
          <w:rFonts w:ascii="Times New Roman" w:eastAsia="標楷體" w:hAnsi="Times New Roman"/>
          <w:color w:val="000000" w:themeColor="text1"/>
          <w:spacing w:val="-4"/>
          <w:sz w:val="28"/>
        </w:rPr>
        <w:t>％最多。</w:t>
      </w:r>
    </w:p>
    <w:p w:rsidR="00EE4C3E" w:rsidRPr="005A2B7B" w:rsidRDefault="005A2B7B" w:rsidP="00EE4C3E">
      <w:pPr>
        <w:spacing w:beforeLines="50" w:before="180" w:afterLines="50" w:after="180"/>
        <w:jc w:val="center"/>
        <w:rPr>
          <w:rFonts w:eastAsia="標楷體"/>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sidRPr="005A2B7B">
        <w:rPr>
          <w:rFonts w:eastAsia="標楷體" w:hint="eastAsia"/>
          <w:b/>
          <w:bCs/>
          <w:sz w:val="28"/>
        </w:rPr>
        <w:t>6</w:t>
      </w:r>
      <w:r w:rsidRPr="005A2B7B">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5A2B7B" w:rsidRPr="005A2B7B" w:rsidTr="00A10DDB">
        <w:trPr>
          <w:jc w:val="center"/>
        </w:trPr>
        <w:tc>
          <w:tcPr>
            <w:tcW w:w="2046" w:type="dxa"/>
            <w:tcBorders>
              <w:top w:val="single" w:sz="4" w:space="0" w:color="auto"/>
              <w:left w:val="nil"/>
              <w:bottom w:val="single" w:sz="4" w:space="0" w:color="auto"/>
              <w:right w:val="single" w:sz="4" w:space="0" w:color="auto"/>
            </w:tcBorders>
            <w:vAlign w:val="center"/>
          </w:tcPr>
          <w:p w:rsidR="005A2B7B" w:rsidRPr="005A2B7B" w:rsidRDefault="005A2B7B" w:rsidP="00A10DDB">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5A2B7B" w:rsidRPr="005A2B7B" w:rsidRDefault="005A2B7B" w:rsidP="00A10DDB">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sidRPr="005A2B7B">
              <w:rPr>
                <w:rFonts w:eastAsia="標楷體" w:hint="eastAsia"/>
              </w:rPr>
              <w:t>6</w:t>
            </w:r>
            <w:r w:rsidRPr="005A2B7B">
              <w:rPr>
                <w:rFonts w:eastAsia="標楷體" w:hint="eastAsia"/>
              </w:rPr>
              <w:t>月金額</w:t>
            </w:r>
          </w:p>
          <w:p w:rsidR="005A2B7B" w:rsidRPr="005A2B7B" w:rsidRDefault="005A2B7B" w:rsidP="00A10DDB">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5A2B7B" w:rsidRPr="005A2B7B" w:rsidRDefault="005A2B7B" w:rsidP="00A10DDB">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5A2B7B" w:rsidRPr="005A2B7B" w:rsidRDefault="005A2B7B" w:rsidP="00A10DDB">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5A2B7B" w:rsidRPr="005A2B7B" w:rsidRDefault="005A2B7B" w:rsidP="00A10DDB">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93.8</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26.7</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-3.9</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83.7</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23.8</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0.4</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28.6</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8.1</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-5.1</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21.4</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6.1</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-6.4</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19.3</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5.5</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-6.0</w:t>
            </w:r>
          </w:p>
        </w:tc>
      </w:tr>
      <w:tr w:rsidR="005A2B7B" w:rsidRPr="005A2B7B" w:rsidTr="00A10DDB">
        <w:trPr>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17.2</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4.9</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-5.3</w:t>
            </w:r>
          </w:p>
        </w:tc>
      </w:tr>
      <w:tr w:rsidR="005A2B7B" w:rsidRPr="005A2B7B" w:rsidTr="00A10DDB">
        <w:trPr>
          <w:trHeight w:val="417"/>
          <w:jc w:val="center"/>
        </w:trPr>
        <w:tc>
          <w:tcPr>
            <w:tcW w:w="2046" w:type="dxa"/>
            <w:tcBorders>
              <w:top w:val="nil"/>
              <w:left w:val="nil"/>
              <w:bottom w:val="nil"/>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16.1</w:t>
            </w:r>
          </w:p>
        </w:tc>
        <w:tc>
          <w:tcPr>
            <w:tcW w:w="1736" w:type="dxa"/>
            <w:tcBorders>
              <w:top w:val="nil"/>
              <w:left w:val="single" w:sz="4" w:space="0" w:color="auto"/>
              <w:bottom w:val="nil"/>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4.6</w:t>
            </w:r>
          </w:p>
        </w:tc>
        <w:tc>
          <w:tcPr>
            <w:tcW w:w="2433" w:type="dxa"/>
            <w:tcBorders>
              <w:top w:val="nil"/>
              <w:left w:val="nil"/>
              <w:bottom w:val="nil"/>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-8.4</w:t>
            </w:r>
          </w:p>
        </w:tc>
      </w:tr>
      <w:tr w:rsidR="005A2B7B" w:rsidRPr="005A2B7B" w:rsidTr="00A10DDB">
        <w:trPr>
          <w:jc w:val="center"/>
        </w:trPr>
        <w:tc>
          <w:tcPr>
            <w:tcW w:w="2046" w:type="dxa"/>
            <w:tcBorders>
              <w:top w:val="nil"/>
              <w:left w:val="nil"/>
              <w:bottom w:val="single" w:sz="4" w:space="0" w:color="auto"/>
              <w:right w:val="single" w:sz="4" w:space="0" w:color="auto"/>
            </w:tcBorders>
            <w:vAlign w:val="center"/>
          </w:tcPr>
          <w:p w:rsidR="005A2B7B" w:rsidRPr="005A2B7B" w:rsidRDefault="005A2B7B" w:rsidP="00A10DDB">
            <w:pPr>
              <w:snapToGrid w:val="0"/>
              <w:spacing w:line="400" w:lineRule="atLeast"/>
              <w:ind w:left="28" w:right="-40"/>
              <w:jc w:val="both"/>
              <w:rPr>
                <w:rFonts w:eastAsia="標楷體"/>
              </w:rPr>
            </w:pPr>
            <w:r w:rsidRPr="005A2B7B">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11.7</w:t>
            </w:r>
          </w:p>
        </w:tc>
        <w:tc>
          <w:tcPr>
            <w:tcW w:w="1736" w:type="dxa"/>
            <w:tcBorders>
              <w:top w:val="nil"/>
              <w:left w:val="single" w:sz="4" w:space="0" w:color="auto"/>
              <w:bottom w:val="single" w:sz="4" w:space="0" w:color="auto"/>
              <w:right w:val="single" w:sz="4" w:space="0" w:color="auto"/>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3.3</w:t>
            </w:r>
          </w:p>
        </w:tc>
        <w:tc>
          <w:tcPr>
            <w:tcW w:w="2433" w:type="dxa"/>
            <w:tcBorders>
              <w:top w:val="nil"/>
              <w:left w:val="nil"/>
              <w:bottom w:val="single" w:sz="4" w:space="0" w:color="auto"/>
              <w:right w:val="nil"/>
            </w:tcBorders>
            <w:vAlign w:val="center"/>
          </w:tcPr>
          <w:p w:rsidR="005A2B7B" w:rsidRPr="005A2B7B" w:rsidRDefault="005A2B7B" w:rsidP="00A10DDB">
            <w:pPr>
              <w:snapToGrid w:val="0"/>
              <w:spacing w:line="400" w:lineRule="exact"/>
              <w:ind w:left="12" w:right="-40"/>
              <w:jc w:val="center"/>
              <w:rPr>
                <w:rFonts w:eastAsia="標楷體"/>
              </w:rPr>
            </w:pPr>
            <w:r w:rsidRPr="005A2B7B">
              <w:rPr>
                <w:rFonts w:eastAsia="標楷體" w:hint="eastAsia"/>
              </w:rPr>
              <w:t>-15.5</w:t>
            </w:r>
          </w:p>
        </w:tc>
      </w:tr>
    </w:tbl>
    <w:p w:rsidR="00EE4C3E" w:rsidRPr="005A2B7B" w:rsidRDefault="00EE4C3E" w:rsidP="00EE4C3E">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5A2B7B">
        <w:rPr>
          <w:rFonts w:ascii="Times New Roman" w:eastAsia="標楷體" w:hAnsi="Times New Roman" w:cs="Times New Roman" w:hint="default"/>
          <w:color w:val="auto"/>
          <w:kern w:val="2"/>
          <w:sz w:val="22"/>
          <w:szCs w:val="22"/>
        </w:rPr>
        <w:t>資料來源：經濟部統計處。</w:t>
      </w:r>
    </w:p>
    <w:p w:rsidR="00EE4C3E" w:rsidRPr="005A2B7B" w:rsidRDefault="00EE4C3E" w:rsidP="00EE4C3E">
      <w:pPr>
        <w:pStyle w:val="k3a"/>
        <w:tabs>
          <w:tab w:val="left" w:pos="540"/>
        </w:tabs>
        <w:spacing w:before="180" w:line="300" w:lineRule="auto"/>
        <w:ind w:leftChars="0" w:left="0" w:right="0" w:firstLineChars="0" w:firstLine="0"/>
        <w:rPr>
          <w:b/>
          <w:bCs/>
        </w:rPr>
      </w:pPr>
      <w:r w:rsidRPr="005A2B7B">
        <w:rPr>
          <w:b/>
          <w:bCs/>
        </w:rPr>
        <w:t>３、</w:t>
      </w:r>
      <w:r w:rsidR="005A2B7B" w:rsidRPr="005A2B7B">
        <w:rPr>
          <w:rFonts w:hint="eastAsia"/>
          <w:b/>
          <w:bCs/>
        </w:rPr>
        <w:t>102</w:t>
      </w:r>
      <w:r w:rsidR="005A2B7B" w:rsidRPr="005A2B7B">
        <w:rPr>
          <w:rFonts w:hint="eastAsia"/>
          <w:b/>
          <w:bCs/>
        </w:rPr>
        <w:t>年</w:t>
      </w:r>
      <w:r w:rsidR="005A2B7B" w:rsidRPr="005A2B7B">
        <w:rPr>
          <w:rFonts w:hint="eastAsia"/>
          <w:b/>
          <w:bCs/>
        </w:rPr>
        <w:t>6</w:t>
      </w:r>
      <w:r w:rsidR="005A2B7B" w:rsidRPr="005A2B7B">
        <w:rPr>
          <w:rFonts w:hint="eastAsia"/>
          <w:b/>
          <w:bCs/>
        </w:rPr>
        <w:t>月外銷訂單海外生產比重為</w:t>
      </w:r>
      <w:r w:rsidR="005A2B7B" w:rsidRPr="005A2B7B">
        <w:rPr>
          <w:rFonts w:hint="eastAsia"/>
          <w:b/>
          <w:bCs/>
        </w:rPr>
        <w:t>50.9</w:t>
      </w:r>
      <w:r w:rsidR="005A2B7B" w:rsidRPr="005A2B7B">
        <w:rPr>
          <w:rFonts w:hint="eastAsia"/>
          <w:b/>
          <w:bCs/>
        </w:rPr>
        <w:t>％</w:t>
      </w:r>
    </w:p>
    <w:p w:rsidR="00EE4C3E" w:rsidRPr="005A2B7B" w:rsidRDefault="005A2B7B" w:rsidP="00506996">
      <w:pPr>
        <w:pStyle w:val="k32"/>
        <w:topLinePunct/>
        <w:ind w:left="0" w:rightChars="-59" w:firstLineChars="202" w:firstLine="566"/>
      </w:pPr>
      <w:r w:rsidRPr="005A2B7B">
        <w:rPr>
          <w:rFonts w:hint="eastAsia"/>
        </w:rPr>
        <w:t>102</w:t>
      </w:r>
      <w:r w:rsidRPr="005A2B7B">
        <w:rPr>
          <w:rFonts w:hint="eastAsia"/>
        </w:rPr>
        <w:t>年</w:t>
      </w:r>
      <w:r w:rsidRPr="005A2B7B">
        <w:rPr>
          <w:rFonts w:hint="eastAsia"/>
        </w:rPr>
        <w:t>6</w:t>
      </w:r>
      <w:r w:rsidRPr="005A2B7B">
        <w:rPr>
          <w:rFonts w:hint="eastAsia"/>
        </w:rPr>
        <w:t>月外銷訂單海外生產比重為</w:t>
      </w:r>
      <w:r w:rsidRPr="005A2B7B">
        <w:rPr>
          <w:rFonts w:hint="eastAsia"/>
        </w:rPr>
        <w:t>50.9</w:t>
      </w:r>
      <w:r w:rsidRPr="005A2B7B">
        <w:rPr>
          <w:rFonts w:hint="eastAsia"/>
        </w:rPr>
        <w:t>％，其中以資訊通信業</w:t>
      </w:r>
      <w:r w:rsidRPr="005A2B7B">
        <w:rPr>
          <w:rFonts w:hint="eastAsia"/>
        </w:rPr>
        <w:t>86.3</w:t>
      </w:r>
      <w:r w:rsidRPr="005A2B7B">
        <w:rPr>
          <w:rFonts w:hint="eastAsia"/>
        </w:rPr>
        <w:t>％最高，其次為電機產品</w:t>
      </w:r>
      <w:r w:rsidRPr="005A2B7B">
        <w:rPr>
          <w:rFonts w:hint="eastAsia"/>
        </w:rPr>
        <w:t>64.6</w:t>
      </w:r>
      <w:r w:rsidRPr="005A2B7B">
        <w:rPr>
          <w:rFonts w:hint="eastAsia"/>
        </w:rPr>
        <w:t>％。累計</w:t>
      </w:r>
      <w:r w:rsidRPr="005A2B7B">
        <w:rPr>
          <w:rFonts w:hint="eastAsia"/>
        </w:rPr>
        <w:t>1</w:t>
      </w:r>
      <w:r w:rsidRPr="005A2B7B">
        <w:rPr>
          <w:rFonts w:hint="eastAsia"/>
        </w:rPr>
        <w:t>至</w:t>
      </w:r>
      <w:r w:rsidRPr="005A2B7B">
        <w:rPr>
          <w:rFonts w:hint="eastAsia"/>
        </w:rPr>
        <w:t>6</w:t>
      </w:r>
      <w:r w:rsidRPr="005A2B7B">
        <w:rPr>
          <w:rFonts w:hint="eastAsia"/>
        </w:rPr>
        <w:t>月，外銷訂單海外生產比重為</w:t>
      </w:r>
      <w:r w:rsidRPr="005A2B7B">
        <w:rPr>
          <w:rFonts w:hint="eastAsia"/>
        </w:rPr>
        <w:t>50.5</w:t>
      </w:r>
      <w:r w:rsidRPr="005A2B7B">
        <w:rPr>
          <w:rFonts w:hint="eastAsia"/>
        </w:rPr>
        <w:t>％。</w:t>
      </w:r>
    </w:p>
    <w:p w:rsidR="00EE4C3E" w:rsidRPr="005A2B7B" w:rsidRDefault="00EE4C3E" w:rsidP="00506996">
      <w:pPr>
        <w:pStyle w:val="k3a"/>
        <w:tabs>
          <w:tab w:val="left" w:pos="851"/>
        </w:tabs>
        <w:spacing w:before="180" w:line="300" w:lineRule="auto"/>
        <w:ind w:leftChars="0" w:left="426" w:right="0" w:hangingChars="152" w:hanging="426"/>
        <w:rPr>
          <w:b/>
          <w:bCs/>
        </w:rPr>
      </w:pPr>
      <w:r w:rsidRPr="005A2B7B">
        <w:rPr>
          <w:b/>
          <w:bCs/>
        </w:rPr>
        <w:t>４、</w:t>
      </w:r>
      <w:r w:rsidR="005A2B7B" w:rsidRPr="005A2B7B">
        <w:rPr>
          <w:b/>
          <w:bCs/>
        </w:rPr>
        <w:t>10</w:t>
      </w:r>
      <w:r w:rsidR="005A2B7B" w:rsidRPr="005A2B7B">
        <w:rPr>
          <w:rFonts w:hint="eastAsia"/>
          <w:b/>
          <w:bCs/>
        </w:rPr>
        <w:t>2</w:t>
      </w:r>
      <w:r w:rsidR="005A2B7B" w:rsidRPr="005A2B7B">
        <w:rPr>
          <w:b/>
          <w:bCs/>
        </w:rPr>
        <w:t>年</w:t>
      </w:r>
      <w:r w:rsidR="005A2B7B" w:rsidRPr="005A2B7B">
        <w:rPr>
          <w:rFonts w:hint="eastAsia"/>
          <w:b/>
          <w:bCs/>
        </w:rPr>
        <w:t>6</w:t>
      </w:r>
      <w:r w:rsidR="005A2B7B" w:rsidRPr="005A2B7B">
        <w:rPr>
          <w:b/>
          <w:bCs/>
        </w:rPr>
        <w:t>月主要地區接</w:t>
      </w:r>
      <w:r w:rsidR="005A2B7B" w:rsidRPr="005A2B7B">
        <w:rPr>
          <w:rFonts w:hint="eastAsia"/>
          <w:b/>
          <w:bCs/>
        </w:rPr>
        <w:t>單以中國大陸及美國為</w:t>
      </w:r>
      <w:r w:rsidR="005A2B7B" w:rsidRPr="005A2B7B">
        <w:rPr>
          <w:b/>
          <w:bCs/>
        </w:rPr>
        <w:t>主</w:t>
      </w:r>
      <w:r w:rsidR="005A2B7B" w:rsidRPr="005A2B7B">
        <w:rPr>
          <w:rFonts w:hint="eastAsia"/>
          <w:b/>
          <w:bCs/>
        </w:rPr>
        <w:t>，金額分別為</w:t>
      </w:r>
      <w:r w:rsidR="005A2B7B" w:rsidRPr="005A2B7B">
        <w:rPr>
          <w:rFonts w:hint="eastAsia"/>
          <w:b/>
          <w:bCs/>
        </w:rPr>
        <w:t>89.2</w:t>
      </w:r>
      <w:r w:rsidR="005A2B7B" w:rsidRPr="005A2B7B">
        <w:rPr>
          <w:rFonts w:hint="eastAsia"/>
          <w:b/>
          <w:bCs/>
        </w:rPr>
        <w:t>億美元及</w:t>
      </w:r>
      <w:r w:rsidR="005A2B7B" w:rsidRPr="005A2B7B">
        <w:rPr>
          <w:rFonts w:hint="eastAsia"/>
          <w:b/>
          <w:bCs/>
        </w:rPr>
        <w:t>88.3</w:t>
      </w:r>
      <w:r w:rsidR="005A2B7B" w:rsidRPr="005A2B7B">
        <w:rPr>
          <w:rFonts w:hint="eastAsia"/>
          <w:b/>
          <w:bCs/>
        </w:rPr>
        <w:t>億美元</w:t>
      </w:r>
    </w:p>
    <w:p w:rsidR="00EE4C3E" w:rsidRPr="003111E1" w:rsidRDefault="005A2B7B" w:rsidP="00506996">
      <w:pPr>
        <w:pStyle w:val="k32"/>
        <w:topLinePunct/>
        <w:ind w:left="0" w:rightChars="-59" w:firstLineChars="202" w:firstLine="566"/>
        <w:rPr>
          <w:b/>
          <w:bCs/>
          <w:color w:val="FF0000"/>
        </w:rPr>
      </w:pPr>
      <w:r w:rsidRPr="00E56B36">
        <w:t>1</w:t>
      </w:r>
      <w:r w:rsidRPr="00B872C2">
        <w:t>02</w:t>
      </w:r>
      <w:r w:rsidRPr="00B872C2">
        <w:t>年</w:t>
      </w:r>
      <w:r>
        <w:rPr>
          <w:rFonts w:hint="eastAsia"/>
        </w:rPr>
        <w:t>6</w:t>
      </w:r>
      <w:r w:rsidRPr="00B872C2">
        <w:t>月以</w:t>
      </w:r>
      <w:r w:rsidRPr="00E57F80">
        <w:t>中國大陸</w:t>
      </w:r>
      <w:r w:rsidRPr="00E57F80">
        <w:rPr>
          <w:rFonts w:hint="eastAsia"/>
        </w:rPr>
        <w:t>及</w:t>
      </w:r>
      <w:r>
        <w:rPr>
          <w:rFonts w:hint="eastAsia"/>
        </w:rPr>
        <w:t>美國</w:t>
      </w:r>
      <w:r w:rsidRPr="00B872C2">
        <w:t>為主要接單地區，金額分別為</w:t>
      </w:r>
      <w:r w:rsidRPr="00807838">
        <w:rPr>
          <w:rFonts w:hint="eastAsia"/>
        </w:rPr>
        <w:t>89.2</w:t>
      </w:r>
      <w:r w:rsidRPr="00B872C2">
        <w:t>億美元及</w:t>
      </w:r>
      <w:r w:rsidRPr="00807838">
        <w:rPr>
          <w:rFonts w:hint="eastAsia"/>
        </w:rPr>
        <w:t>88.3</w:t>
      </w:r>
      <w:r w:rsidRPr="00B872C2">
        <w:t>億美元，占外銷接單總額的</w:t>
      </w:r>
      <w:r w:rsidRPr="00B872C2">
        <w:t>2</w:t>
      </w:r>
      <w:r>
        <w:rPr>
          <w:rFonts w:hint="eastAsia"/>
        </w:rPr>
        <w:t>5.4</w:t>
      </w:r>
      <w:r w:rsidRPr="00B872C2">
        <w:t>％及</w:t>
      </w:r>
      <w:r w:rsidRPr="00B872C2">
        <w:t>2</w:t>
      </w:r>
      <w:r>
        <w:rPr>
          <w:rFonts w:hint="eastAsia"/>
        </w:rPr>
        <w:t>5.2</w:t>
      </w:r>
      <w:r w:rsidRPr="00B872C2">
        <w:t>％，較</w:t>
      </w:r>
      <w:r w:rsidR="00357E8F">
        <w:rPr>
          <w:rFonts w:hint="eastAsia"/>
        </w:rPr>
        <w:t>上</w:t>
      </w:r>
      <w:r w:rsidRPr="00B872C2">
        <w:t>年同月分別</w:t>
      </w:r>
      <w:r>
        <w:rPr>
          <w:rFonts w:hint="eastAsia"/>
        </w:rPr>
        <w:t>減少</w:t>
      </w:r>
      <w:r>
        <w:rPr>
          <w:rFonts w:hint="eastAsia"/>
        </w:rPr>
        <w:t>1.9</w:t>
      </w:r>
      <w:r w:rsidRPr="00B872C2">
        <w:t>％及</w:t>
      </w:r>
      <w:r>
        <w:rPr>
          <w:rFonts w:hint="eastAsia"/>
        </w:rPr>
        <w:t>增加</w:t>
      </w:r>
      <w:r>
        <w:rPr>
          <w:rFonts w:hint="eastAsia"/>
        </w:rPr>
        <w:t>2.6</w:t>
      </w:r>
      <w:r w:rsidRPr="00B872C2">
        <w:t>％，</w:t>
      </w:r>
      <w:r>
        <w:rPr>
          <w:rFonts w:hint="eastAsia"/>
        </w:rPr>
        <w:t>另東協六國增加</w:t>
      </w:r>
      <w:r>
        <w:rPr>
          <w:rFonts w:hint="eastAsia"/>
        </w:rPr>
        <w:t>5.0</w:t>
      </w:r>
      <w:r w:rsidRPr="00B872C2">
        <w:t>％</w:t>
      </w:r>
      <w:r>
        <w:rPr>
          <w:rFonts w:hint="eastAsia"/>
        </w:rPr>
        <w:t>，</w:t>
      </w:r>
      <w:r w:rsidRPr="00B872C2">
        <w:t>歐洲</w:t>
      </w:r>
      <w:r>
        <w:rPr>
          <w:rFonts w:hint="eastAsia"/>
        </w:rPr>
        <w:t>及</w:t>
      </w:r>
      <w:r w:rsidRPr="00B872C2">
        <w:t>日本</w:t>
      </w:r>
      <w:r>
        <w:rPr>
          <w:rFonts w:hint="eastAsia"/>
        </w:rPr>
        <w:t>則</w:t>
      </w:r>
      <w:r w:rsidRPr="00B872C2">
        <w:t>分別</w:t>
      </w:r>
      <w:r>
        <w:rPr>
          <w:rFonts w:hint="eastAsia"/>
        </w:rPr>
        <w:t>減少</w:t>
      </w:r>
      <w:r>
        <w:rPr>
          <w:rFonts w:hint="eastAsia"/>
        </w:rPr>
        <w:t>10.4</w:t>
      </w:r>
      <w:r w:rsidRPr="00B872C2">
        <w:t>％</w:t>
      </w:r>
      <w:r>
        <w:rPr>
          <w:rFonts w:hint="eastAsia"/>
        </w:rPr>
        <w:t>及</w:t>
      </w:r>
      <w:r>
        <w:rPr>
          <w:rFonts w:hint="eastAsia"/>
        </w:rPr>
        <w:t>12.8</w:t>
      </w:r>
      <w:r w:rsidRPr="00B872C2">
        <w:t>％。</w:t>
      </w:r>
      <w:r w:rsidR="00EE4C3E" w:rsidRPr="003111E1">
        <w:rPr>
          <w:b/>
          <w:bCs/>
          <w:color w:val="FF0000"/>
        </w:rPr>
        <w:br w:type="page"/>
      </w:r>
    </w:p>
    <w:p w:rsidR="00EE4C3E" w:rsidRPr="005A2B7B" w:rsidRDefault="00EE4C3E" w:rsidP="00EE4C3E">
      <w:pPr>
        <w:snapToGrid w:val="0"/>
        <w:spacing w:beforeLines="50" w:before="180" w:line="300" w:lineRule="auto"/>
        <w:jc w:val="center"/>
        <w:rPr>
          <w:rFonts w:eastAsia="標楷體"/>
          <w:b/>
          <w:bCs/>
          <w:sz w:val="28"/>
        </w:rPr>
      </w:pPr>
      <w:r w:rsidRPr="005A2B7B">
        <w:rPr>
          <w:rFonts w:eastAsia="標楷體"/>
          <w:b/>
          <w:bCs/>
          <w:sz w:val="28"/>
        </w:rPr>
        <w:lastRenderedPageBreak/>
        <w:t>表</w:t>
      </w:r>
      <w:r w:rsidRPr="005A2B7B">
        <w:rPr>
          <w:rFonts w:eastAsia="標楷體"/>
          <w:b/>
          <w:bCs/>
          <w:sz w:val="28"/>
        </w:rPr>
        <w:t xml:space="preserve"> 2-5-3</w:t>
      </w:r>
      <w:r w:rsidRPr="005A2B7B">
        <w:rPr>
          <w:rFonts w:eastAsia="標楷體"/>
          <w:b/>
          <w:bCs/>
          <w:sz w:val="28"/>
        </w:rPr>
        <w:t xml:space="preserve">　外銷訂單主要產品海外生產比重</w:t>
      </w:r>
    </w:p>
    <w:p w:rsidR="00EE4C3E" w:rsidRPr="005A2B7B" w:rsidRDefault="00EE4C3E" w:rsidP="00EE4C3E">
      <w:pPr>
        <w:jc w:val="right"/>
        <w:rPr>
          <w:rFonts w:eastAsia="標楷體"/>
          <w:sz w:val="28"/>
        </w:rPr>
      </w:pPr>
      <w:r w:rsidRPr="005A2B7B">
        <w:rPr>
          <w:rFonts w:eastAsia="標楷體"/>
          <w:spacing w:val="-20"/>
        </w:rPr>
        <w:t>單位：</w:t>
      </w:r>
      <w:r w:rsidRPr="005A2B7B">
        <w:rPr>
          <w:rFonts w:eastAsia="標楷體"/>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5A2B7B" w:rsidRPr="00731FC1" w:rsidTr="00A10DDB">
        <w:trPr>
          <w:trHeight w:val="397"/>
          <w:jc w:val="center"/>
        </w:trPr>
        <w:tc>
          <w:tcPr>
            <w:tcW w:w="1300" w:type="dxa"/>
            <w:tcBorders>
              <w:top w:val="single" w:sz="4" w:space="0" w:color="auto"/>
              <w:left w:val="nil"/>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5A2B7B" w:rsidRPr="00731FC1" w:rsidRDefault="005A2B7B" w:rsidP="00A10DDB">
            <w:pPr>
              <w:snapToGrid w:val="0"/>
              <w:spacing w:line="300" w:lineRule="exact"/>
              <w:ind w:left="28" w:right="-40"/>
              <w:jc w:val="center"/>
              <w:rPr>
                <w:rFonts w:eastAsia="標楷體"/>
              </w:rPr>
            </w:pPr>
            <w:r w:rsidRPr="00731FC1">
              <w:rPr>
                <w:rFonts w:eastAsia="標楷體"/>
              </w:rPr>
              <w:t>精密儀器</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5A2B7B" w:rsidRPr="00731FC1" w:rsidRDefault="005A2B7B" w:rsidP="00A10DDB">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47.4</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5A2B7B" w:rsidRPr="00731FC1" w:rsidRDefault="005A2B7B" w:rsidP="00A10DDB">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5A2B7B" w:rsidRPr="00731FC1" w:rsidRDefault="005A2B7B" w:rsidP="00A10DDB">
            <w:pPr>
              <w:snapToGrid w:val="0"/>
              <w:spacing w:line="400" w:lineRule="exact"/>
              <w:ind w:left="12" w:right="-40"/>
              <w:jc w:val="center"/>
              <w:rPr>
                <w:rFonts w:eastAsia="標楷體"/>
                <w:b/>
                <w:bCs/>
              </w:rPr>
            </w:pPr>
            <w:r w:rsidRPr="00731FC1">
              <w:rPr>
                <w:rFonts w:eastAsia="標楷體"/>
                <w:b/>
                <w:bCs/>
              </w:rPr>
              <w:t>54.1</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5A2B7B" w:rsidRPr="00731FC1" w:rsidRDefault="005A2B7B" w:rsidP="00A10DDB">
            <w:pPr>
              <w:snapToGrid w:val="0"/>
              <w:spacing w:line="400" w:lineRule="exact"/>
              <w:jc w:val="center"/>
              <w:rPr>
                <w:rFonts w:eastAsia="標楷體"/>
                <w:b/>
                <w:bCs/>
              </w:rPr>
            </w:pPr>
            <w:r w:rsidRPr="00731FC1">
              <w:rPr>
                <w:rFonts w:eastAsia="標楷體"/>
                <w:b/>
                <w:bCs/>
              </w:rPr>
              <w:t>56.6</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50.5</w:t>
            </w:r>
          </w:p>
        </w:tc>
        <w:tc>
          <w:tcPr>
            <w:tcW w:w="1119"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83.6</w:t>
            </w:r>
          </w:p>
        </w:tc>
        <w:tc>
          <w:tcPr>
            <w:tcW w:w="1119"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52.3</w:t>
            </w:r>
          </w:p>
        </w:tc>
        <w:tc>
          <w:tcPr>
            <w:tcW w:w="1119"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20.2</w:t>
            </w:r>
          </w:p>
        </w:tc>
        <w:tc>
          <w:tcPr>
            <w:tcW w:w="1119"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62.4</w:t>
            </w:r>
          </w:p>
        </w:tc>
        <w:tc>
          <w:tcPr>
            <w:tcW w:w="1120" w:type="dxa"/>
            <w:tcBorders>
              <w:top w:val="nil"/>
              <w:left w:val="nil"/>
              <w:bottom w:val="nil"/>
              <w:right w:val="nil"/>
            </w:tcBorders>
            <w:vAlign w:val="bottom"/>
          </w:tcPr>
          <w:p w:rsidR="005A2B7B" w:rsidRPr="00731FC1" w:rsidRDefault="005A2B7B" w:rsidP="00A10DDB">
            <w:pPr>
              <w:jc w:val="center"/>
              <w:rPr>
                <w:b/>
                <w:bCs/>
                <w:szCs w:val="20"/>
              </w:rPr>
            </w:pPr>
            <w:r w:rsidRPr="00731FC1">
              <w:rPr>
                <w:b/>
                <w:bCs/>
                <w:szCs w:val="20"/>
              </w:rPr>
              <w:t>60.0</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5A2B7B" w:rsidRPr="00731FC1" w:rsidRDefault="005A2B7B" w:rsidP="00A10DDB">
            <w:pPr>
              <w:jc w:val="center"/>
              <w:rPr>
                <w:b/>
                <w:bCs/>
                <w:szCs w:val="20"/>
              </w:rPr>
            </w:pPr>
            <w:r w:rsidRPr="00731FC1">
              <w:rPr>
                <w:rFonts w:hint="eastAsia"/>
                <w:b/>
                <w:bCs/>
                <w:szCs w:val="20"/>
              </w:rPr>
              <w:t>56.5</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rPr>
                <w:rFonts w:eastAsia="標楷體"/>
              </w:rPr>
            </w:pPr>
            <w:r>
              <w:rPr>
                <w:rFonts w:eastAsia="標楷體" w:hint="eastAsia"/>
              </w:rPr>
              <w:t xml:space="preserve">    </w:t>
            </w:r>
            <w:r w:rsidRPr="00731FC1">
              <w:rPr>
                <w:rFonts w:eastAsia="標楷體"/>
              </w:rPr>
              <w:t>6</w:t>
            </w:r>
            <w:r w:rsidRPr="00731FC1">
              <w:rPr>
                <w:rFonts w:eastAsia="標楷體"/>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50.8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84.7</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50.8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15.1</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66.1</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54.6</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rPr>
                <w:rFonts w:eastAsia="標楷體"/>
              </w:rPr>
            </w:pPr>
            <w:r>
              <w:rPr>
                <w:rFonts w:eastAsia="標楷體" w:hint="eastAsia"/>
              </w:rPr>
              <w:t xml:space="preserve">    </w:t>
            </w:r>
            <w:r w:rsidRPr="00731FC1">
              <w:rPr>
                <w:rFonts w:eastAsia="標楷體" w:hint="eastAsia"/>
              </w:rPr>
              <w:t>7</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50.8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85.3</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50.9</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20.6</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68.1</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53.1</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50.8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86.8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52.0</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17.6</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70.3</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56.3</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51.2</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84.7</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51.4</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21.1</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69.7</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57.7</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51.3</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85.4</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51.4</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19.4</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70.3</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56.3</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51.7</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82.8</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53.4</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17.3</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70.2</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56.1</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731FC1" w:rsidRDefault="005A2B7B" w:rsidP="00A10DDB">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52.0</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83.3</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53.6</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18.0</w:t>
            </w:r>
          </w:p>
        </w:tc>
        <w:tc>
          <w:tcPr>
            <w:tcW w:w="1119"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68.9</w:t>
            </w:r>
          </w:p>
        </w:tc>
        <w:tc>
          <w:tcPr>
            <w:tcW w:w="1120" w:type="dxa"/>
            <w:tcBorders>
              <w:top w:val="nil"/>
              <w:left w:val="nil"/>
              <w:bottom w:val="nil"/>
              <w:right w:val="nil"/>
            </w:tcBorders>
            <w:vAlign w:val="bottom"/>
          </w:tcPr>
          <w:p w:rsidR="005A2B7B" w:rsidRPr="00731FC1" w:rsidRDefault="005A2B7B" w:rsidP="00A10DDB">
            <w:pPr>
              <w:jc w:val="center"/>
              <w:rPr>
                <w:szCs w:val="20"/>
              </w:rPr>
            </w:pPr>
            <w:r w:rsidRPr="00731FC1">
              <w:rPr>
                <w:rFonts w:hint="eastAsia"/>
                <w:szCs w:val="20"/>
              </w:rPr>
              <w:t>56.6</w:t>
            </w:r>
          </w:p>
        </w:tc>
      </w:tr>
      <w:tr w:rsidR="005A2B7B" w:rsidRPr="00731FC1"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6</w:t>
            </w:r>
            <w:r>
              <w:rPr>
                <w:rFonts w:eastAsia="標楷體" w:hint="eastAsia"/>
                <w:b/>
                <w:bCs/>
              </w:rPr>
              <w:t>月</w:t>
            </w:r>
          </w:p>
        </w:tc>
        <w:tc>
          <w:tcPr>
            <w:tcW w:w="1119"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50.5</w:t>
            </w:r>
          </w:p>
        </w:tc>
        <w:tc>
          <w:tcPr>
            <w:tcW w:w="1119"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87.4</w:t>
            </w:r>
          </w:p>
        </w:tc>
        <w:tc>
          <w:tcPr>
            <w:tcW w:w="1119"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50.8</w:t>
            </w:r>
          </w:p>
        </w:tc>
        <w:tc>
          <w:tcPr>
            <w:tcW w:w="1119"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16.4</w:t>
            </w:r>
          </w:p>
        </w:tc>
        <w:tc>
          <w:tcPr>
            <w:tcW w:w="1119"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68.0</w:t>
            </w:r>
          </w:p>
        </w:tc>
        <w:tc>
          <w:tcPr>
            <w:tcW w:w="1120" w:type="dxa"/>
            <w:tcBorders>
              <w:top w:val="nil"/>
              <w:left w:val="nil"/>
              <w:bottom w:val="nil"/>
              <w:right w:val="nil"/>
            </w:tcBorders>
            <w:vAlign w:val="bottom"/>
          </w:tcPr>
          <w:p w:rsidR="005A2B7B" w:rsidRPr="007E27E6" w:rsidRDefault="005A2B7B" w:rsidP="00A10DDB">
            <w:pPr>
              <w:jc w:val="center"/>
              <w:rPr>
                <w:b/>
                <w:szCs w:val="20"/>
              </w:rPr>
            </w:pPr>
            <w:r>
              <w:rPr>
                <w:rFonts w:hint="eastAsia"/>
                <w:b/>
                <w:szCs w:val="20"/>
              </w:rPr>
              <w:t>54.0</w:t>
            </w:r>
          </w:p>
        </w:tc>
      </w:tr>
      <w:tr w:rsidR="005A2B7B" w:rsidRPr="000D60FA"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51.0</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87.1</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52.6</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17.6</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69.6</w:t>
            </w:r>
          </w:p>
        </w:tc>
        <w:tc>
          <w:tcPr>
            <w:tcW w:w="1120"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57.7</w:t>
            </w:r>
          </w:p>
        </w:tc>
      </w:tr>
      <w:tr w:rsidR="005A2B7B" w:rsidRPr="000D60FA"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w:t>
            </w:r>
            <w:r>
              <w:rPr>
                <w:rFonts w:hint="eastAsia"/>
                <w:szCs w:val="20"/>
              </w:rPr>
              <w:t>6.0</w:t>
            </w:r>
          </w:p>
        </w:tc>
      </w:tr>
      <w:tr w:rsidR="005A2B7B" w:rsidRPr="000D60FA"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5A2B7B" w:rsidRPr="000D60FA" w:rsidRDefault="005A2B7B" w:rsidP="00A10DDB">
            <w:pPr>
              <w:jc w:val="center"/>
              <w:rPr>
                <w:szCs w:val="20"/>
              </w:rPr>
            </w:pPr>
            <w:r w:rsidRPr="000D60FA">
              <w:rPr>
                <w:rFonts w:hint="eastAsia"/>
                <w:szCs w:val="20"/>
              </w:rPr>
              <w:t>5</w:t>
            </w:r>
            <w:r>
              <w:rPr>
                <w:rFonts w:hint="eastAsia"/>
                <w:szCs w:val="20"/>
              </w:rPr>
              <w:t>7.4</w:t>
            </w:r>
          </w:p>
        </w:tc>
      </w:tr>
      <w:tr w:rsidR="005A2B7B" w:rsidRPr="000D60FA"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50.2</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88.3</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49.6</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16.4</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68.4</w:t>
            </w:r>
          </w:p>
        </w:tc>
        <w:tc>
          <w:tcPr>
            <w:tcW w:w="1120"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52.9</w:t>
            </w:r>
          </w:p>
        </w:tc>
      </w:tr>
      <w:tr w:rsidR="005A2B7B" w:rsidRPr="000D60FA" w:rsidTr="00A10DDB">
        <w:trPr>
          <w:trHeight w:val="86"/>
          <w:jc w:val="center"/>
        </w:trPr>
        <w:tc>
          <w:tcPr>
            <w:tcW w:w="1300" w:type="dxa"/>
            <w:tcBorders>
              <w:top w:val="nil"/>
              <w:left w:val="nil"/>
              <w:bottom w:val="nil"/>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50.4</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87.0</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50.3</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14.8</w:t>
            </w:r>
          </w:p>
        </w:tc>
        <w:tc>
          <w:tcPr>
            <w:tcW w:w="1119"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67.8</w:t>
            </w:r>
          </w:p>
        </w:tc>
        <w:tc>
          <w:tcPr>
            <w:tcW w:w="1120" w:type="dxa"/>
            <w:tcBorders>
              <w:top w:val="nil"/>
              <w:left w:val="nil"/>
              <w:bottom w:val="nil"/>
              <w:right w:val="nil"/>
            </w:tcBorders>
            <w:vAlign w:val="bottom"/>
          </w:tcPr>
          <w:p w:rsidR="005A2B7B" w:rsidRPr="000D60FA" w:rsidRDefault="005A2B7B" w:rsidP="00A10DDB">
            <w:pPr>
              <w:jc w:val="center"/>
              <w:rPr>
                <w:szCs w:val="20"/>
              </w:rPr>
            </w:pPr>
            <w:r>
              <w:rPr>
                <w:rFonts w:hint="eastAsia"/>
                <w:szCs w:val="20"/>
              </w:rPr>
              <w:t>51.2</w:t>
            </w:r>
          </w:p>
        </w:tc>
      </w:tr>
      <w:tr w:rsidR="005A2B7B" w:rsidRPr="000D60FA" w:rsidTr="00A10DDB">
        <w:trPr>
          <w:trHeight w:val="86"/>
          <w:jc w:val="center"/>
        </w:trPr>
        <w:tc>
          <w:tcPr>
            <w:tcW w:w="1300" w:type="dxa"/>
            <w:tcBorders>
              <w:top w:val="nil"/>
              <w:left w:val="nil"/>
              <w:bottom w:val="single" w:sz="4" w:space="0" w:color="auto"/>
              <w:right w:val="single" w:sz="4" w:space="0" w:color="auto"/>
            </w:tcBorders>
          </w:tcPr>
          <w:p w:rsidR="005A2B7B" w:rsidRPr="000D60FA" w:rsidRDefault="005A2B7B" w:rsidP="00A10DDB">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50.9</w:t>
            </w:r>
          </w:p>
        </w:tc>
        <w:tc>
          <w:tcPr>
            <w:tcW w:w="1119"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86.3</w:t>
            </w:r>
          </w:p>
        </w:tc>
        <w:tc>
          <w:tcPr>
            <w:tcW w:w="1119"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48.8</w:t>
            </w:r>
          </w:p>
        </w:tc>
        <w:tc>
          <w:tcPr>
            <w:tcW w:w="1119"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16.3</w:t>
            </w:r>
          </w:p>
        </w:tc>
        <w:tc>
          <w:tcPr>
            <w:tcW w:w="1119"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64.6</w:t>
            </w:r>
          </w:p>
        </w:tc>
        <w:tc>
          <w:tcPr>
            <w:tcW w:w="1120" w:type="dxa"/>
            <w:tcBorders>
              <w:top w:val="nil"/>
              <w:left w:val="nil"/>
              <w:bottom w:val="single" w:sz="4" w:space="0" w:color="auto"/>
              <w:right w:val="nil"/>
            </w:tcBorders>
            <w:vAlign w:val="bottom"/>
          </w:tcPr>
          <w:p w:rsidR="005A2B7B" w:rsidRPr="000D60FA" w:rsidRDefault="005A2B7B" w:rsidP="00A10DDB">
            <w:pPr>
              <w:jc w:val="center"/>
              <w:rPr>
                <w:szCs w:val="20"/>
              </w:rPr>
            </w:pPr>
            <w:r>
              <w:rPr>
                <w:rFonts w:hint="eastAsia"/>
                <w:szCs w:val="20"/>
              </w:rPr>
              <w:t>48.8</w:t>
            </w:r>
          </w:p>
        </w:tc>
      </w:tr>
    </w:tbl>
    <w:p w:rsidR="00EE4C3E" w:rsidRPr="005A2B7B" w:rsidRDefault="00EE4C3E" w:rsidP="00EE4C3E">
      <w:pPr>
        <w:pStyle w:val="k02"/>
        <w:snapToGrid w:val="0"/>
        <w:spacing w:before="0" w:beforeAutospacing="0" w:after="0" w:afterAutospacing="0" w:line="240" w:lineRule="atLeast"/>
        <w:jc w:val="both"/>
        <w:rPr>
          <w:rFonts w:ascii="Times New Roman" w:eastAsia="標楷體"/>
          <w:sz w:val="22"/>
          <w:szCs w:val="22"/>
        </w:rPr>
      </w:pPr>
      <w:r w:rsidRPr="005A2B7B">
        <w:rPr>
          <w:rFonts w:ascii="Times New Roman" w:eastAsia="標楷體"/>
          <w:sz w:val="22"/>
          <w:szCs w:val="22"/>
        </w:rPr>
        <w:t>資料來源：經濟部統計處。</w:t>
      </w:r>
    </w:p>
    <w:p w:rsidR="00F71B8C" w:rsidRPr="003111E1" w:rsidRDefault="00F71B8C" w:rsidP="00EE4C3E">
      <w:pPr>
        <w:pStyle w:val="k02"/>
        <w:snapToGrid w:val="0"/>
        <w:spacing w:before="0" w:beforeAutospacing="0" w:after="0" w:afterAutospacing="0" w:line="240" w:lineRule="atLeast"/>
        <w:jc w:val="both"/>
        <w:rPr>
          <w:rFonts w:ascii="Times New Roman" w:eastAsia="標楷體"/>
          <w:color w:val="FF0000"/>
          <w:szCs w:val="20"/>
        </w:rPr>
      </w:pPr>
    </w:p>
    <w:p w:rsidR="00EE4C3E" w:rsidRPr="005A2B7B" w:rsidRDefault="00EE4C3E" w:rsidP="00EE4C3E">
      <w:pPr>
        <w:spacing w:afterLines="50" w:after="180"/>
        <w:jc w:val="center"/>
        <w:rPr>
          <w:rFonts w:eastAsia="標楷體"/>
          <w:b/>
          <w:sz w:val="28"/>
          <w:szCs w:val="28"/>
        </w:rPr>
      </w:pPr>
      <w:r w:rsidRPr="005A2B7B">
        <w:rPr>
          <w:rFonts w:eastAsia="標楷體"/>
          <w:b/>
          <w:sz w:val="28"/>
          <w:szCs w:val="28"/>
        </w:rPr>
        <w:t>表</w:t>
      </w:r>
      <w:r w:rsidRPr="005A2B7B">
        <w:rPr>
          <w:rFonts w:eastAsia="標楷體"/>
          <w:b/>
          <w:sz w:val="28"/>
          <w:szCs w:val="28"/>
        </w:rPr>
        <w:t xml:space="preserve"> 2-5-4</w:t>
      </w:r>
      <w:r w:rsidRPr="005A2B7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5A2B7B" w:rsidRPr="00E56B36" w:rsidTr="00A10DDB">
        <w:trPr>
          <w:cantSplit/>
          <w:trHeight w:val="304"/>
          <w:jc w:val="center"/>
        </w:trPr>
        <w:tc>
          <w:tcPr>
            <w:tcW w:w="2378" w:type="dxa"/>
            <w:vMerge w:val="restart"/>
            <w:tcBorders>
              <w:left w:val="nil"/>
            </w:tcBorders>
            <w:vAlign w:val="center"/>
          </w:tcPr>
          <w:p w:rsidR="005A2B7B" w:rsidRPr="00E56B36" w:rsidRDefault="005A2B7B" w:rsidP="00A10DDB">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5A2B7B" w:rsidRPr="00E56B36" w:rsidRDefault="005A2B7B" w:rsidP="00A10DDB">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6</w:t>
            </w:r>
            <w:r w:rsidRPr="00E56B36">
              <w:rPr>
                <w:rFonts w:eastAsia="標楷體"/>
              </w:rPr>
              <w:t>月</w:t>
            </w:r>
          </w:p>
        </w:tc>
      </w:tr>
      <w:tr w:rsidR="005A2B7B" w:rsidRPr="00E56B36" w:rsidTr="00A10DDB">
        <w:trPr>
          <w:cantSplit/>
          <w:trHeight w:val="135"/>
          <w:jc w:val="center"/>
        </w:trPr>
        <w:tc>
          <w:tcPr>
            <w:tcW w:w="2378" w:type="dxa"/>
            <w:vMerge/>
            <w:tcBorders>
              <w:left w:val="nil"/>
              <w:bottom w:val="single" w:sz="4" w:space="0" w:color="auto"/>
            </w:tcBorders>
            <w:vAlign w:val="center"/>
          </w:tcPr>
          <w:p w:rsidR="005A2B7B" w:rsidRPr="00E56B36" w:rsidRDefault="005A2B7B" w:rsidP="00A10DDB">
            <w:pPr>
              <w:snapToGrid w:val="0"/>
              <w:spacing w:line="360" w:lineRule="atLeast"/>
              <w:ind w:left="28" w:right="-40"/>
              <w:jc w:val="center"/>
              <w:rPr>
                <w:rFonts w:eastAsia="標楷體"/>
              </w:rPr>
            </w:pPr>
          </w:p>
        </w:tc>
        <w:tc>
          <w:tcPr>
            <w:tcW w:w="2226" w:type="dxa"/>
            <w:tcBorders>
              <w:bottom w:val="single" w:sz="4" w:space="0" w:color="auto"/>
            </w:tcBorders>
            <w:vAlign w:val="center"/>
          </w:tcPr>
          <w:p w:rsidR="005A2B7B" w:rsidRDefault="005A2B7B" w:rsidP="00A10DDB">
            <w:pPr>
              <w:snapToGrid w:val="0"/>
              <w:spacing w:line="360" w:lineRule="atLeast"/>
              <w:ind w:left="28" w:right="-40"/>
              <w:jc w:val="center"/>
              <w:rPr>
                <w:rFonts w:eastAsia="標楷體"/>
              </w:rPr>
            </w:pPr>
            <w:r w:rsidRPr="00E56B36">
              <w:rPr>
                <w:rFonts w:eastAsia="標楷體"/>
              </w:rPr>
              <w:t>金額</w:t>
            </w:r>
          </w:p>
          <w:p w:rsidR="005A2B7B" w:rsidRPr="00E56B36" w:rsidRDefault="005A2B7B" w:rsidP="00A10DDB">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5A2B7B" w:rsidRPr="00E56B36" w:rsidRDefault="005A2B7B" w:rsidP="00A10DDB">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5A2B7B" w:rsidRPr="00E56B36" w:rsidTr="00A10DDB">
        <w:trPr>
          <w:jc w:val="center"/>
        </w:trPr>
        <w:tc>
          <w:tcPr>
            <w:tcW w:w="2378" w:type="dxa"/>
            <w:tcBorders>
              <w:left w:val="nil"/>
              <w:bottom w:val="nil"/>
            </w:tcBorders>
          </w:tcPr>
          <w:p w:rsidR="005A2B7B" w:rsidRPr="00E56B36" w:rsidRDefault="005A2B7B" w:rsidP="00A10DDB">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5A2B7B" w:rsidRPr="00E56B36" w:rsidRDefault="005A2B7B" w:rsidP="00A10DDB">
            <w:pPr>
              <w:snapToGrid w:val="0"/>
              <w:spacing w:line="360" w:lineRule="atLeast"/>
              <w:ind w:left="28" w:right="-40"/>
              <w:jc w:val="center"/>
              <w:rPr>
                <w:rFonts w:eastAsia="標楷體"/>
              </w:rPr>
            </w:pPr>
            <w:r>
              <w:rPr>
                <w:rFonts w:eastAsia="標楷體" w:hint="eastAsia"/>
              </w:rPr>
              <w:t>89.2</w:t>
            </w:r>
          </w:p>
        </w:tc>
        <w:tc>
          <w:tcPr>
            <w:tcW w:w="2888" w:type="dxa"/>
            <w:tcBorders>
              <w:bottom w:val="nil"/>
              <w:right w:val="nil"/>
            </w:tcBorders>
          </w:tcPr>
          <w:p w:rsidR="005A2B7B" w:rsidRPr="00E56B36" w:rsidRDefault="005A2B7B" w:rsidP="00A10DDB">
            <w:pPr>
              <w:snapToGrid w:val="0"/>
              <w:spacing w:line="360" w:lineRule="atLeast"/>
              <w:ind w:left="28" w:right="1070"/>
              <w:jc w:val="right"/>
              <w:rPr>
                <w:rFonts w:eastAsia="標楷體"/>
              </w:rPr>
            </w:pPr>
            <w:r>
              <w:rPr>
                <w:rFonts w:eastAsia="標楷體" w:hint="eastAsia"/>
              </w:rPr>
              <w:t>-1.9</w:t>
            </w:r>
          </w:p>
        </w:tc>
      </w:tr>
      <w:tr w:rsidR="005A2B7B" w:rsidRPr="00E56B36" w:rsidTr="00A10DDB">
        <w:trPr>
          <w:jc w:val="center"/>
        </w:trPr>
        <w:tc>
          <w:tcPr>
            <w:tcW w:w="2378" w:type="dxa"/>
            <w:tcBorders>
              <w:top w:val="nil"/>
              <w:left w:val="nil"/>
              <w:bottom w:val="nil"/>
            </w:tcBorders>
          </w:tcPr>
          <w:p w:rsidR="005A2B7B" w:rsidRPr="00E56B36" w:rsidRDefault="005A2B7B" w:rsidP="00A10DDB">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5A2B7B" w:rsidRPr="00E56B36" w:rsidRDefault="005A2B7B" w:rsidP="00A10DDB">
            <w:pPr>
              <w:snapToGrid w:val="0"/>
              <w:spacing w:line="360" w:lineRule="atLeast"/>
              <w:ind w:left="28" w:right="-40"/>
              <w:jc w:val="center"/>
              <w:rPr>
                <w:rFonts w:eastAsia="標楷體"/>
              </w:rPr>
            </w:pPr>
            <w:r>
              <w:rPr>
                <w:rFonts w:eastAsia="標楷體" w:hint="eastAsia"/>
              </w:rPr>
              <w:t>88.3</w:t>
            </w:r>
          </w:p>
        </w:tc>
        <w:tc>
          <w:tcPr>
            <w:tcW w:w="2888" w:type="dxa"/>
            <w:tcBorders>
              <w:top w:val="nil"/>
              <w:bottom w:val="nil"/>
              <w:right w:val="nil"/>
            </w:tcBorders>
          </w:tcPr>
          <w:p w:rsidR="005A2B7B" w:rsidRPr="00E56B36" w:rsidRDefault="005A2B7B" w:rsidP="00A10DDB">
            <w:pPr>
              <w:snapToGrid w:val="0"/>
              <w:spacing w:line="360" w:lineRule="atLeast"/>
              <w:ind w:left="28" w:right="1070"/>
              <w:jc w:val="right"/>
              <w:rPr>
                <w:rFonts w:eastAsia="標楷體"/>
              </w:rPr>
            </w:pPr>
            <w:r>
              <w:rPr>
                <w:rFonts w:eastAsia="標楷體" w:hint="eastAsia"/>
              </w:rPr>
              <w:t>2.6</w:t>
            </w:r>
          </w:p>
        </w:tc>
      </w:tr>
      <w:tr w:rsidR="005A2B7B" w:rsidRPr="00E56B36" w:rsidTr="00A10DDB">
        <w:trPr>
          <w:jc w:val="center"/>
        </w:trPr>
        <w:tc>
          <w:tcPr>
            <w:tcW w:w="2378" w:type="dxa"/>
            <w:tcBorders>
              <w:top w:val="nil"/>
              <w:left w:val="nil"/>
              <w:bottom w:val="nil"/>
            </w:tcBorders>
          </w:tcPr>
          <w:p w:rsidR="005A2B7B" w:rsidRPr="00E56B36" w:rsidRDefault="005A2B7B" w:rsidP="00A10DDB">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5A2B7B" w:rsidRPr="00E56B36" w:rsidRDefault="005A2B7B" w:rsidP="00A10DDB">
            <w:pPr>
              <w:snapToGrid w:val="0"/>
              <w:spacing w:line="360" w:lineRule="atLeast"/>
              <w:ind w:left="28" w:right="-40"/>
              <w:jc w:val="center"/>
              <w:rPr>
                <w:rFonts w:eastAsia="標楷體"/>
              </w:rPr>
            </w:pPr>
            <w:r>
              <w:rPr>
                <w:rFonts w:eastAsia="標楷體" w:hint="eastAsia"/>
              </w:rPr>
              <w:t>59.6</w:t>
            </w:r>
          </w:p>
        </w:tc>
        <w:tc>
          <w:tcPr>
            <w:tcW w:w="2888" w:type="dxa"/>
            <w:tcBorders>
              <w:top w:val="nil"/>
              <w:bottom w:val="nil"/>
              <w:right w:val="nil"/>
            </w:tcBorders>
          </w:tcPr>
          <w:p w:rsidR="005A2B7B" w:rsidRPr="00E56B36" w:rsidRDefault="005A2B7B" w:rsidP="00A10DDB">
            <w:pPr>
              <w:snapToGrid w:val="0"/>
              <w:spacing w:line="360" w:lineRule="atLeast"/>
              <w:ind w:left="28" w:right="1070"/>
              <w:jc w:val="right"/>
              <w:rPr>
                <w:rFonts w:eastAsia="標楷體"/>
              </w:rPr>
            </w:pPr>
            <w:r>
              <w:rPr>
                <w:rFonts w:eastAsia="標楷體" w:hint="eastAsia"/>
              </w:rPr>
              <w:t>-10.4</w:t>
            </w:r>
          </w:p>
        </w:tc>
      </w:tr>
      <w:tr w:rsidR="005A2B7B" w:rsidRPr="00E56B36" w:rsidTr="00A10DDB">
        <w:trPr>
          <w:jc w:val="center"/>
        </w:trPr>
        <w:tc>
          <w:tcPr>
            <w:tcW w:w="2378" w:type="dxa"/>
            <w:tcBorders>
              <w:top w:val="nil"/>
              <w:left w:val="nil"/>
              <w:bottom w:val="nil"/>
            </w:tcBorders>
          </w:tcPr>
          <w:p w:rsidR="005A2B7B" w:rsidRPr="00E56B36" w:rsidRDefault="005A2B7B" w:rsidP="00A10DDB">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5A2B7B" w:rsidRPr="00E56B36" w:rsidRDefault="005A2B7B" w:rsidP="00A10DDB">
            <w:pPr>
              <w:snapToGrid w:val="0"/>
              <w:spacing w:line="360" w:lineRule="atLeast"/>
              <w:ind w:left="28" w:right="-40"/>
              <w:jc w:val="center"/>
              <w:rPr>
                <w:rFonts w:eastAsia="標楷體"/>
              </w:rPr>
            </w:pPr>
            <w:r>
              <w:rPr>
                <w:rFonts w:eastAsia="標楷體" w:hint="eastAsia"/>
              </w:rPr>
              <w:t>41.8</w:t>
            </w:r>
          </w:p>
        </w:tc>
        <w:tc>
          <w:tcPr>
            <w:tcW w:w="2888" w:type="dxa"/>
            <w:tcBorders>
              <w:top w:val="nil"/>
              <w:bottom w:val="nil"/>
              <w:right w:val="nil"/>
            </w:tcBorders>
          </w:tcPr>
          <w:p w:rsidR="005A2B7B" w:rsidRPr="00E56B36" w:rsidRDefault="005A2B7B" w:rsidP="00A10DDB">
            <w:pPr>
              <w:snapToGrid w:val="0"/>
              <w:spacing w:line="360" w:lineRule="atLeast"/>
              <w:ind w:left="28" w:right="1070"/>
              <w:jc w:val="right"/>
              <w:rPr>
                <w:rFonts w:eastAsia="標楷體"/>
              </w:rPr>
            </w:pPr>
            <w:r>
              <w:rPr>
                <w:rFonts w:eastAsia="標楷體" w:hint="eastAsia"/>
              </w:rPr>
              <w:t>5.0</w:t>
            </w:r>
          </w:p>
        </w:tc>
      </w:tr>
      <w:tr w:rsidR="005A2B7B" w:rsidRPr="00E56B36" w:rsidTr="00A10DDB">
        <w:trPr>
          <w:trHeight w:val="425"/>
          <w:jc w:val="center"/>
        </w:trPr>
        <w:tc>
          <w:tcPr>
            <w:tcW w:w="2378" w:type="dxa"/>
            <w:tcBorders>
              <w:top w:val="nil"/>
              <w:left w:val="nil"/>
            </w:tcBorders>
          </w:tcPr>
          <w:p w:rsidR="005A2B7B" w:rsidRPr="00E56B36" w:rsidRDefault="005A2B7B" w:rsidP="00A10DDB">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5A2B7B" w:rsidRPr="00E56B36" w:rsidRDefault="005A2B7B" w:rsidP="00A10DDB">
            <w:pPr>
              <w:snapToGrid w:val="0"/>
              <w:spacing w:line="360" w:lineRule="atLeast"/>
              <w:ind w:left="28" w:right="-40"/>
              <w:jc w:val="center"/>
              <w:rPr>
                <w:rFonts w:eastAsia="標楷體"/>
              </w:rPr>
            </w:pPr>
            <w:r>
              <w:rPr>
                <w:rFonts w:eastAsia="標楷體" w:hint="eastAsia"/>
              </w:rPr>
              <w:t>29.7</w:t>
            </w:r>
          </w:p>
        </w:tc>
        <w:tc>
          <w:tcPr>
            <w:tcW w:w="2888" w:type="dxa"/>
            <w:tcBorders>
              <w:top w:val="nil"/>
              <w:right w:val="nil"/>
            </w:tcBorders>
          </w:tcPr>
          <w:p w:rsidR="005A2B7B" w:rsidRPr="00E56B36" w:rsidRDefault="005A2B7B" w:rsidP="00A10DDB">
            <w:pPr>
              <w:snapToGrid w:val="0"/>
              <w:spacing w:line="360" w:lineRule="atLeast"/>
              <w:ind w:left="28" w:right="1070"/>
              <w:jc w:val="right"/>
              <w:rPr>
                <w:rFonts w:eastAsia="標楷體"/>
              </w:rPr>
            </w:pPr>
            <w:r>
              <w:rPr>
                <w:rFonts w:eastAsia="標楷體" w:hint="eastAsia"/>
              </w:rPr>
              <w:t>-12.8</w:t>
            </w:r>
          </w:p>
        </w:tc>
      </w:tr>
    </w:tbl>
    <w:p w:rsidR="00EE4C3E" w:rsidRPr="005A2B7B" w:rsidRDefault="005A2B7B" w:rsidP="00EE4C3E">
      <w:pPr>
        <w:pStyle w:val="k02"/>
        <w:snapToGrid w:val="0"/>
        <w:spacing w:before="0" w:beforeAutospacing="0" w:after="0" w:afterAutospacing="0" w:line="240" w:lineRule="atLeast"/>
        <w:rPr>
          <w:rFonts w:ascii="Times New Roman"/>
          <w:sz w:val="22"/>
          <w:szCs w:val="22"/>
        </w:rPr>
      </w:pPr>
      <w:r>
        <w:rPr>
          <w:rFonts w:ascii="Times New Roman" w:eastAsia="標楷體" w:hint="eastAsia"/>
          <w:sz w:val="22"/>
          <w:szCs w:val="22"/>
        </w:rPr>
        <w:t xml:space="preserve">　　</w:t>
      </w:r>
      <w:r w:rsidR="00EE4C3E" w:rsidRPr="005A2B7B">
        <w:rPr>
          <w:rFonts w:ascii="Times New Roman" w:eastAsia="標楷體"/>
          <w:sz w:val="22"/>
          <w:szCs w:val="22"/>
        </w:rPr>
        <w:t>資料來源：經濟部統計處。</w:t>
      </w:r>
    </w:p>
    <w:p w:rsidR="000F332D" w:rsidRPr="003111E1" w:rsidRDefault="000F332D" w:rsidP="00206664">
      <w:pPr>
        <w:pStyle w:val="t-3"/>
        <w:snapToGrid w:val="0"/>
        <w:spacing w:beforeLines="50" w:before="180"/>
        <w:ind w:right="-60"/>
      </w:pPr>
      <w:bookmarkStart w:id="72" w:name="_Toc358042581"/>
      <w:r w:rsidRPr="003111E1">
        <w:lastRenderedPageBreak/>
        <w:t>（六）投資</w:t>
      </w:r>
      <w:bookmarkEnd w:id="11"/>
      <w:bookmarkEnd w:id="71"/>
      <w:bookmarkEnd w:id="72"/>
    </w:p>
    <w:p w:rsidR="00576223" w:rsidRPr="00357E8F" w:rsidRDefault="00576223" w:rsidP="00347E1B">
      <w:pPr>
        <w:pStyle w:val="k3a"/>
        <w:tabs>
          <w:tab w:val="left" w:pos="540"/>
        </w:tabs>
        <w:spacing w:before="180" w:line="288" w:lineRule="auto"/>
        <w:ind w:leftChars="0" w:left="0" w:right="0" w:firstLineChars="0" w:firstLine="0"/>
        <w:rPr>
          <w:b/>
          <w:bCs/>
        </w:rPr>
      </w:pPr>
      <w:r w:rsidRPr="00357E8F">
        <w:rPr>
          <w:b/>
          <w:bCs/>
        </w:rPr>
        <w:t>１、</w:t>
      </w:r>
      <w:r w:rsidR="007F7EBF" w:rsidRPr="00357E8F">
        <w:rPr>
          <w:b/>
          <w:bCs/>
        </w:rPr>
        <w:t>102</w:t>
      </w:r>
      <w:r w:rsidR="007F7EBF" w:rsidRPr="00357E8F">
        <w:rPr>
          <w:b/>
          <w:bCs/>
        </w:rPr>
        <w:t>年國內投資成長率預估為</w:t>
      </w:r>
      <w:r w:rsidR="007F7EBF" w:rsidRPr="00357E8F">
        <w:rPr>
          <w:b/>
          <w:bCs/>
        </w:rPr>
        <w:t>5.17</w:t>
      </w:r>
      <w:r w:rsidR="007F7EBF" w:rsidRPr="00357E8F">
        <w:rPr>
          <w:b/>
          <w:bCs/>
        </w:rPr>
        <w:t>％</w:t>
      </w:r>
    </w:p>
    <w:p w:rsidR="00576223" w:rsidRPr="00357E8F" w:rsidRDefault="007F7EBF" w:rsidP="00506996">
      <w:pPr>
        <w:pStyle w:val="affffc"/>
        <w:numPr>
          <w:ilvl w:val="0"/>
          <w:numId w:val="48"/>
        </w:numPr>
        <w:snapToGrid w:val="0"/>
        <w:spacing w:before="180" w:line="288" w:lineRule="auto"/>
        <w:ind w:leftChars="0" w:left="709" w:rightChars="-59" w:right="-142" w:firstLineChars="0" w:hanging="425"/>
        <w:rPr>
          <w:rFonts w:ascii="Times New Roman" w:eastAsia="標楷體" w:hAnsi="Times New Roman"/>
          <w:sz w:val="28"/>
          <w:szCs w:val="28"/>
        </w:rPr>
      </w:pPr>
      <w:r w:rsidRPr="00357E8F">
        <w:rPr>
          <w:rFonts w:ascii="Times New Roman" w:eastAsia="標楷體" w:hAnsi="Times New Roman"/>
          <w:sz w:val="28"/>
          <w:szCs w:val="28"/>
        </w:rPr>
        <w:t>民間投資方面，半導體業者加碼擴充高階製程，電信業者為跨足雲端與數位頻道業務，亦增加資本支出，預測</w:t>
      </w:r>
      <w:r w:rsidRPr="00357E8F">
        <w:rPr>
          <w:rFonts w:ascii="Times New Roman" w:eastAsia="標楷體" w:hAnsi="Times New Roman"/>
          <w:sz w:val="28"/>
          <w:szCs w:val="28"/>
        </w:rPr>
        <w:t>102</w:t>
      </w:r>
      <w:r w:rsidRPr="00357E8F">
        <w:rPr>
          <w:rFonts w:ascii="Times New Roman" w:eastAsia="標楷體" w:hAnsi="Times New Roman"/>
          <w:sz w:val="28"/>
          <w:szCs w:val="28"/>
        </w:rPr>
        <w:t>年民間投資</w:t>
      </w:r>
      <w:r w:rsidR="00FC7277" w:rsidRPr="00357E8F">
        <w:rPr>
          <w:rFonts w:ascii="Times New Roman" w:eastAsia="標楷體" w:hAnsi="Times New Roman"/>
          <w:sz w:val="28"/>
          <w:szCs w:val="28"/>
        </w:rPr>
        <w:t>可望由連續</w:t>
      </w:r>
      <w:r w:rsidR="00FC7277" w:rsidRPr="00357E8F">
        <w:rPr>
          <w:rFonts w:ascii="Times New Roman" w:eastAsia="標楷體" w:hAnsi="Times New Roman"/>
          <w:sz w:val="28"/>
          <w:szCs w:val="28"/>
        </w:rPr>
        <w:t>2</w:t>
      </w:r>
      <w:r w:rsidR="00FC7277" w:rsidRPr="00357E8F">
        <w:rPr>
          <w:rFonts w:ascii="Times New Roman" w:eastAsia="標楷體" w:hAnsi="Times New Roman"/>
          <w:sz w:val="28"/>
          <w:szCs w:val="28"/>
        </w:rPr>
        <w:t>年負成長轉為正</w:t>
      </w:r>
      <w:r w:rsidRPr="00357E8F">
        <w:rPr>
          <w:rFonts w:ascii="Times New Roman" w:eastAsia="標楷體" w:hAnsi="Times New Roman"/>
          <w:sz w:val="28"/>
          <w:szCs w:val="28"/>
        </w:rPr>
        <w:t>成長</w:t>
      </w:r>
      <w:r w:rsidRPr="00357E8F">
        <w:rPr>
          <w:rFonts w:ascii="Times New Roman" w:eastAsia="標楷體" w:hAnsi="Times New Roman"/>
          <w:sz w:val="28"/>
          <w:szCs w:val="28"/>
        </w:rPr>
        <w:t>7.21</w:t>
      </w:r>
      <w:r w:rsidRPr="00357E8F">
        <w:rPr>
          <w:rFonts w:ascii="Times New Roman" w:eastAsia="標楷體" w:hAnsi="Times New Roman"/>
          <w:sz w:val="28"/>
          <w:szCs w:val="28"/>
        </w:rPr>
        <w:t>％。</w:t>
      </w:r>
    </w:p>
    <w:p w:rsidR="003B21DD" w:rsidRPr="00357E8F" w:rsidRDefault="007F7EBF" w:rsidP="00506996">
      <w:pPr>
        <w:pStyle w:val="affffc"/>
        <w:numPr>
          <w:ilvl w:val="0"/>
          <w:numId w:val="48"/>
        </w:numPr>
        <w:snapToGrid w:val="0"/>
        <w:spacing w:before="180" w:line="288" w:lineRule="auto"/>
        <w:ind w:leftChars="0" w:left="709" w:rightChars="-59" w:right="-142" w:firstLineChars="0" w:hanging="425"/>
        <w:rPr>
          <w:rFonts w:ascii="Times New Roman" w:eastAsia="標楷體" w:hAnsi="Times New Roman"/>
          <w:sz w:val="28"/>
          <w:szCs w:val="28"/>
        </w:rPr>
      </w:pPr>
      <w:r w:rsidRPr="00357E8F">
        <w:rPr>
          <w:rFonts w:ascii="Times New Roman" w:eastAsia="標楷體" w:hAnsi="Times New Roman"/>
          <w:sz w:val="28"/>
          <w:szCs w:val="28"/>
        </w:rPr>
        <w:t>公共投資方面，政府投資因特別預算高峰已過，</w:t>
      </w:r>
      <w:r w:rsidRPr="00357E8F">
        <w:rPr>
          <w:rFonts w:ascii="Times New Roman" w:eastAsia="標楷體" w:hAnsi="Times New Roman"/>
          <w:sz w:val="28"/>
          <w:szCs w:val="28"/>
        </w:rPr>
        <w:t>102</w:t>
      </w:r>
      <w:r w:rsidRPr="00357E8F">
        <w:rPr>
          <w:rFonts w:ascii="Times New Roman" w:eastAsia="標楷體" w:hAnsi="Times New Roman"/>
          <w:sz w:val="28"/>
          <w:szCs w:val="28"/>
        </w:rPr>
        <w:t>年減為</w:t>
      </w:r>
      <w:r w:rsidRPr="00357E8F">
        <w:rPr>
          <w:rFonts w:ascii="Times New Roman" w:eastAsia="標楷體" w:hAnsi="Times New Roman"/>
          <w:sz w:val="28"/>
          <w:szCs w:val="28"/>
        </w:rPr>
        <w:t>3,851</w:t>
      </w:r>
      <w:r w:rsidRPr="00357E8F">
        <w:rPr>
          <w:rFonts w:ascii="Times New Roman" w:eastAsia="標楷體" w:hAnsi="Times New Roman"/>
          <w:sz w:val="28"/>
          <w:szCs w:val="28"/>
        </w:rPr>
        <w:t>億元，負成長</w:t>
      </w:r>
      <w:r w:rsidRPr="00357E8F">
        <w:rPr>
          <w:rFonts w:ascii="Times New Roman" w:eastAsia="標楷體" w:hAnsi="Times New Roman"/>
          <w:sz w:val="28"/>
          <w:szCs w:val="28"/>
        </w:rPr>
        <w:t>6.36</w:t>
      </w:r>
      <w:r w:rsidRPr="00357E8F">
        <w:rPr>
          <w:rFonts w:ascii="Times New Roman" w:eastAsia="標楷體" w:hAnsi="Times New Roman"/>
          <w:sz w:val="28"/>
          <w:szCs w:val="28"/>
        </w:rPr>
        <w:t>％；公營事業投資則因台電積極執行大林電廠等投資計畫，成長</w:t>
      </w:r>
      <w:r w:rsidRPr="00357E8F">
        <w:rPr>
          <w:rFonts w:ascii="Times New Roman" w:eastAsia="標楷體" w:hAnsi="Times New Roman"/>
          <w:sz w:val="28"/>
          <w:szCs w:val="28"/>
        </w:rPr>
        <w:t>5.90</w:t>
      </w:r>
      <w:r w:rsidRPr="00357E8F">
        <w:rPr>
          <w:rFonts w:ascii="Times New Roman" w:eastAsia="標楷體" w:hAnsi="Times New Roman"/>
          <w:sz w:val="28"/>
          <w:szCs w:val="28"/>
        </w:rPr>
        <w:t>％。</w:t>
      </w:r>
    </w:p>
    <w:p w:rsidR="00576223" w:rsidRPr="00357E8F" w:rsidRDefault="00576223" w:rsidP="00347E1B">
      <w:pPr>
        <w:snapToGrid w:val="0"/>
        <w:spacing w:beforeLines="50" w:before="180" w:line="300" w:lineRule="auto"/>
        <w:jc w:val="center"/>
        <w:rPr>
          <w:rFonts w:eastAsia="標楷體"/>
          <w:b/>
          <w:bCs/>
          <w:sz w:val="28"/>
        </w:rPr>
      </w:pPr>
      <w:r w:rsidRPr="00357E8F">
        <w:rPr>
          <w:rFonts w:eastAsia="標楷體"/>
          <w:b/>
          <w:bCs/>
          <w:sz w:val="28"/>
        </w:rPr>
        <w:t>表</w:t>
      </w:r>
      <w:r w:rsidRPr="00357E8F">
        <w:rPr>
          <w:rFonts w:eastAsia="標楷體"/>
          <w:b/>
          <w:bCs/>
          <w:sz w:val="28"/>
        </w:rPr>
        <w:t xml:space="preserve"> 2-6-1  </w:t>
      </w:r>
      <w:r w:rsidRPr="00357E8F">
        <w:rPr>
          <w:rFonts w:eastAsia="標楷體"/>
          <w:b/>
          <w:bCs/>
          <w:sz w:val="28"/>
        </w:rPr>
        <w:t>國內固定資本形成毛額</w:t>
      </w:r>
    </w:p>
    <w:p w:rsidR="00576223" w:rsidRPr="00357E8F" w:rsidRDefault="00576223" w:rsidP="00576223">
      <w:pPr>
        <w:snapToGrid w:val="0"/>
        <w:spacing w:line="240" w:lineRule="atLeast"/>
        <w:ind w:rightChars="13" w:right="31"/>
        <w:jc w:val="right"/>
        <w:rPr>
          <w:rFonts w:eastAsia="標楷體"/>
          <w:b/>
          <w:bCs/>
        </w:rPr>
      </w:pPr>
      <w:r w:rsidRPr="00357E8F">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C74F3" w:rsidRPr="00357E8F" w:rsidTr="00CC1751">
        <w:trPr>
          <w:cantSplit/>
          <w:jc w:val="center"/>
        </w:trPr>
        <w:tc>
          <w:tcPr>
            <w:tcW w:w="1361" w:type="dxa"/>
            <w:tcBorders>
              <w:top w:val="single" w:sz="4" w:space="0" w:color="auto"/>
              <w:left w:val="nil"/>
              <w:bottom w:val="nil"/>
            </w:tcBorders>
          </w:tcPr>
          <w:p w:rsidR="00576223" w:rsidRPr="00357E8F"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國內投資</w:t>
            </w:r>
          </w:p>
        </w:tc>
        <w:tc>
          <w:tcPr>
            <w:tcW w:w="1800" w:type="dxa"/>
            <w:gridSpan w:val="2"/>
            <w:tcBorders>
              <w:top w:val="single" w:sz="4" w:space="0" w:color="auto"/>
              <w:bottom w:val="single" w:sz="4" w:space="0" w:color="auto"/>
            </w:tcBorders>
            <w:vAlign w:val="center"/>
          </w:tcPr>
          <w:p w:rsidR="00576223" w:rsidRPr="00357E8F" w:rsidRDefault="00576223" w:rsidP="005C54F0">
            <w:pPr>
              <w:tabs>
                <w:tab w:val="left" w:pos="1590"/>
              </w:tabs>
              <w:snapToGrid w:val="0"/>
              <w:spacing w:line="360" w:lineRule="exact"/>
              <w:jc w:val="center"/>
              <w:rPr>
                <w:rFonts w:eastAsia="標楷體"/>
              </w:rPr>
            </w:pPr>
            <w:r w:rsidRPr="00357E8F">
              <w:rPr>
                <w:rFonts w:eastAsia="標楷體"/>
              </w:rPr>
              <w:t>民間投資</w:t>
            </w:r>
          </w:p>
        </w:tc>
        <w:tc>
          <w:tcPr>
            <w:tcW w:w="1800"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政府投資</w:t>
            </w:r>
          </w:p>
        </w:tc>
      </w:tr>
      <w:tr w:rsidR="006C74F3" w:rsidRPr="00357E8F" w:rsidTr="00CC1751">
        <w:trPr>
          <w:trHeight w:val="367"/>
          <w:jc w:val="center"/>
        </w:trPr>
        <w:tc>
          <w:tcPr>
            <w:tcW w:w="1361" w:type="dxa"/>
            <w:tcBorders>
              <w:top w:val="nil"/>
              <w:left w:val="nil"/>
              <w:bottom w:val="single" w:sz="4" w:space="0" w:color="auto"/>
            </w:tcBorders>
          </w:tcPr>
          <w:p w:rsidR="00576223" w:rsidRPr="00357E8F"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67" w:type="dxa"/>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rPr>
                <w:rFonts w:eastAsia="標楷體"/>
                <w:b/>
                <w:bCs/>
              </w:rPr>
            </w:pPr>
            <w:r w:rsidRPr="00357E8F">
              <w:rPr>
                <w:rFonts w:eastAsia="標楷體"/>
                <w:b/>
                <w:bCs/>
              </w:rPr>
              <w:t>97</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26,659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-12.36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20,101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-15.58</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2,098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-1.98</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4,460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1.18</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98</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23,536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-11.25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16,393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-18.15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2,225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2.14</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4,918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15.94</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99</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28,882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21.12</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21,596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29.76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2,413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8.11</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4,873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-3.10</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100</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28,435 </w:t>
            </w:r>
          </w:p>
        </w:tc>
        <w:tc>
          <w:tcPr>
            <w:tcW w:w="900"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-3.10</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21,642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-1.26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2,105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-14.39</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4,687  </w:t>
            </w:r>
          </w:p>
        </w:tc>
        <w:tc>
          <w:tcPr>
            <w:tcW w:w="967"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-5.93</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rPr>
            </w:pPr>
            <w:r w:rsidRPr="00357E8F">
              <w:rPr>
                <w:rFonts w:eastAsia="標楷體"/>
              </w:rPr>
              <w:t xml:space="preserve">6,811  </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8.17</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5,649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11.15</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318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-14.02</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845  </w:t>
            </w:r>
          </w:p>
        </w:tc>
        <w:tc>
          <w:tcPr>
            <w:tcW w:w="967" w:type="dxa"/>
            <w:tcBorders>
              <w:top w:val="nil"/>
              <w:left w:val="nil"/>
              <w:bottom w:val="nil"/>
              <w:right w:val="nil"/>
            </w:tcBorders>
            <w:vAlign w:val="center"/>
          </w:tcPr>
          <w:p w:rsidR="008B77E9" w:rsidRPr="00357E8F" w:rsidRDefault="008B77E9" w:rsidP="00B91236">
            <w:pPr>
              <w:spacing w:line="380" w:lineRule="exact"/>
              <w:jc w:val="right"/>
            </w:pPr>
            <w:r w:rsidRPr="00357E8F">
              <w:t>-0.65</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rPr>
            </w:pPr>
            <w:r w:rsidRPr="00357E8F">
              <w:rPr>
                <w:rFonts w:eastAsia="標楷體"/>
              </w:rPr>
              <w:t xml:space="preserve">7,229  </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2.92</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5,507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7.10</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519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-15.83</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1,202  </w:t>
            </w:r>
          </w:p>
        </w:tc>
        <w:tc>
          <w:tcPr>
            <w:tcW w:w="967" w:type="dxa"/>
            <w:tcBorders>
              <w:top w:val="nil"/>
              <w:left w:val="nil"/>
              <w:bottom w:val="nil"/>
              <w:right w:val="nil"/>
            </w:tcBorders>
            <w:vAlign w:val="center"/>
          </w:tcPr>
          <w:p w:rsidR="008B77E9" w:rsidRPr="00357E8F" w:rsidRDefault="008B77E9" w:rsidP="00B91236">
            <w:pPr>
              <w:spacing w:line="380" w:lineRule="exact"/>
              <w:jc w:val="right"/>
            </w:pPr>
            <w:r w:rsidRPr="00357E8F">
              <w:t>-5.57</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rPr>
            </w:pPr>
            <w:r w:rsidRPr="00357E8F">
              <w:rPr>
                <w:rFonts w:eastAsia="標楷體"/>
              </w:rPr>
              <w:t xml:space="preserve">7,308 </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-8.27</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5,658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-8.76</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486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-3.12</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1,163  </w:t>
            </w:r>
          </w:p>
        </w:tc>
        <w:tc>
          <w:tcPr>
            <w:tcW w:w="967" w:type="dxa"/>
            <w:tcBorders>
              <w:top w:val="nil"/>
              <w:left w:val="nil"/>
              <w:bottom w:val="nil"/>
              <w:right w:val="nil"/>
            </w:tcBorders>
            <w:vAlign w:val="center"/>
          </w:tcPr>
          <w:p w:rsidR="008B77E9" w:rsidRPr="00357E8F" w:rsidRDefault="008B77E9" w:rsidP="00B91236">
            <w:pPr>
              <w:spacing w:line="380" w:lineRule="exact"/>
              <w:jc w:val="right"/>
            </w:pPr>
            <w:r w:rsidRPr="00357E8F">
              <w:t>-7.88</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rPr>
            </w:pPr>
            <w:r w:rsidRPr="00357E8F">
              <w:rPr>
                <w:rFonts w:eastAsia="標楷體"/>
              </w:rPr>
              <w:t xml:space="preserve">7,087 </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-12.38</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4,828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-12.49</w:t>
            </w:r>
          </w:p>
        </w:tc>
        <w:tc>
          <w:tcPr>
            <w:tcW w:w="865"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782  </w:t>
            </w:r>
          </w:p>
        </w:tc>
        <w:tc>
          <w:tcPr>
            <w:tcW w:w="935" w:type="dxa"/>
            <w:tcBorders>
              <w:top w:val="nil"/>
              <w:left w:val="nil"/>
              <w:bottom w:val="nil"/>
              <w:right w:val="nil"/>
            </w:tcBorders>
            <w:vAlign w:val="center"/>
          </w:tcPr>
          <w:p w:rsidR="008B77E9" w:rsidRPr="00357E8F" w:rsidRDefault="008B77E9" w:rsidP="00B91236">
            <w:pPr>
              <w:spacing w:line="380" w:lineRule="exact"/>
              <w:jc w:val="right"/>
            </w:pPr>
            <w:r w:rsidRPr="00357E8F">
              <w:t>-19.56</w:t>
            </w:r>
          </w:p>
        </w:tc>
        <w:tc>
          <w:tcPr>
            <w:tcW w:w="900" w:type="dxa"/>
            <w:tcBorders>
              <w:top w:val="nil"/>
              <w:left w:val="nil"/>
              <w:bottom w:val="nil"/>
              <w:right w:val="nil"/>
            </w:tcBorders>
            <w:vAlign w:val="center"/>
          </w:tcPr>
          <w:p w:rsidR="008B77E9" w:rsidRPr="00357E8F" w:rsidRDefault="008B77E9" w:rsidP="00B91236">
            <w:pPr>
              <w:spacing w:line="380" w:lineRule="exact"/>
              <w:jc w:val="right"/>
            </w:pPr>
            <w:r w:rsidRPr="00357E8F">
              <w:t xml:space="preserve">1,477 </w:t>
            </w:r>
          </w:p>
        </w:tc>
        <w:tc>
          <w:tcPr>
            <w:tcW w:w="967" w:type="dxa"/>
            <w:tcBorders>
              <w:top w:val="nil"/>
              <w:left w:val="nil"/>
              <w:bottom w:val="nil"/>
              <w:right w:val="nil"/>
            </w:tcBorders>
            <w:vAlign w:val="center"/>
          </w:tcPr>
          <w:p w:rsidR="008B77E9" w:rsidRPr="00357E8F" w:rsidRDefault="008B77E9" w:rsidP="00B91236">
            <w:pPr>
              <w:spacing w:line="380" w:lineRule="exact"/>
              <w:jc w:val="right"/>
            </w:pPr>
            <w:r w:rsidRPr="00357E8F">
              <w:t>-7.54</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snapToGrid w:val="0"/>
              <w:spacing w:line="380" w:lineRule="exact"/>
              <w:jc w:val="both"/>
              <w:rPr>
                <w:rFonts w:eastAsia="標楷體"/>
              </w:rPr>
            </w:pPr>
            <w:r w:rsidRPr="00357E8F">
              <w:rPr>
                <w:rFonts w:eastAsia="標楷體"/>
                <w:b/>
                <w:bCs/>
              </w:rPr>
              <w:t>101</w:t>
            </w:r>
            <w:r w:rsidRPr="00357E8F">
              <w:rPr>
                <w:rFonts w:eastAsia="標楷體"/>
                <w:b/>
                <w:bCs/>
              </w:rPr>
              <w:t>年</w:t>
            </w:r>
            <w:r w:rsidRPr="00357E8F">
              <w:rPr>
                <w:rFonts w:eastAsia="標楷體"/>
                <w:b/>
                <w:bCs/>
              </w:rPr>
              <w:t xml:space="preserve">(p) </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27,462 </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-4.19</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21,384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-2.11</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1,942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-8.27</w:t>
            </w:r>
          </w:p>
        </w:tc>
        <w:tc>
          <w:tcPr>
            <w:tcW w:w="900"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4,137  </w:t>
            </w:r>
          </w:p>
        </w:tc>
        <w:tc>
          <w:tcPr>
            <w:tcW w:w="967"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-12.51</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6,255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-10.21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5,252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-9.10</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287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-13.19</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715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-16.89</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6,817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-7.69</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5,304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-5.71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468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-13.07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1,045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-14.92</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r w:rsidRPr="00357E8F">
              <w:rPr>
                <w:rFonts w:eastAsia="標楷體"/>
                <w:snapToGrid w:val="0"/>
                <w:kern w:val="0"/>
              </w:rPr>
              <w:t>(r)</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7,306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-0.95</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5,802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1.54</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439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-11.51</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1,065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-9.12</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r w:rsidRPr="00357E8F">
              <w:rPr>
                <w:rFonts w:eastAsia="標楷體"/>
                <w:snapToGrid w:val="0"/>
                <w:kern w:val="0"/>
              </w:rPr>
              <w:t>(p)</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7,085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2.07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5,026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6.18</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748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-0.72</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1,311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-10.65</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b/>
                <w:snapToGrid w:val="0"/>
                <w:kern w:val="0"/>
              </w:rPr>
            </w:pPr>
            <w:r w:rsidRPr="00357E8F">
              <w:rPr>
                <w:rFonts w:eastAsia="標楷體"/>
                <w:b/>
                <w:snapToGrid w:val="0"/>
                <w:kern w:val="0"/>
              </w:rPr>
              <w:t>102</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b/>
              </w:rPr>
            </w:pPr>
            <w:r w:rsidRPr="00357E8F">
              <w:rPr>
                <w:rFonts w:eastAsia="標楷體"/>
                <w:b/>
              </w:rPr>
              <w:t>28,571</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5.17</w:t>
            </w:r>
          </w:p>
        </w:tc>
        <w:tc>
          <w:tcPr>
            <w:tcW w:w="865"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22,698</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7.21</w:t>
            </w:r>
          </w:p>
        </w:tc>
        <w:tc>
          <w:tcPr>
            <w:tcW w:w="865"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2,022</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5.90</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3,851</w:t>
            </w:r>
          </w:p>
        </w:tc>
        <w:tc>
          <w:tcPr>
            <w:tcW w:w="967" w:type="dxa"/>
            <w:tcBorders>
              <w:top w:val="nil"/>
              <w:left w:val="nil"/>
              <w:bottom w:val="nil"/>
              <w:right w:val="nil"/>
            </w:tcBorders>
            <w:vAlign w:val="center"/>
          </w:tcPr>
          <w:p w:rsidR="00734B94" w:rsidRPr="00357E8F" w:rsidRDefault="00734B94" w:rsidP="00923489">
            <w:pPr>
              <w:spacing w:line="380" w:lineRule="exact"/>
              <w:jc w:val="right"/>
              <w:rPr>
                <w:b/>
              </w:rPr>
            </w:pPr>
            <w:r w:rsidRPr="00357E8F">
              <w:rPr>
                <w:b/>
              </w:rPr>
              <w:t>-6.36</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6,560</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7.44</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5,572</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8.67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321</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18.36</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667</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-6.60</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6,987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4.30</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5,550</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6.27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500</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9.67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937</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-8.89</w:t>
            </w:r>
          </w:p>
        </w:tc>
      </w:tr>
      <w:tr w:rsidR="006C74F3" w:rsidRPr="00357E8F" w:rsidTr="00EB01CE">
        <w:trPr>
          <w:jc w:val="center"/>
        </w:trPr>
        <w:tc>
          <w:tcPr>
            <w:tcW w:w="1361" w:type="dxa"/>
            <w:tcBorders>
              <w:top w:val="nil"/>
              <w:left w:val="nil"/>
              <w:bottom w:val="nil"/>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7,590</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4.98</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6,168</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7.25</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442</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3.42</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980</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-7.41</w:t>
            </w:r>
          </w:p>
        </w:tc>
      </w:tr>
      <w:tr w:rsidR="006C74F3" w:rsidRPr="00357E8F" w:rsidTr="00CC1751">
        <w:trPr>
          <w:jc w:val="center"/>
        </w:trPr>
        <w:tc>
          <w:tcPr>
            <w:tcW w:w="1361" w:type="dxa"/>
            <w:tcBorders>
              <w:top w:val="nil"/>
              <w:left w:val="nil"/>
              <w:bottom w:val="single" w:sz="4" w:space="0" w:color="auto"/>
            </w:tcBorders>
            <w:vAlign w:val="center"/>
          </w:tcPr>
          <w:p w:rsidR="00734B94" w:rsidRPr="00357E8F" w:rsidRDefault="00734B94" w:rsidP="00B91236">
            <w:pPr>
              <w:adjustRightInd w:val="0"/>
              <w:spacing w:line="380" w:lineRule="exact"/>
              <w:jc w:val="both"/>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r w:rsidRPr="00357E8F">
              <w:rPr>
                <w:rFonts w:eastAsia="標楷體"/>
                <w:snapToGrid w:val="0"/>
                <w:kern w:val="0"/>
              </w:rPr>
              <w:t>(f)</w:t>
            </w:r>
          </w:p>
        </w:tc>
        <w:tc>
          <w:tcPr>
            <w:tcW w:w="833" w:type="dxa"/>
            <w:tcBorders>
              <w:top w:val="nil"/>
              <w:bottom w:val="single" w:sz="4" w:space="0" w:color="auto"/>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7,434</w:t>
            </w:r>
          </w:p>
        </w:tc>
        <w:tc>
          <w:tcPr>
            <w:tcW w:w="900"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4.21</w:t>
            </w:r>
          </w:p>
        </w:tc>
        <w:tc>
          <w:tcPr>
            <w:tcW w:w="865"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5,407</w:t>
            </w:r>
          </w:p>
        </w:tc>
        <w:tc>
          <w:tcPr>
            <w:tcW w:w="935"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6.63</w:t>
            </w:r>
          </w:p>
        </w:tc>
        <w:tc>
          <w:tcPr>
            <w:tcW w:w="865"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759</w:t>
            </w:r>
          </w:p>
        </w:tc>
        <w:tc>
          <w:tcPr>
            <w:tcW w:w="935"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-0.34</w:t>
            </w:r>
          </w:p>
        </w:tc>
        <w:tc>
          <w:tcPr>
            <w:tcW w:w="900"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1,267</w:t>
            </w:r>
          </w:p>
        </w:tc>
        <w:tc>
          <w:tcPr>
            <w:tcW w:w="967" w:type="dxa"/>
            <w:tcBorders>
              <w:top w:val="nil"/>
              <w:left w:val="nil"/>
              <w:bottom w:val="single" w:sz="4" w:space="0" w:color="auto"/>
              <w:right w:val="nil"/>
            </w:tcBorders>
            <w:vAlign w:val="center"/>
          </w:tcPr>
          <w:p w:rsidR="00734B94" w:rsidRPr="00357E8F" w:rsidRDefault="00734B94" w:rsidP="00923489">
            <w:pPr>
              <w:spacing w:line="380" w:lineRule="exact"/>
              <w:jc w:val="right"/>
            </w:pPr>
            <w:r w:rsidRPr="00357E8F">
              <w:t>-3.40</w:t>
            </w:r>
          </w:p>
        </w:tc>
      </w:tr>
    </w:tbl>
    <w:p w:rsidR="00A42468" w:rsidRPr="00357E8F" w:rsidRDefault="00576223" w:rsidP="005C54F0">
      <w:pPr>
        <w:pStyle w:val="ad"/>
        <w:snapToGrid w:val="0"/>
        <w:spacing w:line="240" w:lineRule="atLeast"/>
        <w:ind w:leftChars="0" w:left="0" w:firstLineChars="0" w:firstLine="0"/>
      </w:pPr>
      <w:proofErr w:type="gramStart"/>
      <w:r w:rsidRPr="00357E8F">
        <w:t>註</w:t>
      </w:r>
      <w:proofErr w:type="gramEnd"/>
      <w:r w:rsidRPr="00357E8F">
        <w:t>：金額為當期價格；</w:t>
      </w:r>
      <w:r w:rsidR="00A42468" w:rsidRPr="00357E8F">
        <w:t>(r)</w:t>
      </w:r>
      <w:r w:rsidR="00A42468" w:rsidRPr="00357E8F">
        <w:t>表修正數，</w:t>
      </w:r>
      <w:r w:rsidR="00A42468" w:rsidRPr="00357E8F">
        <w:t>(p)</w:t>
      </w:r>
      <w:r w:rsidR="00A42468" w:rsidRPr="00357E8F">
        <w:t>表初步統計數，</w:t>
      </w:r>
      <w:r w:rsidR="00A42468" w:rsidRPr="00357E8F">
        <w:t>(f)</w:t>
      </w:r>
      <w:r w:rsidR="00A42468" w:rsidRPr="00357E8F">
        <w:t>表預測數。</w:t>
      </w:r>
    </w:p>
    <w:p w:rsidR="00576223" w:rsidRPr="00357E8F" w:rsidRDefault="00576223" w:rsidP="005C54F0">
      <w:pPr>
        <w:pStyle w:val="ad"/>
        <w:snapToGrid w:val="0"/>
        <w:spacing w:line="240" w:lineRule="atLeast"/>
        <w:ind w:leftChars="0" w:left="0" w:firstLineChars="0" w:firstLine="0"/>
      </w:pPr>
      <w:r w:rsidRPr="00357E8F">
        <w:t>資料來源：行政院主計總處，</w:t>
      </w:r>
      <w:r w:rsidRPr="00357E8F">
        <w:t>10</w:t>
      </w:r>
      <w:r w:rsidR="00014B70" w:rsidRPr="00357E8F">
        <w:t>2</w:t>
      </w:r>
      <w:r w:rsidRPr="00357E8F">
        <w:t>年</w:t>
      </w:r>
      <w:r w:rsidR="00734B94" w:rsidRPr="00357E8F">
        <w:t>5</w:t>
      </w:r>
      <w:r w:rsidRPr="00357E8F">
        <w:t>月</w:t>
      </w:r>
      <w:r w:rsidR="00014B70" w:rsidRPr="00357E8F">
        <w:t>2</w:t>
      </w:r>
      <w:r w:rsidR="00734B94" w:rsidRPr="00357E8F">
        <w:t>4</w:t>
      </w:r>
      <w:r w:rsidRPr="00357E8F">
        <w:t>日。</w:t>
      </w:r>
    </w:p>
    <w:p w:rsidR="00FE0ACD" w:rsidRPr="003111E1" w:rsidRDefault="00FE0ACD" w:rsidP="00576223">
      <w:pPr>
        <w:pStyle w:val="ad"/>
        <w:snapToGrid w:val="0"/>
        <w:spacing w:line="240" w:lineRule="atLeast"/>
        <w:ind w:leftChars="0" w:left="0" w:firstLineChars="0" w:firstLine="0"/>
        <w:rPr>
          <w:color w:val="FF0000"/>
        </w:rPr>
      </w:pPr>
    </w:p>
    <w:p w:rsidR="00734B94" w:rsidRPr="003111E1" w:rsidRDefault="00734B94" w:rsidP="00576223">
      <w:pPr>
        <w:pStyle w:val="ad"/>
        <w:snapToGrid w:val="0"/>
        <w:spacing w:line="240" w:lineRule="atLeast"/>
        <w:ind w:leftChars="0" w:left="0" w:firstLineChars="0" w:firstLine="0"/>
        <w:rPr>
          <w:color w:val="FF0000"/>
        </w:rPr>
      </w:pPr>
    </w:p>
    <w:p w:rsidR="00576223" w:rsidRPr="003111E1" w:rsidRDefault="00576223" w:rsidP="00002DAD">
      <w:pPr>
        <w:pStyle w:val="k3a"/>
        <w:tabs>
          <w:tab w:val="left" w:pos="540"/>
        </w:tabs>
        <w:spacing w:before="180" w:line="300" w:lineRule="auto"/>
        <w:ind w:leftChars="0" w:left="0" w:right="0" w:firstLineChars="0" w:firstLine="0"/>
        <w:rPr>
          <w:b/>
          <w:bCs/>
          <w:color w:val="FF0000"/>
        </w:rPr>
      </w:pPr>
      <w:r w:rsidRPr="003111E1">
        <w:rPr>
          <w:b/>
          <w:bCs/>
        </w:rPr>
        <w:lastRenderedPageBreak/>
        <w:t>２、</w:t>
      </w:r>
      <w:r w:rsidRPr="003111E1">
        <w:rPr>
          <w:b/>
          <w:bCs/>
        </w:rPr>
        <w:t>10</w:t>
      </w:r>
      <w:r w:rsidR="00687A1D" w:rsidRPr="003111E1">
        <w:rPr>
          <w:b/>
          <w:bCs/>
        </w:rPr>
        <w:t>2</w:t>
      </w:r>
      <w:r w:rsidRPr="003111E1">
        <w:rPr>
          <w:b/>
          <w:bCs/>
        </w:rPr>
        <w:t>年</w:t>
      </w:r>
      <w:r w:rsidR="00803541" w:rsidRPr="003111E1">
        <w:rPr>
          <w:b/>
          <w:bCs/>
        </w:rPr>
        <w:t>1</w:t>
      </w:r>
      <w:r w:rsidR="00803541" w:rsidRPr="003111E1">
        <w:rPr>
          <w:b/>
          <w:bCs/>
        </w:rPr>
        <w:t>至</w:t>
      </w:r>
      <w:r w:rsidR="00E6508D" w:rsidRPr="003111E1">
        <w:rPr>
          <w:b/>
          <w:bCs/>
        </w:rPr>
        <w:t>6</w:t>
      </w:r>
      <w:r w:rsidR="00FC2DED" w:rsidRPr="003111E1">
        <w:rPr>
          <w:b/>
          <w:bCs/>
        </w:rPr>
        <w:t>月新增民間投資金額</w:t>
      </w:r>
      <w:r w:rsidR="00661F94" w:rsidRPr="003111E1">
        <w:rPr>
          <w:b/>
          <w:bCs/>
        </w:rPr>
        <w:t>6</w:t>
      </w:r>
      <w:r w:rsidR="00FC2DED" w:rsidRPr="003111E1">
        <w:rPr>
          <w:b/>
          <w:bCs/>
        </w:rPr>
        <w:t>,</w:t>
      </w:r>
      <w:r w:rsidR="00661F94" w:rsidRPr="003111E1">
        <w:rPr>
          <w:b/>
          <w:bCs/>
        </w:rPr>
        <w:t>232</w:t>
      </w:r>
      <w:r w:rsidR="00FC2DED" w:rsidRPr="003111E1">
        <w:rPr>
          <w:b/>
          <w:bCs/>
        </w:rPr>
        <w:t>億元</w:t>
      </w:r>
    </w:p>
    <w:p w:rsidR="00576223" w:rsidRPr="003111E1" w:rsidRDefault="00FC2DED" w:rsidP="00506996">
      <w:pPr>
        <w:pStyle w:val="k32"/>
        <w:topLinePunct/>
        <w:ind w:left="0" w:rightChars="-59" w:firstLineChars="202" w:firstLine="566"/>
      </w:pPr>
      <w:r w:rsidRPr="003111E1">
        <w:t>102</w:t>
      </w:r>
      <w:r w:rsidRPr="003111E1">
        <w:t>年</w:t>
      </w:r>
      <w:r w:rsidRPr="003111E1">
        <w:t>1</w:t>
      </w:r>
      <w:r w:rsidRPr="003111E1">
        <w:t>至</w:t>
      </w:r>
      <w:r w:rsidR="00E6508D" w:rsidRPr="003111E1">
        <w:t>6</w:t>
      </w:r>
      <w:r w:rsidRPr="003111E1">
        <w:t>月新增民間重大投資計畫計有</w:t>
      </w:r>
      <w:r w:rsidR="00661F94" w:rsidRPr="003111E1">
        <w:t>1,251</w:t>
      </w:r>
      <w:r w:rsidRPr="003111E1">
        <w:t>件，金額為</w:t>
      </w:r>
      <w:r w:rsidR="00661F94" w:rsidRPr="003111E1">
        <w:t>6,232</w:t>
      </w:r>
      <w:r w:rsidRPr="003111E1">
        <w:t>億元，達成年度目標</w:t>
      </w:r>
      <w:r w:rsidRPr="003111E1">
        <w:t>12,000</w:t>
      </w:r>
      <w:r w:rsidRPr="003111E1">
        <w:t>億元的</w:t>
      </w:r>
      <w:r w:rsidR="00661F94" w:rsidRPr="003111E1">
        <w:t>51</w:t>
      </w:r>
      <w:r w:rsidR="00D65403" w:rsidRPr="003111E1">
        <w:t>.</w:t>
      </w:r>
      <w:r w:rsidR="00661F94" w:rsidRPr="003111E1">
        <w:t>94</w:t>
      </w:r>
      <w:r w:rsidRPr="003111E1">
        <w:t>％，其中以電子資訊業為主要投資業別，投資金額</w:t>
      </w:r>
      <w:r w:rsidR="00661F94" w:rsidRPr="003111E1">
        <w:t>2</w:t>
      </w:r>
      <w:r w:rsidRPr="003111E1">
        <w:t>,</w:t>
      </w:r>
      <w:r w:rsidR="00661F94" w:rsidRPr="003111E1">
        <w:t>884</w:t>
      </w:r>
      <w:r w:rsidRPr="003111E1">
        <w:t>億元。</w:t>
      </w:r>
    </w:p>
    <w:p w:rsidR="00576223" w:rsidRPr="003111E1" w:rsidRDefault="00576223" w:rsidP="00576223">
      <w:pPr>
        <w:snapToGrid w:val="0"/>
        <w:spacing w:before="120"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2-6-2  </w:t>
      </w:r>
      <w:r w:rsidRPr="003111E1">
        <w:rPr>
          <w:rFonts w:eastAsia="標楷體"/>
          <w:b/>
          <w:bCs/>
          <w:sz w:val="28"/>
        </w:rPr>
        <w:t>經濟部統計民間新增投資概況</w:t>
      </w:r>
    </w:p>
    <w:tbl>
      <w:tblPr>
        <w:tblW w:w="7832" w:type="dxa"/>
        <w:tblInd w:w="164" w:type="dxa"/>
        <w:tblLayout w:type="fixed"/>
        <w:tblCellMar>
          <w:left w:w="30" w:type="dxa"/>
          <w:right w:w="30" w:type="dxa"/>
        </w:tblCellMar>
        <w:tblLook w:val="0000" w:firstRow="0" w:lastRow="0" w:firstColumn="0" w:lastColumn="0" w:noHBand="0" w:noVBand="0"/>
      </w:tblPr>
      <w:tblGrid>
        <w:gridCol w:w="1551"/>
        <w:gridCol w:w="1473"/>
        <w:gridCol w:w="1202"/>
        <w:gridCol w:w="1202"/>
        <w:gridCol w:w="1202"/>
        <w:gridCol w:w="1202"/>
      </w:tblGrid>
      <w:tr w:rsidR="000B3EA0" w:rsidRPr="003111E1" w:rsidTr="00CE5399">
        <w:trPr>
          <w:cantSplit/>
          <w:trHeight w:val="227"/>
        </w:trPr>
        <w:tc>
          <w:tcPr>
            <w:tcW w:w="1551" w:type="dxa"/>
            <w:vMerge w:val="restart"/>
            <w:tcBorders>
              <w:top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行</w:t>
            </w:r>
            <w:r w:rsidRPr="003111E1">
              <w:rPr>
                <w:rFonts w:eastAsia="標楷體"/>
              </w:rPr>
              <w:t xml:space="preserve">  </w:t>
            </w:r>
            <w:r w:rsidRPr="003111E1">
              <w:rPr>
                <w:rFonts w:eastAsia="標楷體"/>
              </w:rPr>
              <w:t>業</w:t>
            </w:r>
            <w:r w:rsidRPr="003111E1">
              <w:rPr>
                <w:rFonts w:eastAsia="標楷體"/>
              </w:rPr>
              <w:t xml:space="preserve">  </w:t>
            </w:r>
            <w:r w:rsidRPr="003111E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101</w:t>
            </w:r>
            <w:r w:rsidRPr="003111E1">
              <w:rPr>
                <w:rFonts w:eastAsia="標楷體"/>
              </w:rPr>
              <w:t>年實際</w:t>
            </w:r>
          </w:p>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0B3EA0" w:rsidRPr="003111E1" w:rsidRDefault="000B3EA0" w:rsidP="00CE5399">
            <w:pPr>
              <w:autoSpaceDE w:val="0"/>
              <w:autoSpaceDN w:val="0"/>
              <w:adjustRightInd w:val="0"/>
              <w:snapToGrid w:val="0"/>
              <w:jc w:val="center"/>
              <w:rPr>
                <w:rFonts w:eastAsia="標楷體"/>
              </w:rPr>
            </w:pPr>
            <w:r w:rsidRPr="003111E1">
              <w:rPr>
                <w:rFonts w:eastAsia="標楷體"/>
              </w:rPr>
              <w:t>102</w:t>
            </w:r>
            <w:r w:rsidRPr="003111E1">
              <w:rPr>
                <w:rFonts w:eastAsia="標楷體"/>
              </w:rPr>
              <w:t>年目標</w:t>
            </w:r>
          </w:p>
          <w:p w:rsidR="000B3EA0" w:rsidRPr="003111E1" w:rsidRDefault="000B3EA0" w:rsidP="00CE5399">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3606" w:type="dxa"/>
            <w:gridSpan w:val="3"/>
            <w:tcBorders>
              <w:top w:val="single" w:sz="8" w:space="0" w:color="auto"/>
              <w:left w:val="single" w:sz="8" w:space="0" w:color="auto"/>
              <w:bottom w:val="single" w:sz="8" w:space="0" w:color="auto"/>
            </w:tcBorders>
          </w:tcPr>
          <w:p w:rsidR="000B3EA0" w:rsidRPr="003111E1" w:rsidRDefault="000B3EA0" w:rsidP="00C13F57">
            <w:pPr>
              <w:autoSpaceDE w:val="0"/>
              <w:autoSpaceDN w:val="0"/>
              <w:adjustRightInd w:val="0"/>
              <w:snapToGrid w:val="0"/>
              <w:jc w:val="center"/>
              <w:rPr>
                <w:rFonts w:eastAsia="標楷體"/>
              </w:rPr>
            </w:pPr>
            <w:r w:rsidRPr="003111E1">
              <w:rPr>
                <w:rFonts w:eastAsia="標楷體"/>
              </w:rPr>
              <w:t>102</w:t>
            </w:r>
            <w:r w:rsidRPr="003111E1">
              <w:rPr>
                <w:rFonts w:eastAsia="標楷體"/>
              </w:rPr>
              <w:t>年</w:t>
            </w:r>
            <w:r w:rsidRPr="003111E1">
              <w:rPr>
                <w:rFonts w:eastAsia="標楷體"/>
              </w:rPr>
              <w:t>1~6</w:t>
            </w:r>
            <w:r w:rsidRPr="003111E1">
              <w:rPr>
                <w:rFonts w:eastAsia="標楷體"/>
              </w:rPr>
              <w:t>月</w:t>
            </w:r>
            <w:r w:rsidRPr="003111E1">
              <w:rPr>
                <w:rFonts w:eastAsia="標楷體"/>
              </w:rPr>
              <w:t>(</w:t>
            </w:r>
            <w:proofErr w:type="gramStart"/>
            <w:r w:rsidRPr="003111E1">
              <w:rPr>
                <w:rFonts w:eastAsia="標楷體"/>
              </w:rPr>
              <w:t>實際</w:t>
            </w:r>
            <w:r w:rsidRPr="003111E1">
              <w:rPr>
                <w:rFonts w:eastAsia="標楷體"/>
              </w:rPr>
              <w:t>)</w:t>
            </w:r>
            <w:proofErr w:type="gramEnd"/>
          </w:p>
        </w:tc>
      </w:tr>
      <w:tr w:rsidR="000B3EA0" w:rsidRPr="003111E1" w:rsidTr="000B3EA0">
        <w:trPr>
          <w:cantSplit/>
          <w:trHeight w:val="227"/>
        </w:trPr>
        <w:tc>
          <w:tcPr>
            <w:tcW w:w="1551" w:type="dxa"/>
            <w:vMerge/>
            <w:tcBorders>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0B3EA0" w:rsidRPr="003111E1" w:rsidRDefault="000B3EA0" w:rsidP="00CE539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件數</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達成率</w:t>
            </w:r>
            <w:r w:rsidRPr="003111E1">
              <w:rPr>
                <w:rFonts w:eastAsia="標楷體"/>
              </w:rPr>
              <w:t>(</w:t>
            </w:r>
            <w:r w:rsidRPr="003111E1">
              <w:rPr>
                <w:rFonts w:eastAsia="標楷體"/>
              </w:rPr>
              <w:t>％</w:t>
            </w:r>
            <w:r w:rsidRPr="003111E1">
              <w:rPr>
                <w:rFonts w:eastAsia="標楷體"/>
              </w:rPr>
              <w:t>)</w:t>
            </w:r>
          </w:p>
        </w:tc>
      </w:tr>
      <w:tr w:rsidR="000B3EA0" w:rsidRPr="003111E1" w:rsidTr="00CE5399">
        <w:trPr>
          <w:cantSplit/>
          <w:trHeight w:val="311"/>
        </w:trPr>
        <w:tc>
          <w:tcPr>
            <w:tcW w:w="1551" w:type="dxa"/>
            <w:tcBorders>
              <w:top w:val="single" w:sz="8" w:space="0" w:color="auto"/>
              <w:right w:val="single" w:sz="8" w:space="0" w:color="auto"/>
            </w:tcBorders>
            <w:vAlign w:val="center"/>
          </w:tcPr>
          <w:p w:rsidR="000B3EA0" w:rsidRPr="003111E1" w:rsidRDefault="000B3EA0" w:rsidP="008E3E1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111E1">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0B3EA0" w:rsidRPr="003111E1" w:rsidRDefault="000B3EA0" w:rsidP="00923489">
            <w:pPr>
              <w:ind w:rightChars="100" w:right="240"/>
              <w:jc w:val="right"/>
            </w:pPr>
            <w:r w:rsidRPr="003111E1">
              <w:t>2,713</w:t>
            </w:r>
          </w:p>
        </w:tc>
        <w:tc>
          <w:tcPr>
            <w:tcW w:w="1202" w:type="dxa"/>
            <w:tcBorders>
              <w:top w:val="single" w:sz="8" w:space="0" w:color="auto"/>
              <w:left w:val="single" w:sz="8" w:space="0" w:color="auto"/>
              <w:right w:val="single" w:sz="8" w:space="0" w:color="auto"/>
            </w:tcBorders>
            <w:vAlign w:val="center"/>
          </w:tcPr>
          <w:p w:rsidR="000B3EA0" w:rsidRPr="003111E1" w:rsidRDefault="000B3EA0" w:rsidP="00CE5399">
            <w:pPr>
              <w:ind w:rightChars="100" w:right="240"/>
              <w:jc w:val="right"/>
            </w:pPr>
            <w:r w:rsidRPr="003111E1">
              <w:t>3,000</w:t>
            </w:r>
          </w:p>
        </w:tc>
        <w:tc>
          <w:tcPr>
            <w:tcW w:w="1202" w:type="dxa"/>
            <w:tcBorders>
              <w:top w:val="single" w:sz="8" w:space="0" w:color="auto"/>
              <w:left w:val="single" w:sz="8" w:space="0" w:color="auto"/>
            </w:tcBorders>
            <w:vAlign w:val="center"/>
          </w:tcPr>
          <w:p w:rsidR="000B3EA0" w:rsidRPr="003111E1" w:rsidRDefault="000B3EA0" w:rsidP="00D65403">
            <w:pPr>
              <w:ind w:rightChars="100" w:right="240"/>
              <w:jc w:val="right"/>
            </w:pPr>
            <w:r w:rsidRPr="003111E1">
              <w:t>346</w:t>
            </w:r>
          </w:p>
        </w:tc>
        <w:tc>
          <w:tcPr>
            <w:tcW w:w="1202" w:type="dxa"/>
            <w:tcBorders>
              <w:top w:val="single" w:sz="8" w:space="0" w:color="auto"/>
            </w:tcBorders>
            <w:vAlign w:val="center"/>
          </w:tcPr>
          <w:p w:rsidR="000B3EA0" w:rsidRPr="003111E1" w:rsidRDefault="000B3EA0" w:rsidP="00661F94">
            <w:pPr>
              <w:ind w:rightChars="100" w:right="240"/>
              <w:jc w:val="right"/>
            </w:pPr>
            <w:r w:rsidRPr="003111E1">
              <w:t>1,461</w:t>
            </w:r>
          </w:p>
        </w:tc>
        <w:tc>
          <w:tcPr>
            <w:tcW w:w="1202" w:type="dxa"/>
            <w:tcBorders>
              <w:top w:val="single" w:sz="8" w:space="0" w:color="auto"/>
              <w:left w:val="nil"/>
            </w:tcBorders>
            <w:vAlign w:val="center"/>
          </w:tcPr>
          <w:p w:rsidR="000B3EA0" w:rsidRPr="003111E1" w:rsidRDefault="000B3EA0" w:rsidP="00661F94">
            <w:pPr>
              <w:ind w:rightChars="100" w:right="240"/>
              <w:jc w:val="right"/>
            </w:pPr>
            <w:r w:rsidRPr="003111E1">
              <w:t>48.69</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電子資訊業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4,560</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4,850</w:t>
            </w:r>
          </w:p>
        </w:tc>
        <w:tc>
          <w:tcPr>
            <w:tcW w:w="1202" w:type="dxa"/>
            <w:tcBorders>
              <w:left w:val="single" w:sz="8" w:space="0" w:color="auto"/>
            </w:tcBorders>
            <w:vAlign w:val="center"/>
          </w:tcPr>
          <w:p w:rsidR="000B3EA0" w:rsidRPr="003111E1" w:rsidRDefault="000B3EA0" w:rsidP="00D65403">
            <w:pPr>
              <w:ind w:rightChars="100" w:right="240"/>
              <w:jc w:val="right"/>
            </w:pPr>
            <w:r w:rsidRPr="003111E1">
              <w:t>56</w:t>
            </w:r>
          </w:p>
        </w:tc>
        <w:tc>
          <w:tcPr>
            <w:tcW w:w="1202" w:type="dxa"/>
            <w:vAlign w:val="center"/>
          </w:tcPr>
          <w:p w:rsidR="000B3EA0" w:rsidRPr="003111E1" w:rsidRDefault="000B3EA0" w:rsidP="00661F94">
            <w:pPr>
              <w:ind w:rightChars="100" w:right="240"/>
              <w:jc w:val="right"/>
            </w:pPr>
            <w:r w:rsidRPr="003111E1">
              <w:t>2,884</w:t>
            </w:r>
          </w:p>
        </w:tc>
        <w:tc>
          <w:tcPr>
            <w:tcW w:w="1202" w:type="dxa"/>
            <w:tcBorders>
              <w:left w:val="nil"/>
            </w:tcBorders>
            <w:vAlign w:val="center"/>
          </w:tcPr>
          <w:p w:rsidR="000B3EA0" w:rsidRPr="003111E1" w:rsidRDefault="000B3EA0" w:rsidP="00661F94">
            <w:pPr>
              <w:ind w:rightChars="100" w:right="240"/>
              <w:jc w:val="right"/>
            </w:pPr>
            <w:r w:rsidRPr="003111E1">
              <w:t>59.47</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民生化工業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2,486</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2,800</w:t>
            </w:r>
          </w:p>
        </w:tc>
        <w:tc>
          <w:tcPr>
            <w:tcW w:w="1202" w:type="dxa"/>
            <w:tcBorders>
              <w:left w:val="single" w:sz="8" w:space="0" w:color="auto"/>
            </w:tcBorders>
            <w:vAlign w:val="center"/>
          </w:tcPr>
          <w:p w:rsidR="000B3EA0" w:rsidRPr="003111E1" w:rsidRDefault="000B3EA0" w:rsidP="00D65403">
            <w:pPr>
              <w:ind w:rightChars="100" w:right="240"/>
              <w:jc w:val="right"/>
            </w:pPr>
            <w:r w:rsidRPr="003111E1">
              <w:t>118</w:t>
            </w:r>
          </w:p>
        </w:tc>
        <w:tc>
          <w:tcPr>
            <w:tcW w:w="1202" w:type="dxa"/>
            <w:vAlign w:val="center"/>
          </w:tcPr>
          <w:p w:rsidR="000B3EA0" w:rsidRPr="003111E1" w:rsidRDefault="000B3EA0" w:rsidP="00661F94">
            <w:pPr>
              <w:ind w:rightChars="100" w:right="240"/>
              <w:jc w:val="right"/>
            </w:pPr>
            <w:r w:rsidRPr="003111E1">
              <w:t>1,376</w:t>
            </w:r>
          </w:p>
        </w:tc>
        <w:tc>
          <w:tcPr>
            <w:tcW w:w="1202" w:type="dxa"/>
            <w:tcBorders>
              <w:left w:val="nil"/>
            </w:tcBorders>
            <w:vAlign w:val="center"/>
          </w:tcPr>
          <w:p w:rsidR="000B3EA0" w:rsidRPr="003111E1" w:rsidRDefault="000B3EA0" w:rsidP="00661F94">
            <w:pPr>
              <w:ind w:rightChars="100" w:right="240"/>
              <w:jc w:val="right"/>
            </w:pPr>
            <w:r w:rsidRPr="003111E1">
              <w:t>49.13</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技術服務業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595</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620</w:t>
            </w:r>
          </w:p>
        </w:tc>
        <w:tc>
          <w:tcPr>
            <w:tcW w:w="1202" w:type="dxa"/>
            <w:tcBorders>
              <w:left w:val="single" w:sz="8" w:space="0" w:color="auto"/>
            </w:tcBorders>
            <w:vAlign w:val="center"/>
          </w:tcPr>
          <w:p w:rsidR="000B3EA0" w:rsidRPr="003111E1" w:rsidRDefault="000B3EA0" w:rsidP="00D65403">
            <w:pPr>
              <w:ind w:rightChars="100" w:right="240"/>
              <w:jc w:val="right"/>
            </w:pPr>
            <w:r w:rsidRPr="003111E1">
              <w:t>644</w:t>
            </w:r>
          </w:p>
        </w:tc>
        <w:tc>
          <w:tcPr>
            <w:tcW w:w="1202" w:type="dxa"/>
            <w:vAlign w:val="center"/>
          </w:tcPr>
          <w:p w:rsidR="000B3EA0" w:rsidRPr="003111E1" w:rsidRDefault="000B3EA0" w:rsidP="00661F94">
            <w:pPr>
              <w:ind w:rightChars="100" w:right="240"/>
              <w:jc w:val="right"/>
            </w:pPr>
            <w:r w:rsidRPr="003111E1">
              <w:t>282</w:t>
            </w:r>
          </w:p>
        </w:tc>
        <w:tc>
          <w:tcPr>
            <w:tcW w:w="1202" w:type="dxa"/>
            <w:tcBorders>
              <w:left w:val="nil"/>
            </w:tcBorders>
            <w:vAlign w:val="center"/>
          </w:tcPr>
          <w:p w:rsidR="000B3EA0" w:rsidRPr="003111E1" w:rsidRDefault="000B3EA0" w:rsidP="00661F94">
            <w:pPr>
              <w:ind w:rightChars="100" w:right="240"/>
              <w:jc w:val="right"/>
            </w:pPr>
            <w:r w:rsidRPr="003111E1">
              <w:t>45.54</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電力供應業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52</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tcBorders>
            <w:vAlign w:val="center"/>
          </w:tcPr>
          <w:p w:rsidR="000B3EA0" w:rsidRPr="003111E1" w:rsidRDefault="000B3EA0" w:rsidP="00923489">
            <w:pPr>
              <w:ind w:rightChars="100" w:right="240"/>
              <w:jc w:val="right"/>
            </w:pPr>
            <w:r w:rsidRPr="003111E1">
              <w:t>2</w:t>
            </w:r>
          </w:p>
        </w:tc>
        <w:tc>
          <w:tcPr>
            <w:tcW w:w="1202" w:type="dxa"/>
            <w:vAlign w:val="center"/>
          </w:tcPr>
          <w:p w:rsidR="000B3EA0" w:rsidRPr="003111E1" w:rsidRDefault="000B3EA0" w:rsidP="00923489">
            <w:pPr>
              <w:ind w:rightChars="100" w:right="240"/>
              <w:jc w:val="right"/>
            </w:pPr>
            <w:r w:rsidRPr="003111E1">
              <w:t>14</w:t>
            </w:r>
          </w:p>
        </w:tc>
        <w:tc>
          <w:tcPr>
            <w:tcW w:w="1202" w:type="dxa"/>
            <w:tcBorders>
              <w:left w:val="nil"/>
            </w:tcBorders>
            <w:vAlign w:val="center"/>
          </w:tcPr>
          <w:p w:rsidR="000B3EA0" w:rsidRPr="003111E1" w:rsidRDefault="000B3EA0" w:rsidP="00923489">
            <w:pPr>
              <w:ind w:rightChars="100" w:right="240"/>
              <w:jc w:val="right"/>
            </w:pPr>
            <w:r w:rsidRPr="003111E1">
              <w:t>27.22</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批發、物流業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654</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630</w:t>
            </w:r>
          </w:p>
        </w:tc>
        <w:tc>
          <w:tcPr>
            <w:tcW w:w="1202" w:type="dxa"/>
            <w:tcBorders>
              <w:left w:val="single" w:sz="8" w:space="0" w:color="auto"/>
            </w:tcBorders>
            <w:vAlign w:val="center"/>
          </w:tcPr>
          <w:p w:rsidR="000B3EA0" w:rsidRPr="003111E1" w:rsidRDefault="000B3EA0" w:rsidP="00923489">
            <w:pPr>
              <w:ind w:rightChars="100" w:right="240"/>
              <w:jc w:val="right"/>
            </w:pPr>
            <w:r w:rsidRPr="003111E1">
              <w:t>84</w:t>
            </w:r>
          </w:p>
        </w:tc>
        <w:tc>
          <w:tcPr>
            <w:tcW w:w="1202" w:type="dxa"/>
            <w:vAlign w:val="center"/>
          </w:tcPr>
          <w:p w:rsidR="000B3EA0" w:rsidRPr="003111E1" w:rsidRDefault="000B3EA0" w:rsidP="00661F94">
            <w:pPr>
              <w:ind w:rightChars="100" w:right="240"/>
              <w:jc w:val="right"/>
            </w:pPr>
            <w:r w:rsidRPr="003111E1">
              <w:t>205</w:t>
            </w:r>
          </w:p>
        </w:tc>
        <w:tc>
          <w:tcPr>
            <w:tcW w:w="1202" w:type="dxa"/>
            <w:tcBorders>
              <w:left w:val="nil"/>
            </w:tcBorders>
            <w:vAlign w:val="center"/>
          </w:tcPr>
          <w:p w:rsidR="000B3EA0" w:rsidRPr="003111E1" w:rsidRDefault="000B3EA0" w:rsidP="00661F94">
            <w:pPr>
              <w:ind w:rightChars="100" w:right="240"/>
              <w:jc w:val="right"/>
            </w:pPr>
            <w:r w:rsidRPr="003111E1">
              <w:t>32.49</w:t>
            </w:r>
          </w:p>
        </w:tc>
      </w:tr>
      <w:tr w:rsidR="000B3EA0" w:rsidRPr="003111E1" w:rsidTr="00CE5399">
        <w:trPr>
          <w:cantSplit/>
          <w:trHeight w:val="227"/>
        </w:trPr>
        <w:tc>
          <w:tcPr>
            <w:tcW w:w="1551" w:type="dxa"/>
            <w:tcBorders>
              <w:bottom w:val="single" w:sz="8" w:space="0" w:color="auto"/>
              <w:right w:val="single" w:sz="8" w:space="0" w:color="auto"/>
            </w:tcBorders>
            <w:vAlign w:val="center"/>
          </w:tcPr>
          <w:p w:rsidR="000B3EA0" w:rsidRPr="003111E1" w:rsidRDefault="000B3EA0" w:rsidP="008E3E1B">
            <w:pPr>
              <w:snapToGrid w:val="0"/>
              <w:jc w:val="both"/>
              <w:rPr>
                <w:rFonts w:eastAsia="標楷體"/>
                <w:kern w:val="0"/>
              </w:rPr>
            </w:pPr>
            <w:r w:rsidRPr="003111E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19</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bottom w:val="single" w:sz="8" w:space="0" w:color="auto"/>
            </w:tcBorders>
            <w:vAlign w:val="center"/>
          </w:tcPr>
          <w:p w:rsidR="000B3EA0" w:rsidRPr="003111E1" w:rsidRDefault="000B3EA0" w:rsidP="00923489">
            <w:pPr>
              <w:ind w:rightChars="100" w:right="240"/>
              <w:jc w:val="right"/>
            </w:pPr>
            <w:r w:rsidRPr="003111E1">
              <w:t>1</w:t>
            </w:r>
          </w:p>
        </w:tc>
        <w:tc>
          <w:tcPr>
            <w:tcW w:w="1202" w:type="dxa"/>
            <w:tcBorders>
              <w:bottom w:val="single" w:sz="8" w:space="0" w:color="auto"/>
            </w:tcBorders>
            <w:vAlign w:val="center"/>
          </w:tcPr>
          <w:p w:rsidR="000B3EA0" w:rsidRPr="003111E1" w:rsidRDefault="000B3EA0" w:rsidP="00923489">
            <w:pPr>
              <w:ind w:rightChars="100" w:right="240"/>
              <w:jc w:val="right"/>
            </w:pPr>
            <w:r w:rsidRPr="003111E1">
              <w:t>11</w:t>
            </w:r>
          </w:p>
        </w:tc>
        <w:tc>
          <w:tcPr>
            <w:tcW w:w="1202" w:type="dxa"/>
            <w:tcBorders>
              <w:left w:val="nil"/>
              <w:bottom w:val="single" w:sz="8" w:space="0" w:color="auto"/>
            </w:tcBorders>
            <w:vAlign w:val="center"/>
          </w:tcPr>
          <w:p w:rsidR="000B3EA0" w:rsidRPr="003111E1" w:rsidRDefault="000B3EA0" w:rsidP="00923489">
            <w:pPr>
              <w:ind w:rightChars="100" w:right="240"/>
              <w:jc w:val="right"/>
            </w:pPr>
            <w:r w:rsidRPr="003111E1">
              <w:t>22.00</w:t>
            </w:r>
          </w:p>
        </w:tc>
      </w:tr>
      <w:tr w:rsidR="000B3EA0" w:rsidRPr="003111E1" w:rsidTr="00CE5399">
        <w:trPr>
          <w:cantSplit/>
          <w:trHeight w:val="227"/>
        </w:trPr>
        <w:tc>
          <w:tcPr>
            <w:tcW w:w="1551" w:type="dxa"/>
            <w:tcBorders>
              <w:top w:val="single" w:sz="8" w:space="0" w:color="auto"/>
              <w:bottom w:val="single" w:sz="8" w:space="0" w:color="auto"/>
              <w:right w:val="single" w:sz="8" w:space="0" w:color="auto"/>
            </w:tcBorders>
            <w:vAlign w:val="center"/>
          </w:tcPr>
          <w:p w:rsidR="000B3EA0" w:rsidRPr="003111E1" w:rsidRDefault="000B3EA0" w:rsidP="008E3E1B">
            <w:pPr>
              <w:jc w:val="both"/>
              <w:rPr>
                <w:rFonts w:eastAsia="標楷體"/>
              </w:rPr>
            </w:pPr>
            <w:r w:rsidRPr="00EC4A60">
              <w:rPr>
                <w:rFonts w:eastAsia="標楷體"/>
                <w:spacing w:val="315"/>
                <w:kern w:val="0"/>
                <w:fitText w:val="1134" w:id="150635009"/>
              </w:rPr>
              <w:t>總</w:t>
            </w:r>
            <w:r w:rsidRPr="00EC4A60">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11,078</w:t>
            </w:r>
          </w:p>
        </w:tc>
        <w:tc>
          <w:tcPr>
            <w:tcW w:w="1202"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12,000</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661F94">
            <w:pPr>
              <w:ind w:rightChars="100" w:right="240"/>
              <w:jc w:val="right"/>
            </w:pPr>
            <w:r w:rsidRPr="003111E1">
              <w:t>1,251</w:t>
            </w:r>
          </w:p>
        </w:tc>
        <w:tc>
          <w:tcPr>
            <w:tcW w:w="1202" w:type="dxa"/>
            <w:tcBorders>
              <w:top w:val="single" w:sz="8" w:space="0" w:color="auto"/>
              <w:bottom w:val="single" w:sz="8" w:space="0" w:color="auto"/>
            </w:tcBorders>
            <w:vAlign w:val="center"/>
          </w:tcPr>
          <w:p w:rsidR="000B3EA0" w:rsidRPr="003111E1" w:rsidRDefault="000B3EA0" w:rsidP="00661F94">
            <w:pPr>
              <w:ind w:rightChars="100" w:right="240"/>
              <w:jc w:val="right"/>
            </w:pPr>
            <w:r w:rsidRPr="003111E1">
              <w:t>6,232</w:t>
            </w:r>
          </w:p>
        </w:tc>
        <w:tc>
          <w:tcPr>
            <w:tcW w:w="1202" w:type="dxa"/>
            <w:tcBorders>
              <w:top w:val="single" w:sz="8" w:space="0" w:color="auto"/>
              <w:left w:val="nil"/>
              <w:bottom w:val="single" w:sz="8" w:space="0" w:color="auto"/>
            </w:tcBorders>
            <w:vAlign w:val="center"/>
          </w:tcPr>
          <w:p w:rsidR="000B3EA0" w:rsidRPr="003111E1" w:rsidRDefault="000B3EA0" w:rsidP="00661F94">
            <w:pPr>
              <w:ind w:rightChars="100" w:right="240"/>
              <w:jc w:val="right"/>
            </w:pPr>
            <w:r w:rsidRPr="003111E1">
              <w:t>51.94</w:t>
            </w:r>
          </w:p>
        </w:tc>
      </w:tr>
    </w:tbl>
    <w:p w:rsidR="00576223" w:rsidRPr="003111E1" w:rsidRDefault="00576223" w:rsidP="00576223">
      <w:pPr>
        <w:pStyle w:val="ad"/>
        <w:snapToGrid w:val="0"/>
        <w:spacing w:line="240" w:lineRule="atLeast"/>
        <w:ind w:leftChars="0" w:left="0" w:firstLineChars="0" w:firstLine="0"/>
        <w:rPr>
          <w:szCs w:val="22"/>
        </w:rPr>
      </w:pPr>
      <w:proofErr w:type="gramStart"/>
      <w:r w:rsidRPr="003111E1">
        <w:rPr>
          <w:szCs w:val="22"/>
        </w:rPr>
        <w:t>註</w:t>
      </w:r>
      <w:proofErr w:type="gramEnd"/>
      <w:r w:rsidRPr="003111E1">
        <w:rPr>
          <w:szCs w:val="22"/>
        </w:rPr>
        <w:t>：列報統計之投資案件金額無任何限制。</w:t>
      </w:r>
    </w:p>
    <w:p w:rsidR="00576223" w:rsidRPr="003111E1" w:rsidRDefault="00576223" w:rsidP="00576223">
      <w:pPr>
        <w:pStyle w:val="ad"/>
        <w:snapToGrid w:val="0"/>
        <w:spacing w:line="240" w:lineRule="atLeast"/>
        <w:ind w:leftChars="0" w:left="0" w:firstLineChars="0" w:firstLine="0"/>
        <w:rPr>
          <w:szCs w:val="22"/>
        </w:rPr>
      </w:pPr>
      <w:r w:rsidRPr="003111E1">
        <w:rPr>
          <w:szCs w:val="22"/>
        </w:rPr>
        <w:t>資料來源：</w:t>
      </w:r>
      <w:r w:rsidR="002D32BD" w:rsidRPr="003111E1">
        <w:rPr>
          <w:szCs w:val="22"/>
        </w:rPr>
        <w:t>行政院全球招商聯合服務中心</w:t>
      </w:r>
      <w:r w:rsidRPr="003111E1">
        <w:rPr>
          <w:szCs w:val="22"/>
        </w:rPr>
        <w:t>。</w:t>
      </w:r>
    </w:p>
    <w:p w:rsidR="00576223" w:rsidRPr="003111E1" w:rsidRDefault="00576223" w:rsidP="00576223">
      <w:pPr>
        <w:pStyle w:val="ad"/>
        <w:snapToGrid w:val="0"/>
        <w:spacing w:line="240" w:lineRule="atLeast"/>
        <w:ind w:leftChars="0" w:left="0" w:firstLineChars="0" w:firstLine="0"/>
        <w:rPr>
          <w:color w:val="FF0000"/>
        </w:rPr>
      </w:pPr>
    </w:p>
    <w:p w:rsidR="00576223" w:rsidRPr="003111E1" w:rsidRDefault="00576223" w:rsidP="00002DAD">
      <w:pPr>
        <w:pStyle w:val="k3a"/>
        <w:tabs>
          <w:tab w:val="left" w:pos="540"/>
        </w:tabs>
        <w:spacing w:before="180" w:afterLines="50" w:after="180" w:line="300" w:lineRule="auto"/>
        <w:ind w:leftChars="0" w:left="0" w:rightChars="-136" w:right="-326" w:firstLineChars="0" w:firstLine="0"/>
        <w:rPr>
          <w:b/>
          <w:bCs/>
        </w:rPr>
      </w:pPr>
      <w:r w:rsidRPr="003111E1">
        <w:rPr>
          <w:b/>
          <w:bCs/>
        </w:rPr>
        <w:t>３、</w:t>
      </w:r>
      <w:r w:rsidR="00F24375" w:rsidRPr="003111E1">
        <w:rPr>
          <w:b/>
          <w:bCs/>
        </w:rPr>
        <w:t>102</w:t>
      </w:r>
      <w:r w:rsidR="00F24375" w:rsidRPr="003111E1">
        <w:rPr>
          <w:b/>
          <w:bCs/>
        </w:rPr>
        <w:t>年</w:t>
      </w:r>
      <w:r w:rsidR="00992A3D" w:rsidRPr="003111E1">
        <w:rPr>
          <w:b/>
          <w:bCs/>
        </w:rPr>
        <w:t>6</w:t>
      </w:r>
      <w:r w:rsidR="00F24375" w:rsidRPr="003111E1">
        <w:rPr>
          <w:b/>
          <w:bCs/>
        </w:rPr>
        <w:t>月僑外直接投資金額</w:t>
      </w:r>
      <w:r w:rsidR="00413ACF" w:rsidRPr="003111E1">
        <w:rPr>
          <w:b/>
          <w:bCs/>
        </w:rPr>
        <w:t>4.34</w:t>
      </w:r>
      <w:r w:rsidR="00F24375" w:rsidRPr="003111E1">
        <w:rPr>
          <w:b/>
          <w:bCs/>
        </w:rPr>
        <w:t>億美元，減少</w:t>
      </w:r>
      <w:r w:rsidR="008931A3" w:rsidRPr="003111E1">
        <w:rPr>
          <w:b/>
          <w:bCs/>
        </w:rPr>
        <w:t>75.57</w:t>
      </w:r>
      <w:r w:rsidR="00F24375" w:rsidRPr="003111E1">
        <w:rPr>
          <w:b/>
          <w:bCs/>
        </w:rPr>
        <w:t>％</w:t>
      </w:r>
    </w:p>
    <w:p w:rsidR="00E04718" w:rsidRPr="003111E1" w:rsidRDefault="00AA4C6D" w:rsidP="00506996">
      <w:pPr>
        <w:pStyle w:val="k32"/>
        <w:topLinePunct/>
        <w:ind w:left="0" w:rightChars="-59" w:firstLineChars="202" w:firstLine="566"/>
        <w:rPr>
          <w:color w:val="FF0000"/>
        </w:rPr>
      </w:pPr>
      <w:r w:rsidRPr="003111E1">
        <w:t>102</w:t>
      </w:r>
      <w:r w:rsidRPr="003111E1">
        <w:t>年</w:t>
      </w:r>
      <w:r w:rsidR="00413ACF" w:rsidRPr="003111E1">
        <w:t>6</w:t>
      </w:r>
      <w:r w:rsidRPr="003111E1">
        <w:t>月核准僑外直接投資件數為</w:t>
      </w:r>
      <w:r w:rsidR="00236F57" w:rsidRPr="003111E1">
        <w:t>2</w:t>
      </w:r>
      <w:r w:rsidR="00413ACF" w:rsidRPr="003111E1">
        <w:t>73</w:t>
      </w:r>
      <w:r w:rsidRPr="003111E1">
        <w:t>件，核准投資金額</w:t>
      </w:r>
      <w:r w:rsidR="00413ACF" w:rsidRPr="003111E1">
        <w:t>4.34</w:t>
      </w:r>
      <w:r w:rsidRPr="003111E1">
        <w:t>億美元，較</w:t>
      </w:r>
      <w:r w:rsidR="00357E8F">
        <w:rPr>
          <w:rFonts w:hint="eastAsia"/>
        </w:rPr>
        <w:t>上</w:t>
      </w:r>
      <w:r w:rsidRPr="003111E1">
        <w:t>年同月</w:t>
      </w:r>
      <w:r w:rsidR="00413ACF" w:rsidRPr="003111E1">
        <w:t>增加</w:t>
      </w:r>
      <w:r w:rsidR="00413ACF" w:rsidRPr="003111E1">
        <w:t>75.57</w:t>
      </w:r>
      <w:r w:rsidRPr="003111E1">
        <w:t>％；累計</w:t>
      </w:r>
      <w:r w:rsidRPr="003111E1">
        <w:t>1</w:t>
      </w:r>
      <w:r w:rsidRPr="003111E1">
        <w:t>至</w:t>
      </w:r>
      <w:r w:rsidR="00413ACF" w:rsidRPr="003111E1">
        <w:t>6</w:t>
      </w:r>
      <w:r w:rsidRPr="003111E1">
        <w:t>月核准僑外直接投資件數為</w:t>
      </w:r>
      <w:r w:rsidR="00236F57" w:rsidRPr="003111E1">
        <w:t>1,</w:t>
      </w:r>
      <w:r w:rsidR="00413ACF" w:rsidRPr="003111E1">
        <w:t>493</w:t>
      </w:r>
      <w:r w:rsidRPr="003111E1">
        <w:t>件，核准投資金額</w:t>
      </w:r>
      <w:r w:rsidR="00413ACF" w:rsidRPr="003111E1">
        <w:t>22.66</w:t>
      </w:r>
      <w:r w:rsidRPr="003111E1">
        <w:t>億美元，較</w:t>
      </w:r>
      <w:r w:rsidR="00357E8F">
        <w:rPr>
          <w:rFonts w:hint="eastAsia"/>
        </w:rPr>
        <w:t>上</w:t>
      </w:r>
      <w:r w:rsidRPr="003111E1">
        <w:t>年同</w:t>
      </w:r>
      <w:r w:rsidR="00413ACF" w:rsidRPr="003111E1">
        <w:t>期</w:t>
      </w:r>
      <w:r w:rsidRPr="003111E1">
        <w:t>減少</w:t>
      </w:r>
      <w:r w:rsidR="00413ACF" w:rsidRPr="003111E1">
        <w:t>4.05</w:t>
      </w:r>
      <w:r w:rsidRPr="003111E1">
        <w:t>％。就地區別來看，以加勒比海英國屬地（</w:t>
      </w:r>
      <w:r w:rsidRPr="003111E1">
        <w:t>2</w:t>
      </w:r>
      <w:r w:rsidR="00413ACF" w:rsidRPr="003111E1">
        <w:t>9.47</w:t>
      </w:r>
      <w:r w:rsidRPr="003111E1">
        <w:t>％，主要為英屬維京群島、英屬蓋曼群島）、澳大利亞（</w:t>
      </w:r>
      <w:r w:rsidR="00413ACF" w:rsidRPr="003111E1">
        <w:t>13.49</w:t>
      </w:r>
      <w:r w:rsidRPr="003111E1">
        <w:t>％）、</w:t>
      </w:r>
      <w:r w:rsidR="00413ACF" w:rsidRPr="003111E1">
        <w:t>美國（</w:t>
      </w:r>
      <w:r w:rsidR="00413ACF" w:rsidRPr="003111E1">
        <w:t>10.19</w:t>
      </w:r>
      <w:r w:rsidR="00413ACF" w:rsidRPr="003111E1">
        <w:t>％）、</w:t>
      </w:r>
      <w:r w:rsidRPr="003111E1">
        <w:t>薩摩亞（</w:t>
      </w:r>
      <w:r w:rsidR="00413ACF" w:rsidRPr="003111E1">
        <w:t>9.61</w:t>
      </w:r>
      <w:r w:rsidRPr="003111E1">
        <w:t>％）及</w:t>
      </w:r>
      <w:r w:rsidR="00413ACF" w:rsidRPr="003111E1">
        <w:t>香港</w:t>
      </w:r>
      <w:r w:rsidRPr="003111E1">
        <w:t>（</w:t>
      </w:r>
      <w:r w:rsidR="00413ACF" w:rsidRPr="003111E1">
        <w:t>8.03</w:t>
      </w:r>
      <w:r w:rsidRPr="003111E1">
        <w:t>％）分居前</w:t>
      </w:r>
      <w:r w:rsidRPr="003111E1">
        <w:t>5</w:t>
      </w:r>
      <w:r w:rsidRPr="003111E1">
        <w:t>名，合計約占</w:t>
      </w:r>
      <w:r w:rsidR="00D07167">
        <w:rPr>
          <w:rFonts w:hint="eastAsia"/>
        </w:rPr>
        <w:t>1</w:t>
      </w:r>
      <w:r w:rsidR="00D07167">
        <w:rPr>
          <w:rFonts w:hint="eastAsia"/>
        </w:rPr>
        <w:t>至</w:t>
      </w:r>
      <w:r w:rsidR="00D07167">
        <w:rPr>
          <w:rFonts w:hint="eastAsia"/>
        </w:rPr>
        <w:t>6</w:t>
      </w:r>
      <w:r w:rsidR="00D07167">
        <w:rPr>
          <w:rFonts w:hint="eastAsia"/>
        </w:rPr>
        <w:t>月</w:t>
      </w:r>
      <w:r w:rsidRPr="003111E1">
        <w:t>僑外投資總額的</w:t>
      </w:r>
      <w:r w:rsidRPr="003111E1">
        <w:t>7</w:t>
      </w:r>
      <w:r w:rsidR="00413ACF" w:rsidRPr="003111E1">
        <w:t>0.79</w:t>
      </w:r>
      <w:r w:rsidRPr="003111E1">
        <w:t>％。若就業別觀之，僑外投資以金融及保險業（</w:t>
      </w:r>
      <w:r w:rsidR="00413ACF" w:rsidRPr="003111E1">
        <w:t>37.39</w:t>
      </w:r>
      <w:r w:rsidRPr="003111E1">
        <w:t>％）</w:t>
      </w:r>
      <w:r w:rsidR="00413ACF" w:rsidRPr="003111E1">
        <w:t>、不動產業（</w:t>
      </w:r>
      <w:r w:rsidR="00413ACF" w:rsidRPr="003111E1">
        <w:t>10.85</w:t>
      </w:r>
      <w:r w:rsidR="00413ACF" w:rsidRPr="003111E1">
        <w:t>％）</w:t>
      </w:r>
      <w:r w:rsidRPr="003111E1">
        <w:t>、批發及零售業（</w:t>
      </w:r>
      <w:r w:rsidR="00413ACF" w:rsidRPr="003111E1">
        <w:t>10.83</w:t>
      </w:r>
      <w:r w:rsidRPr="003111E1">
        <w:t>％）</w:t>
      </w:r>
      <w:r w:rsidR="00FD7872" w:rsidRPr="003111E1">
        <w:t>、</w:t>
      </w:r>
      <w:r w:rsidRPr="003111E1">
        <w:t>電子零組件製造業（</w:t>
      </w:r>
      <w:r w:rsidR="00413ACF" w:rsidRPr="003111E1">
        <w:t>6.57</w:t>
      </w:r>
      <w:r w:rsidR="00CE7968">
        <w:rPr>
          <w:rFonts w:hint="eastAsia"/>
        </w:rPr>
        <w:t>％</w:t>
      </w:r>
      <w:r w:rsidRPr="003111E1">
        <w:t>）及</w:t>
      </w:r>
      <w:r w:rsidR="00413ACF" w:rsidRPr="003111E1">
        <w:t>支援服務業</w:t>
      </w:r>
      <w:r w:rsidR="00FD7872" w:rsidRPr="003111E1">
        <w:t>（</w:t>
      </w:r>
      <w:r w:rsidR="00FD7872" w:rsidRPr="003111E1">
        <w:t>5.</w:t>
      </w:r>
      <w:r w:rsidR="00413ACF" w:rsidRPr="003111E1">
        <w:t>30</w:t>
      </w:r>
      <w:r w:rsidRPr="003111E1">
        <w:t>％）分居前</w:t>
      </w:r>
      <w:r w:rsidRPr="003111E1">
        <w:t>5</w:t>
      </w:r>
      <w:r w:rsidRPr="003111E1">
        <w:t>名，合計約占</w:t>
      </w:r>
      <w:r w:rsidR="00D07167">
        <w:rPr>
          <w:rFonts w:hint="eastAsia"/>
        </w:rPr>
        <w:t>1</w:t>
      </w:r>
      <w:r w:rsidR="00D07167">
        <w:rPr>
          <w:rFonts w:hint="eastAsia"/>
        </w:rPr>
        <w:t>至</w:t>
      </w:r>
      <w:r w:rsidR="00D07167">
        <w:rPr>
          <w:rFonts w:hint="eastAsia"/>
        </w:rPr>
        <w:t>6</w:t>
      </w:r>
      <w:r w:rsidR="00D07167">
        <w:rPr>
          <w:rFonts w:hint="eastAsia"/>
        </w:rPr>
        <w:t>月</w:t>
      </w:r>
      <w:r w:rsidRPr="003111E1">
        <w:t>僑外投資總額的</w:t>
      </w:r>
      <w:r w:rsidR="00413ACF" w:rsidRPr="003111E1">
        <w:t>70.94</w:t>
      </w:r>
      <w:r w:rsidRPr="003111E1">
        <w:t>％。</w:t>
      </w:r>
    </w:p>
    <w:p w:rsidR="00576223" w:rsidRPr="003111E1" w:rsidRDefault="00AA4C6D" w:rsidP="00506996">
      <w:pPr>
        <w:pStyle w:val="k32"/>
        <w:topLinePunct/>
        <w:ind w:left="0" w:rightChars="-59" w:firstLineChars="202" w:firstLine="566"/>
      </w:pPr>
      <w:r w:rsidRPr="003111E1">
        <w:t>我國外人投資的方式除了僑外投資外，亦來自國內、外金融市場募集資金。依據金管會統計，</w:t>
      </w:r>
      <w:r w:rsidRPr="003111E1">
        <w:t>102</w:t>
      </w:r>
      <w:r w:rsidRPr="003111E1">
        <w:t>年</w:t>
      </w:r>
      <w:r w:rsidR="00B06B88" w:rsidRPr="003111E1">
        <w:t>6</w:t>
      </w:r>
      <w:r w:rsidRPr="003111E1">
        <w:t>月外資投資我國股市淨匯</w:t>
      </w:r>
      <w:r w:rsidR="00B70A77" w:rsidRPr="003111E1">
        <w:t>出</w:t>
      </w:r>
      <w:r w:rsidRPr="003111E1">
        <w:t>金額</w:t>
      </w:r>
      <w:r w:rsidR="00B70A77" w:rsidRPr="003111E1">
        <w:t>29.60</w:t>
      </w:r>
      <w:r w:rsidRPr="003111E1">
        <w:t>億美元；累計</w:t>
      </w:r>
      <w:r w:rsidRPr="003111E1">
        <w:t>1</w:t>
      </w:r>
      <w:r w:rsidRPr="003111E1">
        <w:t>至</w:t>
      </w:r>
      <w:r w:rsidR="00B06B88" w:rsidRPr="003111E1">
        <w:t>6</w:t>
      </w:r>
      <w:r w:rsidRPr="003111E1">
        <w:t>月淨匯入</w:t>
      </w:r>
      <w:r w:rsidR="00B70A77" w:rsidRPr="003111E1">
        <w:t>36.46</w:t>
      </w:r>
      <w:r w:rsidRPr="003111E1">
        <w:t>億美元。</w:t>
      </w:r>
    </w:p>
    <w:p w:rsidR="00576223" w:rsidRPr="003111E1" w:rsidRDefault="00576223" w:rsidP="00576223">
      <w:pPr>
        <w:pStyle w:val="k32"/>
        <w:topLinePunct/>
        <w:ind w:left="0" w:rightChars="-59" w:firstLineChars="0" w:firstLine="0"/>
        <w:jc w:val="right"/>
      </w:pPr>
      <w:r w:rsidRPr="003111E1">
        <w:rPr>
          <w:b/>
          <w:bCs/>
        </w:rPr>
        <w:lastRenderedPageBreak/>
        <w:t>表</w:t>
      </w:r>
      <w:r w:rsidRPr="003111E1">
        <w:rPr>
          <w:b/>
          <w:bCs/>
        </w:rPr>
        <w:t xml:space="preserve"> 2-6-3  </w:t>
      </w:r>
      <w:r w:rsidRPr="003111E1">
        <w:rPr>
          <w:b/>
          <w:bCs/>
        </w:rPr>
        <w:t>外資投入概況</w:t>
      </w:r>
      <w:r w:rsidRPr="003111E1">
        <w:t xml:space="preserve">           </w:t>
      </w:r>
      <w:r w:rsidRPr="003111E1">
        <w:rPr>
          <w:sz w:val="24"/>
          <w:szCs w:val="24"/>
        </w:rPr>
        <w:t>單位：億美元</w:t>
      </w:r>
      <w:r w:rsidRPr="003111E1">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462FA9" w:rsidRPr="003111E1" w:rsidTr="00200ABF">
        <w:trPr>
          <w:tblHeader/>
          <w:jc w:val="center"/>
        </w:trPr>
        <w:tc>
          <w:tcPr>
            <w:tcW w:w="1514" w:type="dxa"/>
            <w:tcBorders>
              <w:bottom w:val="single" w:sz="8" w:space="0" w:color="auto"/>
            </w:tcBorders>
          </w:tcPr>
          <w:p w:rsidR="00576223" w:rsidRPr="003111E1" w:rsidRDefault="009761DA" w:rsidP="00200ABF">
            <w:pPr>
              <w:snapToGrid w:val="0"/>
              <w:spacing w:line="40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1314"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僑外投資</w:t>
            </w:r>
          </w:p>
          <w:p w:rsidR="00576223" w:rsidRPr="003111E1" w:rsidRDefault="00576223" w:rsidP="00200ABF">
            <w:pPr>
              <w:snapToGrid w:val="0"/>
              <w:spacing w:line="400" w:lineRule="exact"/>
              <w:jc w:val="center"/>
              <w:rPr>
                <w:rFonts w:eastAsia="標楷體"/>
              </w:rPr>
            </w:pPr>
            <w:r w:rsidRPr="003111E1">
              <w:rPr>
                <w:rFonts w:eastAsia="標楷體"/>
              </w:rPr>
              <w:t>總額</w:t>
            </w:r>
          </w:p>
        </w:tc>
        <w:tc>
          <w:tcPr>
            <w:tcW w:w="1788"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外資投入股市</w:t>
            </w:r>
          </w:p>
          <w:p w:rsidR="00576223" w:rsidRPr="003111E1" w:rsidRDefault="00576223" w:rsidP="00200ABF">
            <w:pPr>
              <w:snapToGrid w:val="0"/>
              <w:spacing w:line="400" w:lineRule="exact"/>
              <w:jc w:val="center"/>
              <w:rPr>
                <w:rFonts w:eastAsia="標楷體"/>
              </w:rPr>
            </w:pPr>
            <w:r w:rsidRPr="003111E1">
              <w:rPr>
                <w:rFonts w:eastAsia="標楷體"/>
              </w:rPr>
              <w:t>匯入淨額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存託憑證金額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公司債金額</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97</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82.32</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-128.37</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8.95</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11.05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98</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47.98</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262.14</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26.02</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4.25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99</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38.12</w:t>
            </w:r>
          </w:p>
        </w:tc>
        <w:tc>
          <w:tcPr>
            <w:tcW w:w="1788" w:type="dxa"/>
            <w:tcBorders>
              <w:top w:val="nil"/>
              <w:left w:val="nil"/>
              <w:bottom w:val="nil"/>
              <w:right w:val="nil"/>
            </w:tcBorders>
          </w:tcPr>
          <w:p w:rsidR="00576223" w:rsidRPr="003111E1" w:rsidRDefault="00576223" w:rsidP="00200ABF">
            <w:pPr>
              <w:snapToGrid w:val="0"/>
              <w:spacing w:line="400" w:lineRule="exact"/>
              <w:ind w:rightChars="100" w:right="240"/>
              <w:jc w:val="center"/>
              <w:rPr>
                <w:rFonts w:eastAsia="標楷體"/>
                <w:b/>
                <w:bCs/>
              </w:rPr>
            </w:pPr>
            <w:r w:rsidRPr="003111E1">
              <w:rPr>
                <w:rFonts w:eastAsia="標楷體"/>
                <w:b/>
                <w:bCs/>
              </w:rPr>
              <w:t>165.76</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14.34</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28.99</w:t>
            </w:r>
          </w:p>
        </w:tc>
      </w:tr>
      <w:tr w:rsidR="00462FA9" w:rsidRPr="003111E1" w:rsidTr="00200ABF">
        <w:trPr>
          <w:jc w:val="center"/>
        </w:trPr>
        <w:tc>
          <w:tcPr>
            <w:tcW w:w="1514" w:type="dxa"/>
            <w:tcBorders>
              <w:top w:val="nil"/>
              <w:bottom w:val="nil"/>
              <w:right w:val="single" w:sz="4"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576223" w:rsidRPr="003111E1">
              <w:rPr>
                <w:rFonts w:eastAsia="標楷體"/>
                <w:b/>
                <w:bCs/>
              </w:rPr>
              <w:t>100</w:t>
            </w:r>
            <w:r w:rsidR="00576223" w:rsidRPr="003111E1">
              <w:rPr>
                <w:rFonts w:eastAsia="標楷體"/>
                <w:b/>
                <w:bCs/>
              </w:rPr>
              <w:t>年</w:t>
            </w:r>
          </w:p>
        </w:tc>
        <w:tc>
          <w:tcPr>
            <w:tcW w:w="1314" w:type="dxa"/>
            <w:tcBorders>
              <w:top w:val="nil"/>
              <w:left w:val="single" w:sz="4" w:space="0" w:color="auto"/>
              <w:bottom w:val="nil"/>
              <w:right w:val="nil"/>
            </w:tcBorders>
          </w:tcPr>
          <w:p w:rsidR="00576223" w:rsidRPr="003111E1" w:rsidRDefault="00576223" w:rsidP="00200ABF">
            <w:pPr>
              <w:snapToGrid w:val="0"/>
              <w:spacing w:line="400" w:lineRule="exact"/>
              <w:ind w:rightChars="100" w:right="240"/>
              <w:jc w:val="right"/>
              <w:rPr>
                <w:rFonts w:eastAsia="標楷體"/>
              </w:rPr>
            </w:pPr>
            <w:r w:rsidRPr="003111E1">
              <w:rPr>
                <w:rFonts w:eastAsia="標楷體"/>
              </w:rPr>
              <w:t>49.55</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-97.93</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rPr>
            </w:pPr>
            <w:r w:rsidRPr="003111E1">
              <w:rPr>
                <w:rFonts w:eastAsia="標楷體"/>
              </w:rPr>
              <w:t>14.70</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29.75</w:t>
            </w:r>
          </w:p>
        </w:tc>
      </w:tr>
      <w:tr w:rsidR="00462FA9" w:rsidRPr="003111E1" w:rsidTr="00200ABF">
        <w:trPr>
          <w:jc w:val="center"/>
        </w:trPr>
        <w:tc>
          <w:tcPr>
            <w:tcW w:w="1514" w:type="dxa"/>
            <w:tcBorders>
              <w:top w:val="nil"/>
              <w:bottom w:val="nil"/>
              <w:right w:val="single" w:sz="4" w:space="0" w:color="auto"/>
            </w:tcBorders>
          </w:tcPr>
          <w:p w:rsidR="008B77E9" w:rsidRPr="003111E1" w:rsidRDefault="00721238" w:rsidP="00721238">
            <w:pPr>
              <w:snapToGrid w:val="0"/>
              <w:spacing w:line="400" w:lineRule="exact"/>
              <w:jc w:val="both"/>
              <w:rPr>
                <w:rFonts w:eastAsia="標楷體"/>
                <w:b/>
                <w:bCs/>
              </w:rPr>
            </w:pPr>
            <w:r w:rsidRPr="003111E1">
              <w:rPr>
                <w:rFonts w:eastAsia="標楷體"/>
                <w:b/>
                <w:bCs/>
              </w:rPr>
              <w:t xml:space="preserve"> </w:t>
            </w:r>
            <w:r w:rsidR="008B77E9" w:rsidRPr="003111E1">
              <w:rPr>
                <w:rFonts w:eastAsia="標楷體"/>
                <w:b/>
                <w:bCs/>
              </w:rPr>
              <w:t>101</w:t>
            </w:r>
            <w:r w:rsidR="008B77E9" w:rsidRPr="003111E1">
              <w:rPr>
                <w:rFonts w:eastAsia="標楷體"/>
                <w:b/>
                <w:bCs/>
              </w:rPr>
              <w:t>年</w:t>
            </w:r>
          </w:p>
        </w:tc>
        <w:tc>
          <w:tcPr>
            <w:tcW w:w="1314" w:type="dxa"/>
            <w:tcBorders>
              <w:top w:val="nil"/>
              <w:left w:val="single" w:sz="4" w:space="0" w:color="auto"/>
              <w:bottom w:val="nil"/>
              <w:right w:val="nil"/>
            </w:tcBorders>
          </w:tcPr>
          <w:p w:rsidR="008B77E9" w:rsidRPr="003111E1" w:rsidRDefault="00990E3B" w:rsidP="00990E3B">
            <w:pPr>
              <w:snapToGrid w:val="0"/>
              <w:spacing w:line="400" w:lineRule="exact"/>
              <w:ind w:rightChars="100" w:right="240"/>
              <w:jc w:val="right"/>
              <w:rPr>
                <w:b/>
                <w:bCs/>
              </w:rPr>
            </w:pPr>
            <w:r w:rsidRPr="003111E1">
              <w:rPr>
                <w:b/>
                <w:bCs/>
              </w:rPr>
              <w:t>55</w:t>
            </w:r>
            <w:r w:rsidR="003B76C6" w:rsidRPr="003111E1">
              <w:rPr>
                <w:b/>
                <w:bCs/>
              </w:rPr>
              <w:t>.</w:t>
            </w:r>
            <w:r w:rsidRPr="003111E1">
              <w:rPr>
                <w:b/>
                <w:bCs/>
              </w:rPr>
              <w:t>5</w:t>
            </w:r>
            <w:r w:rsidR="003B76C6" w:rsidRPr="003111E1">
              <w:rPr>
                <w:b/>
                <w:bCs/>
              </w:rPr>
              <w:t>9</w:t>
            </w:r>
          </w:p>
        </w:tc>
        <w:tc>
          <w:tcPr>
            <w:tcW w:w="1788" w:type="dxa"/>
            <w:tcBorders>
              <w:top w:val="nil"/>
              <w:left w:val="nil"/>
              <w:bottom w:val="nil"/>
              <w:right w:val="nil"/>
            </w:tcBorders>
          </w:tcPr>
          <w:p w:rsidR="008B77E9" w:rsidRPr="003111E1" w:rsidRDefault="00990E3B" w:rsidP="00990E3B">
            <w:pPr>
              <w:snapToGrid w:val="0"/>
              <w:spacing w:line="400" w:lineRule="exact"/>
              <w:ind w:rightChars="100" w:right="240"/>
              <w:jc w:val="center"/>
              <w:rPr>
                <w:b/>
                <w:bCs/>
              </w:rPr>
            </w:pPr>
            <w:r w:rsidRPr="003111E1">
              <w:rPr>
                <w:b/>
                <w:bCs/>
              </w:rPr>
              <w:t>73</w:t>
            </w:r>
            <w:r w:rsidR="00321EC8" w:rsidRPr="003111E1">
              <w:rPr>
                <w:b/>
                <w:bCs/>
              </w:rPr>
              <w:t>.</w:t>
            </w:r>
            <w:r w:rsidRPr="003111E1">
              <w:rPr>
                <w:b/>
                <w:bCs/>
              </w:rPr>
              <w:t>67</w:t>
            </w:r>
          </w:p>
        </w:tc>
        <w:tc>
          <w:tcPr>
            <w:tcW w:w="1782" w:type="dxa"/>
            <w:tcBorders>
              <w:top w:val="nil"/>
              <w:left w:val="nil"/>
              <w:bottom w:val="nil"/>
              <w:right w:val="nil"/>
            </w:tcBorders>
            <w:vAlign w:val="bottom"/>
          </w:tcPr>
          <w:p w:rsidR="008B77E9" w:rsidRPr="003111E1" w:rsidRDefault="00321EC8" w:rsidP="008E3E1B">
            <w:pPr>
              <w:tabs>
                <w:tab w:val="center" w:pos="572"/>
                <w:tab w:val="right" w:pos="1144"/>
              </w:tabs>
              <w:snapToGrid w:val="0"/>
              <w:spacing w:line="400" w:lineRule="exact"/>
              <w:ind w:rightChars="250" w:right="600"/>
              <w:jc w:val="right"/>
              <w:rPr>
                <w:rFonts w:eastAsia="標楷體"/>
                <w:b/>
                <w:bCs/>
              </w:rPr>
            </w:pPr>
            <w:r w:rsidRPr="003111E1">
              <w:rPr>
                <w:rFonts w:eastAsia="標楷體"/>
                <w:b/>
                <w:bCs/>
              </w:rPr>
              <w:t>9.83</w:t>
            </w:r>
          </w:p>
        </w:tc>
        <w:tc>
          <w:tcPr>
            <w:tcW w:w="1782" w:type="dxa"/>
            <w:tcBorders>
              <w:top w:val="nil"/>
              <w:left w:val="nil"/>
              <w:bottom w:val="nil"/>
            </w:tcBorders>
          </w:tcPr>
          <w:p w:rsidR="008B77E9" w:rsidRPr="003111E1" w:rsidRDefault="00321EC8" w:rsidP="008E3E1B">
            <w:pPr>
              <w:snapToGrid w:val="0"/>
              <w:spacing w:line="400" w:lineRule="exact"/>
              <w:ind w:rightChars="250" w:right="600"/>
              <w:jc w:val="right"/>
              <w:rPr>
                <w:rFonts w:eastAsia="標楷體"/>
                <w:b/>
                <w:bCs/>
              </w:rPr>
            </w:pPr>
            <w:r w:rsidRPr="003111E1">
              <w:rPr>
                <w:rFonts w:eastAsia="標楷體"/>
                <w:b/>
                <w:bCs/>
              </w:rPr>
              <w:t>8.95</w:t>
            </w:r>
          </w:p>
        </w:tc>
      </w:tr>
      <w:tr w:rsidR="00462FA9" w:rsidRPr="003111E1" w:rsidTr="00200ABF">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6</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2.47</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-3.44</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0.50</w:t>
            </w:r>
          </w:p>
        </w:tc>
      </w:tr>
      <w:tr w:rsidR="00462FA9" w:rsidRPr="003111E1" w:rsidTr="00200ABF">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7</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4.29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-27.94</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8</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2.89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18.39</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9</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8.52</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4.06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6.72</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10</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3.67</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7.90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1.08</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12.62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3.00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9.30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29.18</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462FA9">
            <w:pPr>
              <w:snapToGrid w:val="0"/>
              <w:spacing w:line="400" w:lineRule="exact"/>
              <w:ind w:rightChars="55" w:right="132"/>
              <w:rPr>
                <w:rFonts w:eastAsia="標楷體"/>
                <w:b/>
              </w:rPr>
            </w:pPr>
            <w:r w:rsidRPr="003111E1">
              <w:rPr>
                <w:rFonts w:eastAsia="標楷體"/>
                <w:b/>
              </w:rPr>
              <w:t>102</w:t>
            </w:r>
            <w:r w:rsidRPr="003111E1">
              <w:rPr>
                <w:rFonts w:eastAsia="標楷體"/>
                <w:b/>
              </w:rPr>
              <w:t>年</w:t>
            </w:r>
            <w:r w:rsidRPr="003111E1">
              <w:rPr>
                <w:rFonts w:eastAsia="標楷體"/>
                <w:b/>
              </w:rPr>
              <w:t>1~</w:t>
            </w:r>
            <w:r w:rsidR="00462FA9" w:rsidRPr="003111E1">
              <w:rPr>
                <w:rFonts w:eastAsia="標楷體"/>
                <w:b/>
              </w:rPr>
              <w:t>6</w:t>
            </w:r>
            <w:r w:rsidRPr="003111E1">
              <w:rPr>
                <w:rFonts w:eastAsia="標楷體"/>
                <w:b/>
              </w:rPr>
              <w:t>月</w:t>
            </w:r>
          </w:p>
        </w:tc>
        <w:tc>
          <w:tcPr>
            <w:tcW w:w="1314" w:type="dxa"/>
            <w:tcBorders>
              <w:top w:val="nil"/>
              <w:left w:val="single" w:sz="4" w:space="0" w:color="auto"/>
              <w:bottom w:val="nil"/>
              <w:right w:val="nil"/>
            </w:tcBorders>
          </w:tcPr>
          <w:p w:rsidR="00923489" w:rsidRPr="003111E1" w:rsidRDefault="00413ACF" w:rsidP="00FD7872">
            <w:pPr>
              <w:snapToGrid w:val="0"/>
              <w:spacing w:line="400" w:lineRule="exact"/>
              <w:ind w:rightChars="100" w:right="240"/>
              <w:jc w:val="right"/>
              <w:rPr>
                <w:b/>
              </w:rPr>
            </w:pPr>
            <w:r w:rsidRPr="003111E1">
              <w:rPr>
                <w:b/>
              </w:rPr>
              <w:t>22.66</w:t>
            </w:r>
          </w:p>
        </w:tc>
        <w:tc>
          <w:tcPr>
            <w:tcW w:w="1788" w:type="dxa"/>
            <w:tcBorders>
              <w:top w:val="nil"/>
              <w:left w:val="nil"/>
              <w:bottom w:val="nil"/>
              <w:right w:val="nil"/>
            </w:tcBorders>
          </w:tcPr>
          <w:p w:rsidR="00923489" w:rsidRPr="003111E1" w:rsidRDefault="00B70A77" w:rsidP="00B70A77">
            <w:pPr>
              <w:snapToGrid w:val="0"/>
              <w:spacing w:line="400" w:lineRule="exact"/>
              <w:ind w:rightChars="250" w:right="600"/>
              <w:jc w:val="right"/>
              <w:rPr>
                <w:rFonts w:eastAsia="標楷體"/>
                <w:b/>
              </w:rPr>
            </w:pPr>
            <w:r w:rsidRPr="003111E1">
              <w:rPr>
                <w:rFonts w:eastAsia="標楷體"/>
                <w:b/>
              </w:rPr>
              <w:t>36.46</w:t>
            </w:r>
          </w:p>
        </w:tc>
        <w:tc>
          <w:tcPr>
            <w:tcW w:w="1782" w:type="dxa"/>
            <w:tcBorders>
              <w:top w:val="nil"/>
              <w:left w:val="nil"/>
              <w:bottom w:val="nil"/>
              <w:right w:val="nil"/>
            </w:tcBorders>
            <w:vAlign w:val="bottom"/>
          </w:tcPr>
          <w:p w:rsidR="00923489" w:rsidRPr="003111E1" w:rsidRDefault="00B75439" w:rsidP="00B75439">
            <w:pPr>
              <w:tabs>
                <w:tab w:val="center" w:pos="572"/>
                <w:tab w:val="right" w:pos="1144"/>
              </w:tabs>
              <w:snapToGrid w:val="0"/>
              <w:spacing w:line="400" w:lineRule="exact"/>
              <w:ind w:rightChars="250" w:right="600"/>
              <w:jc w:val="right"/>
              <w:rPr>
                <w:rFonts w:eastAsia="標楷體"/>
                <w:b/>
                <w:bCs/>
              </w:rPr>
            </w:pPr>
            <w:r w:rsidRPr="003111E1">
              <w:rPr>
                <w:rFonts w:eastAsia="標楷體"/>
                <w:b/>
                <w:bCs/>
              </w:rPr>
              <w:t>12.74</w:t>
            </w:r>
          </w:p>
        </w:tc>
        <w:tc>
          <w:tcPr>
            <w:tcW w:w="1782" w:type="dxa"/>
            <w:tcBorders>
              <w:top w:val="nil"/>
              <w:left w:val="nil"/>
              <w:bottom w:val="nil"/>
            </w:tcBorders>
          </w:tcPr>
          <w:p w:rsidR="00923489" w:rsidRPr="003111E1" w:rsidRDefault="00923489" w:rsidP="00923489">
            <w:pPr>
              <w:tabs>
                <w:tab w:val="center" w:pos="572"/>
                <w:tab w:val="right" w:pos="1144"/>
              </w:tabs>
              <w:snapToGrid w:val="0"/>
              <w:spacing w:line="400" w:lineRule="exact"/>
              <w:ind w:rightChars="250" w:right="600"/>
              <w:jc w:val="right"/>
              <w:rPr>
                <w:rFonts w:eastAsia="標楷體"/>
                <w:b/>
                <w:bCs/>
              </w:rPr>
            </w:pPr>
            <w:r w:rsidRPr="003111E1">
              <w:rPr>
                <w:rFonts w:eastAsia="標楷體"/>
                <w:b/>
                <w:bCs/>
              </w:rPr>
              <w:t>1.30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3.09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6.62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A97E7B">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5.45</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1.30</w:t>
            </w:r>
          </w:p>
        </w:tc>
      </w:tr>
      <w:tr w:rsidR="00462FA9" w:rsidRPr="003111E1" w:rsidTr="007215C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3</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4.06</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-0.70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3.24</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7576E8">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4</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2.98</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11.90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62FA9">
        <w:trPr>
          <w:jc w:val="center"/>
        </w:trPr>
        <w:tc>
          <w:tcPr>
            <w:tcW w:w="1514" w:type="dxa"/>
            <w:tcBorders>
              <w:top w:val="nil"/>
              <w:bottom w:val="nil"/>
              <w:right w:val="single" w:sz="4" w:space="0" w:color="auto"/>
            </w:tcBorders>
          </w:tcPr>
          <w:p w:rsidR="007576E8" w:rsidRPr="003111E1" w:rsidRDefault="007576E8" w:rsidP="00923489">
            <w:pPr>
              <w:snapToGrid w:val="0"/>
              <w:spacing w:line="400" w:lineRule="exact"/>
              <w:ind w:rightChars="150" w:right="360"/>
              <w:jc w:val="right"/>
              <w:rPr>
                <w:rFonts w:eastAsia="標楷體"/>
              </w:rPr>
            </w:pPr>
            <w:r w:rsidRPr="003111E1">
              <w:rPr>
                <w:rFonts w:eastAsia="標楷體"/>
              </w:rPr>
              <w:t>5</w:t>
            </w:r>
            <w:r w:rsidRPr="003111E1">
              <w:rPr>
                <w:rFonts w:eastAsia="標楷體"/>
              </w:rPr>
              <w:t>月</w:t>
            </w:r>
          </w:p>
        </w:tc>
        <w:tc>
          <w:tcPr>
            <w:tcW w:w="1314" w:type="dxa"/>
            <w:tcBorders>
              <w:top w:val="nil"/>
              <w:left w:val="single" w:sz="4" w:space="0" w:color="auto"/>
              <w:bottom w:val="nil"/>
              <w:right w:val="nil"/>
            </w:tcBorders>
          </w:tcPr>
          <w:p w:rsidR="007576E8" w:rsidRPr="003111E1" w:rsidRDefault="00FD7872" w:rsidP="00923489">
            <w:pPr>
              <w:snapToGrid w:val="0"/>
              <w:spacing w:line="400" w:lineRule="exact"/>
              <w:ind w:rightChars="100" w:right="240"/>
              <w:jc w:val="right"/>
            </w:pPr>
            <w:r w:rsidRPr="003111E1">
              <w:t>2.74</w:t>
            </w:r>
          </w:p>
        </w:tc>
        <w:tc>
          <w:tcPr>
            <w:tcW w:w="1788" w:type="dxa"/>
            <w:tcBorders>
              <w:top w:val="nil"/>
              <w:left w:val="nil"/>
              <w:bottom w:val="nil"/>
              <w:right w:val="nil"/>
            </w:tcBorders>
          </w:tcPr>
          <w:p w:rsidR="007576E8" w:rsidRPr="003111E1" w:rsidRDefault="00362130" w:rsidP="00923489">
            <w:pPr>
              <w:snapToGrid w:val="0"/>
              <w:spacing w:line="400" w:lineRule="exact"/>
              <w:ind w:rightChars="250" w:right="600"/>
              <w:jc w:val="right"/>
              <w:rPr>
                <w:rFonts w:eastAsia="標楷體"/>
              </w:rPr>
            </w:pPr>
            <w:r w:rsidRPr="003111E1">
              <w:rPr>
                <w:rFonts w:eastAsia="標楷體"/>
              </w:rPr>
              <w:t>29.88</w:t>
            </w:r>
          </w:p>
        </w:tc>
        <w:tc>
          <w:tcPr>
            <w:tcW w:w="1782" w:type="dxa"/>
            <w:tcBorders>
              <w:top w:val="nil"/>
              <w:left w:val="nil"/>
              <w:bottom w:val="nil"/>
              <w:right w:val="nil"/>
            </w:tcBorders>
            <w:vAlign w:val="bottom"/>
          </w:tcPr>
          <w:p w:rsidR="007576E8" w:rsidRPr="003111E1" w:rsidRDefault="00B75439" w:rsidP="00923489">
            <w:pPr>
              <w:tabs>
                <w:tab w:val="center" w:pos="572"/>
                <w:tab w:val="right" w:pos="1144"/>
              </w:tabs>
              <w:snapToGrid w:val="0"/>
              <w:spacing w:line="400" w:lineRule="exact"/>
              <w:ind w:rightChars="250" w:right="600"/>
              <w:jc w:val="right"/>
              <w:rPr>
                <w:rFonts w:eastAsia="標楷體"/>
              </w:rPr>
            </w:pPr>
            <w:r w:rsidRPr="003111E1">
              <w:rPr>
                <w:rFonts w:eastAsia="標楷體"/>
              </w:rPr>
              <w:t>9.50</w:t>
            </w:r>
          </w:p>
        </w:tc>
        <w:tc>
          <w:tcPr>
            <w:tcW w:w="1782" w:type="dxa"/>
            <w:tcBorders>
              <w:top w:val="nil"/>
              <w:left w:val="nil"/>
              <w:bottom w:val="nil"/>
            </w:tcBorders>
          </w:tcPr>
          <w:p w:rsidR="007576E8" w:rsidRPr="003111E1" w:rsidRDefault="00B7543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200ABF">
        <w:trPr>
          <w:jc w:val="center"/>
        </w:trPr>
        <w:tc>
          <w:tcPr>
            <w:tcW w:w="1514" w:type="dxa"/>
            <w:tcBorders>
              <w:top w:val="nil"/>
              <w:bottom w:val="single" w:sz="4" w:space="0" w:color="auto"/>
              <w:right w:val="single" w:sz="4" w:space="0" w:color="auto"/>
            </w:tcBorders>
          </w:tcPr>
          <w:p w:rsidR="00462FA9" w:rsidRPr="003111E1" w:rsidRDefault="00462FA9" w:rsidP="00923489">
            <w:pPr>
              <w:snapToGrid w:val="0"/>
              <w:spacing w:line="400" w:lineRule="exact"/>
              <w:ind w:rightChars="150" w:right="360"/>
              <w:jc w:val="right"/>
              <w:rPr>
                <w:rFonts w:eastAsia="標楷體"/>
              </w:rPr>
            </w:pPr>
            <w:r w:rsidRPr="003111E1">
              <w:rPr>
                <w:rFonts w:eastAsia="標楷體"/>
              </w:rPr>
              <w:t>6</w:t>
            </w:r>
            <w:r w:rsidRPr="003111E1">
              <w:rPr>
                <w:rFonts w:eastAsia="標楷體"/>
              </w:rPr>
              <w:t>月</w:t>
            </w:r>
          </w:p>
        </w:tc>
        <w:tc>
          <w:tcPr>
            <w:tcW w:w="1314" w:type="dxa"/>
            <w:tcBorders>
              <w:top w:val="nil"/>
              <w:left w:val="single" w:sz="4" w:space="0" w:color="auto"/>
              <w:bottom w:val="single" w:sz="4" w:space="0" w:color="auto"/>
              <w:right w:val="nil"/>
            </w:tcBorders>
          </w:tcPr>
          <w:p w:rsidR="00462FA9" w:rsidRPr="003111E1" w:rsidRDefault="00413ACF" w:rsidP="00923489">
            <w:pPr>
              <w:snapToGrid w:val="0"/>
              <w:spacing w:line="400" w:lineRule="exact"/>
              <w:ind w:rightChars="100" w:right="240"/>
              <w:jc w:val="right"/>
            </w:pPr>
            <w:r w:rsidRPr="003111E1">
              <w:t>4.34</w:t>
            </w:r>
          </w:p>
        </w:tc>
        <w:tc>
          <w:tcPr>
            <w:tcW w:w="1788" w:type="dxa"/>
            <w:tcBorders>
              <w:top w:val="nil"/>
              <w:left w:val="nil"/>
              <w:bottom w:val="single" w:sz="4" w:space="0" w:color="auto"/>
              <w:right w:val="nil"/>
            </w:tcBorders>
          </w:tcPr>
          <w:p w:rsidR="00462FA9" w:rsidRPr="003111E1" w:rsidRDefault="00B70A77" w:rsidP="00923489">
            <w:pPr>
              <w:snapToGrid w:val="0"/>
              <w:spacing w:line="400" w:lineRule="exact"/>
              <w:ind w:rightChars="250" w:right="600"/>
              <w:jc w:val="right"/>
              <w:rPr>
                <w:rFonts w:eastAsia="標楷體"/>
              </w:rPr>
            </w:pPr>
            <w:r w:rsidRPr="003111E1">
              <w:rPr>
                <w:rFonts w:eastAsia="標楷體"/>
              </w:rPr>
              <w:t>-29.60</w:t>
            </w:r>
          </w:p>
        </w:tc>
        <w:tc>
          <w:tcPr>
            <w:tcW w:w="1782" w:type="dxa"/>
            <w:tcBorders>
              <w:top w:val="nil"/>
              <w:left w:val="nil"/>
              <w:bottom w:val="single" w:sz="4" w:space="0" w:color="auto"/>
              <w:right w:val="nil"/>
            </w:tcBorders>
            <w:vAlign w:val="bottom"/>
          </w:tcPr>
          <w:p w:rsidR="00462FA9" w:rsidRPr="003111E1" w:rsidRDefault="00BE3692"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single" w:sz="4" w:space="0" w:color="auto"/>
            </w:tcBorders>
          </w:tcPr>
          <w:p w:rsidR="00462FA9" w:rsidRPr="003111E1" w:rsidRDefault="00BE3692" w:rsidP="00923489">
            <w:pPr>
              <w:snapToGrid w:val="0"/>
              <w:spacing w:line="400" w:lineRule="exact"/>
              <w:ind w:rightChars="250" w:right="600"/>
              <w:jc w:val="right"/>
              <w:rPr>
                <w:rFonts w:eastAsia="標楷體"/>
              </w:rPr>
            </w:pPr>
            <w:r w:rsidRPr="003111E1">
              <w:rPr>
                <w:rFonts w:eastAsia="標楷體"/>
              </w:rPr>
              <w:t>0.00</w:t>
            </w:r>
          </w:p>
        </w:tc>
      </w:tr>
    </w:tbl>
    <w:p w:rsidR="00576223" w:rsidRPr="003111E1" w:rsidRDefault="00576223" w:rsidP="007A2A85">
      <w:pPr>
        <w:pStyle w:val="ad"/>
        <w:snapToGrid w:val="0"/>
        <w:spacing w:line="240" w:lineRule="atLeast"/>
        <w:ind w:leftChars="0" w:left="0" w:firstLineChars="0" w:firstLine="0"/>
        <w:rPr>
          <w:szCs w:val="22"/>
        </w:rPr>
      </w:pPr>
      <w:r w:rsidRPr="003111E1">
        <w:rPr>
          <w:szCs w:val="22"/>
        </w:rPr>
        <w:t>資料來源：</w:t>
      </w:r>
      <w:r w:rsidR="0078256B" w:rsidRPr="003111E1">
        <w:rPr>
          <w:szCs w:val="22"/>
        </w:rPr>
        <w:t>金管會、</w:t>
      </w:r>
      <w:r w:rsidRPr="003111E1">
        <w:rPr>
          <w:szCs w:val="22"/>
        </w:rPr>
        <w:t>經濟部</w:t>
      </w:r>
      <w:r w:rsidR="007C4152" w:rsidRPr="003111E1">
        <w:rPr>
          <w:szCs w:val="22"/>
        </w:rPr>
        <w:t>投審會</w:t>
      </w:r>
      <w:r w:rsidRPr="003111E1">
        <w:rPr>
          <w:szCs w:val="22"/>
        </w:rPr>
        <w:t>。</w:t>
      </w:r>
    </w:p>
    <w:p w:rsidR="001D5182" w:rsidRPr="003111E1" w:rsidRDefault="001D5182" w:rsidP="006E37F7">
      <w:pPr>
        <w:pStyle w:val="ad"/>
        <w:snapToGrid w:val="0"/>
        <w:spacing w:line="240" w:lineRule="atLeast"/>
        <w:ind w:leftChars="0" w:left="0" w:firstLineChars="0" w:firstLine="0"/>
        <w:rPr>
          <w:color w:val="FF0000"/>
        </w:rPr>
      </w:pPr>
    </w:p>
    <w:p w:rsidR="001D5182" w:rsidRPr="003111E1" w:rsidRDefault="001D5182" w:rsidP="006E37F7">
      <w:pPr>
        <w:pStyle w:val="ad"/>
        <w:snapToGrid w:val="0"/>
        <w:spacing w:line="240" w:lineRule="atLeast"/>
        <w:ind w:leftChars="0" w:left="0" w:firstLineChars="0" w:firstLine="0"/>
        <w:rPr>
          <w:color w:val="FF0000"/>
        </w:rPr>
        <w:sectPr w:rsidR="001D5182" w:rsidRPr="003111E1"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3111E1" w:rsidRDefault="001D5182" w:rsidP="00276BD8">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58042582"/>
      <w:bookmarkEnd w:id="73"/>
      <w:r w:rsidRPr="003111E1">
        <w:lastRenderedPageBreak/>
        <w:t>（七）物價</w:t>
      </w:r>
      <w:bookmarkEnd w:id="74"/>
      <w:bookmarkEnd w:id="75"/>
      <w:bookmarkEnd w:id="76"/>
      <w:bookmarkEnd w:id="77"/>
      <w:bookmarkEnd w:id="78"/>
      <w:bookmarkEnd w:id="79"/>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１、</w:t>
      </w:r>
      <w:r w:rsidR="00923489" w:rsidRPr="003111E1">
        <w:rPr>
          <w:b/>
          <w:bCs/>
        </w:rPr>
        <w:t>102</w:t>
      </w:r>
      <w:r w:rsidR="00923489" w:rsidRPr="003111E1">
        <w:rPr>
          <w:b/>
          <w:bCs/>
        </w:rPr>
        <w:t>年</w:t>
      </w:r>
      <w:r w:rsidR="0003592B" w:rsidRPr="003111E1">
        <w:rPr>
          <w:b/>
          <w:bCs/>
        </w:rPr>
        <w:t>6</w:t>
      </w:r>
      <w:r w:rsidR="00923489" w:rsidRPr="003111E1">
        <w:rPr>
          <w:b/>
          <w:bCs/>
        </w:rPr>
        <w:t>月消費者物價上漲</w:t>
      </w:r>
      <w:r w:rsidR="00E13606" w:rsidRPr="003111E1">
        <w:rPr>
          <w:b/>
          <w:bCs/>
        </w:rPr>
        <w:t>0.</w:t>
      </w:r>
      <w:r w:rsidR="0003592B" w:rsidRPr="003111E1">
        <w:rPr>
          <w:b/>
          <w:bCs/>
        </w:rPr>
        <w:t>60</w:t>
      </w:r>
      <w:r w:rsidR="00923489" w:rsidRPr="003111E1">
        <w:rPr>
          <w:b/>
          <w:bCs/>
        </w:rPr>
        <w:t>％，躉售物價下跌</w:t>
      </w:r>
      <w:r w:rsidR="0003592B" w:rsidRPr="003111E1">
        <w:rPr>
          <w:b/>
          <w:bCs/>
        </w:rPr>
        <w:t>1</w:t>
      </w:r>
      <w:r w:rsidR="00923489" w:rsidRPr="003111E1">
        <w:rPr>
          <w:b/>
          <w:bCs/>
        </w:rPr>
        <w:t>.</w:t>
      </w:r>
      <w:r w:rsidR="0003592B" w:rsidRPr="003111E1">
        <w:rPr>
          <w:b/>
          <w:bCs/>
        </w:rPr>
        <w:t>90</w:t>
      </w:r>
      <w:r w:rsidR="00923489" w:rsidRPr="003111E1">
        <w:rPr>
          <w:b/>
          <w:bCs/>
        </w:rPr>
        <w:t>％</w:t>
      </w:r>
    </w:p>
    <w:p w:rsidR="00423DF4" w:rsidRPr="003111E1" w:rsidRDefault="00923489" w:rsidP="00506996">
      <w:pPr>
        <w:pStyle w:val="k32"/>
        <w:topLinePunct/>
        <w:spacing w:beforeLines="30" w:before="108" w:afterLines="30" w:after="108"/>
        <w:ind w:leftChars="118" w:left="283" w:rightChars="9" w:right="22" w:firstLineChars="211" w:firstLine="565"/>
        <w:rPr>
          <w:color w:val="FF0000"/>
          <w:spacing w:val="-6"/>
          <w:szCs w:val="28"/>
        </w:rPr>
      </w:pPr>
      <w:r w:rsidRPr="003111E1">
        <w:rPr>
          <w:spacing w:val="-6"/>
          <w:szCs w:val="28"/>
        </w:rPr>
        <w:t>102</w:t>
      </w:r>
      <w:r w:rsidRPr="003111E1">
        <w:rPr>
          <w:spacing w:val="-6"/>
          <w:szCs w:val="28"/>
        </w:rPr>
        <w:t>年</w:t>
      </w:r>
      <w:r w:rsidR="0003592B" w:rsidRPr="003111E1">
        <w:rPr>
          <w:spacing w:val="-6"/>
          <w:szCs w:val="28"/>
        </w:rPr>
        <w:t>6</w:t>
      </w:r>
      <w:r w:rsidRPr="003111E1">
        <w:rPr>
          <w:spacing w:val="-6"/>
          <w:szCs w:val="28"/>
        </w:rPr>
        <w:t>月消費者物價指數（</w:t>
      </w:r>
      <w:r w:rsidRPr="003111E1">
        <w:rPr>
          <w:spacing w:val="-6"/>
          <w:szCs w:val="28"/>
        </w:rPr>
        <w:t>CPI</w:t>
      </w:r>
      <w:r w:rsidRPr="003111E1">
        <w:rPr>
          <w:spacing w:val="-6"/>
          <w:szCs w:val="28"/>
        </w:rPr>
        <w:t>）較</w:t>
      </w:r>
      <w:r w:rsidR="00357E8F">
        <w:rPr>
          <w:rFonts w:hint="eastAsia"/>
          <w:spacing w:val="-6"/>
          <w:szCs w:val="28"/>
        </w:rPr>
        <w:t>上</w:t>
      </w:r>
      <w:r w:rsidRPr="003111E1">
        <w:rPr>
          <w:spacing w:val="-6"/>
          <w:szCs w:val="28"/>
        </w:rPr>
        <w:t>年同月上漲</w:t>
      </w:r>
      <w:r w:rsidR="009D304F" w:rsidRPr="003111E1">
        <w:rPr>
          <w:spacing w:val="-6"/>
          <w:szCs w:val="28"/>
        </w:rPr>
        <w:t>0.</w:t>
      </w:r>
      <w:r w:rsidR="0003592B" w:rsidRPr="003111E1">
        <w:rPr>
          <w:spacing w:val="-6"/>
          <w:szCs w:val="28"/>
        </w:rPr>
        <w:t>60</w:t>
      </w:r>
      <w:r w:rsidRPr="003111E1">
        <w:rPr>
          <w:spacing w:val="-6"/>
          <w:szCs w:val="28"/>
        </w:rPr>
        <w:t>％，</w:t>
      </w:r>
      <w:r w:rsidR="0003592B" w:rsidRPr="003111E1">
        <w:rPr>
          <w:spacing w:val="-6"/>
          <w:szCs w:val="28"/>
        </w:rPr>
        <w:t>主因蔬菜受天候不穩影響，價格較去年為高，肉類受市場</w:t>
      </w:r>
      <w:proofErr w:type="gramStart"/>
      <w:r w:rsidR="0003592B" w:rsidRPr="003111E1">
        <w:rPr>
          <w:spacing w:val="-6"/>
          <w:szCs w:val="28"/>
        </w:rPr>
        <w:t>禁宰活禽</w:t>
      </w:r>
      <w:proofErr w:type="gramEnd"/>
      <w:r w:rsidR="0003592B" w:rsidRPr="003111E1">
        <w:rPr>
          <w:spacing w:val="-6"/>
          <w:szCs w:val="28"/>
        </w:rPr>
        <w:t>政策與端午需求增加影響，價格上漲，加以</w:t>
      </w:r>
      <w:proofErr w:type="gramStart"/>
      <w:r w:rsidR="0003592B" w:rsidRPr="003111E1">
        <w:rPr>
          <w:spacing w:val="-6"/>
          <w:szCs w:val="28"/>
        </w:rPr>
        <w:t>外食費</w:t>
      </w:r>
      <w:proofErr w:type="gramEnd"/>
      <w:r w:rsidR="0003592B" w:rsidRPr="003111E1">
        <w:rPr>
          <w:spacing w:val="-6"/>
          <w:szCs w:val="28"/>
        </w:rPr>
        <w:t>、中藥材、燃氣及油料費等價格處相對高檔所致，惟網路費調降，</w:t>
      </w:r>
      <w:r w:rsidR="0003592B" w:rsidRPr="003111E1">
        <w:rPr>
          <w:spacing w:val="-6"/>
          <w:szCs w:val="28"/>
        </w:rPr>
        <w:t>3C</w:t>
      </w:r>
      <w:r w:rsidR="0003592B" w:rsidRPr="003111E1">
        <w:rPr>
          <w:spacing w:val="-6"/>
          <w:szCs w:val="28"/>
        </w:rPr>
        <w:t>消費性電子產品等持續降價促銷，抵銷部分漲幅；若扣除蔬菜水果，漲</w:t>
      </w:r>
      <w:r w:rsidR="0003592B" w:rsidRPr="003111E1">
        <w:rPr>
          <w:spacing w:val="-6"/>
          <w:szCs w:val="28"/>
        </w:rPr>
        <w:t>0.79</w:t>
      </w:r>
      <w:r w:rsidR="0003592B" w:rsidRPr="003111E1">
        <w:rPr>
          <w:spacing w:val="-6"/>
          <w:szCs w:val="28"/>
        </w:rPr>
        <w:t>％，若再剔除能源後之總指數</w:t>
      </w:r>
      <w:r w:rsidR="0003592B" w:rsidRPr="003111E1">
        <w:rPr>
          <w:spacing w:val="-6"/>
          <w:szCs w:val="28"/>
        </w:rPr>
        <w:t>(</w:t>
      </w:r>
      <w:r w:rsidR="0003592B" w:rsidRPr="003111E1">
        <w:rPr>
          <w:spacing w:val="-6"/>
          <w:szCs w:val="28"/>
        </w:rPr>
        <w:t>即核心物價</w:t>
      </w:r>
      <w:r w:rsidR="0003592B" w:rsidRPr="003111E1">
        <w:rPr>
          <w:spacing w:val="-6"/>
          <w:szCs w:val="28"/>
        </w:rPr>
        <w:t>)</w:t>
      </w:r>
      <w:r w:rsidR="0003592B" w:rsidRPr="003111E1">
        <w:rPr>
          <w:spacing w:val="-6"/>
          <w:szCs w:val="28"/>
        </w:rPr>
        <w:t>，漲</w:t>
      </w:r>
      <w:r w:rsidR="0003592B" w:rsidRPr="003111E1">
        <w:rPr>
          <w:spacing w:val="-6"/>
          <w:szCs w:val="28"/>
        </w:rPr>
        <w:t>0.59</w:t>
      </w:r>
      <w:r w:rsidR="0003592B" w:rsidRPr="003111E1">
        <w:rPr>
          <w:spacing w:val="-6"/>
          <w:szCs w:val="28"/>
        </w:rPr>
        <w:t>％</w:t>
      </w:r>
      <w:r w:rsidR="009D304F" w:rsidRPr="003111E1">
        <w:rPr>
          <w:spacing w:val="-6"/>
          <w:szCs w:val="28"/>
        </w:rPr>
        <w:t>。</w:t>
      </w:r>
      <w:r w:rsidRPr="003111E1">
        <w:rPr>
          <w:spacing w:val="-6"/>
          <w:szCs w:val="28"/>
        </w:rPr>
        <w:t>累計</w:t>
      </w:r>
      <w:r w:rsidRPr="003111E1">
        <w:rPr>
          <w:spacing w:val="-6"/>
          <w:szCs w:val="28"/>
        </w:rPr>
        <w:t>1</w:t>
      </w:r>
      <w:r w:rsidRPr="003111E1">
        <w:rPr>
          <w:spacing w:val="-6"/>
          <w:szCs w:val="28"/>
        </w:rPr>
        <w:t>至</w:t>
      </w:r>
      <w:r w:rsidR="0003592B" w:rsidRPr="003111E1">
        <w:rPr>
          <w:spacing w:val="-6"/>
          <w:szCs w:val="28"/>
        </w:rPr>
        <w:t>6</w:t>
      </w:r>
      <w:r w:rsidRPr="003111E1">
        <w:rPr>
          <w:spacing w:val="-6"/>
          <w:szCs w:val="28"/>
        </w:rPr>
        <w:t>月</w:t>
      </w:r>
      <w:r w:rsidRPr="003111E1">
        <w:rPr>
          <w:spacing w:val="-6"/>
          <w:szCs w:val="28"/>
        </w:rPr>
        <w:t>CPI</w:t>
      </w:r>
      <w:r w:rsidRPr="003111E1">
        <w:rPr>
          <w:spacing w:val="-6"/>
          <w:szCs w:val="28"/>
        </w:rPr>
        <w:t>較</w:t>
      </w:r>
      <w:r w:rsidR="00357E8F">
        <w:rPr>
          <w:rFonts w:hint="eastAsia"/>
          <w:spacing w:val="-6"/>
          <w:szCs w:val="28"/>
        </w:rPr>
        <w:t>上</w:t>
      </w:r>
      <w:r w:rsidRPr="003111E1">
        <w:rPr>
          <w:spacing w:val="-6"/>
          <w:szCs w:val="28"/>
        </w:rPr>
        <w:t>年同期上漲</w:t>
      </w:r>
      <w:r w:rsidRPr="003111E1">
        <w:rPr>
          <w:spacing w:val="-6"/>
          <w:szCs w:val="28"/>
        </w:rPr>
        <w:t>1.</w:t>
      </w:r>
      <w:r w:rsidR="0003592B" w:rsidRPr="003111E1">
        <w:rPr>
          <w:spacing w:val="-6"/>
          <w:szCs w:val="28"/>
        </w:rPr>
        <w:t>31</w:t>
      </w:r>
      <w:r w:rsidRPr="003111E1">
        <w:rPr>
          <w:spacing w:val="-6"/>
          <w:szCs w:val="28"/>
        </w:rPr>
        <w:t>％。</w:t>
      </w:r>
    </w:p>
    <w:p w:rsidR="00423DF4" w:rsidRPr="003111E1" w:rsidRDefault="00923489" w:rsidP="00506996">
      <w:pPr>
        <w:pStyle w:val="k32"/>
        <w:topLinePunct/>
        <w:spacing w:beforeLines="0" w:before="0"/>
        <w:ind w:leftChars="118" w:left="283" w:rightChars="9" w:right="22" w:firstLineChars="211" w:firstLine="565"/>
        <w:rPr>
          <w:spacing w:val="-6"/>
          <w:szCs w:val="28"/>
        </w:rPr>
      </w:pPr>
      <w:r w:rsidRPr="003111E1">
        <w:rPr>
          <w:spacing w:val="-6"/>
          <w:szCs w:val="28"/>
        </w:rPr>
        <w:t>102</w:t>
      </w:r>
      <w:r w:rsidRPr="003111E1">
        <w:rPr>
          <w:spacing w:val="-6"/>
          <w:szCs w:val="28"/>
        </w:rPr>
        <w:t>年</w:t>
      </w:r>
      <w:r w:rsidR="0003592B" w:rsidRPr="003111E1">
        <w:rPr>
          <w:spacing w:val="-6"/>
          <w:szCs w:val="28"/>
        </w:rPr>
        <w:t>6</w:t>
      </w:r>
      <w:r w:rsidRPr="003111E1">
        <w:rPr>
          <w:spacing w:val="-6"/>
          <w:szCs w:val="28"/>
        </w:rPr>
        <w:t>月躉售物價指數（</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年同月下跌</w:t>
      </w:r>
      <w:r w:rsidR="0003592B" w:rsidRPr="003111E1">
        <w:rPr>
          <w:spacing w:val="-6"/>
          <w:szCs w:val="28"/>
        </w:rPr>
        <w:t>1</w:t>
      </w:r>
      <w:r w:rsidRPr="003111E1">
        <w:rPr>
          <w:spacing w:val="-6"/>
          <w:szCs w:val="28"/>
        </w:rPr>
        <w:t>.</w:t>
      </w:r>
      <w:r w:rsidR="0003592B" w:rsidRPr="003111E1">
        <w:rPr>
          <w:spacing w:val="-6"/>
          <w:szCs w:val="28"/>
        </w:rPr>
        <w:t>90</w:t>
      </w:r>
      <w:r w:rsidRPr="003111E1">
        <w:rPr>
          <w:spacing w:val="-6"/>
          <w:szCs w:val="28"/>
        </w:rPr>
        <w:t>％，</w:t>
      </w:r>
      <w:r w:rsidR="0003592B" w:rsidRPr="003111E1">
        <w:rPr>
          <w:spacing w:val="-6"/>
          <w:szCs w:val="28"/>
        </w:rPr>
        <w:t>主因基本金屬、電子零組件、土石採取及</w:t>
      </w:r>
      <w:proofErr w:type="gramStart"/>
      <w:r w:rsidR="0003592B" w:rsidRPr="003111E1">
        <w:rPr>
          <w:spacing w:val="-6"/>
          <w:szCs w:val="28"/>
        </w:rPr>
        <w:t>其他礦</w:t>
      </w:r>
      <w:proofErr w:type="gramEnd"/>
      <w:r w:rsidR="0003592B" w:rsidRPr="003111E1">
        <w:rPr>
          <w:spacing w:val="-6"/>
          <w:szCs w:val="28"/>
        </w:rPr>
        <w:t>產品等價格處相對低檔，惟化學材料價格居相對高檔，抵銷部分跌幅，其中國產內銷品跌</w:t>
      </w:r>
      <w:r w:rsidR="0003592B" w:rsidRPr="003111E1">
        <w:rPr>
          <w:spacing w:val="-6"/>
          <w:szCs w:val="28"/>
        </w:rPr>
        <w:t>1.47</w:t>
      </w:r>
      <w:r w:rsidR="0003592B" w:rsidRPr="003111E1">
        <w:rPr>
          <w:spacing w:val="-6"/>
          <w:szCs w:val="28"/>
        </w:rPr>
        <w:t>％，進口品跌</w:t>
      </w:r>
      <w:r w:rsidR="0003592B" w:rsidRPr="003111E1">
        <w:rPr>
          <w:spacing w:val="-6"/>
          <w:szCs w:val="28"/>
        </w:rPr>
        <w:t>3.23</w:t>
      </w:r>
      <w:r w:rsidR="0003592B" w:rsidRPr="003111E1">
        <w:rPr>
          <w:spacing w:val="-6"/>
          <w:szCs w:val="28"/>
        </w:rPr>
        <w:t>％，出口品跌</w:t>
      </w:r>
      <w:r w:rsidR="0003592B" w:rsidRPr="003111E1">
        <w:rPr>
          <w:spacing w:val="-6"/>
          <w:szCs w:val="28"/>
        </w:rPr>
        <w:t>1.24</w:t>
      </w:r>
      <w:r w:rsidR="0003592B" w:rsidRPr="003111E1">
        <w:rPr>
          <w:spacing w:val="-6"/>
          <w:szCs w:val="28"/>
        </w:rPr>
        <w:t>％。</w:t>
      </w:r>
      <w:r w:rsidRPr="003111E1">
        <w:rPr>
          <w:spacing w:val="-6"/>
          <w:szCs w:val="28"/>
        </w:rPr>
        <w:t>累計</w:t>
      </w:r>
      <w:r w:rsidRPr="003111E1">
        <w:rPr>
          <w:spacing w:val="-6"/>
          <w:szCs w:val="28"/>
        </w:rPr>
        <w:t>1</w:t>
      </w:r>
      <w:r w:rsidRPr="003111E1">
        <w:rPr>
          <w:spacing w:val="-6"/>
          <w:szCs w:val="28"/>
        </w:rPr>
        <w:t>至</w:t>
      </w:r>
      <w:r w:rsidR="0003592B" w:rsidRPr="003111E1">
        <w:rPr>
          <w:spacing w:val="-6"/>
          <w:szCs w:val="28"/>
        </w:rPr>
        <w:t>6</w:t>
      </w:r>
      <w:r w:rsidRPr="003111E1">
        <w:rPr>
          <w:spacing w:val="-6"/>
          <w:szCs w:val="28"/>
        </w:rPr>
        <w:t>月</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年同期下跌</w:t>
      </w:r>
      <w:r w:rsidRPr="003111E1">
        <w:rPr>
          <w:spacing w:val="-6"/>
          <w:szCs w:val="28"/>
        </w:rPr>
        <w:t>3.</w:t>
      </w:r>
      <w:r w:rsidR="0003592B" w:rsidRPr="003111E1">
        <w:rPr>
          <w:spacing w:val="-6"/>
          <w:szCs w:val="28"/>
        </w:rPr>
        <w:t>03</w:t>
      </w:r>
      <w:r w:rsidRPr="003111E1">
        <w:rPr>
          <w:spacing w:val="-6"/>
          <w:szCs w:val="28"/>
        </w:rPr>
        <w:t>％。</w:t>
      </w:r>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２、</w:t>
      </w:r>
      <w:r w:rsidR="00923489" w:rsidRPr="003111E1">
        <w:rPr>
          <w:b/>
          <w:bCs/>
        </w:rPr>
        <w:t>102</w:t>
      </w:r>
      <w:r w:rsidR="00923489" w:rsidRPr="003111E1">
        <w:rPr>
          <w:b/>
          <w:bCs/>
        </w:rPr>
        <w:t>年</w:t>
      </w:r>
      <w:r w:rsidR="00632077">
        <w:rPr>
          <w:rFonts w:hint="eastAsia"/>
          <w:b/>
          <w:bCs/>
        </w:rPr>
        <w:t>6</w:t>
      </w:r>
      <w:r w:rsidR="00923489" w:rsidRPr="003111E1">
        <w:rPr>
          <w:b/>
          <w:bCs/>
        </w:rPr>
        <w:t>月進口物價下跌</w:t>
      </w:r>
      <w:r w:rsidR="0003592B" w:rsidRPr="003111E1">
        <w:rPr>
          <w:b/>
          <w:bCs/>
        </w:rPr>
        <w:t>3</w:t>
      </w:r>
      <w:r w:rsidR="00923489" w:rsidRPr="003111E1">
        <w:rPr>
          <w:b/>
          <w:bCs/>
        </w:rPr>
        <w:t>.</w:t>
      </w:r>
      <w:r w:rsidR="0003592B" w:rsidRPr="003111E1">
        <w:rPr>
          <w:b/>
          <w:bCs/>
        </w:rPr>
        <w:t>23</w:t>
      </w:r>
      <w:r w:rsidR="00923489" w:rsidRPr="003111E1">
        <w:rPr>
          <w:b/>
          <w:bCs/>
        </w:rPr>
        <w:t>％、出口物價下跌</w:t>
      </w:r>
      <w:r w:rsidR="0003592B" w:rsidRPr="003111E1">
        <w:rPr>
          <w:b/>
          <w:bCs/>
        </w:rPr>
        <w:t>1</w:t>
      </w:r>
      <w:r w:rsidR="00923489" w:rsidRPr="003111E1">
        <w:rPr>
          <w:b/>
          <w:bCs/>
        </w:rPr>
        <w:t>.</w:t>
      </w:r>
      <w:r w:rsidR="0003592B" w:rsidRPr="003111E1">
        <w:rPr>
          <w:b/>
          <w:bCs/>
        </w:rPr>
        <w:t>24</w:t>
      </w:r>
      <w:r w:rsidR="00923489" w:rsidRPr="003111E1">
        <w:rPr>
          <w:b/>
          <w:bCs/>
        </w:rPr>
        <w:t>％</w:t>
      </w:r>
    </w:p>
    <w:p w:rsidR="0019230A" w:rsidRPr="003111E1" w:rsidRDefault="00923489" w:rsidP="00506996">
      <w:pPr>
        <w:pStyle w:val="k32"/>
        <w:topLinePunct/>
        <w:spacing w:beforeLines="30" w:before="108" w:afterLines="30" w:after="108"/>
        <w:ind w:leftChars="118" w:left="283" w:rightChars="9" w:right="22" w:firstLineChars="202" w:firstLine="566"/>
      </w:pPr>
      <w:r w:rsidRPr="003111E1">
        <w:t>102</w:t>
      </w:r>
      <w:r w:rsidRPr="003111E1">
        <w:t>年</w:t>
      </w:r>
      <w:r w:rsidR="0003592B" w:rsidRPr="003111E1">
        <w:t>6</w:t>
      </w:r>
      <w:r w:rsidRPr="003111E1">
        <w:t>月以新台幣計價之進口物價指數，較</w:t>
      </w:r>
      <w:r w:rsidR="0003592B" w:rsidRPr="003111E1">
        <w:t>5</w:t>
      </w:r>
      <w:r w:rsidRPr="003111E1">
        <w:t>月</w:t>
      </w:r>
      <w:r w:rsidR="0003592B" w:rsidRPr="003111E1">
        <w:t>上漲</w:t>
      </w:r>
      <w:r w:rsidR="0003592B" w:rsidRPr="003111E1">
        <w:t>0.85</w:t>
      </w:r>
      <w:r w:rsidRPr="003111E1">
        <w:t>％，較</w:t>
      </w:r>
      <w:r w:rsidR="00357E8F">
        <w:rPr>
          <w:rFonts w:hint="eastAsia"/>
        </w:rPr>
        <w:t>上</w:t>
      </w:r>
      <w:r w:rsidRPr="003111E1">
        <w:t>年同月下跌</w:t>
      </w:r>
      <w:r w:rsidR="0003592B" w:rsidRPr="003111E1">
        <w:t>3</w:t>
      </w:r>
      <w:r w:rsidRPr="003111E1">
        <w:t>.</w:t>
      </w:r>
      <w:r w:rsidR="0003592B" w:rsidRPr="003111E1">
        <w:t>23</w:t>
      </w:r>
      <w:r w:rsidRPr="003111E1">
        <w:t>％，</w:t>
      </w:r>
      <w:r w:rsidR="0003592B" w:rsidRPr="003111E1">
        <w:t>若剔除匯率變動因素</w:t>
      </w:r>
      <w:r w:rsidR="00664D56">
        <w:rPr>
          <w:rFonts w:hint="eastAsia"/>
        </w:rPr>
        <w:t>（</w:t>
      </w:r>
      <w:r w:rsidR="0003592B" w:rsidRPr="003111E1">
        <w:t>新台幣對美元較上年同月貶值</w:t>
      </w:r>
      <w:r w:rsidR="0003592B" w:rsidRPr="003111E1">
        <w:t>0.10</w:t>
      </w:r>
      <w:r w:rsidR="0003592B" w:rsidRPr="003111E1">
        <w:t>％</w:t>
      </w:r>
      <w:r w:rsidR="00664D56">
        <w:rPr>
          <w:rFonts w:hint="eastAsia"/>
        </w:rPr>
        <w:t>）</w:t>
      </w:r>
      <w:r w:rsidR="0003592B" w:rsidRPr="003111E1">
        <w:t>，</w:t>
      </w:r>
      <w:r w:rsidR="0003592B" w:rsidRPr="003111E1">
        <w:t>6</w:t>
      </w:r>
      <w:r w:rsidR="0003592B" w:rsidRPr="003111E1">
        <w:t>月以美元計價之指數較上年同月下跌</w:t>
      </w:r>
      <w:r w:rsidR="0003592B" w:rsidRPr="003111E1">
        <w:t>3.32</w:t>
      </w:r>
      <w:r w:rsidR="0003592B" w:rsidRPr="003111E1">
        <w:t>％，主因鋼鐵廢料、鋼胚、不</w:t>
      </w:r>
      <w:proofErr w:type="gramStart"/>
      <w:r w:rsidR="0003592B" w:rsidRPr="003111E1">
        <w:t>銹</w:t>
      </w:r>
      <w:proofErr w:type="gramEnd"/>
      <w:r w:rsidR="0003592B" w:rsidRPr="003111E1">
        <w:t>鋼板及銅等價格相較去年為低，使基本金屬及其製品類下跌</w:t>
      </w:r>
      <w:r w:rsidR="0003592B" w:rsidRPr="003111E1">
        <w:t>7.89</w:t>
      </w:r>
      <w:r w:rsidR="0003592B" w:rsidRPr="003111E1">
        <w:t>％，加以日圓貶值，降低由日本進口之設備成本，使機器、電機、電視影像及聲音記錄機等設備類下跌</w:t>
      </w:r>
      <w:r w:rsidR="0003592B" w:rsidRPr="003111E1">
        <w:t>4.39</w:t>
      </w:r>
      <w:r w:rsidR="0003592B" w:rsidRPr="003111E1">
        <w:t>％所致。</w:t>
      </w:r>
    </w:p>
    <w:p w:rsidR="0019230A" w:rsidRPr="003111E1" w:rsidRDefault="00923489" w:rsidP="00506996">
      <w:pPr>
        <w:pStyle w:val="k32"/>
        <w:topLinePunct/>
        <w:spacing w:beforeLines="0" w:before="50"/>
        <w:ind w:leftChars="118" w:left="283" w:rightChars="9" w:right="22" w:firstLineChars="202" w:firstLine="566"/>
      </w:pPr>
      <w:r w:rsidRPr="003111E1">
        <w:t>102</w:t>
      </w:r>
      <w:r w:rsidRPr="003111E1">
        <w:t>年</w:t>
      </w:r>
      <w:r w:rsidR="0003592B" w:rsidRPr="003111E1">
        <w:t>6</w:t>
      </w:r>
      <w:r w:rsidRPr="003111E1">
        <w:t>月以新台幣計價之出口物價指數較</w:t>
      </w:r>
      <w:r w:rsidR="0003592B" w:rsidRPr="003111E1">
        <w:t>5</w:t>
      </w:r>
      <w:r w:rsidRPr="003111E1">
        <w:t>月</w:t>
      </w:r>
      <w:r w:rsidR="0003592B" w:rsidRPr="003111E1">
        <w:t>上漲</w:t>
      </w:r>
      <w:r w:rsidR="0003592B" w:rsidRPr="003111E1">
        <w:t>0.29</w:t>
      </w:r>
      <w:r w:rsidRPr="003111E1">
        <w:t>％，較</w:t>
      </w:r>
      <w:r w:rsidR="00357E8F">
        <w:rPr>
          <w:rFonts w:hint="eastAsia"/>
        </w:rPr>
        <w:t>上</w:t>
      </w:r>
      <w:r w:rsidRPr="003111E1">
        <w:t>年同月下跌</w:t>
      </w:r>
      <w:r w:rsidR="0003592B" w:rsidRPr="003111E1">
        <w:t>1.24</w:t>
      </w:r>
      <w:r w:rsidRPr="003111E1">
        <w:t>％，</w:t>
      </w:r>
      <w:r w:rsidR="0003592B" w:rsidRPr="003111E1">
        <w:t>若剔除匯率變動因素，</w:t>
      </w:r>
      <w:r w:rsidR="0003592B" w:rsidRPr="003111E1">
        <w:t>6</w:t>
      </w:r>
      <w:r w:rsidR="0003592B" w:rsidRPr="003111E1">
        <w:t>月以美元計價之指數較上年同月下跌</w:t>
      </w:r>
      <w:r w:rsidR="0003592B" w:rsidRPr="003111E1">
        <w:t>1.34</w:t>
      </w:r>
      <w:r w:rsidR="0003592B" w:rsidRPr="003111E1">
        <w:t>％，主因熱軋鋼板、鋼鐵螺釘、液晶裝置及其零件與積體電路等報價相對去年走跌，使基本金屬及其製品類、光學、計量、醫療儀器、樂器及其零件類與機器、電機、電視影像及聲音記錄機等設備類分別下跌</w:t>
      </w:r>
      <w:r w:rsidR="0003592B" w:rsidRPr="003111E1">
        <w:t>4.42</w:t>
      </w:r>
      <w:r w:rsidR="0003592B" w:rsidRPr="003111E1">
        <w:t>％、</w:t>
      </w:r>
      <w:r w:rsidR="0003592B" w:rsidRPr="003111E1">
        <w:t>2.41</w:t>
      </w:r>
      <w:r w:rsidR="0003592B" w:rsidRPr="003111E1">
        <w:t>％與</w:t>
      </w:r>
      <w:r w:rsidR="0003592B" w:rsidRPr="003111E1">
        <w:t>1.13</w:t>
      </w:r>
      <w:r w:rsidR="0003592B" w:rsidRPr="003111E1">
        <w:t>％。</w:t>
      </w:r>
    </w:p>
    <w:p w:rsidR="00322BC5" w:rsidRPr="003111E1" w:rsidRDefault="00322BC5" w:rsidP="00322BC5">
      <w:pPr>
        <w:snapToGrid w:val="0"/>
        <w:spacing w:before="50" w:line="300" w:lineRule="auto"/>
        <w:ind w:rightChars="-59" w:right="-142"/>
        <w:jc w:val="center"/>
        <w:rPr>
          <w:rFonts w:eastAsia="標楷體"/>
          <w:b/>
          <w:bCs/>
          <w:sz w:val="28"/>
        </w:rPr>
      </w:pPr>
      <w:r w:rsidRPr="003111E1">
        <w:rPr>
          <w:rFonts w:eastAsia="標楷體"/>
          <w:b/>
          <w:bCs/>
          <w:sz w:val="28"/>
        </w:rPr>
        <w:lastRenderedPageBreak/>
        <w:t>圖</w:t>
      </w:r>
      <w:r w:rsidRPr="003111E1">
        <w:rPr>
          <w:rFonts w:eastAsia="標楷體"/>
          <w:b/>
          <w:bCs/>
          <w:sz w:val="28"/>
        </w:rPr>
        <w:t xml:space="preserve"> 2-7-1  </w:t>
      </w:r>
      <w:r w:rsidRPr="003111E1">
        <w:rPr>
          <w:rFonts w:eastAsia="標楷體"/>
          <w:b/>
          <w:bCs/>
          <w:sz w:val="28"/>
        </w:rPr>
        <w:t>消費者物價指數及躉售物價指數變化</w:t>
      </w:r>
    </w:p>
    <w:p w:rsidR="00322BC5" w:rsidRPr="003111E1" w:rsidRDefault="00140E81" w:rsidP="00AB0C18">
      <w:pPr>
        <w:snapToGrid w:val="0"/>
        <w:spacing w:before="120" w:line="300" w:lineRule="auto"/>
        <w:ind w:rightChars="-59" w:right="-142"/>
        <w:jc w:val="both"/>
        <w:rPr>
          <w:rFonts w:eastAsia="標楷體"/>
          <w:color w:val="FF0000"/>
          <w:kern w:val="0"/>
          <w:szCs w:val="20"/>
        </w:rPr>
      </w:pPr>
      <w:r w:rsidRPr="003111E1">
        <w:rPr>
          <w:rFonts w:eastAsia="標楷體"/>
          <w:noProof/>
          <w:color w:val="FF0000"/>
          <w:sz w:val="28"/>
        </w:rPr>
        <mc:AlternateContent>
          <mc:Choice Requires="wps">
            <w:drawing>
              <wp:anchor distT="0" distB="0" distL="114300" distR="114300" simplePos="0" relativeHeight="251655680" behindDoc="0" locked="0" layoutInCell="1" allowOverlap="1" wp14:anchorId="5643228E" wp14:editId="68918936">
                <wp:simplePos x="0" y="0"/>
                <wp:positionH relativeFrom="column">
                  <wp:posOffset>5036820</wp:posOffset>
                </wp:positionH>
                <wp:positionV relativeFrom="paragraph">
                  <wp:posOffset>1063625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3D7EBE" w:rsidRPr="00BE0B3C" w:rsidRDefault="003D7EBE" w:rsidP="00322BC5">
                            <w:pPr>
                              <w:spacing w:line="240" w:lineRule="exact"/>
                              <w:jc w:val="center"/>
                              <w:rPr>
                                <w:b/>
                              </w:rPr>
                            </w:pPr>
                            <w:r>
                              <w:rPr>
                                <w:rFonts w:hint="eastAsia"/>
                                <w:b/>
                              </w:rPr>
                              <w:t>W</w:t>
                            </w:r>
                            <w:r w:rsidRPr="00BE0B3C">
                              <w:rPr>
                                <w:rFonts w:hint="eastAsia"/>
                                <w:b/>
                              </w:rPr>
                              <w:t>PI</w:t>
                            </w:r>
                          </w:p>
                          <w:p w:rsidR="003D7EBE" w:rsidRPr="00BE0B3C" w:rsidRDefault="003D7EBE" w:rsidP="00322BC5">
                            <w:pPr>
                              <w:spacing w:line="240" w:lineRule="exact"/>
                              <w:jc w:val="center"/>
                              <w:rPr>
                                <w:b/>
                              </w:rPr>
                            </w:pPr>
                            <w:r>
                              <w:rPr>
                                <w:rFonts w:hint="eastAsia"/>
                                <w:b/>
                              </w:rPr>
                              <w:t>-1.90</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6.6pt;margin-top:83.75pt;width:55.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" filled="f" stroked="f">
                <v:textbox>
                  <w:txbxContent>
                    <w:p w:rsidR="003D7EBE" w:rsidRPr="00BE0B3C" w:rsidRDefault="003D7EBE" w:rsidP="00322BC5">
                      <w:pPr>
                        <w:spacing w:line="240" w:lineRule="exact"/>
                        <w:jc w:val="center"/>
                        <w:rPr>
                          <w:b/>
                        </w:rPr>
                      </w:pPr>
                      <w:r>
                        <w:rPr>
                          <w:rFonts w:hint="eastAsia"/>
                          <w:b/>
                        </w:rPr>
                        <w:t>W</w:t>
                      </w:r>
                      <w:r w:rsidRPr="00BE0B3C">
                        <w:rPr>
                          <w:rFonts w:hint="eastAsia"/>
                          <w:b/>
                        </w:rPr>
                        <w:t>PI</w:t>
                      </w:r>
                    </w:p>
                    <w:p w:rsidR="003D7EBE" w:rsidRPr="00BE0B3C" w:rsidRDefault="003D7EBE" w:rsidP="00322BC5">
                      <w:pPr>
                        <w:spacing w:line="240" w:lineRule="exact"/>
                        <w:jc w:val="center"/>
                        <w:rPr>
                          <w:b/>
                        </w:rPr>
                      </w:pPr>
                      <w:r>
                        <w:rPr>
                          <w:rFonts w:hint="eastAsia"/>
                          <w:b/>
                        </w:rPr>
                        <w:t>-1.90</w:t>
                      </w:r>
                      <w:r>
                        <w:rPr>
                          <w:rFonts w:hint="eastAsia"/>
                          <w:b/>
                        </w:rPr>
                        <w:t>％</w:t>
                      </w:r>
                    </w:p>
                  </w:txbxContent>
                </v:textbox>
              </v:shape>
            </w:pict>
          </mc:Fallback>
        </mc:AlternateContent>
      </w:r>
      <w:r w:rsidR="007F4749" w:rsidRPr="003111E1">
        <w:rPr>
          <w:rFonts w:eastAsia="標楷體"/>
          <w:noProof/>
          <w:color w:val="FF0000"/>
          <w:sz w:val="28"/>
        </w:rPr>
        <mc:AlternateContent>
          <mc:Choice Requires="wps">
            <w:drawing>
              <wp:anchor distT="0" distB="0" distL="114300" distR="114300" simplePos="0" relativeHeight="251654656" behindDoc="0" locked="0" layoutInCell="1" allowOverlap="1" wp14:anchorId="3249BE7A" wp14:editId="521D0A56">
                <wp:simplePos x="0" y="0"/>
                <wp:positionH relativeFrom="column">
                  <wp:posOffset>5041900</wp:posOffset>
                </wp:positionH>
                <wp:positionV relativeFrom="paragraph">
                  <wp:posOffset>272415</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3D7EBE" w:rsidRPr="00BE0B3C" w:rsidRDefault="003D7EBE" w:rsidP="00322BC5">
                            <w:pPr>
                              <w:spacing w:line="260" w:lineRule="exact"/>
                              <w:jc w:val="center"/>
                              <w:rPr>
                                <w:b/>
                              </w:rPr>
                            </w:pPr>
                            <w:r w:rsidRPr="00BE0B3C">
                              <w:rPr>
                                <w:rFonts w:hint="eastAsia"/>
                                <w:b/>
                              </w:rPr>
                              <w:t>CPI</w:t>
                            </w:r>
                          </w:p>
                          <w:p w:rsidR="003D7EBE" w:rsidRPr="00BE0B3C" w:rsidRDefault="003D7EBE" w:rsidP="00322BC5">
                            <w:pPr>
                              <w:spacing w:line="260" w:lineRule="exact"/>
                              <w:jc w:val="center"/>
                              <w:rPr>
                                <w:b/>
                              </w:rPr>
                            </w:pPr>
                            <w:r>
                              <w:rPr>
                                <w:rFonts w:hint="eastAsia"/>
                                <w:b/>
                              </w:rPr>
                              <w:t>0.60</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7pt;margin-top:21.45pt;width:48.6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" filled="f" stroked="f">
                <v:textbox>
                  <w:txbxContent>
                    <w:p w:rsidR="003D7EBE" w:rsidRPr="00BE0B3C" w:rsidRDefault="003D7EBE" w:rsidP="00322BC5">
                      <w:pPr>
                        <w:spacing w:line="260" w:lineRule="exact"/>
                        <w:jc w:val="center"/>
                        <w:rPr>
                          <w:b/>
                        </w:rPr>
                      </w:pPr>
                      <w:r w:rsidRPr="00BE0B3C">
                        <w:rPr>
                          <w:rFonts w:hint="eastAsia"/>
                          <w:b/>
                        </w:rPr>
                        <w:t>CPI</w:t>
                      </w:r>
                    </w:p>
                    <w:p w:rsidR="003D7EBE" w:rsidRPr="00BE0B3C" w:rsidRDefault="003D7EBE" w:rsidP="00322BC5">
                      <w:pPr>
                        <w:spacing w:line="260" w:lineRule="exact"/>
                        <w:jc w:val="center"/>
                        <w:rPr>
                          <w:b/>
                        </w:rPr>
                      </w:pPr>
                      <w:r>
                        <w:rPr>
                          <w:rFonts w:hint="eastAsia"/>
                          <w:b/>
                        </w:rPr>
                        <w:t>0.60</w:t>
                      </w:r>
                      <w:r>
                        <w:rPr>
                          <w:rFonts w:hint="eastAsia"/>
                          <w:b/>
                        </w:rPr>
                        <w:t>％</w:t>
                      </w:r>
                    </w:p>
                  </w:txbxContent>
                </v:textbox>
              </v:shape>
            </w:pict>
          </mc:Fallback>
        </mc:AlternateContent>
      </w:r>
      <w:r w:rsidR="00923489" w:rsidRPr="003111E1">
        <w:rPr>
          <w:noProof/>
          <w:color w:val="FF0000"/>
        </w:rPr>
        <w:drawing>
          <wp:inline distT="0" distB="0" distL="0" distR="0" wp14:anchorId="3F22720A" wp14:editId="277DB995">
            <wp:extent cx="5505450" cy="23431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3DF4" w:rsidRPr="003111E1" w:rsidRDefault="00423DF4" w:rsidP="00AB0C18">
      <w:pPr>
        <w:snapToGrid w:val="0"/>
        <w:spacing w:before="240" w:line="300" w:lineRule="auto"/>
        <w:ind w:rightChars="-59" w:right="-142"/>
        <w:jc w:val="center"/>
        <w:rPr>
          <w:rFonts w:eastAsia="標楷體"/>
          <w:b/>
          <w:snapToGrid w:val="0"/>
          <w:sz w:val="28"/>
        </w:rPr>
      </w:pPr>
      <w:r w:rsidRPr="003111E1">
        <w:rPr>
          <w:rFonts w:eastAsia="標楷體"/>
          <w:b/>
          <w:snapToGrid w:val="0"/>
          <w:sz w:val="28"/>
        </w:rPr>
        <w:t>表</w:t>
      </w:r>
      <w:r w:rsidRPr="003111E1">
        <w:rPr>
          <w:rFonts w:eastAsia="標楷體"/>
          <w:b/>
          <w:snapToGrid w:val="0"/>
          <w:sz w:val="28"/>
        </w:rPr>
        <w:t xml:space="preserve"> 2-7-1  </w:t>
      </w:r>
      <w:r w:rsidRPr="003111E1">
        <w:rPr>
          <w:rFonts w:eastAsia="標楷體"/>
          <w:b/>
          <w:snapToGrid w:val="0"/>
          <w:sz w:val="28"/>
        </w:rPr>
        <w:t>物價變動</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F175DD" w:rsidRPr="003111E1" w:rsidTr="003501E2">
        <w:trPr>
          <w:cantSplit/>
          <w:jc w:val="center"/>
        </w:trPr>
        <w:tc>
          <w:tcPr>
            <w:tcW w:w="1519" w:type="dxa"/>
            <w:vMerge w:val="restart"/>
            <w:tcBorders>
              <w:left w:val="nil"/>
            </w:tcBorders>
            <w:vAlign w:val="center"/>
          </w:tcPr>
          <w:p w:rsidR="00423DF4" w:rsidRPr="003111E1" w:rsidRDefault="00423DF4" w:rsidP="00756E72">
            <w:pPr>
              <w:spacing w:line="36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3302" w:type="dxa"/>
            <w:gridSpan w:val="3"/>
            <w:tcBorders>
              <w:bottom w:val="nil"/>
            </w:tcBorders>
          </w:tcPr>
          <w:p w:rsidR="00423DF4" w:rsidRPr="003111E1" w:rsidRDefault="00423DF4" w:rsidP="00756E72">
            <w:pPr>
              <w:spacing w:line="360" w:lineRule="exact"/>
              <w:rPr>
                <w:rFonts w:eastAsia="標楷體"/>
              </w:rPr>
            </w:pPr>
            <w:r w:rsidRPr="003111E1">
              <w:rPr>
                <w:rFonts w:eastAsia="標楷體"/>
              </w:rPr>
              <w:t>消費者物價指數</w:t>
            </w:r>
          </w:p>
        </w:tc>
        <w:tc>
          <w:tcPr>
            <w:tcW w:w="4061" w:type="dxa"/>
            <w:gridSpan w:val="4"/>
            <w:tcBorders>
              <w:bottom w:val="nil"/>
              <w:right w:val="nil"/>
            </w:tcBorders>
          </w:tcPr>
          <w:p w:rsidR="00423DF4" w:rsidRPr="003111E1" w:rsidRDefault="00423DF4" w:rsidP="00756E7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111E1">
              <w:rPr>
                <w:rFonts w:ascii="Times New Roman" w:eastAsia="標楷體" w:hAnsi="Times New Roman" w:cs="Times New Roman" w:hint="default"/>
                <w:color w:val="auto"/>
                <w:kern w:val="2"/>
              </w:rPr>
              <w:t>躉售物價指數</w:t>
            </w:r>
          </w:p>
        </w:tc>
      </w:tr>
      <w:tr w:rsidR="00F175DD" w:rsidRPr="003111E1" w:rsidTr="003501E2">
        <w:trPr>
          <w:cantSplit/>
          <w:jc w:val="center"/>
        </w:trPr>
        <w:tc>
          <w:tcPr>
            <w:tcW w:w="1519" w:type="dxa"/>
            <w:vMerge/>
            <w:tcBorders>
              <w:left w:val="nil"/>
              <w:bottom w:val="single" w:sz="4" w:space="0" w:color="auto"/>
            </w:tcBorders>
          </w:tcPr>
          <w:p w:rsidR="00423DF4" w:rsidRPr="003111E1" w:rsidRDefault="00423DF4" w:rsidP="00756E72">
            <w:pPr>
              <w:spacing w:line="360" w:lineRule="exact"/>
              <w:rPr>
                <w:rFonts w:eastAsia="標楷體"/>
              </w:rPr>
            </w:pPr>
          </w:p>
        </w:tc>
        <w:tc>
          <w:tcPr>
            <w:tcW w:w="1103" w:type="dxa"/>
            <w:tcBorders>
              <w:top w:val="nil"/>
              <w:bottom w:val="single" w:sz="4" w:space="0" w:color="auto"/>
            </w:tcBorders>
          </w:tcPr>
          <w:p w:rsidR="00423DF4" w:rsidRPr="003111E1"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111E1">
              <w:rPr>
                <w:rFonts w:eastAsia="標楷體"/>
                <w:spacing w:val="0"/>
                <w:kern w:val="2"/>
                <w:szCs w:val="24"/>
              </w:rPr>
              <w:t>年增率</w:t>
            </w:r>
          </w:p>
        </w:tc>
        <w:tc>
          <w:tcPr>
            <w:tcW w:w="1045" w:type="dxa"/>
            <w:tcBorders>
              <w:top w:val="single" w:sz="4" w:space="0" w:color="auto"/>
              <w:bottom w:val="single" w:sz="4" w:space="0" w:color="auto"/>
            </w:tcBorders>
          </w:tcPr>
          <w:p w:rsidR="00423DF4" w:rsidRPr="003111E1" w:rsidRDefault="00423DF4"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不含</w:t>
            </w:r>
            <w:r w:rsidR="00A45EBD" w:rsidRPr="003111E1">
              <w:rPr>
                <w:rFonts w:ascii="Times New Roman" w:eastAsia="標楷體"/>
              </w:rPr>
              <w:t>蔬果</w:t>
            </w:r>
          </w:p>
        </w:tc>
        <w:tc>
          <w:tcPr>
            <w:tcW w:w="1154" w:type="dxa"/>
            <w:tcBorders>
              <w:top w:val="single" w:sz="4" w:space="0" w:color="auto"/>
              <w:bottom w:val="single" w:sz="4" w:space="0" w:color="auto"/>
            </w:tcBorders>
            <w:vAlign w:val="center"/>
          </w:tcPr>
          <w:p w:rsidR="003501E2" w:rsidRPr="003111E1" w:rsidRDefault="00423DF4" w:rsidP="00140E81">
            <w:pPr>
              <w:pStyle w:val="k02"/>
              <w:spacing w:before="0" w:beforeAutospacing="0" w:after="0" w:afterAutospacing="0" w:line="320" w:lineRule="exact"/>
              <w:jc w:val="center"/>
              <w:rPr>
                <w:rFonts w:ascii="Times New Roman" w:eastAsia="標楷體"/>
              </w:rPr>
            </w:pPr>
            <w:r w:rsidRPr="003111E1">
              <w:rPr>
                <w:rFonts w:ascii="Times New Roman" w:eastAsia="標楷體"/>
              </w:rPr>
              <w:t>不含蔬果及能源</w:t>
            </w:r>
          </w:p>
          <w:p w:rsidR="00423DF4" w:rsidRPr="003111E1" w:rsidRDefault="003501E2"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w:t>
            </w:r>
            <w:r w:rsidRPr="003111E1">
              <w:rPr>
                <w:rFonts w:ascii="Times New Roman" w:eastAsia="標楷體"/>
              </w:rPr>
              <w:t>核心</w:t>
            </w:r>
            <w:r w:rsidRPr="003111E1">
              <w:rPr>
                <w:rFonts w:ascii="Times New Roman" w:eastAsia="標楷體"/>
              </w:rPr>
              <w:t>CPI)</w:t>
            </w:r>
          </w:p>
        </w:tc>
        <w:tc>
          <w:tcPr>
            <w:tcW w:w="1027" w:type="dxa"/>
            <w:tcBorders>
              <w:top w:val="nil"/>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年增率</w:t>
            </w:r>
          </w:p>
        </w:tc>
        <w:tc>
          <w:tcPr>
            <w:tcW w:w="851"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國產</w:t>
            </w:r>
          </w:p>
          <w:p w:rsidR="00423DF4" w:rsidRPr="003111E1" w:rsidRDefault="00423DF4" w:rsidP="00140E81">
            <w:pPr>
              <w:spacing w:line="320" w:lineRule="exact"/>
              <w:jc w:val="center"/>
              <w:rPr>
                <w:rFonts w:eastAsia="標楷體"/>
              </w:rPr>
            </w:pPr>
            <w:r w:rsidRPr="003111E1">
              <w:rPr>
                <w:rFonts w:eastAsia="標楷體"/>
              </w:rPr>
              <w:t>內銷</w:t>
            </w:r>
          </w:p>
        </w:tc>
        <w:tc>
          <w:tcPr>
            <w:tcW w:w="1067"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進口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c>
          <w:tcPr>
            <w:tcW w:w="1116" w:type="dxa"/>
            <w:tcBorders>
              <w:top w:val="single" w:sz="4" w:space="0" w:color="auto"/>
              <w:bottom w:val="single" w:sz="4" w:space="0" w:color="auto"/>
              <w:right w:val="nil"/>
            </w:tcBorders>
          </w:tcPr>
          <w:p w:rsidR="00423DF4" w:rsidRPr="003111E1" w:rsidRDefault="00423DF4" w:rsidP="00140E81">
            <w:pPr>
              <w:spacing w:line="320" w:lineRule="exact"/>
              <w:jc w:val="center"/>
              <w:rPr>
                <w:rFonts w:eastAsia="標楷體"/>
              </w:rPr>
            </w:pPr>
            <w:r w:rsidRPr="003111E1">
              <w:rPr>
                <w:rFonts w:eastAsia="標楷體"/>
              </w:rPr>
              <w:t>出口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97</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3.53</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3.43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3.</w:t>
            </w:r>
            <w:r w:rsidR="003501E2" w:rsidRPr="003111E1">
              <w:rPr>
                <w:rFonts w:eastAsia="標楷體"/>
                <w:b/>
                <w:bCs/>
              </w:rPr>
              <w:t>26</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5.22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8.64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8.84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-2.14</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98</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-0.87</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-0.45</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0</w:t>
            </w:r>
            <w:r w:rsidRPr="003111E1">
              <w:rPr>
                <w:rFonts w:eastAsia="標楷體"/>
                <w:b/>
                <w:bCs/>
              </w:rPr>
              <w:t>4</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-8.74</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-10.02</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-9.61</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-6.60</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99</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0.96</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58</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5.45</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7.44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7.04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2.03</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100</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9"/>
              <w:spacing w:line="360" w:lineRule="exact"/>
              <w:ind w:rightChars="50" w:right="120"/>
              <w:rPr>
                <w:rFonts w:eastAsia="標楷體"/>
                <w:b/>
                <w:bCs/>
              </w:rPr>
            </w:pPr>
            <w:r w:rsidRPr="003111E1">
              <w:rPr>
                <w:rFonts w:eastAsia="標楷體"/>
                <w:b/>
                <w:bCs/>
              </w:rPr>
              <w:t xml:space="preserve">1.42 </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1.48</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1.2</w:t>
            </w:r>
            <w:r w:rsidR="003501E2" w:rsidRPr="003111E1">
              <w:rPr>
                <w:rFonts w:eastAsia="標楷體"/>
                <w:b/>
                <w:bCs/>
              </w:rPr>
              <w:t>6</w:t>
            </w:r>
            <w:r w:rsidRPr="003111E1">
              <w:rPr>
                <w:rFonts w:eastAsia="標楷體"/>
                <w:b/>
                <w:bCs/>
              </w:rPr>
              <w:t xml:space="preserve"> </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4.32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5.04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7.65</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0.09</w:t>
            </w:r>
          </w:p>
        </w:tc>
      </w:tr>
      <w:tr w:rsidR="00F175DD" w:rsidRPr="003111E1" w:rsidTr="003501E2">
        <w:trPr>
          <w:jc w:val="center"/>
        </w:trPr>
        <w:tc>
          <w:tcPr>
            <w:tcW w:w="1519" w:type="dxa"/>
            <w:tcBorders>
              <w:top w:val="nil"/>
              <w:left w:val="nil"/>
              <w:bottom w:val="nil"/>
              <w:right w:val="single" w:sz="4" w:space="0" w:color="auto"/>
            </w:tcBorders>
          </w:tcPr>
          <w:p w:rsidR="00423DF4" w:rsidRPr="003111E1" w:rsidRDefault="00721238" w:rsidP="00721238">
            <w:pPr>
              <w:snapToGrid w:val="0"/>
              <w:spacing w:line="360" w:lineRule="exact"/>
              <w:ind w:rightChars="12" w:right="29"/>
              <w:jc w:val="both"/>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101</w:t>
            </w:r>
            <w:r w:rsidR="00423DF4" w:rsidRPr="003111E1">
              <w:rPr>
                <w:rFonts w:eastAsia="標楷體"/>
                <w:b/>
                <w:bCs/>
              </w:rPr>
              <w:t>年</w:t>
            </w:r>
          </w:p>
        </w:tc>
        <w:tc>
          <w:tcPr>
            <w:tcW w:w="1103" w:type="dxa"/>
            <w:tcBorders>
              <w:top w:val="nil"/>
              <w:left w:val="single" w:sz="4" w:space="0" w:color="auto"/>
              <w:bottom w:val="nil"/>
              <w:right w:val="nil"/>
            </w:tcBorders>
            <w:vAlign w:val="center"/>
          </w:tcPr>
          <w:p w:rsidR="00423DF4" w:rsidRPr="003111E1" w:rsidRDefault="000424BA" w:rsidP="000F0AD2">
            <w:pPr>
              <w:pStyle w:val="a9"/>
              <w:spacing w:line="360" w:lineRule="exact"/>
              <w:ind w:rightChars="50" w:right="120"/>
              <w:rPr>
                <w:rFonts w:eastAsia="標楷體"/>
                <w:b/>
                <w:bCs/>
              </w:rPr>
            </w:pPr>
            <w:r w:rsidRPr="003111E1">
              <w:rPr>
                <w:rFonts w:eastAsia="標楷體"/>
                <w:b/>
                <w:bCs/>
              </w:rPr>
              <w:t>1.93</w:t>
            </w:r>
          </w:p>
        </w:tc>
        <w:tc>
          <w:tcPr>
            <w:tcW w:w="1045" w:type="dxa"/>
            <w:tcBorders>
              <w:top w:val="nil"/>
              <w:left w:val="nil"/>
              <w:bottom w:val="nil"/>
              <w:right w:val="nil"/>
            </w:tcBorders>
            <w:vAlign w:val="center"/>
          </w:tcPr>
          <w:p w:rsidR="00423DF4" w:rsidRPr="003111E1" w:rsidRDefault="00A30109" w:rsidP="00756E72">
            <w:pPr>
              <w:spacing w:line="360" w:lineRule="exact"/>
              <w:jc w:val="center"/>
              <w:rPr>
                <w:rFonts w:eastAsia="標楷體"/>
                <w:b/>
                <w:bCs/>
              </w:rPr>
            </w:pPr>
            <w:r w:rsidRPr="003111E1">
              <w:rPr>
                <w:rFonts w:eastAsia="標楷體"/>
                <w:b/>
                <w:bCs/>
              </w:rPr>
              <w:t>1.30</w:t>
            </w:r>
          </w:p>
        </w:tc>
        <w:tc>
          <w:tcPr>
            <w:tcW w:w="1154" w:type="dxa"/>
            <w:tcBorders>
              <w:top w:val="nil"/>
              <w:left w:val="nil"/>
              <w:bottom w:val="nil"/>
              <w:right w:val="nil"/>
            </w:tcBorders>
            <w:vAlign w:val="center"/>
          </w:tcPr>
          <w:p w:rsidR="00423DF4" w:rsidRPr="003111E1" w:rsidRDefault="00C01822" w:rsidP="00C01822">
            <w:pPr>
              <w:spacing w:line="360" w:lineRule="exact"/>
              <w:jc w:val="center"/>
              <w:rPr>
                <w:rFonts w:eastAsia="標楷體"/>
                <w:b/>
                <w:bCs/>
              </w:rPr>
            </w:pPr>
            <w:r w:rsidRPr="003111E1">
              <w:rPr>
                <w:rFonts w:eastAsia="標楷體"/>
                <w:b/>
                <w:bCs/>
              </w:rPr>
              <w:t>1.00</w:t>
            </w:r>
          </w:p>
        </w:tc>
        <w:tc>
          <w:tcPr>
            <w:tcW w:w="1027" w:type="dxa"/>
            <w:tcBorders>
              <w:top w:val="nil"/>
              <w:left w:val="nil"/>
              <w:bottom w:val="nil"/>
              <w:right w:val="nil"/>
            </w:tcBorders>
            <w:vAlign w:val="center"/>
          </w:tcPr>
          <w:p w:rsidR="00423DF4" w:rsidRPr="003111E1" w:rsidRDefault="000424BA" w:rsidP="00FA097A">
            <w:pPr>
              <w:spacing w:line="360" w:lineRule="exact"/>
              <w:jc w:val="center"/>
              <w:rPr>
                <w:rFonts w:eastAsia="標楷體"/>
                <w:b/>
                <w:bCs/>
              </w:rPr>
            </w:pPr>
            <w:r w:rsidRPr="003111E1">
              <w:rPr>
                <w:rFonts w:eastAsia="標楷體"/>
                <w:b/>
                <w:bCs/>
              </w:rPr>
              <w:t>-1.16</w:t>
            </w:r>
          </w:p>
        </w:tc>
        <w:tc>
          <w:tcPr>
            <w:tcW w:w="851" w:type="dxa"/>
            <w:tcBorders>
              <w:top w:val="nil"/>
              <w:left w:val="nil"/>
              <w:bottom w:val="nil"/>
              <w:right w:val="nil"/>
            </w:tcBorders>
            <w:vAlign w:val="center"/>
          </w:tcPr>
          <w:p w:rsidR="00423DF4" w:rsidRPr="003111E1" w:rsidRDefault="00F31F4B" w:rsidP="00756E72">
            <w:pPr>
              <w:spacing w:line="360" w:lineRule="exact"/>
              <w:jc w:val="center"/>
              <w:rPr>
                <w:rFonts w:eastAsia="標楷體"/>
                <w:b/>
                <w:bCs/>
              </w:rPr>
            </w:pPr>
            <w:r w:rsidRPr="003111E1">
              <w:rPr>
                <w:rFonts w:eastAsia="標楷體"/>
                <w:b/>
                <w:bCs/>
              </w:rPr>
              <w:t>-0.59</w:t>
            </w:r>
          </w:p>
        </w:tc>
        <w:tc>
          <w:tcPr>
            <w:tcW w:w="1067" w:type="dxa"/>
            <w:tcBorders>
              <w:top w:val="nil"/>
              <w:left w:val="nil"/>
              <w:bottom w:val="nil"/>
              <w:right w:val="nil"/>
            </w:tcBorders>
            <w:vAlign w:val="center"/>
          </w:tcPr>
          <w:p w:rsidR="00423DF4" w:rsidRPr="003111E1" w:rsidRDefault="00F31F4B" w:rsidP="00FA097A">
            <w:pPr>
              <w:spacing w:line="360" w:lineRule="exact"/>
              <w:jc w:val="center"/>
              <w:rPr>
                <w:rFonts w:eastAsia="標楷體"/>
                <w:b/>
                <w:bCs/>
              </w:rPr>
            </w:pPr>
            <w:r w:rsidRPr="003111E1">
              <w:rPr>
                <w:rFonts w:eastAsia="標楷體"/>
                <w:b/>
                <w:bCs/>
              </w:rPr>
              <w:t>-1.28</w:t>
            </w:r>
          </w:p>
        </w:tc>
        <w:tc>
          <w:tcPr>
            <w:tcW w:w="1116" w:type="dxa"/>
            <w:tcBorders>
              <w:top w:val="nil"/>
              <w:left w:val="nil"/>
              <w:bottom w:val="nil"/>
              <w:right w:val="nil"/>
            </w:tcBorders>
            <w:vAlign w:val="center"/>
          </w:tcPr>
          <w:p w:rsidR="00423DF4" w:rsidRPr="003111E1" w:rsidRDefault="00F31F4B" w:rsidP="00C01822">
            <w:pPr>
              <w:spacing w:line="360" w:lineRule="exact"/>
              <w:jc w:val="center"/>
              <w:rPr>
                <w:rFonts w:eastAsia="標楷體"/>
                <w:b/>
                <w:bCs/>
              </w:rPr>
            </w:pPr>
            <w:r w:rsidRPr="003111E1">
              <w:rPr>
                <w:rFonts w:eastAsia="標楷體"/>
                <w:b/>
                <w:bCs/>
              </w:rPr>
              <w:t>-1.6</w:t>
            </w:r>
            <w:r w:rsidR="00C01822" w:rsidRPr="003111E1">
              <w:rPr>
                <w:rFonts w:eastAsia="標楷體"/>
                <w:b/>
                <w:bCs/>
              </w:rPr>
              <w:t>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6</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1.77</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1.08</w:t>
            </w:r>
          </w:p>
        </w:tc>
        <w:tc>
          <w:tcPr>
            <w:tcW w:w="1154" w:type="dxa"/>
            <w:tcBorders>
              <w:top w:val="nil"/>
              <w:left w:val="nil"/>
              <w:bottom w:val="nil"/>
              <w:right w:val="nil"/>
            </w:tcBorders>
            <w:vAlign w:val="center"/>
          </w:tcPr>
          <w:p w:rsidR="007F4749" w:rsidRPr="003111E1" w:rsidRDefault="007F4749" w:rsidP="002407AA">
            <w:pPr>
              <w:jc w:val="center"/>
            </w:pPr>
            <w:r w:rsidRPr="003111E1">
              <w:t>0.92</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-1.87</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-1.75</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-2.85</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-0.87</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7</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2.46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1.30</w:t>
            </w:r>
          </w:p>
        </w:tc>
        <w:tc>
          <w:tcPr>
            <w:tcW w:w="1154" w:type="dxa"/>
            <w:tcBorders>
              <w:top w:val="nil"/>
              <w:left w:val="nil"/>
              <w:bottom w:val="nil"/>
              <w:right w:val="nil"/>
            </w:tcBorders>
            <w:vAlign w:val="center"/>
          </w:tcPr>
          <w:p w:rsidR="007F4749" w:rsidRPr="003111E1" w:rsidRDefault="007F4749" w:rsidP="002407AA">
            <w:pPr>
              <w:jc w:val="center"/>
            </w:pPr>
            <w:r w:rsidRPr="003111E1">
              <w:t>1.05</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-1.56</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-2.08</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-1.22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8</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3.43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1.60</w:t>
            </w:r>
          </w:p>
        </w:tc>
        <w:tc>
          <w:tcPr>
            <w:tcW w:w="1154" w:type="dxa"/>
            <w:tcBorders>
              <w:top w:val="nil"/>
              <w:left w:val="nil"/>
              <w:bottom w:val="nil"/>
              <w:right w:val="nil"/>
            </w:tcBorders>
            <w:vAlign w:val="center"/>
          </w:tcPr>
          <w:p w:rsidR="007F4749" w:rsidRPr="003111E1" w:rsidRDefault="007F4749" w:rsidP="002407AA">
            <w:pPr>
              <w:jc w:val="center"/>
            </w:pPr>
            <w:r w:rsidRPr="003111E1">
              <w:t>1.05</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-0.90</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-1.06</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-1.26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9</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2.95</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1.64</w:t>
            </w:r>
          </w:p>
        </w:tc>
        <w:tc>
          <w:tcPr>
            <w:tcW w:w="1154" w:type="dxa"/>
            <w:tcBorders>
              <w:top w:val="nil"/>
              <w:left w:val="nil"/>
              <w:bottom w:val="nil"/>
              <w:right w:val="nil"/>
            </w:tcBorders>
            <w:vAlign w:val="center"/>
          </w:tcPr>
          <w:p w:rsidR="007F4749" w:rsidRPr="003111E1" w:rsidRDefault="007F4749" w:rsidP="002407AA">
            <w:pPr>
              <w:jc w:val="center"/>
            </w:pPr>
            <w:r w:rsidRPr="003111E1">
              <w:t>1.02</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-2.35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-0.09</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-3.21</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-3.68</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10</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2.33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1.63</w:t>
            </w:r>
          </w:p>
        </w:tc>
        <w:tc>
          <w:tcPr>
            <w:tcW w:w="1154" w:type="dxa"/>
            <w:tcBorders>
              <w:top w:val="nil"/>
              <w:left w:val="nil"/>
              <w:bottom w:val="nil"/>
              <w:right w:val="nil"/>
            </w:tcBorders>
            <w:vAlign w:val="center"/>
          </w:tcPr>
          <w:p w:rsidR="007F4749" w:rsidRPr="003111E1" w:rsidRDefault="007F4749" w:rsidP="002407AA">
            <w:pPr>
              <w:jc w:val="center"/>
            </w:pPr>
            <w:r w:rsidRPr="003111E1">
              <w:t>1.09</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-3.73</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-5.47</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1.59</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1.42</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1.01</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-3.92</w:t>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-6.24</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-5.56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1.60</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1.57</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1.10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0.28</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-6.70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-5.04</w:t>
            </w:r>
          </w:p>
        </w:tc>
      </w:tr>
      <w:tr w:rsidR="00DD538E"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110"/>
              <w:rPr>
                <w:rFonts w:eastAsia="標楷體"/>
                <w:b/>
              </w:rPr>
            </w:pPr>
            <w:r w:rsidRPr="003111E1">
              <w:rPr>
                <w:rFonts w:eastAsia="標楷體"/>
                <w:b/>
              </w:rPr>
              <w:t>102</w:t>
            </w:r>
            <w:r w:rsidRPr="003111E1">
              <w:rPr>
                <w:rFonts w:eastAsia="標楷體"/>
                <w:b/>
              </w:rPr>
              <w:t>年</w:t>
            </w:r>
            <w:r w:rsidRPr="003111E1">
              <w:rPr>
                <w:rFonts w:eastAsia="標楷體"/>
                <w:b/>
              </w:rPr>
              <w:t>1~</w:t>
            </w:r>
            <w:r w:rsidR="00F175DD" w:rsidRPr="003111E1">
              <w:rPr>
                <w:rFonts w:eastAsia="標楷體"/>
                <w:b/>
              </w:rPr>
              <w:t>6</w:t>
            </w:r>
            <w:r w:rsidRPr="003111E1">
              <w:rPr>
                <w:rFonts w:eastAsia="標楷體"/>
                <w:b/>
              </w:rPr>
              <w:t>月</w:t>
            </w:r>
          </w:p>
        </w:tc>
        <w:tc>
          <w:tcPr>
            <w:tcW w:w="1103" w:type="dxa"/>
            <w:tcBorders>
              <w:top w:val="nil"/>
              <w:left w:val="single" w:sz="4" w:space="0" w:color="auto"/>
              <w:bottom w:val="nil"/>
              <w:right w:val="nil"/>
            </w:tcBorders>
            <w:vAlign w:val="center"/>
          </w:tcPr>
          <w:p w:rsidR="007F4749" w:rsidRPr="003111E1" w:rsidRDefault="007F4749" w:rsidP="00F175DD">
            <w:pPr>
              <w:pStyle w:val="a9"/>
              <w:spacing w:line="360" w:lineRule="exact"/>
              <w:ind w:rightChars="50" w:right="120"/>
              <w:rPr>
                <w:rFonts w:eastAsia="標楷體"/>
                <w:b/>
              </w:rPr>
            </w:pPr>
            <w:r w:rsidRPr="003111E1">
              <w:rPr>
                <w:rFonts w:eastAsia="標楷體"/>
                <w:b/>
              </w:rPr>
              <w:t>1.</w:t>
            </w:r>
            <w:r w:rsidR="00F175DD" w:rsidRPr="003111E1">
              <w:rPr>
                <w:rFonts w:eastAsia="標楷體"/>
                <w:b/>
              </w:rPr>
              <w:t>31</w:t>
            </w:r>
          </w:p>
        </w:tc>
        <w:tc>
          <w:tcPr>
            <w:tcW w:w="1045" w:type="dxa"/>
            <w:tcBorders>
              <w:top w:val="nil"/>
              <w:left w:val="nil"/>
              <w:bottom w:val="nil"/>
              <w:right w:val="nil"/>
            </w:tcBorders>
            <w:vAlign w:val="center"/>
          </w:tcPr>
          <w:p w:rsidR="007F4749" w:rsidRPr="003111E1" w:rsidRDefault="007F4749" w:rsidP="00BB79E7">
            <w:pPr>
              <w:spacing w:line="360" w:lineRule="exact"/>
              <w:jc w:val="center"/>
              <w:rPr>
                <w:rFonts w:eastAsia="標楷體"/>
                <w:b/>
              </w:rPr>
            </w:pPr>
            <w:r w:rsidRPr="003111E1">
              <w:rPr>
                <w:rFonts w:eastAsia="標楷體"/>
                <w:b/>
              </w:rPr>
              <w:t>1.</w:t>
            </w:r>
            <w:r w:rsidR="00BB79E7" w:rsidRPr="003111E1">
              <w:rPr>
                <w:rFonts w:eastAsia="標楷體"/>
                <w:b/>
              </w:rPr>
              <w:t>22</w:t>
            </w:r>
          </w:p>
        </w:tc>
        <w:tc>
          <w:tcPr>
            <w:tcW w:w="1154" w:type="dxa"/>
            <w:tcBorders>
              <w:top w:val="nil"/>
              <w:left w:val="nil"/>
              <w:bottom w:val="nil"/>
              <w:right w:val="nil"/>
            </w:tcBorders>
            <w:vAlign w:val="center"/>
          </w:tcPr>
          <w:p w:rsidR="007F4749" w:rsidRPr="003111E1" w:rsidRDefault="00BB79E7" w:rsidP="00BB79E7">
            <w:pPr>
              <w:spacing w:line="360" w:lineRule="exact"/>
              <w:jc w:val="center"/>
              <w:rPr>
                <w:rFonts w:eastAsia="標楷體"/>
                <w:b/>
              </w:rPr>
            </w:pPr>
            <w:r w:rsidRPr="003111E1">
              <w:rPr>
                <w:rFonts w:eastAsia="標楷體"/>
                <w:b/>
              </w:rPr>
              <w:t>0.96</w:t>
            </w:r>
          </w:p>
        </w:tc>
        <w:tc>
          <w:tcPr>
            <w:tcW w:w="1027" w:type="dxa"/>
            <w:tcBorders>
              <w:top w:val="nil"/>
              <w:left w:val="nil"/>
              <w:bottom w:val="nil"/>
              <w:right w:val="nil"/>
            </w:tcBorders>
            <w:vAlign w:val="center"/>
          </w:tcPr>
          <w:p w:rsidR="007F4749" w:rsidRPr="003111E1" w:rsidRDefault="007F4749" w:rsidP="00F175DD">
            <w:pPr>
              <w:spacing w:line="360" w:lineRule="exact"/>
              <w:jc w:val="center"/>
              <w:rPr>
                <w:rFonts w:eastAsia="標楷體"/>
                <w:b/>
              </w:rPr>
            </w:pPr>
            <w:r w:rsidRPr="003111E1">
              <w:rPr>
                <w:rFonts w:eastAsia="標楷體"/>
                <w:b/>
              </w:rPr>
              <w:t>-3.</w:t>
            </w:r>
            <w:r w:rsidR="00F175DD" w:rsidRPr="003111E1">
              <w:rPr>
                <w:rFonts w:eastAsia="標楷體"/>
                <w:b/>
              </w:rPr>
              <w:t>03</w:t>
            </w:r>
          </w:p>
        </w:tc>
        <w:tc>
          <w:tcPr>
            <w:tcW w:w="851" w:type="dxa"/>
            <w:tcBorders>
              <w:top w:val="nil"/>
              <w:left w:val="nil"/>
              <w:bottom w:val="nil"/>
              <w:right w:val="nil"/>
            </w:tcBorders>
            <w:vAlign w:val="center"/>
          </w:tcPr>
          <w:p w:rsidR="007F4749" w:rsidRPr="003111E1" w:rsidRDefault="007F4749" w:rsidP="007021F9">
            <w:pPr>
              <w:spacing w:line="360" w:lineRule="exact"/>
              <w:jc w:val="center"/>
              <w:rPr>
                <w:rFonts w:eastAsia="標楷體"/>
                <w:b/>
              </w:rPr>
            </w:pPr>
            <w:r w:rsidRPr="003111E1">
              <w:rPr>
                <w:rFonts w:eastAsia="標楷體"/>
                <w:b/>
              </w:rPr>
              <w:t>-0.</w:t>
            </w:r>
            <w:r w:rsidR="007021F9" w:rsidRPr="003111E1">
              <w:rPr>
                <w:rFonts w:eastAsia="標楷體"/>
                <w:b/>
              </w:rPr>
              <w:t>96</w:t>
            </w:r>
          </w:p>
        </w:tc>
        <w:tc>
          <w:tcPr>
            <w:tcW w:w="1067" w:type="dxa"/>
            <w:tcBorders>
              <w:top w:val="nil"/>
              <w:left w:val="nil"/>
              <w:bottom w:val="nil"/>
              <w:right w:val="nil"/>
            </w:tcBorders>
            <w:vAlign w:val="center"/>
          </w:tcPr>
          <w:p w:rsidR="007F4749" w:rsidRPr="003111E1" w:rsidRDefault="007F4749" w:rsidP="00210821">
            <w:pPr>
              <w:spacing w:line="360" w:lineRule="exact"/>
              <w:jc w:val="center"/>
              <w:rPr>
                <w:rFonts w:eastAsia="標楷體"/>
                <w:b/>
              </w:rPr>
            </w:pPr>
            <w:r w:rsidRPr="003111E1">
              <w:rPr>
                <w:rFonts w:eastAsia="標楷體"/>
                <w:b/>
              </w:rPr>
              <w:t>-5.</w:t>
            </w:r>
            <w:r w:rsidR="00210821" w:rsidRPr="003111E1">
              <w:rPr>
                <w:rFonts w:eastAsia="標楷體"/>
                <w:b/>
              </w:rPr>
              <w:t>3</w:t>
            </w:r>
            <w:r w:rsidRPr="003111E1">
              <w:rPr>
                <w:rFonts w:eastAsia="標楷體"/>
                <w:b/>
              </w:rPr>
              <w:t>0</w:t>
            </w:r>
          </w:p>
        </w:tc>
        <w:tc>
          <w:tcPr>
            <w:tcW w:w="1116" w:type="dxa"/>
            <w:tcBorders>
              <w:top w:val="nil"/>
              <w:left w:val="nil"/>
              <w:bottom w:val="nil"/>
              <w:right w:val="nil"/>
            </w:tcBorders>
            <w:vAlign w:val="center"/>
          </w:tcPr>
          <w:p w:rsidR="007F4749" w:rsidRPr="003111E1" w:rsidRDefault="007F4749" w:rsidP="007021F9">
            <w:pPr>
              <w:spacing w:line="360" w:lineRule="exact"/>
              <w:jc w:val="center"/>
              <w:rPr>
                <w:rFonts w:eastAsia="標楷體"/>
                <w:b/>
              </w:rPr>
            </w:pPr>
            <w:r w:rsidRPr="003111E1">
              <w:rPr>
                <w:rFonts w:eastAsia="標楷體"/>
                <w:b/>
              </w:rPr>
              <w:t>-</w:t>
            </w:r>
            <w:r w:rsidR="007021F9" w:rsidRPr="003111E1">
              <w:rPr>
                <w:rFonts w:eastAsia="標楷體"/>
                <w:b/>
              </w:rPr>
              <w:t>2</w:t>
            </w:r>
            <w:r w:rsidRPr="003111E1">
              <w:rPr>
                <w:rFonts w:eastAsia="標楷體"/>
                <w:b/>
              </w:rPr>
              <w:t>.</w:t>
            </w:r>
            <w:r w:rsidR="007021F9" w:rsidRPr="003111E1">
              <w:rPr>
                <w:rFonts w:eastAsia="標楷體"/>
                <w:b/>
              </w:rPr>
              <w:t>79</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1.12</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0.86</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 xml:space="preserve">-3.83 </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-6.35</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-5.13</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9"/>
              <w:spacing w:line="360" w:lineRule="exact"/>
              <w:ind w:rightChars="50" w:right="120"/>
              <w:rPr>
                <w:rFonts w:eastAsia="標楷體"/>
              </w:rPr>
            </w:pPr>
            <w:r w:rsidRPr="003111E1">
              <w:rPr>
                <w:rFonts w:eastAsia="標楷體"/>
              </w:rPr>
              <w:t>2.96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2.65</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-2.2</w:t>
            </w:r>
            <w:r w:rsidR="00E13606" w:rsidRPr="003111E1">
              <w:rPr>
                <w:rFonts w:eastAsia="標楷體"/>
              </w:rPr>
              <w:t>8</w:t>
            </w:r>
            <w:r w:rsidRPr="003111E1">
              <w:rPr>
                <w:rFonts w:eastAsia="標楷體"/>
              </w:rPr>
              <w:t xml:space="preserve"> </w:t>
            </w:r>
          </w:p>
        </w:tc>
        <w:tc>
          <w:tcPr>
            <w:tcW w:w="851"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0.6</w:t>
            </w:r>
            <w:r w:rsidR="00E13606" w:rsidRPr="003111E1">
              <w:rPr>
                <w:rFonts w:eastAsia="標楷體"/>
              </w:rPr>
              <w:t>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-4.60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-2.63</w:t>
            </w:r>
          </w:p>
        </w:tc>
      </w:tr>
      <w:tr w:rsidR="00F175DD" w:rsidRPr="003111E1" w:rsidTr="00BE07B6">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3</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7021F9">
            <w:pPr>
              <w:pStyle w:val="a9"/>
              <w:spacing w:line="360" w:lineRule="exact"/>
              <w:ind w:rightChars="50" w:right="120"/>
              <w:rPr>
                <w:rFonts w:eastAsia="標楷體"/>
              </w:rPr>
            </w:pPr>
            <w:r w:rsidRPr="003111E1">
              <w:rPr>
                <w:rFonts w:eastAsia="標楷體"/>
              </w:rPr>
              <w:t>1.3</w:t>
            </w:r>
            <w:r w:rsidR="007021F9" w:rsidRPr="003111E1">
              <w:rPr>
                <w:rFonts w:eastAsia="標楷體"/>
              </w:rPr>
              <w:t>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1.52</w:t>
            </w:r>
          </w:p>
        </w:tc>
        <w:tc>
          <w:tcPr>
            <w:tcW w:w="1154"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1.</w:t>
            </w:r>
            <w:r w:rsidR="00E13606" w:rsidRPr="003111E1">
              <w:rPr>
                <w:rFonts w:eastAsia="標楷體"/>
              </w:rPr>
              <w:t>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-3.</w:t>
            </w:r>
            <w:r w:rsidR="00E13606" w:rsidRPr="003111E1">
              <w:rPr>
                <w:rFonts w:eastAsia="標楷體"/>
              </w:rPr>
              <w:t>08</w:t>
            </w:r>
          </w:p>
        </w:tc>
        <w:tc>
          <w:tcPr>
            <w:tcW w:w="851"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-0.7</w:t>
            </w:r>
            <w:r w:rsidR="00210821" w:rsidRPr="003111E1">
              <w:rPr>
                <w:rFonts w:eastAsia="標楷體"/>
              </w:rPr>
              <w:t>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-5.67</w:t>
            </w:r>
          </w:p>
        </w:tc>
        <w:tc>
          <w:tcPr>
            <w:tcW w:w="1116"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-2.7</w:t>
            </w:r>
            <w:r w:rsidR="00E13606" w:rsidRPr="003111E1">
              <w:rPr>
                <w:rFonts w:eastAsia="標楷體"/>
              </w:rPr>
              <w:t>4</w:t>
            </w:r>
          </w:p>
        </w:tc>
      </w:tr>
      <w:tr w:rsidR="00F175DD" w:rsidRPr="003111E1" w:rsidTr="00E13606">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4</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E13606">
            <w:pPr>
              <w:pStyle w:val="a9"/>
              <w:spacing w:line="360" w:lineRule="exact"/>
              <w:ind w:rightChars="50" w:right="120"/>
              <w:rPr>
                <w:rFonts w:eastAsia="標楷體"/>
              </w:rPr>
            </w:pPr>
            <w:r w:rsidRPr="003111E1">
              <w:rPr>
                <w:rFonts w:eastAsia="標楷體"/>
              </w:rPr>
              <w:t>1.0</w:t>
            </w:r>
            <w:r w:rsidR="00E13606" w:rsidRPr="003111E1">
              <w:rPr>
                <w:rFonts w:eastAsia="標楷體"/>
              </w:rPr>
              <w:t>5</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0.82</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0.86</w:t>
            </w:r>
          </w:p>
        </w:tc>
        <w:tc>
          <w:tcPr>
            <w:tcW w:w="1027" w:type="dxa"/>
            <w:tcBorders>
              <w:top w:val="nil"/>
              <w:left w:val="nil"/>
              <w:bottom w:val="nil"/>
              <w:right w:val="nil"/>
            </w:tcBorders>
            <w:vAlign w:val="center"/>
          </w:tcPr>
          <w:p w:rsidR="007F4749" w:rsidRPr="003111E1" w:rsidRDefault="007F4749" w:rsidP="00F175DD">
            <w:pPr>
              <w:spacing w:line="360" w:lineRule="exact"/>
              <w:jc w:val="center"/>
              <w:rPr>
                <w:rFonts w:eastAsia="標楷體"/>
              </w:rPr>
            </w:pPr>
            <w:r w:rsidRPr="003111E1">
              <w:rPr>
                <w:rFonts w:eastAsia="標楷體"/>
              </w:rPr>
              <w:t>-3.</w:t>
            </w:r>
            <w:r w:rsidR="00F175DD" w:rsidRPr="003111E1">
              <w:rPr>
                <w:rFonts w:eastAsia="標楷體"/>
              </w:rPr>
              <w:t>72</w:t>
            </w:r>
          </w:p>
        </w:tc>
        <w:tc>
          <w:tcPr>
            <w:tcW w:w="851"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-2.</w:t>
            </w:r>
            <w:r w:rsidR="00E13606" w:rsidRPr="003111E1">
              <w:rPr>
                <w:rFonts w:eastAsia="標楷體"/>
              </w:rPr>
              <w:t>2</w:t>
            </w:r>
            <w:r w:rsidR="00210821" w:rsidRPr="003111E1">
              <w:rPr>
                <w:rFonts w:eastAsia="標楷體"/>
              </w:rPr>
              <w:t>4</w:t>
            </w:r>
          </w:p>
        </w:tc>
        <w:tc>
          <w:tcPr>
            <w:tcW w:w="106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-6.</w:t>
            </w:r>
            <w:r w:rsidR="00E13606" w:rsidRPr="003111E1">
              <w:rPr>
                <w:rFonts w:eastAsia="標楷體"/>
              </w:rPr>
              <w:t>16</w:t>
            </w:r>
          </w:p>
        </w:tc>
        <w:tc>
          <w:tcPr>
            <w:tcW w:w="1116"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-2.</w:t>
            </w:r>
            <w:r w:rsidR="00210821" w:rsidRPr="003111E1">
              <w:rPr>
                <w:rFonts w:eastAsia="標楷體"/>
              </w:rPr>
              <w:t>80</w:t>
            </w:r>
          </w:p>
        </w:tc>
      </w:tr>
      <w:tr w:rsidR="00F175DD" w:rsidRPr="003111E1" w:rsidTr="00F175DD">
        <w:trPr>
          <w:jc w:val="center"/>
        </w:trPr>
        <w:tc>
          <w:tcPr>
            <w:tcW w:w="1519" w:type="dxa"/>
            <w:tcBorders>
              <w:top w:val="nil"/>
              <w:left w:val="nil"/>
              <w:bottom w:val="nil"/>
              <w:right w:val="single" w:sz="4" w:space="0" w:color="auto"/>
            </w:tcBorders>
          </w:tcPr>
          <w:p w:rsidR="00E13606" w:rsidRPr="003111E1" w:rsidRDefault="00E13606" w:rsidP="002407AA">
            <w:pPr>
              <w:spacing w:line="360" w:lineRule="exact"/>
              <w:ind w:right="284"/>
              <w:jc w:val="right"/>
              <w:rPr>
                <w:rFonts w:eastAsia="標楷體"/>
              </w:rPr>
            </w:pPr>
            <w:r w:rsidRPr="003111E1">
              <w:rPr>
                <w:rFonts w:eastAsia="標楷體"/>
              </w:rPr>
              <w:t>5</w:t>
            </w:r>
            <w:r w:rsidRPr="003111E1">
              <w:rPr>
                <w:rFonts w:eastAsia="標楷體"/>
              </w:rPr>
              <w:t>月</w:t>
            </w:r>
          </w:p>
        </w:tc>
        <w:tc>
          <w:tcPr>
            <w:tcW w:w="1103" w:type="dxa"/>
            <w:tcBorders>
              <w:top w:val="nil"/>
              <w:left w:val="single" w:sz="4" w:space="0" w:color="auto"/>
              <w:bottom w:val="nil"/>
              <w:right w:val="nil"/>
            </w:tcBorders>
            <w:vAlign w:val="center"/>
          </w:tcPr>
          <w:p w:rsidR="00E13606" w:rsidRPr="003111E1" w:rsidRDefault="00E13606" w:rsidP="00E13606">
            <w:pPr>
              <w:pStyle w:val="a9"/>
              <w:spacing w:line="360" w:lineRule="exact"/>
              <w:ind w:rightChars="50" w:right="120"/>
              <w:rPr>
                <w:rFonts w:eastAsia="標楷體"/>
              </w:rPr>
            </w:pPr>
            <w:r w:rsidRPr="003111E1">
              <w:rPr>
                <w:rFonts w:eastAsia="標楷體"/>
              </w:rPr>
              <w:t>0.74</w:t>
            </w:r>
          </w:p>
        </w:tc>
        <w:tc>
          <w:tcPr>
            <w:tcW w:w="1045" w:type="dxa"/>
            <w:tcBorders>
              <w:top w:val="nil"/>
              <w:left w:val="nil"/>
              <w:bottom w:val="nil"/>
              <w:right w:val="nil"/>
            </w:tcBorders>
            <w:vAlign w:val="center"/>
          </w:tcPr>
          <w:p w:rsidR="00E13606" w:rsidRPr="003111E1" w:rsidRDefault="009D304F" w:rsidP="002407AA">
            <w:pPr>
              <w:spacing w:line="360" w:lineRule="exact"/>
              <w:jc w:val="center"/>
              <w:rPr>
                <w:rFonts w:eastAsia="標楷體"/>
              </w:rPr>
            </w:pPr>
            <w:r w:rsidRPr="003111E1">
              <w:rPr>
                <w:rFonts w:eastAsia="標楷體"/>
              </w:rPr>
              <w:t>0.70</w:t>
            </w:r>
          </w:p>
        </w:tc>
        <w:tc>
          <w:tcPr>
            <w:tcW w:w="1154" w:type="dxa"/>
            <w:tcBorders>
              <w:top w:val="nil"/>
              <w:left w:val="nil"/>
              <w:bottom w:val="nil"/>
              <w:right w:val="nil"/>
            </w:tcBorders>
            <w:vAlign w:val="center"/>
          </w:tcPr>
          <w:p w:rsidR="00E13606" w:rsidRPr="003111E1" w:rsidRDefault="00E13606" w:rsidP="002407AA">
            <w:pPr>
              <w:spacing w:line="360" w:lineRule="exact"/>
              <w:jc w:val="center"/>
              <w:rPr>
                <w:rFonts w:eastAsia="標楷體"/>
              </w:rPr>
            </w:pPr>
            <w:r w:rsidRPr="003111E1">
              <w:rPr>
                <w:rFonts w:eastAsia="標楷體"/>
              </w:rPr>
              <w:t>0.61</w:t>
            </w:r>
          </w:p>
        </w:tc>
        <w:tc>
          <w:tcPr>
            <w:tcW w:w="1027" w:type="dxa"/>
            <w:tcBorders>
              <w:top w:val="nil"/>
              <w:left w:val="nil"/>
              <w:bottom w:val="nil"/>
              <w:right w:val="nil"/>
            </w:tcBorders>
            <w:vAlign w:val="center"/>
          </w:tcPr>
          <w:p w:rsidR="00E13606" w:rsidRPr="003111E1" w:rsidRDefault="00E13606" w:rsidP="00F175DD">
            <w:pPr>
              <w:spacing w:line="360" w:lineRule="exact"/>
              <w:jc w:val="center"/>
              <w:rPr>
                <w:rFonts w:eastAsia="標楷體"/>
              </w:rPr>
            </w:pPr>
            <w:r w:rsidRPr="003111E1">
              <w:rPr>
                <w:rFonts w:eastAsia="標楷體"/>
              </w:rPr>
              <w:t>-3.</w:t>
            </w:r>
            <w:r w:rsidR="00F175DD" w:rsidRPr="003111E1">
              <w:rPr>
                <w:rFonts w:eastAsia="標楷體"/>
              </w:rPr>
              <w:t>33</w:t>
            </w:r>
          </w:p>
        </w:tc>
        <w:tc>
          <w:tcPr>
            <w:tcW w:w="851" w:type="dxa"/>
            <w:tcBorders>
              <w:top w:val="nil"/>
              <w:left w:val="nil"/>
              <w:bottom w:val="nil"/>
              <w:right w:val="nil"/>
            </w:tcBorders>
            <w:vAlign w:val="center"/>
          </w:tcPr>
          <w:p w:rsidR="00E13606" w:rsidRPr="003111E1" w:rsidRDefault="00E13606" w:rsidP="00210821">
            <w:pPr>
              <w:spacing w:line="360" w:lineRule="exact"/>
              <w:jc w:val="center"/>
              <w:rPr>
                <w:rFonts w:eastAsia="標楷體"/>
              </w:rPr>
            </w:pPr>
            <w:r w:rsidRPr="003111E1">
              <w:rPr>
                <w:rFonts w:eastAsia="標楷體"/>
              </w:rPr>
              <w:t>-2.</w:t>
            </w:r>
            <w:r w:rsidR="00210821" w:rsidRPr="003111E1">
              <w:rPr>
                <w:rFonts w:eastAsia="標楷體"/>
              </w:rPr>
              <w:t>25</w:t>
            </w:r>
          </w:p>
        </w:tc>
        <w:tc>
          <w:tcPr>
            <w:tcW w:w="1067" w:type="dxa"/>
            <w:tcBorders>
              <w:top w:val="nil"/>
              <w:left w:val="nil"/>
              <w:bottom w:val="nil"/>
              <w:right w:val="nil"/>
            </w:tcBorders>
            <w:vAlign w:val="center"/>
          </w:tcPr>
          <w:p w:rsidR="00E13606" w:rsidRPr="003111E1" w:rsidRDefault="00E13606" w:rsidP="00210821">
            <w:pPr>
              <w:spacing w:line="360" w:lineRule="exact"/>
              <w:jc w:val="center"/>
              <w:rPr>
                <w:rFonts w:eastAsia="標楷體"/>
              </w:rPr>
            </w:pPr>
            <w:r w:rsidRPr="003111E1">
              <w:rPr>
                <w:rFonts w:eastAsia="標楷體"/>
              </w:rPr>
              <w:t>-5.7</w:t>
            </w:r>
            <w:r w:rsidR="00210821" w:rsidRPr="003111E1">
              <w:rPr>
                <w:rFonts w:eastAsia="標楷體"/>
              </w:rPr>
              <w:t>4</w:t>
            </w:r>
          </w:p>
        </w:tc>
        <w:tc>
          <w:tcPr>
            <w:tcW w:w="1116" w:type="dxa"/>
            <w:tcBorders>
              <w:top w:val="nil"/>
              <w:left w:val="nil"/>
              <w:bottom w:val="nil"/>
              <w:right w:val="nil"/>
            </w:tcBorders>
            <w:vAlign w:val="center"/>
          </w:tcPr>
          <w:p w:rsidR="00E13606" w:rsidRPr="003111E1" w:rsidRDefault="00E13606" w:rsidP="00210821">
            <w:pPr>
              <w:spacing w:line="360" w:lineRule="exact"/>
              <w:jc w:val="center"/>
              <w:rPr>
                <w:rFonts w:eastAsia="標楷體"/>
              </w:rPr>
            </w:pPr>
            <w:r w:rsidRPr="003111E1">
              <w:rPr>
                <w:rFonts w:eastAsia="標楷體"/>
              </w:rPr>
              <w:t>-2.1</w:t>
            </w:r>
            <w:r w:rsidR="00210821" w:rsidRPr="003111E1">
              <w:rPr>
                <w:rFonts w:eastAsia="標楷體"/>
              </w:rPr>
              <w:t>1</w:t>
            </w:r>
          </w:p>
        </w:tc>
      </w:tr>
      <w:tr w:rsidR="00F175DD" w:rsidRPr="003111E1" w:rsidTr="003501E2">
        <w:trPr>
          <w:jc w:val="center"/>
        </w:trPr>
        <w:tc>
          <w:tcPr>
            <w:tcW w:w="1519" w:type="dxa"/>
            <w:tcBorders>
              <w:top w:val="nil"/>
              <w:left w:val="nil"/>
              <w:bottom w:val="single" w:sz="4" w:space="0" w:color="auto"/>
              <w:right w:val="single" w:sz="4" w:space="0" w:color="auto"/>
            </w:tcBorders>
          </w:tcPr>
          <w:p w:rsidR="00F175DD" w:rsidRPr="003111E1" w:rsidRDefault="00F175DD" w:rsidP="002407AA">
            <w:pPr>
              <w:spacing w:line="360" w:lineRule="exact"/>
              <w:ind w:right="284"/>
              <w:jc w:val="right"/>
              <w:rPr>
                <w:rFonts w:eastAsia="標楷體"/>
              </w:rPr>
            </w:pPr>
            <w:r w:rsidRPr="003111E1">
              <w:rPr>
                <w:rFonts w:eastAsia="標楷體"/>
              </w:rPr>
              <w:t>6</w:t>
            </w:r>
            <w:r w:rsidRPr="003111E1">
              <w:rPr>
                <w:rFonts w:eastAsia="標楷體"/>
              </w:rPr>
              <w:t>月</w:t>
            </w:r>
          </w:p>
        </w:tc>
        <w:tc>
          <w:tcPr>
            <w:tcW w:w="1103" w:type="dxa"/>
            <w:tcBorders>
              <w:top w:val="nil"/>
              <w:left w:val="single" w:sz="4" w:space="0" w:color="auto"/>
              <w:bottom w:val="single" w:sz="4" w:space="0" w:color="auto"/>
              <w:right w:val="nil"/>
            </w:tcBorders>
            <w:vAlign w:val="center"/>
          </w:tcPr>
          <w:p w:rsidR="00F175DD" w:rsidRPr="003111E1" w:rsidRDefault="00F175DD" w:rsidP="00E13606">
            <w:pPr>
              <w:pStyle w:val="a9"/>
              <w:spacing w:line="360" w:lineRule="exact"/>
              <w:ind w:rightChars="50" w:right="120"/>
              <w:rPr>
                <w:rFonts w:eastAsia="標楷體"/>
              </w:rPr>
            </w:pPr>
            <w:r w:rsidRPr="003111E1">
              <w:rPr>
                <w:rFonts w:eastAsia="標楷體"/>
              </w:rPr>
              <w:t>0.60</w:t>
            </w:r>
          </w:p>
        </w:tc>
        <w:tc>
          <w:tcPr>
            <w:tcW w:w="1045" w:type="dxa"/>
            <w:tcBorders>
              <w:top w:val="nil"/>
              <w:left w:val="nil"/>
              <w:bottom w:val="single" w:sz="4" w:space="0" w:color="auto"/>
              <w:right w:val="nil"/>
            </w:tcBorders>
            <w:vAlign w:val="center"/>
          </w:tcPr>
          <w:p w:rsidR="00F175DD" w:rsidRPr="003111E1" w:rsidRDefault="00BB79E7" w:rsidP="002407AA">
            <w:pPr>
              <w:spacing w:line="360" w:lineRule="exact"/>
              <w:jc w:val="center"/>
              <w:rPr>
                <w:rFonts w:eastAsia="標楷體"/>
              </w:rPr>
            </w:pPr>
            <w:r w:rsidRPr="003111E1">
              <w:rPr>
                <w:rFonts w:eastAsia="標楷體"/>
              </w:rPr>
              <w:t>0.79</w:t>
            </w:r>
          </w:p>
        </w:tc>
        <w:tc>
          <w:tcPr>
            <w:tcW w:w="1154" w:type="dxa"/>
            <w:tcBorders>
              <w:top w:val="nil"/>
              <w:left w:val="nil"/>
              <w:bottom w:val="single" w:sz="4" w:space="0" w:color="auto"/>
              <w:right w:val="nil"/>
            </w:tcBorders>
            <w:vAlign w:val="center"/>
          </w:tcPr>
          <w:p w:rsidR="00F175DD" w:rsidRPr="003111E1" w:rsidRDefault="00210821" w:rsidP="002407AA">
            <w:pPr>
              <w:spacing w:line="360" w:lineRule="exact"/>
              <w:jc w:val="center"/>
              <w:rPr>
                <w:rFonts w:eastAsia="標楷體"/>
              </w:rPr>
            </w:pPr>
            <w:r w:rsidRPr="003111E1">
              <w:rPr>
                <w:rFonts w:eastAsia="標楷體"/>
              </w:rPr>
              <w:t>0.59</w:t>
            </w:r>
          </w:p>
        </w:tc>
        <w:tc>
          <w:tcPr>
            <w:tcW w:w="1027" w:type="dxa"/>
            <w:tcBorders>
              <w:top w:val="nil"/>
              <w:left w:val="nil"/>
              <w:bottom w:val="single" w:sz="4" w:space="0" w:color="auto"/>
              <w:right w:val="nil"/>
            </w:tcBorders>
            <w:vAlign w:val="center"/>
          </w:tcPr>
          <w:p w:rsidR="00F175DD" w:rsidRPr="003111E1" w:rsidRDefault="00F175DD" w:rsidP="002407AA">
            <w:pPr>
              <w:spacing w:line="360" w:lineRule="exact"/>
              <w:jc w:val="center"/>
              <w:rPr>
                <w:rFonts w:eastAsia="標楷體"/>
              </w:rPr>
            </w:pPr>
            <w:r w:rsidRPr="003111E1">
              <w:rPr>
                <w:rFonts w:eastAsia="標楷體"/>
              </w:rPr>
              <w:t>-1.90</w:t>
            </w:r>
          </w:p>
        </w:tc>
        <w:tc>
          <w:tcPr>
            <w:tcW w:w="851" w:type="dxa"/>
            <w:tcBorders>
              <w:top w:val="nil"/>
              <w:left w:val="nil"/>
              <w:bottom w:val="single" w:sz="4" w:space="0" w:color="auto"/>
              <w:right w:val="nil"/>
            </w:tcBorders>
            <w:vAlign w:val="center"/>
          </w:tcPr>
          <w:p w:rsidR="00F175DD" w:rsidRPr="003111E1" w:rsidRDefault="00210821" w:rsidP="00210821">
            <w:pPr>
              <w:spacing w:line="360" w:lineRule="exact"/>
              <w:jc w:val="center"/>
              <w:rPr>
                <w:rFonts w:eastAsia="標楷體"/>
              </w:rPr>
            </w:pPr>
            <w:r w:rsidRPr="003111E1">
              <w:rPr>
                <w:rFonts w:eastAsia="標楷體"/>
              </w:rPr>
              <w:t>-1.47</w:t>
            </w:r>
          </w:p>
        </w:tc>
        <w:tc>
          <w:tcPr>
            <w:tcW w:w="1067" w:type="dxa"/>
            <w:tcBorders>
              <w:top w:val="nil"/>
              <w:left w:val="nil"/>
              <w:bottom w:val="single" w:sz="4" w:space="0" w:color="auto"/>
              <w:right w:val="nil"/>
            </w:tcBorders>
            <w:vAlign w:val="center"/>
          </w:tcPr>
          <w:p w:rsidR="00F175DD" w:rsidRPr="003111E1" w:rsidRDefault="00210821" w:rsidP="00210821">
            <w:pPr>
              <w:spacing w:line="360" w:lineRule="exact"/>
              <w:jc w:val="center"/>
              <w:rPr>
                <w:rFonts w:eastAsia="標楷體"/>
              </w:rPr>
            </w:pPr>
            <w:r w:rsidRPr="003111E1">
              <w:rPr>
                <w:rFonts w:eastAsia="標楷體"/>
              </w:rPr>
              <w:t>-3.23</w:t>
            </w:r>
          </w:p>
        </w:tc>
        <w:tc>
          <w:tcPr>
            <w:tcW w:w="1116" w:type="dxa"/>
            <w:tcBorders>
              <w:top w:val="nil"/>
              <w:left w:val="nil"/>
              <w:bottom w:val="single" w:sz="4" w:space="0" w:color="auto"/>
              <w:right w:val="nil"/>
            </w:tcBorders>
            <w:vAlign w:val="center"/>
          </w:tcPr>
          <w:p w:rsidR="00F175DD" w:rsidRPr="003111E1" w:rsidRDefault="00210821" w:rsidP="002407AA">
            <w:pPr>
              <w:spacing w:line="360" w:lineRule="exact"/>
              <w:jc w:val="center"/>
              <w:rPr>
                <w:rFonts w:eastAsia="標楷體"/>
              </w:rPr>
            </w:pPr>
            <w:r w:rsidRPr="003111E1">
              <w:rPr>
                <w:rFonts w:eastAsia="標楷體"/>
              </w:rPr>
              <w:t>-1.24</w:t>
            </w:r>
          </w:p>
        </w:tc>
      </w:tr>
    </w:tbl>
    <w:p w:rsidR="00423DF4" w:rsidRPr="003111E1" w:rsidRDefault="00423DF4" w:rsidP="007A2A85">
      <w:pPr>
        <w:pStyle w:val="ad"/>
        <w:snapToGrid w:val="0"/>
        <w:spacing w:line="240" w:lineRule="atLeast"/>
        <w:ind w:leftChars="0" w:left="0" w:firstLineChars="0" w:firstLine="0"/>
        <w:rPr>
          <w:b/>
          <w:bCs/>
          <w:szCs w:val="22"/>
        </w:rPr>
      </w:pPr>
      <w:r w:rsidRPr="003111E1">
        <w:rPr>
          <w:szCs w:val="22"/>
        </w:rPr>
        <w:t>資料來源：行政院主計總處。</w:t>
      </w:r>
    </w:p>
    <w:p w:rsidR="00423DF4" w:rsidRPr="003111E1" w:rsidRDefault="00423DF4" w:rsidP="00423DF4">
      <w:pPr>
        <w:pStyle w:val="ad"/>
        <w:snapToGrid w:val="0"/>
        <w:spacing w:line="300" w:lineRule="auto"/>
        <w:ind w:leftChars="0" w:left="0" w:firstLineChars="0" w:firstLine="0"/>
        <w:jc w:val="center"/>
        <w:rPr>
          <w:b/>
          <w:bCs/>
          <w:sz w:val="28"/>
        </w:rPr>
      </w:pPr>
      <w:r w:rsidRPr="003111E1">
        <w:rPr>
          <w:color w:val="FF0000"/>
          <w:sz w:val="28"/>
        </w:rPr>
        <w:br w:type="page"/>
      </w:r>
      <w:r w:rsidRPr="003111E1">
        <w:rPr>
          <w:b/>
          <w:bCs/>
          <w:sz w:val="28"/>
        </w:rPr>
        <w:lastRenderedPageBreak/>
        <w:t>圖</w:t>
      </w:r>
      <w:r w:rsidRPr="003111E1">
        <w:rPr>
          <w:b/>
          <w:bCs/>
          <w:sz w:val="28"/>
        </w:rPr>
        <w:t xml:space="preserve"> 2-7-2  </w:t>
      </w:r>
      <w:r w:rsidRPr="003111E1">
        <w:rPr>
          <w:b/>
          <w:bCs/>
          <w:sz w:val="28"/>
        </w:rPr>
        <w:t>進出口物價指數變動率</w:t>
      </w:r>
    </w:p>
    <w:p w:rsidR="00423DF4" w:rsidRPr="003111E1" w:rsidRDefault="00AF443A" w:rsidP="00423DF4">
      <w:pPr>
        <w:snapToGrid w:val="0"/>
        <w:rPr>
          <w:rFonts w:eastAsia="標楷體"/>
          <w:color w:val="FF0000"/>
          <w:sz w:val="28"/>
        </w:rPr>
      </w:pPr>
      <w:r w:rsidRPr="003111E1">
        <w:rPr>
          <w:rFonts w:eastAsia="標楷體"/>
          <w:noProof/>
          <w:color w:val="FF0000"/>
          <w:sz w:val="28"/>
        </w:rPr>
        <w:drawing>
          <wp:inline distT="0" distB="0" distL="0" distR="0" wp14:anchorId="1D455BB4" wp14:editId="08DBC250">
            <wp:extent cx="5229225" cy="2457450"/>
            <wp:effectExtent l="0" t="0" r="0" b="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3111E1" w:rsidRDefault="00423DF4" w:rsidP="00423DF4">
      <w:pPr>
        <w:snapToGrid w:val="0"/>
        <w:rPr>
          <w:rFonts w:eastAsia="標楷體"/>
          <w:snapToGrid w:val="0"/>
          <w:sz w:val="22"/>
          <w:szCs w:val="22"/>
        </w:rPr>
      </w:pPr>
      <w:r w:rsidRPr="003111E1">
        <w:rPr>
          <w:rFonts w:eastAsia="標楷體"/>
          <w:sz w:val="22"/>
          <w:szCs w:val="22"/>
        </w:rPr>
        <w:t>資料來源：</w:t>
      </w:r>
      <w:r w:rsidRPr="003111E1">
        <w:rPr>
          <w:rFonts w:eastAsia="標楷體"/>
          <w:snapToGrid w:val="0"/>
          <w:sz w:val="22"/>
          <w:szCs w:val="22"/>
        </w:rPr>
        <w:t>行政院主計總處。</w:t>
      </w:r>
    </w:p>
    <w:p w:rsidR="00B11D2B" w:rsidRPr="003111E1" w:rsidRDefault="00B11D2B" w:rsidP="00CE7968">
      <w:pPr>
        <w:pStyle w:val="k3a"/>
        <w:spacing w:before="180" w:line="240" w:lineRule="atLeast"/>
        <w:ind w:leftChars="0" w:left="0" w:firstLineChars="0" w:firstLine="0"/>
        <w:jc w:val="center"/>
        <w:rPr>
          <w:snapToGrid w:val="0"/>
          <w:kern w:val="2"/>
          <w:sz w:val="24"/>
          <w:szCs w:val="24"/>
        </w:rPr>
      </w:pPr>
      <w:r w:rsidRPr="003111E1">
        <w:rPr>
          <w:b/>
          <w:snapToGrid w:val="0"/>
          <w:kern w:val="2"/>
          <w:szCs w:val="24"/>
        </w:rPr>
        <w:t>表</w:t>
      </w:r>
      <w:r w:rsidRPr="003111E1">
        <w:rPr>
          <w:b/>
          <w:snapToGrid w:val="0"/>
          <w:kern w:val="2"/>
          <w:szCs w:val="24"/>
        </w:rPr>
        <w:t xml:space="preserve"> 2-7-2  </w:t>
      </w:r>
      <w:r w:rsidRPr="003111E1">
        <w:rPr>
          <w:b/>
          <w:snapToGrid w:val="0"/>
          <w:kern w:val="2"/>
          <w:szCs w:val="24"/>
        </w:rPr>
        <w:t>消費者物價指數依性質別分類之變動率</w:t>
      </w:r>
      <w:r w:rsidR="00EB682A" w:rsidRPr="003111E1">
        <w:rPr>
          <w:b/>
          <w:snapToGrid w:val="0"/>
          <w:kern w:val="2"/>
          <w:szCs w:val="24"/>
        </w:rPr>
        <w:t xml:space="preserve"> </w:t>
      </w:r>
      <w:r w:rsidRPr="003111E1">
        <w:rPr>
          <w:snapToGrid w:val="0"/>
          <w:kern w:val="2"/>
          <w:sz w:val="24"/>
          <w:szCs w:val="24"/>
        </w:rPr>
        <w:t>單位：％</w:t>
      </w:r>
    </w:p>
    <w:tbl>
      <w:tblPr>
        <w:tblW w:w="4887" w:type="pct"/>
        <w:jc w:val="center"/>
        <w:tblInd w:w="454" w:type="dxa"/>
        <w:tblCellMar>
          <w:left w:w="28" w:type="dxa"/>
          <w:right w:w="28" w:type="dxa"/>
        </w:tblCellMar>
        <w:tblLook w:val="0000" w:firstRow="0" w:lastRow="0" w:firstColumn="0" w:lastColumn="0" w:noHBand="0" w:noVBand="0"/>
      </w:tblPr>
      <w:tblGrid>
        <w:gridCol w:w="1536"/>
        <w:gridCol w:w="912"/>
        <w:gridCol w:w="911"/>
        <w:gridCol w:w="1614"/>
        <w:gridCol w:w="911"/>
        <w:gridCol w:w="1145"/>
        <w:gridCol w:w="1138"/>
      </w:tblGrid>
      <w:tr w:rsidR="002C2C08" w:rsidRPr="003111E1" w:rsidTr="00664D56">
        <w:trPr>
          <w:cantSplit/>
          <w:jc w:val="center"/>
        </w:trPr>
        <w:tc>
          <w:tcPr>
            <w:tcW w:w="940" w:type="pct"/>
            <w:vMerge w:val="restart"/>
            <w:tcBorders>
              <w:top w:val="single" w:sz="6" w:space="0" w:color="auto"/>
              <w:right w:val="single" w:sz="6" w:space="0" w:color="auto"/>
            </w:tcBorders>
            <w:vAlign w:val="center"/>
          </w:tcPr>
          <w:p w:rsidR="00B11D2B" w:rsidRPr="003111E1" w:rsidRDefault="0017251E" w:rsidP="0017251E">
            <w:pPr>
              <w:snapToGrid w:val="0"/>
              <w:spacing w:line="320" w:lineRule="exact"/>
              <w:jc w:val="center"/>
              <w:rPr>
                <w:rFonts w:eastAsia="標楷體"/>
                <w:snapToGrid w:val="0"/>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4060" w:type="pct"/>
            <w:gridSpan w:val="6"/>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消費者物價指數</w:t>
            </w:r>
          </w:p>
        </w:tc>
      </w:tr>
      <w:tr w:rsidR="002C2C08" w:rsidRPr="003111E1" w:rsidTr="00664D56">
        <w:trPr>
          <w:cantSplit/>
          <w:jc w:val="center"/>
        </w:trPr>
        <w:tc>
          <w:tcPr>
            <w:tcW w:w="940" w:type="pct"/>
            <w:vMerge/>
            <w:tcBorders>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58" w:type="pct"/>
            <w:vMerge w:val="restart"/>
            <w:tcBorders>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1546" w:type="pct"/>
            <w:gridSpan w:val="2"/>
            <w:tcBorders>
              <w:top w:val="single" w:sz="6" w:space="0" w:color="auto"/>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商品</w:t>
            </w:r>
          </w:p>
        </w:tc>
        <w:tc>
          <w:tcPr>
            <w:tcW w:w="1955" w:type="pct"/>
            <w:gridSpan w:val="3"/>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服務</w:t>
            </w:r>
          </w:p>
        </w:tc>
      </w:tr>
      <w:tr w:rsidR="002C2C08" w:rsidRPr="003111E1" w:rsidTr="00664D56">
        <w:trPr>
          <w:cantSplit/>
          <w:jc w:val="center"/>
        </w:trPr>
        <w:tc>
          <w:tcPr>
            <w:tcW w:w="940" w:type="pct"/>
            <w:vMerge/>
            <w:tcBorders>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58" w:type="pct"/>
            <w:vMerge/>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58"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988"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耐久性消費品</w:t>
            </w:r>
          </w:p>
        </w:tc>
        <w:tc>
          <w:tcPr>
            <w:tcW w:w="558"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701"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居住服務</w:t>
            </w:r>
          </w:p>
        </w:tc>
        <w:tc>
          <w:tcPr>
            <w:tcW w:w="696" w:type="pct"/>
            <w:tcBorders>
              <w:top w:val="single" w:sz="6" w:space="0" w:color="auto"/>
              <w:left w:val="single" w:sz="6" w:space="0" w:color="auto"/>
              <w:bottom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交通服務</w:t>
            </w:r>
          </w:p>
        </w:tc>
      </w:tr>
      <w:tr w:rsidR="002C2C08" w:rsidRPr="003111E1" w:rsidTr="00664D56">
        <w:trPr>
          <w:trHeight w:val="370"/>
          <w:jc w:val="center"/>
        </w:trPr>
        <w:tc>
          <w:tcPr>
            <w:tcW w:w="940"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97</w:t>
            </w:r>
            <w:r w:rsidR="00B11D2B" w:rsidRPr="003111E1">
              <w:rPr>
                <w:rFonts w:eastAsia="標楷體"/>
                <w:b/>
                <w:bCs/>
                <w:snapToGrid w:val="0"/>
              </w:rPr>
              <w:t>年</w:t>
            </w:r>
          </w:p>
        </w:tc>
        <w:tc>
          <w:tcPr>
            <w:tcW w:w="558" w:type="pct"/>
            <w:tcBorders>
              <w:left w:val="single" w:sz="6" w:space="0" w:color="auto"/>
            </w:tcBorders>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3.53</w:t>
            </w:r>
          </w:p>
        </w:tc>
        <w:tc>
          <w:tcPr>
            <w:tcW w:w="558" w:type="pct"/>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4.97</w:t>
            </w:r>
          </w:p>
        </w:tc>
        <w:tc>
          <w:tcPr>
            <w:tcW w:w="988"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-1.39</w:t>
            </w:r>
          </w:p>
        </w:tc>
        <w:tc>
          <w:tcPr>
            <w:tcW w:w="558" w:type="pct"/>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2.2</w:t>
            </w:r>
            <w:r w:rsidR="00531853" w:rsidRPr="003111E1">
              <w:rPr>
                <w:rFonts w:eastAsia="標楷體"/>
                <w:b/>
                <w:bCs/>
                <w:snapToGrid w:val="0"/>
              </w:rPr>
              <w:t>8</w:t>
            </w:r>
          </w:p>
        </w:tc>
        <w:tc>
          <w:tcPr>
            <w:tcW w:w="701" w:type="pct"/>
            <w:vAlign w:val="center"/>
          </w:tcPr>
          <w:p w:rsidR="00B11D2B" w:rsidRPr="003111E1" w:rsidRDefault="00B11D2B" w:rsidP="00531853">
            <w:pPr>
              <w:snapToGrid w:val="0"/>
              <w:spacing w:line="340" w:lineRule="exact"/>
              <w:ind w:rightChars="100" w:right="240"/>
              <w:jc w:val="center"/>
              <w:rPr>
                <w:rFonts w:eastAsia="標楷體"/>
                <w:b/>
                <w:bCs/>
                <w:snapToGrid w:val="0"/>
              </w:rPr>
            </w:pPr>
            <w:r w:rsidRPr="003111E1">
              <w:rPr>
                <w:rFonts w:eastAsia="標楷體"/>
                <w:b/>
                <w:bCs/>
                <w:snapToGrid w:val="0"/>
              </w:rPr>
              <w:t>0.</w:t>
            </w:r>
            <w:r w:rsidR="00531853" w:rsidRPr="003111E1">
              <w:rPr>
                <w:rFonts w:eastAsia="標楷體"/>
                <w:b/>
                <w:bCs/>
                <w:snapToGrid w:val="0"/>
              </w:rPr>
              <w:t>69</w:t>
            </w:r>
          </w:p>
        </w:tc>
        <w:tc>
          <w:tcPr>
            <w:tcW w:w="696" w:type="pct"/>
            <w:vAlign w:val="center"/>
          </w:tcPr>
          <w:p w:rsidR="00B11D2B" w:rsidRPr="003111E1" w:rsidRDefault="00B11D2B" w:rsidP="00007DFB">
            <w:pPr>
              <w:snapToGrid w:val="0"/>
              <w:spacing w:line="340" w:lineRule="exact"/>
              <w:ind w:rightChars="100" w:right="240"/>
              <w:jc w:val="center"/>
              <w:rPr>
                <w:rFonts w:eastAsia="標楷體"/>
                <w:b/>
                <w:bCs/>
                <w:snapToGrid w:val="0"/>
              </w:rPr>
            </w:pPr>
            <w:r w:rsidRPr="003111E1">
              <w:rPr>
                <w:rFonts w:eastAsia="標楷體"/>
                <w:b/>
                <w:bCs/>
                <w:snapToGrid w:val="0"/>
              </w:rPr>
              <w:t>1.2</w:t>
            </w:r>
            <w:r w:rsidR="00531853" w:rsidRPr="003111E1">
              <w:rPr>
                <w:rFonts w:eastAsia="標楷體"/>
                <w:b/>
                <w:bCs/>
                <w:snapToGrid w:val="0"/>
              </w:rPr>
              <w:t>4</w:t>
            </w:r>
          </w:p>
        </w:tc>
      </w:tr>
      <w:tr w:rsidR="002C2C08" w:rsidRPr="003111E1" w:rsidTr="00664D56">
        <w:trPr>
          <w:trHeight w:val="370"/>
          <w:jc w:val="center"/>
        </w:trPr>
        <w:tc>
          <w:tcPr>
            <w:tcW w:w="940"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9</w:t>
            </w:r>
            <w:r w:rsidR="00B11D2B" w:rsidRPr="003111E1">
              <w:rPr>
                <w:rFonts w:eastAsia="標楷體"/>
                <w:b/>
                <w:bCs/>
                <w:snapToGrid w:val="0"/>
              </w:rPr>
              <w:t>8</w:t>
            </w:r>
            <w:r w:rsidR="00B11D2B" w:rsidRPr="003111E1">
              <w:rPr>
                <w:rFonts w:eastAsia="標楷體"/>
                <w:b/>
                <w:bCs/>
                <w:snapToGrid w:val="0"/>
              </w:rPr>
              <w:t>年</w:t>
            </w:r>
          </w:p>
        </w:tc>
        <w:tc>
          <w:tcPr>
            <w:tcW w:w="558" w:type="pct"/>
            <w:tcBorders>
              <w:left w:val="single" w:sz="6" w:space="0" w:color="auto"/>
            </w:tcBorders>
            <w:vAlign w:val="center"/>
          </w:tcPr>
          <w:p w:rsidR="00B11D2B" w:rsidRPr="003111E1" w:rsidRDefault="00B11D2B" w:rsidP="00007DFB">
            <w:pPr>
              <w:snapToGrid w:val="0"/>
              <w:spacing w:line="340" w:lineRule="exact"/>
              <w:ind w:rightChars="50" w:right="120"/>
              <w:jc w:val="center"/>
              <w:rPr>
                <w:b/>
                <w:bCs/>
              </w:rPr>
            </w:pPr>
            <w:r w:rsidRPr="003111E1">
              <w:rPr>
                <w:b/>
                <w:bCs/>
              </w:rPr>
              <w:t>-0.87</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-1.62</w:t>
            </w:r>
          </w:p>
        </w:tc>
        <w:tc>
          <w:tcPr>
            <w:tcW w:w="988"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-4.73</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-0.2</w:t>
            </w:r>
            <w:r w:rsidR="00531853" w:rsidRPr="003111E1">
              <w:rPr>
                <w:b/>
                <w:bCs/>
              </w:rPr>
              <w:t>7</w:t>
            </w:r>
          </w:p>
        </w:tc>
        <w:tc>
          <w:tcPr>
            <w:tcW w:w="701" w:type="pct"/>
            <w:vAlign w:val="center"/>
          </w:tcPr>
          <w:p w:rsidR="00B11D2B" w:rsidRPr="003111E1" w:rsidRDefault="00B11D2B" w:rsidP="00007DFB">
            <w:pPr>
              <w:snapToGrid w:val="0"/>
              <w:spacing w:line="340" w:lineRule="exact"/>
              <w:ind w:rightChars="50" w:right="120"/>
              <w:jc w:val="center"/>
              <w:rPr>
                <w:b/>
                <w:bCs/>
              </w:rPr>
            </w:pPr>
            <w:r w:rsidRPr="003111E1">
              <w:rPr>
                <w:b/>
                <w:bCs/>
              </w:rPr>
              <w:t>-0.3</w:t>
            </w:r>
            <w:r w:rsidR="00531853" w:rsidRPr="003111E1">
              <w:rPr>
                <w:b/>
                <w:bCs/>
              </w:rPr>
              <w:t>3</w:t>
            </w:r>
          </w:p>
        </w:tc>
        <w:tc>
          <w:tcPr>
            <w:tcW w:w="696" w:type="pct"/>
            <w:vAlign w:val="center"/>
          </w:tcPr>
          <w:p w:rsidR="00B11D2B" w:rsidRPr="003111E1" w:rsidRDefault="00B11D2B" w:rsidP="00007DFB">
            <w:pPr>
              <w:snapToGrid w:val="0"/>
              <w:spacing w:line="340" w:lineRule="exact"/>
              <w:ind w:rightChars="50" w:right="120"/>
              <w:jc w:val="center"/>
              <w:rPr>
                <w:b/>
                <w:bCs/>
              </w:rPr>
            </w:pPr>
            <w:r w:rsidRPr="003111E1">
              <w:rPr>
                <w:b/>
                <w:bCs/>
              </w:rPr>
              <w:t>-1.09</w:t>
            </w:r>
          </w:p>
        </w:tc>
      </w:tr>
      <w:tr w:rsidR="002C2C08" w:rsidRPr="003111E1" w:rsidTr="00664D56">
        <w:trPr>
          <w:trHeight w:val="370"/>
          <w:jc w:val="center"/>
        </w:trPr>
        <w:tc>
          <w:tcPr>
            <w:tcW w:w="940"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99</w:t>
            </w:r>
            <w:r w:rsidR="00B11D2B" w:rsidRPr="003111E1">
              <w:rPr>
                <w:rFonts w:eastAsia="標楷體"/>
                <w:b/>
                <w:bCs/>
                <w:snapToGrid w:val="0"/>
              </w:rPr>
              <w:t>年</w:t>
            </w:r>
          </w:p>
        </w:tc>
        <w:tc>
          <w:tcPr>
            <w:tcW w:w="558" w:type="pct"/>
            <w:tcBorders>
              <w:left w:val="single" w:sz="6" w:space="0" w:color="auto"/>
            </w:tcBorders>
            <w:vAlign w:val="center"/>
          </w:tcPr>
          <w:p w:rsidR="00B11D2B" w:rsidRPr="003111E1" w:rsidRDefault="00B11D2B" w:rsidP="00007DFB">
            <w:pPr>
              <w:snapToGrid w:val="0"/>
              <w:spacing w:line="340" w:lineRule="exact"/>
              <w:ind w:rightChars="50" w:right="120"/>
              <w:jc w:val="center"/>
              <w:rPr>
                <w:b/>
                <w:bCs/>
              </w:rPr>
            </w:pPr>
            <w:r w:rsidRPr="003111E1">
              <w:rPr>
                <w:b/>
                <w:bCs/>
              </w:rPr>
              <w:t>0.96</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1.78</w:t>
            </w:r>
          </w:p>
        </w:tc>
        <w:tc>
          <w:tcPr>
            <w:tcW w:w="988"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-1.14</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0.31</w:t>
            </w:r>
          </w:p>
        </w:tc>
        <w:tc>
          <w:tcPr>
            <w:tcW w:w="701" w:type="pct"/>
            <w:vAlign w:val="center"/>
          </w:tcPr>
          <w:p w:rsidR="00B11D2B" w:rsidRPr="003111E1" w:rsidRDefault="00B11D2B" w:rsidP="00007DFB">
            <w:pPr>
              <w:snapToGrid w:val="0"/>
              <w:spacing w:line="340" w:lineRule="exact"/>
              <w:ind w:rightChars="50" w:right="120"/>
              <w:jc w:val="center"/>
              <w:rPr>
                <w:b/>
                <w:bCs/>
              </w:rPr>
            </w:pPr>
            <w:r w:rsidRPr="003111E1">
              <w:rPr>
                <w:b/>
                <w:bCs/>
              </w:rPr>
              <w:t>0.0</w:t>
            </w:r>
            <w:r w:rsidR="00531853" w:rsidRPr="003111E1">
              <w:rPr>
                <w:b/>
                <w:bCs/>
              </w:rPr>
              <w:t>1</w:t>
            </w:r>
          </w:p>
        </w:tc>
        <w:tc>
          <w:tcPr>
            <w:tcW w:w="696" w:type="pct"/>
            <w:vAlign w:val="center"/>
          </w:tcPr>
          <w:p w:rsidR="00B11D2B" w:rsidRPr="003111E1" w:rsidRDefault="00B11D2B" w:rsidP="00007DFB">
            <w:pPr>
              <w:snapToGrid w:val="0"/>
              <w:spacing w:line="340" w:lineRule="exact"/>
              <w:ind w:rightChars="50" w:right="120"/>
              <w:jc w:val="center"/>
              <w:rPr>
                <w:b/>
                <w:bCs/>
              </w:rPr>
            </w:pPr>
            <w:r w:rsidRPr="003111E1">
              <w:rPr>
                <w:b/>
                <w:bCs/>
              </w:rPr>
              <w:t>-0.56</w:t>
            </w:r>
          </w:p>
        </w:tc>
      </w:tr>
      <w:tr w:rsidR="002C2C08" w:rsidRPr="003111E1" w:rsidTr="00664D56">
        <w:trPr>
          <w:trHeight w:val="370"/>
          <w:jc w:val="center"/>
        </w:trPr>
        <w:tc>
          <w:tcPr>
            <w:tcW w:w="940" w:type="pct"/>
            <w:tcBorders>
              <w:right w:val="single" w:sz="6" w:space="0" w:color="auto"/>
            </w:tcBorders>
            <w:vAlign w:val="center"/>
          </w:tcPr>
          <w:p w:rsidR="00B11D2B" w:rsidRPr="003111E1" w:rsidRDefault="00721238" w:rsidP="00721238">
            <w:pPr>
              <w:snapToGrid w:val="0"/>
              <w:spacing w:line="340" w:lineRule="exact"/>
              <w:rPr>
                <w:b/>
                <w:bCs/>
              </w:rPr>
            </w:pPr>
            <w:r w:rsidRPr="003111E1">
              <w:rPr>
                <w:rFonts w:eastAsia="標楷體"/>
                <w:b/>
                <w:bCs/>
                <w:snapToGrid w:val="0"/>
              </w:rPr>
              <w:t xml:space="preserve">  </w:t>
            </w:r>
            <w:r w:rsidR="00E37A6F" w:rsidRPr="003111E1">
              <w:rPr>
                <w:rFonts w:eastAsia="標楷體"/>
                <w:b/>
                <w:bCs/>
                <w:snapToGrid w:val="0"/>
              </w:rPr>
              <w:t xml:space="preserve"> </w:t>
            </w:r>
            <w:r w:rsidR="00B11D2B" w:rsidRPr="003111E1">
              <w:rPr>
                <w:rFonts w:eastAsia="標楷體"/>
                <w:b/>
                <w:bCs/>
                <w:snapToGrid w:val="0"/>
              </w:rPr>
              <w:t>100</w:t>
            </w:r>
            <w:r w:rsidR="00B11D2B" w:rsidRPr="003111E1">
              <w:rPr>
                <w:rFonts w:eastAsia="標楷體"/>
                <w:b/>
                <w:bCs/>
                <w:snapToGrid w:val="0"/>
              </w:rPr>
              <w:t>年</w:t>
            </w:r>
          </w:p>
        </w:tc>
        <w:tc>
          <w:tcPr>
            <w:tcW w:w="558" w:type="pct"/>
            <w:tcBorders>
              <w:left w:val="single" w:sz="6" w:space="0" w:color="auto"/>
            </w:tcBorders>
            <w:vAlign w:val="center"/>
          </w:tcPr>
          <w:p w:rsidR="00B11D2B" w:rsidRPr="003111E1" w:rsidRDefault="00B11D2B" w:rsidP="00007DFB">
            <w:pPr>
              <w:pStyle w:val="a9"/>
              <w:spacing w:line="340" w:lineRule="exact"/>
              <w:ind w:rightChars="50" w:right="120"/>
              <w:rPr>
                <w:rFonts w:eastAsia="標楷體"/>
                <w:b/>
                <w:bCs/>
              </w:rPr>
            </w:pPr>
            <w:r w:rsidRPr="003111E1">
              <w:rPr>
                <w:rFonts w:eastAsia="標楷體"/>
                <w:b/>
                <w:bCs/>
              </w:rPr>
              <w:t>1.42</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2.39</w:t>
            </w:r>
          </w:p>
        </w:tc>
        <w:tc>
          <w:tcPr>
            <w:tcW w:w="988" w:type="pct"/>
            <w:vAlign w:val="center"/>
          </w:tcPr>
          <w:p w:rsidR="00B11D2B" w:rsidRPr="003111E1" w:rsidRDefault="00B11D2B" w:rsidP="00007DFB">
            <w:pPr>
              <w:snapToGrid w:val="0"/>
              <w:spacing w:line="340" w:lineRule="exact"/>
              <w:ind w:rightChars="50" w:right="120"/>
              <w:jc w:val="center"/>
              <w:rPr>
                <w:b/>
                <w:bCs/>
              </w:rPr>
            </w:pPr>
            <w:r w:rsidRPr="003111E1">
              <w:rPr>
                <w:b/>
                <w:bCs/>
              </w:rPr>
              <w:t>-0.35</w:t>
            </w:r>
          </w:p>
        </w:tc>
        <w:tc>
          <w:tcPr>
            <w:tcW w:w="558" w:type="pct"/>
            <w:vAlign w:val="center"/>
          </w:tcPr>
          <w:p w:rsidR="00B11D2B" w:rsidRPr="003111E1" w:rsidRDefault="00B11D2B" w:rsidP="00007DFB">
            <w:pPr>
              <w:snapToGrid w:val="0"/>
              <w:spacing w:line="340" w:lineRule="exact"/>
              <w:ind w:rightChars="50" w:right="120"/>
              <w:jc w:val="center"/>
              <w:rPr>
                <w:b/>
                <w:bCs/>
              </w:rPr>
            </w:pPr>
            <w:r w:rsidRPr="003111E1">
              <w:rPr>
                <w:b/>
                <w:bCs/>
              </w:rPr>
              <w:t>0.6</w:t>
            </w:r>
            <w:r w:rsidR="00531853" w:rsidRPr="003111E1">
              <w:rPr>
                <w:b/>
                <w:bCs/>
              </w:rPr>
              <w:t>4</w:t>
            </w:r>
          </w:p>
        </w:tc>
        <w:tc>
          <w:tcPr>
            <w:tcW w:w="701" w:type="pct"/>
            <w:vAlign w:val="center"/>
          </w:tcPr>
          <w:p w:rsidR="00B11D2B" w:rsidRPr="003111E1" w:rsidRDefault="00B11D2B" w:rsidP="00531853">
            <w:pPr>
              <w:snapToGrid w:val="0"/>
              <w:spacing w:line="340" w:lineRule="exact"/>
              <w:ind w:rightChars="50" w:right="120"/>
              <w:jc w:val="center"/>
              <w:rPr>
                <w:b/>
                <w:bCs/>
              </w:rPr>
            </w:pPr>
            <w:r w:rsidRPr="003111E1">
              <w:rPr>
                <w:b/>
                <w:bCs/>
              </w:rPr>
              <w:t>0.</w:t>
            </w:r>
            <w:r w:rsidR="00531853" w:rsidRPr="003111E1">
              <w:rPr>
                <w:b/>
                <w:bCs/>
              </w:rPr>
              <w:t>39</w:t>
            </w:r>
          </w:p>
        </w:tc>
        <w:tc>
          <w:tcPr>
            <w:tcW w:w="696" w:type="pct"/>
            <w:vAlign w:val="center"/>
          </w:tcPr>
          <w:p w:rsidR="00B11D2B" w:rsidRPr="003111E1" w:rsidRDefault="00B11D2B" w:rsidP="00007DFB">
            <w:pPr>
              <w:snapToGrid w:val="0"/>
              <w:spacing w:line="340" w:lineRule="exact"/>
              <w:ind w:rightChars="50" w:right="120"/>
              <w:jc w:val="center"/>
              <w:rPr>
                <w:b/>
                <w:bCs/>
              </w:rPr>
            </w:pPr>
            <w:r w:rsidRPr="003111E1">
              <w:rPr>
                <w:b/>
                <w:bCs/>
              </w:rPr>
              <w:t>-1.1</w:t>
            </w:r>
            <w:r w:rsidR="00531853" w:rsidRPr="003111E1">
              <w:rPr>
                <w:b/>
                <w:bCs/>
              </w:rPr>
              <w:t>3</w:t>
            </w:r>
          </w:p>
        </w:tc>
      </w:tr>
      <w:tr w:rsidR="002C2C08" w:rsidRPr="003111E1" w:rsidTr="00664D56">
        <w:trPr>
          <w:trHeight w:val="370"/>
          <w:jc w:val="center"/>
        </w:trPr>
        <w:tc>
          <w:tcPr>
            <w:tcW w:w="940" w:type="pct"/>
            <w:tcBorders>
              <w:right w:val="single" w:sz="6" w:space="0" w:color="auto"/>
            </w:tcBorders>
          </w:tcPr>
          <w:p w:rsidR="005039EA" w:rsidRPr="003111E1" w:rsidRDefault="00721238" w:rsidP="00721238">
            <w:pPr>
              <w:spacing w:line="340" w:lineRule="exact"/>
              <w:ind w:right="27"/>
              <w:rPr>
                <w:rFonts w:eastAsia="標楷體"/>
              </w:rPr>
            </w:pPr>
            <w:r w:rsidRPr="003111E1">
              <w:rPr>
                <w:rFonts w:eastAsia="標楷體"/>
                <w:b/>
                <w:bCs/>
              </w:rPr>
              <w:t xml:space="preserve">  </w:t>
            </w:r>
            <w:r w:rsidR="00E37A6F" w:rsidRPr="003111E1">
              <w:rPr>
                <w:rFonts w:eastAsia="標楷體"/>
                <w:b/>
                <w:bCs/>
              </w:rPr>
              <w:t xml:space="preserve"> </w:t>
            </w:r>
            <w:r w:rsidR="005039EA" w:rsidRPr="003111E1">
              <w:rPr>
                <w:rFonts w:eastAsia="標楷體"/>
                <w:b/>
                <w:bCs/>
              </w:rPr>
              <w:t>101</w:t>
            </w:r>
            <w:r w:rsidR="005039EA" w:rsidRPr="003111E1">
              <w:rPr>
                <w:rFonts w:eastAsia="標楷體"/>
                <w:b/>
                <w:bCs/>
              </w:rPr>
              <w:t>年</w:t>
            </w:r>
          </w:p>
        </w:tc>
        <w:tc>
          <w:tcPr>
            <w:tcW w:w="558" w:type="pct"/>
            <w:tcBorders>
              <w:left w:val="single" w:sz="6" w:space="0" w:color="auto"/>
            </w:tcBorders>
            <w:vAlign w:val="center"/>
          </w:tcPr>
          <w:p w:rsidR="005039EA" w:rsidRPr="003111E1" w:rsidRDefault="00BD1F8B" w:rsidP="00330EF2">
            <w:pPr>
              <w:pStyle w:val="a9"/>
              <w:spacing w:line="360" w:lineRule="exact"/>
              <w:ind w:rightChars="50" w:right="120"/>
              <w:rPr>
                <w:rFonts w:eastAsia="標楷體"/>
                <w:b/>
                <w:bCs/>
              </w:rPr>
            </w:pPr>
            <w:r w:rsidRPr="003111E1">
              <w:rPr>
                <w:rFonts w:eastAsia="標楷體"/>
                <w:b/>
                <w:bCs/>
              </w:rPr>
              <w:t>1.93</w:t>
            </w:r>
          </w:p>
        </w:tc>
        <w:tc>
          <w:tcPr>
            <w:tcW w:w="558" w:type="pct"/>
            <w:vAlign w:val="center"/>
          </w:tcPr>
          <w:p w:rsidR="005039EA" w:rsidRPr="003111E1" w:rsidRDefault="009E0930" w:rsidP="00330EF2">
            <w:pPr>
              <w:snapToGrid w:val="0"/>
              <w:spacing w:line="340" w:lineRule="exact"/>
              <w:ind w:rightChars="50" w:right="120"/>
              <w:jc w:val="center"/>
              <w:rPr>
                <w:b/>
                <w:bCs/>
              </w:rPr>
            </w:pPr>
            <w:r w:rsidRPr="003111E1">
              <w:rPr>
                <w:b/>
                <w:bCs/>
              </w:rPr>
              <w:t>3.38</w:t>
            </w:r>
          </w:p>
        </w:tc>
        <w:tc>
          <w:tcPr>
            <w:tcW w:w="988" w:type="pct"/>
            <w:vAlign w:val="center"/>
          </w:tcPr>
          <w:p w:rsidR="005039EA" w:rsidRPr="003111E1" w:rsidRDefault="009E0930" w:rsidP="00330EF2">
            <w:pPr>
              <w:snapToGrid w:val="0"/>
              <w:spacing w:line="340" w:lineRule="exact"/>
              <w:ind w:rightChars="200" w:right="480"/>
              <w:jc w:val="center"/>
              <w:rPr>
                <w:rFonts w:eastAsia="標楷體"/>
                <w:b/>
                <w:bCs/>
                <w:snapToGrid w:val="0"/>
              </w:rPr>
            </w:pPr>
            <w:r w:rsidRPr="003111E1">
              <w:rPr>
                <w:rFonts w:eastAsia="標楷體"/>
                <w:b/>
                <w:bCs/>
                <w:snapToGrid w:val="0"/>
              </w:rPr>
              <w:t>-0.30</w:t>
            </w:r>
          </w:p>
        </w:tc>
        <w:tc>
          <w:tcPr>
            <w:tcW w:w="558" w:type="pct"/>
            <w:vAlign w:val="center"/>
          </w:tcPr>
          <w:p w:rsidR="005039EA" w:rsidRPr="003111E1" w:rsidRDefault="002D2FC3" w:rsidP="00330EF2">
            <w:pPr>
              <w:snapToGrid w:val="0"/>
              <w:spacing w:line="340" w:lineRule="exact"/>
              <w:ind w:rightChars="50" w:right="120"/>
              <w:jc w:val="center"/>
              <w:rPr>
                <w:b/>
                <w:bCs/>
              </w:rPr>
            </w:pPr>
            <w:r w:rsidRPr="003111E1">
              <w:rPr>
                <w:b/>
                <w:bCs/>
              </w:rPr>
              <w:t>0.7</w:t>
            </w:r>
            <w:r w:rsidR="00531853" w:rsidRPr="003111E1">
              <w:rPr>
                <w:b/>
                <w:bCs/>
              </w:rPr>
              <w:t>5</w:t>
            </w:r>
          </w:p>
        </w:tc>
        <w:tc>
          <w:tcPr>
            <w:tcW w:w="701" w:type="pct"/>
            <w:vAlign w:val="center"/>
          </w:tcPr>
          <w:p w:rsidR="005039EA" w:rsidRPr="003111E1" w:rsidRDefault="002D2FC3" w:rsidP="00330EF2">
            <w:pPr>
              <w:snapToGrid w:val="0"/>
              <w:spacing w:line="340" w:lineRule="exact"/>
              <w:ind w:rightChars="50" w:right="120"/>
              <w:jc w:val="center"/>
              <w:rPr>
                <w:b/>
                <w:bCs/>
              </w:rPr>
            </w:pPr>
            <w:r w:rsidRPr="003111E1">
              <w:rPr>
                <w:b/>
                <w:bCs/>
              </w:rPr>
              <w:t>0.5</w:t>
            </w:r>
            <w:r w:rsidR="00531853" w:rsidRPr="003111E1">
              <w:rPr>
                <w:b/>
                <w:bCs/>
              </w:rPr>
              <w:t>5</w:t>
            </w:r>
          </w:p>
        </w:tc>
        <w:tc>
          <w:tcPr>
            <w:tcW w:w="696" w:type="pct"/>
            <w:vAlign w:val="center"/>
          </w:tcPr>
          <w:p w:rsidR="005039EA" w:rsidRPr="003111E1" w:rsidRDefault="002D2FC3" w:rsidP="00330EF2">
            <w:pPr>
              <w:snapToGrid w:val="0"/>
              <w:spacing w:line="340" w:lineRule="exact"/>
              <w:ind w:rightChars="50" w:right="120"/>
              <w:jc w:val="center"/>
              <w:rPr>
                <w:b/>
                <w:bCs/>
              </w:rPr>
            </w:pPr>
            <w:r w:rsidRPr="003111E1">
              <w:rPr>
                <w:b/>
                <w:bCs/>
              </w:rPr>
              <w:t>-2.35</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1.77</w:t>
            </w:r>
          </w:p>
        </w:tc>
        <w:tc>
          <w:tcPr>
            <w:tcW w:w="558" w:type="pct"/>
            <w:vAlign w:val="center"/>
          </w:tcPr>
          <w:p w:rsidR="00AF443A" w:rsidRPr="003111E1" w:rsidRDefault="00AF443A" w:rsidP="002407AA">
            <w:pPr>
              <w:snapToGrid w:val="0"/>
              <w:spacing w:line="340" w:lineRule="exact"/>
              <w:ind w:rightChars="50" w:right="120"/>
              <w:jc w:val="center"/>
            </w:pPr>
            <w:r w:rsidRPr="003111E1">
              <w:t>2.99</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-0.78</w:t>
            </w:r>
          </w:p>
        </w:tc>
        <w:tc>
          <w:tcPr>
            <w:tcW w:w="558" w:type="pct"/>
            <w:vAlign w:val="center"/>
          </w:tcPr>
          <w:p w:rsidR="00AF443A" w:rsidRPr="003111E1" w:rsidRDefault="00AF443A" w:rsidP="002407AA">
            <w:pPr>
              <w:snapToGrid w:val="0"/>
              <w:spacing w:line="340" w:lineRule="exact"/>
              <w:ind w:rightChars="50" w:right="120"/>
              <w:jc w:val="center"/>
            </w:pPr>
            <w:r w:rsidRPr="003111E1">
              <w:t>0.78</w:t>
            </w:r>
          </w:p>
        </w:tc>
        <w:tc>
          <w:tcPr>
            <w:tcW w:w="701" w:type="pct"/>
            <w:vAlign w:val="center"/>
          </w:tcPr>
          <w:p w:rsidR="00AF443A" w:rsidRPr="003111E1" w:rsidRDefault="00AF443A" w:rsidP="002407AA">
            <w:pPr>
              <w:snapToGrid w:val="0"/>
              <w:spacing w:line="340" w:lineRule="exact"/>
              <w:ind w:rightChars="50" w:right="120"/>
              <w:jc w:val="center"/>
            </w:pPr>
            <w:r w:rsidRPr="003111E1">
              <w:t>0.57</w:t>
            </w:r>
          </w:p>
        </w:tc>
        <w:tc>
          <w:tcPr>
            <w:tcW w:w="696" w:type="pct"/>
            <w:vAlign w:val="center"/>
          </w:tcPr>
          <w:p w:rsidR="00AF443A" w:rsidRPr="003111E1" w:rsidRDefault="00AF443A" w:rsidP="002407AA">
            <w:pPr>
              <w:snapToGrid w:val="0"/>
              <w:spacing w:line="340" w:lineRule="exact"/>
              <w:ind w:rightChars="50" w:right="120"/>
              <w:jc w:val="center"/>
            </w:pPr>
            <w:r w:rsidRPr="003111E1">
              <w:t>-3.55</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7</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2.46</w:t>
            </w:r>
          </w:p>
        </w:tc>
        <w:tc>
          <w:tcPr>
            <w:tcW w:w="558" w:type="pct"/>
            <w:vAlign w:val="center"/>
          </w:tcPr>
          <w:p w:rsidR="00AF443A" w:rsidRPr="003111E1" w:rsidRDefault="00AF443A" w:rsidP="002407AA">
            <w:pPr>
              <w:snapToGrid w:val="0"/>
              <w:spacing w:line="340" w:lineRule="exact"/>
              <w:ind w:rightChars="50" w:right="120"/>
              <w:jc w:val="center"/>
            </w:pPr>
            <w:r w:rsidRPr="003111E1">
              <w:t>4.34</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-0.78</w:t>
            </w:r>
          </w:p>
        </w:tc>
        <w:tc>
          <w:tcPr>
            <w:tcW w:w="558" w:type="pct"/>
            <w:vAlign w:val="center"/>
          </w:tcPr>
          <w:p w:rsidR="00AF443A" w:rsidRPr="003111E1" w:rsidRDefault="00AF443A" w:rsidP="002407AA">
            <w:pPr>
              <w:snapToGrid w:val="0"/>
              <w:spacing w:line="340" w:lineRule="exact"/>
              <w:ind w:rightChars="50" w:right="120"/>
              <w:jc w:val="center"/>
            </w:pPr>
            <w:r w:rsidRPr="003111E1">
              <w:t>0.92</w:t>
            </w:r>
          </w:p>
        </w:tc>
        <w:tc>
          <w:tcPr>
            <w:tcW w:w="701" w:type="pct"/>
            <w:vAlign w:val="center"/>
          </w:tcPr>
          <w:p w:rsidR="00AF443A" w:rsidRPr="003111E1" w:rsidRDefault="00AF443A" w:rsidP="002407AA">
            <w:pPr>
              <w:snapToGrid w:val="0"/>
              <w:spacing w:line="340" w:lineRule="exact"/>
              <w:ind w:rightChars="50" w:right="120"/>
              <w:jc w:val="center"/>
            </w:pPr>
            <w:r w:rsidRPr="003111E1">
              <w:t>0.57</w:t>
            </w:r>
          </w:p>
        </w:tc>
        <w:tc>
          <w:tcPr>
            <w:tcW w:w="696" w:type="pct"/>
            <w:vAlign w:val="center"/>
          </w:tcPr>
          <w:p w:rsidR="00AF443A" w:rsidRPr="003111E1" w:rsidRDefault="00AF443A" w:rsidP="002407AA">
            <w:pPr>
              <w:snapToGrid w:val="0"/>
              <w:spacing w:line="340" w:lineRule="exact"/>
              <w:ind w:rightChars="50" w:right="120"/>
              <w:jc w:val="center"/>
            </w:pPr>
            <w:r w:rsidRPr="003111E1">
              <w:t>-2.05</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8</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3.43</w:t>
            </w:r>
          </w:p>
        </w:tc>
        <w:tc>
          <w:tcPr>
            <w:tcW w:w="558" w:type="pct"/>
            <w:vAlign w:val="center"/>
          </w:tcPr>
          <w:p w:rsidR="00AF443A" w:rsidRPr="003111E1" w:rsidRDefault="00AF443A" w:rsidP="002407AA">
            <w:pPr>
              <w:snapToGrid w:val="0"/>
              <w:spacing w:line="340" w:lineRule="exact"/>
              <w:ind w:rightChars="50" w:right="120"/>
              <w:jc w:val="center"/>
            </w:pPr>
            <w:r w:rsidRPr="003111E1">
              <w:t>6.50</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-1.21</w:t>
            </w:r>
          </w:p>
        </w:tc>
        <w:tc>
          <w:tcPr>
            <w:tcW w:w="558" w:type="pct"/>
            <w:vAlign w:val="center"/>
          </w:tcPr>
          <w:p w:rsidR="00AF443A" w:rsidRPr="003111E1" w:rsidRDefault="00AF443A" w:rsidP="002407AA">
            <w:pPr>
              <w:snapToGrid w:val="0"/>
              <w:spacing w:line="340" w:lineRule="exact"/>
              <w:ind w:rightChars="50" w:right="120"/>
              <w:jc w:val="center"/>
            </w:pPr>
            <w:r w:rsidRPr="003111E1">
              <w:t>0.91</w:t>
            </w:r>
          </w:p>
        </w:tc>
        <w:tc>
          <w:tcPr>
            <w:tcW w:w="701" w:type="pct"/>
            <w:vAlign w:val="center"/>
          </w:tcPr>
          <w:p w:rsidR="00AF443A" w:rsidRPr="003111E1" w:rsidRDefault="00AF443A" w:rsidP="002407AA">
            <w:pPr>
              <w:snapToGrid w:val="0"/>
              <w:spacing w:line="340" w:lineRule="exact"/>
              <w:ind w:rightChars="50" w:right="120"/>
              <w:jc w:val="center"/>
            </w:pPr>
            <w:r w:rsidRPr="003111E1">
              <w:t>0.65</w:t>
            </w:r>
          </w:p>
        </w:tc>
        <w:tc>
          <w:tcPr>
            <w:tcW w:w="696" w:type="pct"/>
            <w:vAlign w:val="center"/>
          </w:tcPr>
          <w:p w:rsidR="00AF443A" w:rsidRPr="003111E1" w:rsidRDefault="00AF443A" w:rsidP="002407AA">
            <w:pPr>
              <w:snapToGrid w:val="0"/>
              <w:spacing w:line="340" w:lineRule="exact"/>
              <w:ind w:rightChars="50" w:right="120"/>
              <w:jc w:val="center"/>
            </w:pPr>
            <w:r w:rsidRPr="003111E1">
              <w:t>-2.09</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9</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40" w:lineRule="exact"/>
              <w:ind w:rightChars="50" w:right="120"/>
              <w:rPr>
                <w:rFonts w:eastAsia="標楷體"/>
              </w:rPr>
            </w:pPr>
            <w:r w:rsidRPr="003111E1">
              <w:rPr>
                <w:rFonts w:eastAsia="標楷體"/>
              </w:rPr>
              <w:t>2.96</w:t>
            </w:r>
          </w:p>
        </w:tc>
        <w:tc>
          <w:tcPr>
            <w:tcW w:w="558" w:type="pct"/>
            <w:vAlign w:val="center"/>
          </w:tcPr>
          <w:p w:rsidR="00AF443A" w:rsidRPr="003111E1" w:rsidRDefault="00AF443A" w:rsidP="002407AA">
            <w:pPr>
              <w:snapToGrid w:val="0"/>
              <w:spacing w:line="340" w:lineRule="exact"/>
              <w:ind w:rightChars="50" w:right="120"/>
              <w:jc w:val="center"/>
            </w:pPr>
            <w:r w:rsidRPr="003111E1">
              <w:t>5.49</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-0.69</w:t>
            </w:r>
          </w:p>
        </w:tc>
        <w:tc>
          <w:tcPr>
            <w:tcW w:w="558" w:type="pct"/>
            <w:vAlign w:val="center"/>
          </w:tcPr>
          <w:p w:rsidR="00AF443A" w:rsidRPr="003111E1" w:rsidRDefault="00AF443A" w:rsidP="002407AA">
            <w:pPr>
              <w:snapToGrid w:val="0"/>
              <w:spacing w:line="340" w:lineRule="exact"/>
              <w:ind w:rightChars="50" w:right="120"/>
              <w:jc w:val="center"/>
            </w:pPr>
            <w:r w:rsidRPr="003111E1">
              <w:t>0.87</w:t>
            </w:r>
          </w:p>
        </w:tc>
        <w:tc>
          <w:tcPr>
            <w:tcW w:w="701" w:type="pct"/>
            <w:vAlign w:val="center"/>
          </w:tcPr>
          <w:p w:rsidR="00AF443A" w:rsidRPr="003111E1" w:rsidRDefault="00AF443A" w:rsidP="002407AA">
            <w:pPr>
              <w:snapToGrid w:val="0"/>
              <w:spacing w:line="340" w:lineRule="exact"/>
              <w:ind w:rightChars="50" w:right="120"/>
              <w:jc w:val="center"/>
            </w:pPr>
            <w:r w:rsidRPr="003111E1">
              <w:t>0.69</w:t>
            </w:r>
          </w:p>
        </w:tc>
        <w:tc>
          <w:tcPr>
            <w:tcW w:w="696" w:type="pct"/>
            <w:vAlign w:val="center"/>
          </w:tcPr>
          <w:p w:rsidR="00AF443A" w:rsidRPr="003111E1" w:rsidRDefault="00AF443A" w:rsidP="002407AA">
            <w:pPr>
              <w:snapToGrid w:val="0"/>
              <w:spacing w:line="340" w:lineRule="exact"/>
              <w:ind w:rightChars="50" w:right="120"/>
              <w:jc w:val="center"/>
            </w:pPr>
            <w:r w:rsidRPr="003111E1">
              <w:t>-2.20</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10</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2.33</w:t>
            </w:r>
          </w:p>
        </w:tc>
        <w:tc>
          <w:tcPr>
            <w:tcW w:w="558" w:type="pct"/>
            <w:vAlign w:val="center"/>
          </w:tcPr>
          <w:p w:rsidR="00AF443A" w:rsidRPr="003111E1" w:rsidRDefault="00AF443A" w:rsidP="002407AA">
            <w:pPr>
              <w:snapToGrid w:val="0"/>
              <w:spacing w:line="340" w:lineRule="exact"/>
              <w:ind w:rightChars="50" w:right="120"/>
              <w:jc w:val="center"/>
            </w:pPr>
            <w:r w:rsidRPr="003111E1">
              <w:t>4.04</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-0.22</w:t>
            </w:r>
          </w:p>
        </w:tc>
        <w:tc>
          <w:tcPr>
            <w:tcW w:w="558" w:type="pct"/>
            <w:vAlign w:val="center"/>
          </w:tcPr>
          <w:p w:rsidR="00AF443A" w:rsidRPr="003111E1" w:rsidRDefault="00AF443A" w:rsidP="002407AA">
            <w:pPr>
              <w:snapToGrid w:val="0"/>
              <w:spacing w:line="340" w:lineRule="exact"/>
              <w:ind w:rightChars="50" w:right="120"/>
              <w:jc w:val="center"/>
            </w:pPr>
            <w:r w:rsidRPr="003111E1">
              <w:t>0.93</w:t>
            </w:r>
          </w:p>
        </w:tc>
        <w:tc>
          <w:tcPr>
            <w:tcW w:w="701" w:type="pct"/>
            <w:vAlign w:val="center"/>
          </w:tcPr>
          <w:p w:rsidR="00AF443A" w:rsidRPr="003111E1" w:rsidRDefault="00AF443A" w:rsidP="002407AA">
            <w:pPr>
              <w:snapToGrid w:val="0"/>
              <w:spacing w:line="340" w:lineRule="exact"/>
              <w:ind w:rightChars="50" w:right="120"/>
              <w:jc w:val="center"/>
            </w:pPr>
            <w:r w:rsidRPr="003111E1">
              <w:t>0.71</w:t>
            </w:r>
          </w:p>
        </w:tc>
        <w:tc>
          <w:tcPr>
            <w:tcW w:w="696" w:type="pct"/>
            <w:vAlign w:val="center"/>
          </w:tcPr>
          <w:p w:rsidR="00AF443A" w:rsidRPr="003111E1" w:rsidRDefault="00AF443A" w:rsidP="002407AA">
            <w:pPr>
              <w:snapToGrid w:val="0"/>
              <w:spacing w:line="340" w:lineRule="exact"/>
              <w:ind w:rightChars="50" w:right="120"/>
              <w:jc w:val="center"/>
            </w:pPr>
            <w:r w:rsidRPr="003111E1">
              <w:t>-1.45</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11</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1.59</w:t>
            </w:r>
          </w:p>
        </w:tc>
        <w:tc>
          <w:tcPr>
            <w:tcW w:w="558" w:type="pct"/>
            <w:vAlign w:val="center"/>
          </w:tcPr>
          <w:p w:rsidR="00AF443A" w:rsidRPr="003111E1" w:rsidRDefault="00AF443A" w:rsidP="002407AA">
            <w:pPr>
              <w:snapToGrid w:val="0"/>
              <w:spacing w:line="340" w:lineRule="exact"/>
              <w:ind w:rightChars="50" w:right="120"/>
              <w:jc w:val="center"/>
            </w:pPr>
            <w:r w:rsidRPr="003111E1">
              <w:t>2.38</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-0.50</w:t>
            </w:r>
          </w:p>
        </w:tc>
        <w:tc>
          <w:tcPr>
            <w:tcW w:w="558" w:type="pct"/>
            <w:vAlign w:val="center"/>
          </w:tcPr>
          <w:p w:rsidR="00AF443A" w:rsidRPr="003111E1" w:rsidRDefault="00AF443A" w:rsidP="002407AA">
            <w:pPr>
              <w:snapToGrid w:val="0"/>
              <w:spacing w:line="340" w:lineRule="exact"/>
              <w:ind w:rightChars="50" w:right="120"/>
              <w:jc w:val="center"/>
            </w:pPr>
            <w:r w:rsidRPr="003111E1">
              <w:t>0.92</w:t>
            </w:r>
          </w:p>
        </w:tc>
        <w:tc>
          <w:tcPr>
            <w:tcW w:w="701" w:type="pct"/>
            <w:vAlign w:val="center"/>
          </w:tcPr>
          <w:p w:rsidR="00AF443A" w:rsidRPr="003111E1" w:rsidRDefault="00AF443A" w:rsidP="002407AA">
            <w:pPr>
              <w:snapToGrid w:val="0"/>
              <w:spacing w:line="340" w:lineRule="exact"/>
              <w:ind w:rightChars="50" w:right="120"/>
              <w:jc w:val="center"/>
            </w:pPr>
            <w:r w:rsidRPr="003111E1">
              <w:t>0.70</w:t>
            </w:r>
          </w:p>
        </w:tc>
        <w:tc>
          <w:tcPr>
            <w:tcW w:w="696" w:type="pct"/>
            <w:vAlign w:val="center"/>
          </w:tcPr>
          <w:p w:rsidR="00AF443A" w:rsidRPr="003111E1" w:rsidRDefault="00AF443A" w:rsidP="002407AA">
            <w:pPr>
              <w:snapToGrid w:val="0"/>
              <w:spacing w:line="340" w:lineRule="exact"/>
              <w:ind w:rightChars="50" w:right="120"/>
              <w:jc w:val="center"/>
            </w:pPr>
            <w:r w:rsidRPr="003111E1">
              <w:t>-0.93</w:t>
            </w:r>
          </w:p>
        </w:tc>
      </w:tr>
      <w:tr w:rsidR="002C2C08" w:rsidRPr="003111E1" w:rsidTr="00664D56">
        <w:trPr>
          <w:trHeight w:val="370"/>
          <w:jc w:val="center"/>
        </w:trPr>
        <w:tc>
          <w:tcPr>
            <w:tcW w:w="940"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12</w:t>
            </w:r>
            <w:r w:rsidRPr="003111E1">
              <w:rPr>
                <w:rFonts w:eastAsia="標楷體"/>
              </w:rPr>
              <w:t>月</w:t>
            </w:r>
          </w:p>
        </w:tc>
        <w:tc>
          <w:tcPr>
            <w:tcW w:w="558" w:type="pct"/>
            <w:tcBorders>
              <w:left w:val="single" w:sz="6" w:space="0" w:color="auto"/>
            </w:tcBorders>
            <w:vAlign w:val="center"/>
          </w:tcPr>
          <w:p w:rsidR="00AF443A" w:rsidRPr="003111E1" w:rsidRDefault="00AF443A" w:rsidP="002407AA">
            <w:pPr>
              <w:pStyle w:val="a9"/>
              <w:spacing w:line="360" w:lineRule="exact"/>
              <w:ind w:rightChars="50" w:right="120"/>
              <w:rPr>
                <w:rFonts w:eastAsia="標楷體"/>
              </w:rPr>
            </w:pPr>
            <w:r w:rsidRPr="003111E1">
              <w:rPr>
                <w:rFonts w:eastAsia="標楷體"/>
              </w:rPr>
              <w:t>1.60</w:t>
            </w:r>
          </w:p>
        </w:tc>
        <w:tc>
          <w:tcPr>
            <w:tcW w:w="558" w:type="pct"/>
            <w:vAlign w:val="center"/>
          </w:tcPr>
          <w:p w:rsidR="00AF443A" w:rsidRPr="003111E1" w:rsidRDefault="00AF443A" w:rsidP="002407AA">
            <w:pPr>
              <w:snapToGrid w:val="0"/>
              <w:spacing w:line="340" w:lineRule="exact"/>
              <w:ind w:rightChars="50" w:right="120"/>
              <w:jc w:val="center"/>
            </w:pPr>
            <w:r w:rsidRPr="003111E1">
              <w:t>2.43</w:t>
            </w:r>
          </w:p>
        </w:tc>
        <w:tc>
          <w:tcPr>
            <w:tcW w:w="988"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-0.58</w:t>
            </w:r>
          </w:p>
        </w:tc>
        <w:tc>
          <w:tcPr>
            <w:tcW w:w="558" w:type="pct"/>
            <w:vAlign w:val="center"/>
          </w:tcPr>
          <w:p w:rsidR="00AF443A" w:rsidRPr="003111E1" w:rsidRDefault="00AF443A" w:rsidP="002407AA">
            <w:pPr>
              <w:snapToGrid w:val="0"/>
              <w:spacing w:line="340" w:lineRule="exact"/>
              <w:ind w:rightChars="50" w:right="120"/>
              <w:jc w:val="center"/>
            </w:pPr>
            <w:r w:rsidRPr="003111E1">
              <w:t>0.92</w:t>
            </w:r>
          </w:p>
        </w:tc>
        <w:tc>
          <w:tcPr>
            <w:tcW w:w="701" w:type="pct"/>
            <w:vAlign w:val="center"/>
          </w:tcPr>
          <w:p w:rsidR="00AF443A" w:rsidRPr="003111E1" w:rsidRDefault="00AF443A" w:rsidP="002407AA">
            <w:pPr>
              <w:snapToGrid w:val="0"/>
              <w:spacing w:line="340" w:lineRule="exact"/>
              <w:ind w:rightChars="50" w:right="120"/>
              <w:jc w:val="center"/>
            </w:pPr>
            <w:r w:rsidRPr="003111E1">
              <w:t>0.70</w:t>
            </w:r>
          </w:p>
        </w:tc>
        <w:tc>
          <w:tcPr>
            <w:tcW w:w="696" w:type="pct"/>
            <w:vAlign w:val="center"/>
          </w:tcPr>
          <w:p w:rsidR="00AF443A" w:rsidRPr="003111E1" w:rsidRDefault="00AF443A" w:rsidP="002407AA">
            <w:pPr>
              <w:snapToGrid w:val="0"/>
              <w:spacing w:line="340" w:lineRule="exact"/>
              <w:ind w:rightChars="50" w:right="120"/>
              <w:jc w:val="center"/>
            </w:pPr>
            <w:r w:rsidRPr="003111E1">
              <w:t>-0.86</w:t>
            </w:r>
          </w:p>
        </w:tc>
      </w:tr>
      <w:tr w:rsidR="002C2C08" w:rsidRPr="003111E1" w:rsidTr="00664D56">
        <w:trPr>
          <w:trHeight w:val="370"/>
          <w:jc w:val="center"/>
        </w:trPr>
        <w:tc>
          <w:tcPr>
            <w:tcW w:w="940" w:type="pct"/>
            <w:tcBorders>
              <w:right w:val="single" w:sz="6" w:space="0" w:color="auto"/>
            </w:tcBorders>
          </w:tcPr>
          <w:p w:rsidR="002C2C08" w:rsidRPr="003111E1" w:rsidRDefault="002C2C08" w:rsidP="00C5727E">
            <w:pPr>
              <w:spacing w:line="340" w:lineRule="exact"/>
              <w:ind w:right="87"/>
              <w:jc w:val="right"/>
              <w:rPr>
                <w:rFonts w:eastAsia="標楷體"/>
                <w:b/>
              </w:rPr>
            </w:pPr>
            <w:r w:rsidRPr="003111E1">
              <w:rPr>
                <w:rFonts w:eastAsia="標楷體"/>
                <w:b/>
              </w:rPr>
              <w:t>102</w:t>
            </w:r>
            <w:r w:rsidRPr="003111E1">
              <w:rPr>
                <w:rFonts w:eastAsia="標楷體"/>
                <w:b/>
              </w:rPr>
              <w:t>年</w:t>
            </w:r>
            <w:r w:rsidRPr="003111E1">
              <w:rPr>
                <w:rFonts w:eastAsia="標楷體"/>
                <w:b/>
              </w:rPr>
              <w:t>1~6</w:t>
            </w:r>
            <w:r w:rsidRPr="003111E1">
              <w:rPr>
                <w:rFonts w:eastAsia="標楷體"/>
                <w:b/>
              </w:rPr>
              <w:t>月</w:t>
            </w:r>
          </w:p>
        </w:tc>
        <w:tc>
          <w:tcPr>
            <w:tcW w:w="558"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b/>
              </w:rPr>
            </w:pPr>
            <w:r w:rsidRPr="003111E1">
              <w:rPr>
                <w:rFonts w:eastAsia="標楷體"/>
                <w:b/>
              </w:rPr>
              <w:t>1.31</w:t>
            </w:r>
          </w:p>
        </w:tc>
        <w:tc>
          <w:tcPr>
            <w:tcW w:w="558" w:type="pct"/>
          </w:tcPr>
          <w:p w:rsidR="002C2C08" w:rsidRPr="003111E1" w:rsidRDefault="002C2C08" w:rsidP="002C2C08">
            <w:pPr>
              <w:snapToGrid w:val="0"/>
              <w:spacing w:line="340" w:lineRule="exact"/>
              <w:ind w:rightChars="50" w:right="120"/>
              <w:jc w:val="center"/>
              <w:rPr>
                <w:b/>
                <w:bCs/>
              </w:rPr>
            </w:pPr>
            <w:r w:rsidRPr="003111E1">
              <w:rPr>
                <w:b/>
                <w:bCs/>
              </w:rPr>
              <w:t>1.57</w:t>
            </w:r>
          </w:p>
        </w:tc>
        <w:tc>
          <w:tcPr>
            <w:tcW w:w="988" w:type="pct"/>
          </w:tcPr>
          <w:p w:rsidR="002C2C08" w:rsidRPr="003111E1" w:rsidRDefault="002C2C08" w:rsidP="009A1469">
            <w:pPr>
              <w:snapToGrid w:val="0"/>
              <w:spacing w:line="340" w:lineRule="exact"/>
              <w:ind w:rightChars="200" w:right="480"/>
              <w:jc w:val="center"/>
              <w:rPr>
                <w:b/>
                <w:bCs/>
              </w:rPr>
            </w:pPr>
            <w:r w:rsidRPr="003111E1">
              <w:rPr>
                <w:b/>
                <w:bCs/>
              </w:rPr>
              <w:t>-1.53</w:t>
            </w:r>
          </w:p>
        </w:tc>
        <w:tc>
          <w:tcPr>
            <w:tcW w:w="558" w:type="pct"/>
          </w:tcPr>
          <w:p w:rsidR="002C2C08" w:rsidRPr="003111E1" w:rsidRDefault="002C2C08" w:rsidP="002C2C08">
            <w:pPr>
              <w:snapToGrid w:val="0"/>
              <w:spacing w:line="340" w:lineRule="exact"/>
              <w:ind w:rightChars="50" w:right="120"/>
              <w:jc w:val="center"/>
              <w:rPr>
                <w:b/>
                <w:bCs/>
              </w:rPr>
            </w:pPr>
            <w:r w:rsidRPr="003111E1">
              <w:rPr>
                <w:b/>
                <w:bCs/>
              </w:rPr>
              <w:t>0.97</w:t>
            </w:r>
          </w:p>
        </w:tc>
        <w:tc>
          <w:tcPr>
            <w:tcW w:w="701" w:type="pct"/>
          </w:tcPr>
          <w:p w:rsidR="002C2C08" w:rsidRPr="003111E1" w:rsidRDefault="002C2C08" w:rsidP="002C2C08">
            <w:pPr>
              <w:snapToGrid w:val="0"/>
              <w:spacing w:line="340" w:lineRule="exact"/>
              <w:ind w:rightChars="50" w:right="120"/>
              <w:jc w:val="center"/>
              <w:rPr>
                <w:b/>
                <w:bCs/>
              </w:rPr>
            </w:pPr>
            <w:r w:rsidRPr="003111E1">
              <w:rPr>
                <w:b/>
                <w:bCs/>
              </w:rPr>
              <w:t>0.66</w:t>
            </w:r>
          </w:p>
        </w:tc>
        <w:tc>
          <w:tcPr>
            <w:tcW w:w="696" w:type="pct"/>
          </w:tcPr>
          <w:p w:rsidR="002C2C08" w:rsidRPr="003111E1" w:rsidRDefault="002C2C08" w:rsidP="002C2C08">
            <w:pPr>
              <w:snapToGrid w:val="0"/>
              <w:spacing w:line="340" w:lineRule="exact"/>
              <w:ind w:rightChars="50" w:right="120"/>
              <w:jc w:val="center"/>
              <w:rPr>
                <w:b/>
                <w:bCs/>
              </w:rPr>
            </w:pPr>
            <w:r w:rsidRPr="003111E1">
              <w:rPr>
                <w:b/>
                <w:bCs/>
              </w:rPr>
              <w:t>0.39</w:t>
            </w:r>
          </w:p>
        </w:tc>
      </w:tr>
      <w:tr w:rsidR="002C2C08" w:rsidRPr="003111E1" w:rsidTr="00664D56">
        <w:trPr>
          <w:trHeight w:val="370"/>
          <w:jc w:val="center"/>
        </w:trPr>
        <w:tc>
          <w:tcPr>
            <w:tcW w:w="940"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1</w:t>
            </w:r>
            <w:r w:rsidRPr="003111E1">
              <w:rPr>
                <w:rFonts w:eastAsia="標楷體"/>
              </w:rPr>
              <w:t>月</w:t>
            </w:r>
          </w:p>
        </w:tc>
        <w:tc>
          <w:tcPr>
            <w:tcW w:w="558"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1.12</w:t>
            </w:r>
          </w:p>
        </w:tc>
        <w:tc>
          <w:tcPr>
            <w:tcW w:w="558" w:type="pct"/>
            <w:vAlign w:val="center"/>
          </w:tcPr>
          <w:p w:rsidR="002C2C08" w:rsidRPr="003111E1" w:rsidRDefault="002C2C08" w:rsidP="002407AA">
            <w:pPr>
              <w:snapToGrid w:val="0"/>
              <w:spacing w:line="340" w:lineRule="exact"/>
              <w:ind w:rightChars="50" w:right="120"/>
              <w:jc w:val="center"/>
            </w:pPr>
            <w:r w:rsidRPr="003111E1">
              <w:t>2.88</w:t>
            </w:r>
          </w:p>
        </w:tc>
        <w:tc>
          <w:tcPr>
            <w:tcW w:w="988"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-0.59</w:t>
            </w:r>
          </w:p>
        </w:tc>
        <w:tc>
          <w:tcPr>
            <w:tcW w:w="558" w:type="pct"/>
            <w:vAlign w:val="center"/>
          </w:tcPr>
          <w:p w:rsidR="002C2C08" w:rsidRPr="003111E1" w:rsidRDefault="002C2C08" w:rsidP="002407AA">
            <w:pPr>
              <w:snapToGrid w:val="0"/>
              <w:spacing w:line="340" w:lineRule="exact"/>
              <w:ind w:rightChars="50" w:right="120"/>
              <w:jc w:val="center"/>
            </w:pPr>
            <w:r w:rsidRPr="003111E1">
              <w:t>-0.37</w:t>
            </w:r>
          </w:p>
        </w:tc>
        <w:tc>
          <w:tcPr>
            <w:tcW w:w="701" w:type="pct"/>
            <w:vAlign w:val="center"/>
          </w:tcPr>
          <w:p w:rsidR="002C2C08" w:rsidRPr="003111E1" w:rsidRDefault="002C2C08" w:rsidP="002407AA">
            <w:pPr>
              <w:snapToGrid w:val="0"/>
              <w:spacing w:line="340" w:lineRule="exact"/>
              <w:ind w:rightChars="50" w:right="120"/>
              <w:jc w:val="center"/>
            </w:pPr>
            <w:r w:rsidRPr="003111E1">
              <w:t>0.30</w:t>
            </w:r>
          </w:p>
        </w:tc>
        <w:tc>
          <w:tcPr>
            <w:tcW w:w="696" w:type="pct"/>
            <w:vAlign w:val="center"/>
          </w:tcPr>
          <w:p w:rsidR="002C2C08" w:rsidRPr="003111E1" w:rsidRDefault="002C2C08" w:rsidP="002407AA">
            <w:pPr>
              <w:snapToGrid w:val="0"/>
              <w:spacing w:line="340" w:lineRule="exact"/>
              <w:ind w:rightChars="50" w:right="120"/>
              <w:jc w:val="center"/>
            </w:pPr>
            <w:r w:rsidRPr="003111E1">
              <w:t>-1.32</w:t>
            </w:r>
          </w:p>
        </w:tc>
      </w:tr>
      <w:tr w:rsidR="002C2C08" w:rsidRPr="003111E1" w:rsidTr="00664D56">
        <w:trPr>
          <w:trHeight w:val="370"/>
          <w:jc w:val="center"/>
        </w:trPr>
        <w:tc>
          <w:tcPr>
            <w:tcW w:w="940"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2</w:t>
            </w:r>
            <w:r w:rsidRPr="003111E1">
              <w:rPr>
                <w:rFonts w:eastAsia="標楷體"/>
              </w:rPr>
              <w:t>月</w:t>
            </w:r>
          </w:p>
        </w:tc>
        <w:tc>
          <w:tcPr>
            <w:tcW w:w="558"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2.96</w:t>
            </w:r>
          </w:p>
        </w:tc>
        <w:tc>
          <w:tcPr>
            <w:tcW w:w="558" w:type="pct"/>
            <w:vAlign w:val="center"/>
          </w:tcPr>
          <w:p w:rsidR="002C2C08" w:rsidRPr="003111E1" w:rsidRDefault="002C2C08" w:rsidP="002407AA">
            <w:pPr>
              <w:snapToGrid w:val="0"/>
              <w:spacing w:line="340" w:lineRule="exact"/>
              <w:ind w:rightChars="50" w:right="120"/>
              <w:jc w:val="center"/>
            </w:pPr>
            <w:r w:rsidRPr="003111E1">
              <w:t>3.05</w:t>
            </w:r>
          </w:p>
        </w:tc>
        <w:tc>
          <w:tcPr>
            <w:tcW w:w="988"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-1.59</w:t>
            </w:r>
          </w:p>
        </w:tc>
        <w:tc>
          <w:tcPr>
            <w:tcW w:w="558" w:type="pct"/>
            <w:vAlign w:val="center"/>
          </w:tcPr>
          <w:p w:rsidR="002C2C08" w:rsidRPr="003111E1" w:rsidRDefault="002C2C08" w:rsidP="002407AA">
            <w:pPr>
              <w:snapToGrid w:val="0"/>
              <w:spacing w:line="340" w:lineRule="exact"/>
              <w:ind w:rightChars="50" w:right="120"/>
              <w:jc w:val="center"/>
            </w:pPr>
            <w:r w:rsidRPr="003111E1">
              <w:t>2.69</w:t>
            </w:r>
          </w:p>
        </w:tc>
        <w:tc>
          <w:tcPr>
            <w:tcW w:w="701" w:type="pct"/>
            <w:vAlign w:val="center"/>
          </w:tcPr>
          <w:p w:rsidR="002C2C08" w:rsidRPr="003111E1" w:rsidRDefault="002C2C08" w:rsidP="002407AA">
            <w:pPr>
              <w:snapToGrid w:val="0"/>
              <w:spacing w:line="340" w:lineRule="exact"/>
              <w:ind w:rightChars="50" w:right="120"/>
              <w:jc w:val="center"/>
            </w:pPr>
            <w:r w:rsidRPr="003111E1">
              <w:t>0.91</w:t>
            </w:r>
          </w:p>
        </w:tc>
        <w:tc>
          <w:tcPr>
            <w:tcW w:w="696" w:type="pct"/>
            <w:vAlign w:val="center"/>
          </w:tcPr>
          <w:p w:rsidR="002C2C08" w:rsidRPr="003111E1" w:rsidRDefault="002C2C08" w:rsidP="002407AA">
            <w:pPr>
              <w:snapToGrid w:val="0"/>
              <w:spacing w:line="340" w:lineRule="exact"/>
              <w:ind w:rightChars="50" w:right="120"/>
              <w:jc w:val="center"/>
            </w:pPr>
            <w:r w:rsidRPr="003111E1">
              <w:t>0.61</w:t>
            </w:r>
          </w:p>
        </w:tc>
      </w:tr>
      <w:tr w:rsidR="002C2C08" w:rsidRPr="003111E1" w:rsidTr="00664D56">
        <w:trPr>
          <w:trHeight w:val="370"/>
          <w:jc w:val="center"/>
        </w:trPr>
        <w:tc>
          <w:tcPr>
            <w:tcW w:w="940"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3</w:t>
            </w:r>
            <w:r w:rsidRPr="003111E1">
              <w:rPr>
                <w:rFonts w:eastAsia="標楷體"/>
              </w:rPr>
              <w:t>月</w:t>
            </w:r>
          </w:p>
        </w:tc>
        <w:tc>
          <w:tcPr>
            <w:tcW w:w="558" w:type="pct"/>
            <w:tcBorders>
              <w:left w:val="single" w:sz="6" w:space="0" w:color="auto"/>
            </w:tcBorders>
            <w:vAlign w:val="center"/>
          </w:tcPr>
          <w:p w:rsidR="002C2C08" w:rsidRPr="003111E1" w:rsidRDefault="002C2C08" w:rsidP="00CD1E38">
            <w:pPr>
              <w:pStyle w:val="a9"/>
              <w:spacing w:line="360" w:lineRule="exact"/>
              <w:ind w:rightChars="50" w:right="120"/>
              <w:rPr>
                <w:rFonts w:eastAsia="標楷體"/>
              </w:rPr>
            </w:pPr>
            <w:r w:rsidRPr="003111E1">
              <w:rPr>
                <w:rFonts w:eastAsia="標楷體"/>
              </w:rPr>
              <w:t>1.3</w:t>
            </w:r>
            <w:r w:rsidR="00CD1E38" w:rsidRPr="003111E1">
              <w:rPr>
                <w:rFonts w:eastAsia="標楷體"/>
              </w:rPr>
              <w:t>6</w:t>
            </w:r>
          </w:p>
        </w:tc>
        <w:tc>
          <w:tcPr>
            <w:tcW w:w="558" w:type="pct"/>
            <w:vAlign w:val="center"/>
          </w:tcPr>
          <w:p w:rsidR="002C2C08" w:rsidRPr="003111E1" w:rsidRDefault="002C2C08" w:rsidP="002407AA">
            <w:pPr>
              <w:snapToGrid w:val="0"/>
              <w:spacing w:line="340" w:lineRule="exact"/>
              <w:ind w:rightChars="50" w:right="120"/>
              <w:jc w:val="center"/>
            </w:pPr>
            <w:r w:rsidRPr="003111E1">
              <w:t>1.73</w:t>
            </w:r>
          </w:p>
        </w:tc>
        <w:tc>
          <w:tcPr>
            <w:tcW w:w="988"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-1.28</w:t>
            </w:r>
          </w:p>
        </w:tc>
        <w:tc>
          <w:tcPr>
            <w:tcW w:w="558" w:type="pct"/>
            <w:vAlign w:val="center"/>
          </w:tcPr>
          <w:p w:rsidR="002C2C08" w:rsidRPr="003111E1" w:rsidRDefault="002C2C08" w:rsidP="002407AA">
            <w:pPr>
              <w:snapToGrid w:val="0"/>
              <w:spacing w:line="340" w:lineRule="exact"/>
              <w:ind w:rightChars="50" w:right="120"/>
              <w:jc w:val="center"/>
            </w:pPr>
            <w:r w:rsidRPr="003111E1">
              <w:t>0.93</w:t>
            </w:r>
          </w:p>
        </w:tc>
        <w:tc>
          <w:tcPr>
            <w:tcW w:w="701" w:type="pct"/>
            <w:vAlign w:val="center"/>
          </w:tcPr>
          <w:p w:rsidR="002C2C08" w:rsidRPr="003111E1" w:rsidRDefault="002C2C08" w:rsidP="002407AA">
            <w:pPr>
              <w:snapToGrid w:val="0"/>
              <w:spacing w:line="340" w:lineRule="exact"/>
              <w:ind w:rightChars="50" w:right="120"/>
              <w:jc w:val="center"/>
            </w:pPr>
            <w:r w:rsidRPr="003111E1">
              <w:t>0.75</w:t>
            </w:r>
          </w:p>
        </w:tc>
        <w:tc>
          <w:tcPr>
            <w:tcW w:w="696" w:type="pct"/>
            <w:vAlign w:val="center"/>
          </w:tcPr>
          <w:p w:rsidR="002C2C08" w:rsidRPr="003111E1" w:rsidRDefault="002C2C08" w:rsidP="002407AA">
            <w:pPr>
              <w:snapToGrid w:val="0"/>
              <w:spacing w:line="340" w:lineRule="exact"/>
              <w:ind w:rightChars="50" w:right="120"/>
              <w:jc w:val="center"/>
            </w:pPr>
            <w:r w:rsidRPr="003111E1">
              <w:t>0.32</w:t>
            </w:r>
          </w:p>
        </w:tc>
      </w:tr>
      <w:tr w:rsidR="002C2C08" w:rsidRPr="003111E1" w:rsidTr="00664D56">
        <w:trPr>
          <w:trHeight w:val="370"/>
          <w:jc w:val="center"/>
        </w:trPr>
        <w:tc>
          <w:tcPr>
            <w:tcW w:w="940"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4</w:t>
            </w:r>
            <w:r w:rsidRPr="003111E1">
              <w:rPr>
                <w:rFonts w:eastAsia="標楷體"/>
              </w:rPr>
              <w:t>月</w:t>
            </w:r>
          </w:p>
        </w:tc>
        <w:tc>
          <w:tcPr>
            <w:tcW w:w="558"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1.05</w:t>
            </w:r>
          </w:p>
        </w:tc>
        <w:tc>
          <w:tcPr>
            <w:tcW w:w="558" w:type="pct"/>
            <w:vAlign w:val="center"/>
          </w:tcPr>
          <w:p w:rsidR="002C2C08" w:rsidRPr="003111E1" w:rsidRDefault="002C2C08" w:rsidP="002407AA">
            <w:pPr>
              <w:snapToGrid w:val="0"/>
              <w:spacing w:line="340" w:lineRule="exact"/>
              <w:ind w:rightChars="50" w:right="120"/>
              <w:jc w:val="center"/>
            </w:pPr>
            <w:r w:rsidRPr="003111E1">
              <w:t>0.87</w:t>
            </w:r>
          </w:p>
        </w:tc>
        <w:tc>
          <w:tcPr>
            <w:tcW w:w="988"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-1.66</w:t>
            </w:r>
          </w:p>
        </w:tc>
        <w:tc>
          <w:tcPr>
            <w:tcW w:w="558" w:type="pct"/>
            <w:vAlign w:val="center"/>
          </w:tcPr>
          <w:p w:rsidR="002C2C08" w:rsidRPr="003111E1" w:rsidRDefault="002C2C08" w:rsidP="002407AA">
            <w:pPr>
              <w:snapToGrid w:val="0"/>
              <w:spacing w:line="340" w:lineRule="exact"/>
              <w:ind w:rightChars="50" w:right="120"/>
              <w:jc w:val="center"/>
            </w:pPr>
            <w:r w:rsidRPr="003111E1">
              <w:t>1.06</w:t>
            </w:r>
          </w:p>
        </w:tc>
        <w:tc>
          <w:tcPr>
            <w:tcW w:w="701" w:type="pct"/>
            <w:vAlign w:val="center"/>
          </w:tcPr>
          <w:p w:rsidR="002C2C08" w:rsidRPr="003111E1" w:rsidRDefault="002C2C08" w:rsidP="002407AA">
            <w:pPr>
              <w:snapToGrid w:val="0"/>
              <w:spacing w:line="340" w:lineRule="exact"/>
              <w:ind w:rightChars="50" w:right="120"/>
              <w:jc w:val="center"/>
            </w:pPr>
            <w:r w:rsidRPr="003111E1">
              <w:t>0.74</w:t>
            </w:r>
          </w:p>
        </w:tc>
        <w:tc>
          <w:tcPr>
            <w:tcW w:w="696" w:type="pct"/>
            <w:vAlign w:val="center"/>
          </w:tcPr>
          <w:p w:rsidR="002C2C08" w:rsidRPr="003111E1" w:rsidRDefault="002C2C08" w:rsidP="002407AA">
            <w:pPr>
              <w:snapToGrid w:val="0"/>
              <w:spacing w:line="340" w:lineRule="exact"/>
              <w:ind w:rightChars="50" w:right="120"/>
              <w:jc w:val="center"/>
            </w:pPr>
            <w:r w:rsidRPr="003111E1">
              <w:t>0.94</w:t>
            </w:r>
          </w:p>
        </w:tc>
      </w:tr>
      <w:tr w:rsidR="002C2C08" w:rsidRPr="003111E1" w:rsidTr="00664D56">
        <w:trPr>
          <w:trHeight w:val="370"/>
          <w:jc w:val="center"/>
        </w:trPr>
        <w:tc>
          <w:tcPr>
            <w:tcW w:w="940"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5</w:t>
            </w:r>
            <w:r w:rsidRPr="003111E1">
              <w:rPr>
                <w:rFonts w:eastAsia="標楷體"/>
              </w:rPr>
              <w:t>月</w:t>
            </w:r>
          </w:p>
        </w:tc>
        <w:tc>
          <w:tcPr>
            <w:tcW w:w="558" w:type="pct"/>
            <w:tcBorders>
              <w:left w:val="single" w:sz="6"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0.74</w:t>
            </w:r>
          </w:p>
        </w:tc>
        <w:tc>
          <w:tcPr>
            <w:tcW w:w="558" w:type="pct"/>
            <w:vAlign w:val="center"/>
          </w:tcPr>
          <w:p w:rsidR="002C2C08" w:rsidRPr="003111E1" w:rsidRDefault="002C2C08" w:rsidP="002407AA">
            <w:pPr>
              <w:snapToGrid w:val="0"/>
              <w:spacing w:line="340" w:lineRule="exact"/>
              <w:ind w:rightChars="50" w:right="120"/>
              <w:jc w:val="center"/>
            </w:pPr>
            <w:r w:rsidRPr="003111E1">
              <w:t>0.58</w:t>
            </w:r>
          </w:p>
        </w:tc>
        <w:tc>
          <w:tcPr>
            <w:tcW w:w="988"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-2.11</w:t>
            </w:r>
          </w:p>
        </w:tc>
        <w:tc>
          <w:tcPr>
            <w:tcW w:w="558" w:type="pct"/>
            <w:vAlign w:val="center"/>
          </w:tcPr>
          <w:p w:rsidR="002C2C08" w:rsidRPr="003111E1" w:rsidRDefault="002C2C08" w:rsidP="002407AA">
            <w:pPr>
              <w:snapToGrid w:val="0"/>
              <w:spacing w:line="340" w:lineRule="exact"/>
              <w:ind w:rightChars="50" w:right="120"/>
              <w:jc w:val="center"/>
            </w:pPr>
            <w:r w:rsidRPr="003111E1">
              <w:t>0.81</w:t>
            </w:r>
          </w:p>
        </w:tc>
        <w:tc>
          <w:tcPr>
            <w:tcW w:w="701" w:type="pct"/>
            <w:vAlign w:val="center"/>
          </w:tcPr>
          <w:p w:rsidR="002C2C08" w:rsidRPr="003111E1" w:rsidRDefault="002C2C08" w:rsidP="002407AA">
            <w:pPr>
              <w:snapToGrid w:val="0"/>
              <w:spacing w:line="340" w:lineRule="exact"/>
              <w:ind w:rightChars="50" w:right="120"/>
              <w:jc w:val="center"/>
            </w:pPr>
            <w:r w:rsidRPr="003111E1">
              <w:t>0.69</w:t>
            </w:r>
          </w:p>
        </w:tc>
        <w:tc>
          <w:tcPr>
            <w:tcW w:w="696" w:type="pct"/>
            <w:vAlign w:val="center"/>
          </w:tcPr>
          <w:p w:rsidR="002C2C08" w:rsidRPr="003111E1" w:rsidRDefault="002C2C08" w:rsidP="002407AA">
            <w:pPr>
              <w:snapToGrid w:val="0"/>
              <w:spacing w:line="340" w:lineRule="exact"/>
              <w:ind w:rightChars="50" w:right="120"/>
              <w:jc w:val="center"/>
            </w:pPr>
            <w:r w:rsidRPr="003111E1">
              <w:t>0.98</w:t>
            </w:r>
          </w:p>
        </w:tc>
      </w:tr>
      <w:tr w:rsidR="002C2C08" w:rsidRPr="003111E1" w:rsidTr="00664D56">
        <w:trPr>
          <w:trHeight w:val="370"/>
          <w:jc w:val="center"/>
        </w:trPr>
        <w:tc>
          <w:tcPr>
            <w:tcW w:w="940" w:type="pct"/>
            <w:tcBorders>
              <w:bottom w:val="single" w:sz="4" w:space="0" w:color="auto"/>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58" w:type="pct"/>
            <w:tcBorders>
              <w:left w:val="single" w:sz="6" w:space="0" w:color="auto"/>
              <w:bottom w:val="single" w:sz="4" w:space="0" w:color="auto"/>
            </w:tcBorders>
            <w:vAlign w:val="center"/>
          </w:tcPr>
          <w:p w:rsidR="002C2C08" w:rsidRPr="003111E1" w:rsidRDefault="002C2C08" w:rsidP="00A7204E">
            <w:pPr>
              <w:pStyle w:val="a9"/>
              <w:spacing w:line="360" w:lineRule="exact"/>
              <w:ind w:rightChars="50" w:right="120"/>
              <w:rPr>
                <w:rFonts w:eastAsia="標楷體"/>
              </w:rPr>
            </w:pPr>
            <w:r w:rsidRPr="003111E1">
              <w:rPr>
                <w:rFonts w:eastAsia="標楷體"/>
              </w:rPr>
              <w:t>0.60</w:t>
            </w:r>
          </w:p>
        </w:tc>
        <w:tc>
          <w:tcPr>
            <w:tcW w:w="558" w:type="pct"/>
            <w:tcBorders>
              <w:bottom w:val="single" w:sz="4" w:space="0" w:color="auto"/>
            </w:tcBorders>
            <w:vAlign w:val="center"/>
          </w:tcPr>
          <w:p w:rsidR="002C2C08" w:rsidRPr="003111E1" w:rsidRDefault="002C2C08" w:rsidP="002407AA">
            <w:pPr>
              <w:snapToGrid w:val="0"/>
              <w:spacing w:line="340" w:lineRule="exact"/>
              <w:ind w:rightChars="50" w:right="120"/>
              <w:jc w:val="center"/>
            </w:pPr>
            <w:r w:rsidRPr="003111E1">
              <w:t>0.35</w:t>
            </w:r>
          </w:p>
        </w:tc>
        <w:tc>
          <w:tcPr>
            <w:tcW w:w="988" w:type="pct"/>
            <w:tcBorders>
              <w:bottom w:val="single" w:sz="4" w:space="0" w:color="auto"/>
            </w:tcBorders>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-1.97</w:t>
            </w:r>
          </w:p>
        </w:tc>
        <w:tc>
          <w:tcPr>
            <w:tcW w:w="558" w:type="pct"/>
            <w:tcBorders>
              <w:bottom w:val="single" w:sz="4" w:space="0" w:color="auto"/>
            </w:tcBorders>
            <w:vAlign w:val="center"/>
          </w:tcPr>
          <w:p w:rsidR="002C2C08" w:rsidRPr="003111E1" w:rsidRDefault="002C2C08" w:rsidP="002407AA">
            <w:pPr>
              <w:snapToGrid w:val="0"/>
              <w:spacing w:line="340" w:lineRule="exact"/>
              <w:ind w:rightChars="50" w:right="120"/>
              <w:jc w:val="center"/>
            </w:pPr>
            <w:r w:rsidRPr="003111E1">
              <w:t>0.73</w:t>
            </w:r>
          </w:p>
        </w:tc>
        <w:tc>
          <w:tcPr>
            <w:tcW w:w="701" w:type="pct"/>
            <w:tcBorders>
              <w:bottom w:val="single" w:sz="4" w:space="0" w:color="auto"/>
            </w:tcBorders>
            <w:vAlign w:val="center"/>
          </w:tcPr>
          <w:p w:rsidR="002C2C08" w:rsidRPr="003111E1" w:rsidRDefault="002C2C08" w:rsidP="002407AA">
            <w:pPr>
              <w:snapToGrid w:val="0"/>
              <w:spacing w:line="340" w:lineRule="exact"/>
              <w:ind w:rightChars="50" w:right="120"/>
              <w:jc w:val="center"/>
            </w:pPr>
            <w:r w:rsidRPr="003111E1">
              <w:t>0.58</w:t>
            </w:r>
          </w:p>
        </w:tc>
        <w:tc>
          <w:tcPr>
            <w:tcW w:w="696" w:type="pct"/>
            <w:tcBorders>
              <w:bottom w:val="single" w:sz="4" w:space="0" w:color="auto"/>
            </w:tcBorders>
            <w:vAlign w:val="center"/>
          </w:tcPr>
          <w:p w:rsidR="002C2C08" w:rsidRPr="003111E1" w:rsidRDefault="002C2C08" w:rsidP="002C2C08">
            <w:pPr>
              <w:snapToGrid w:val="0"/>
              <w:spacing w:line="340" w:lineRule="exact"/>
              <w:ind w:rightChars="50" w:right="120"/>
              <w:jc w:val="center"/>
            </w:pPr>
            <w:r w:rsidRPr="003111E1">
              <w:t>0.84</w:t>
            </w:r>
          </w:p>
        </w:tc>
      </w:tr>
    </w:tbl>
    <w:p w:rsidR="00B11D2B" w:rsidRPr="003111E1" w:rsidRDefault="00B11D2B" w:rsidP="00B11D2B">
      <w:pPr>
        <w:snapToGrid w:val="0"/>
        <w:spacing w:line="240" w:lineRule="atLeast"/>
        <w:jc w:val="both"/>
        <w:rPr>
          <w:rFonts w:eastAsia="標楷體"/>
          <w:snapToGrid w:val="0"/>
          <w:sz w:val="22"/>
          <w:szCs w:val="22"/>
        </w:rPr>
      </w:pPr>
      <w:r w:rsidRPr="003111E1">
        <w:rPr>
          <w:rFonts w:eastAsia="標楷體"/>
          <w:snapToGrid w:val="0"/>
          <w:sz w:val="22"/>
          <w:szCs w:val="22"/>
        </w:rPr>
        <w:t>資料來源：行政院主計總處。</w:t>
      </w:r>
    </w:p>
    <w:p w:rsidR="0067757C"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67757C" w:rsidRPr="003111E1">
        <w:rPr>
          <w:b/>
          <w:bCs/>
        </w:rPr>
        <w:lastRenderedPageBreak/>
        <w:t>３、</w:t>
      </w:r>
      <w:r w:rsidR="00EE3B93" w:rsidRPr="003111E1">
        <w:rPr>
          <w:b/>
          <w:bCs/>
        </w:rPr>
        <w:t>102</w:t>
      </w:r>
      <w:r w:rsidR="00EE3B93" w:rsidRPr="003111E1">
        <w:rPr>
          <w:b/>
          <w:bCs/>
        </w:rPr>
        <w:t>年</w:t>
      </w:r>
      <w:r w:rsidR="00663708" w:rsidRPr="003111E1">
        <w:rPr>
          <w:b/>
          <w:bCs/>
        </w:rPr>
        <w:t>6</w:t>
      </w:r>
      <w:r w:rsidR="00EE3B93" w:rsidRPr="003111E1">
        <w:rPr>
          <w:b/>
          <w:bCs/>
        </w:rPr>
        <w:t>月美國西德州原油</w:t>
      </w:r>
      <w:proofErr w:type="gramStart"/>
      <w:r w:rsidR="00EE3B93" w:rsidRPr="003111E1">
        <w:rPr>
          <w:b/>
          <w:bCs/>
        </w:rPr>
        <w:t>月均價每</w:t>
      </w:r>
      <w:proofErr w:type="gramEnd"/>
      <w:r w:rsidR="00EE3B93" w:rsidRPr="003111E1">
        <w:rPr>
          <w:b/>
          <w:bCs/>
        </w:rPr>
        <w:t>桶</w:t>
      </w:r>
      <w:r w:rsidR="00EE3B93" w:rsidRPr="003111E1">
        <w:rPr>
          <w:b/>
          <w:bCs/>
        </w:rPr>
        <w:t>9</w:t>
      </w:r>
      <w:r w:rsidR="00663708" w:rsidRPr="003111E1">
        <w:rPr>
          <w:b/>
          <w:bCs/>
        </w:rPr>
        <w:t>5</w:t>
      </w:r>
      <w:r w:rsidR="00EE3B93" w:rsidRPr="003111E1">
        <w:rPr>
          <w:b/>
          <w:bCs/>
        </w:rPr>
        <w:t>.</w:t>
      </w:r>
      <w:r w:rsidR="00663708" w:rsidRPr="003111E1">
        <w:rPr>
          <w:b/>
          <w:bCs/>
        </w:rPr>
        <w:t>79</w:t>
      </w:r>
      <w:r w:rsidR="00EE3B93" w:rsidRPr="003111E1">
        <w:rPr>
          <w:b/>
          <w:bCs/>
        </w:rPr>
        <w:t>美元</w:t>
      </w:r>
    </w:p>
    <w:p w:rsidR="0067757C" w:rsidRPr="003111E1" w:rsidRDefault="00EE3B93" w:rsidP="00506996">
      <w:pPr>
        <w:pStyle w:val="k32"/>
        <w:topLinePunct/>
        <w:ind w:leftChars="118" w:left="283" w:rightChars="18" w:right="43" w:firstLineChars="202" w:firstLine="566"/>
      </w:pPr>
      <w:bookmarkStart w:id="80" w:name="_Toc196014079"/>
      <w:bookmarkStart w:id="81" w:name="_Toc196122088"/>
      <w:bookmarkStart w:id="82" w:name="_Toc196215348"/>
      <w:bookmarkStart w:id="83" w:name="_Toc196540374"/>
      <w:bookmarkStart w:id="84" w:name="_Toc198464389"/>
      <w:bookmarkStart w:id="85" w:name="_Toc198464553"/>
      <w:bookmarkStart w:id="86" w:name="_Toc201487150"/>
      <w:bookmarkStart w:id="87" w:name="_Toc201487791"/>
      <w:r w:rsidRPr="003111E1">
        <w:t>102</w:t>
      </w:r>
      <w:r w:rsidRPr="003111E1">
        <w:t>年</w:t>
      </w:r>
      <w:r w:rsidR="00663708" w:rsidRPr="003111E1">
        <w:t>6</w:t>
      </w:r>
      <w:r w:rsidRPr="003111E1">
        <w:t>月美國西德州原油</w:t>
      </w:r>
      <w:r w:rsidR="00221128" w:rsidRPr="003111E1">
        <w:t>（</w:t>
      </w:r>
      <w:r w:rsidRPr="003111E1">
        <w:t>WTI</w:t>
      </w:r>
      <w:r w:rsidR="00221128" w:rsidRPr="003111E1">
        <w:t>）</w:t>
      </w:r>
      <w:r w:rsidRPr="003111E1">
        <w:t>現貨</w:t>
      </w:r>
      <w:proofErr w:type="gramStart"/>
      <w:r w:rsidRPr="003111E1">
        <w:t>月均價為</w:t>
      </w:r>
      <w:proofErr w:type="gramEnd"/>
      <w:r w:rsidRPr="003111E1">
        <w:t>每桶</w:t>
      </w:r>
      <w:r w:rsidRPr="003111E1">
        <w:t>9</w:t>
      </w:r>
      <w:r w:rsidR="00663708" w:rsidRPr="003111E1">
        <w:t>5</w:t>
      </w:r>
      <w:r w:rsidRPr="003111E1">
        <w:t>.</w:t>
      </w:r>
      <w:r w:rsidR="00663708" w:rsidRPr="003111E1">
        <w:t>7</w:t>
      </w:r>
      <w:r w:rsidR="00183C31" w:rsidRPr="003111E1">
        <w:t>9</w:t>
      </w:r>
      <w:r w:rsidRPr="003111E1">
        <w:t>美元，較</w:t>
      </w:r>
      <w:r w:rsidR="00663708" w:rsidRPr="003111E1">
        <w:t>5</w:t>
      </w:r>
      <w:r w:rsidRPr="003111E1">
        <w:t>月每桶</w:t>
      </w:r>
      <w:r w:rsidRPr="003111E1">
        <w:t>9</w:t>
      </w:r>
      <w:r w:rsidR="00663708" w:rsidRPr="003111E1">
        <w:t>4</w:t>
      </w:r>
      <w:r w:rsidRPr="003111E1">
        <w:t>.</w:t>
      </w:r>
      <w:r w:rsidR="00663708" w:rsidRPr="003111E1">
        <w:t>69</w:t>
      </w:r>
      <w:r w:rsidRPr="003111E1">
        <w:t>美元，</w:t>
      </w:r>
      <w:r w:rsidR="00183C31" w:rsidRPr="003111E1">
        <w:t>上漲</w:t>
      </w:r>
      <w:r w:rsidR="00663708" w:rsidRPr="003111E1">
        <w:t>1</w:t>
      </w:r>
      <w:r w:rsidR="00183C31" w:rsidRPr="003111E1">
        <w:t>.</w:t>
      </w:r>
      <w:r w:rsidR="00663708" w:rsidRPr="003111E1">
        <w:t>16</w:t>
      </w:r>
      <w:r w:rsidRPr="003111E1">
        <w:t>％；北海布蘭特價格</w:t>
      </w:r>
      <w:r w:rsidR="00183C31" w:rsidRPr="003111E1">
        <w:t>同步微幅上漲，杜拜價格</w:t>
      </w:r>
      <w:r w:rsidR="00D07167">
        <w:rPr>
          <w:rFonts w:hint="eastAsia"/>
        </w:rPr>
        <w:t>則</w:t>
      </w:r>
      <w:r w:rsidRPr="003111E1">
        <w:t>下跌。</w:t>
      </w:r>
    </w:p>
    <w:p w:rsidR="006C36C3" w:rsidRPr="003111E1" w:rsidRDefault="006E0140" w:rsidP="00506996">
      <w:pPr>
        <w:pStyle w:val="k32"/>
        <w:topLinePunct/>
        <w:ind w:leftChars="118" w:left="283" w:rightChars="18" w:right="43" w:firstLineChars="202" w:firstLine="566"/>
      </w:pPr>
      <w:r w:rsidRPr="003111E1">
        <w:t>國際能源署（</w:t>
      </w:r>
      <w:r w:rsidRPr="003111E1">
        <w:t>IEA</w:t>
      </w:r>
      <w:r w:rsidRPr="003111E1">
        <w:t>）</w:t>
      </w:r>
      <w:r w:rsidRPr="003111E1">
        <w:t>6</w:t>
      </w:r>
      <w:r w:rsidRPr="003111E1">
        <w:t>月</w:t>
      </w:r>
      <w:r w:rsidRPr="003111E1">
        <w:t>12</w:t>
      </w:r>
      <w:r w:rsidRPr="003111E1">
        <w:t>日發布石油市場報告，</w:t>
      </w:r>
      <w:r w:rsidR="00C619B3" w:rsidRPr="003111E1">
        <w:t>再次下調全球石油需求預測，</w:t>
      </w:r>
      <w:r w:rsidRPr="003111E1">
        <w:t>由於世界</w:t>
      </w:r>
      <w:r w:rsidR="00D76676" w:rsidRPr="003111E1">
        <w:t>總體</w:t>
      </w:r>
      <w:r w:rsidRPr="003111E1">
        <w:t>經濟疲軟，特別是歐洲經濟有可能再陷衰退和中國</w:t>
      </w:r>
      <w:r w:rsidR="00D76676" w:rsidRPr="003111E1">
        <w:t>大陸</w:t>
      </w:r>
      <w:r w:rsidRPr="003111E1">
        <w:t>經濟</w:t>
      </w:r>
      <w:r w:rsidR="00D76676" w:rsidRPr="003111E1">
        <w:t>成</w:t>
      </w:r>
      <w:r w:rsidRPr="003111E1">
        <w:t>長放緩，今年全球石油需求</w:t>
      </w:r>
      <w:r w:rsidR="00D76676" w:rsidRPr="003111E1">
        <w:t>成</w:t>
      </w:r>
      <w:r w:rsidRPr="003111E1">
        <w:t>長</w:t>
      </w:r>
      <w:r w:rsidR="00D76676" w:rsidRPr="003111E1">
        <w:t>走</w:t>
      </w:r>
      <w:r w:rsidRPr="003111E1">
        <w:t>緩，低於原先預期。報告預測</w:t>
      </w:r>
      <w:r w:rsidR="000003F3" w:rsidRPr="003111E1">
        <w:t>2013</w:t>
      </w:r>
      <w:r w:rsidRPr="003111E1">
        <w:t>年全球原油日均需求將達</w:t>
      </w:r>
      <w:r w:rsidRPr="003111E1">
        <w:t>9</w:t>
      </w:r>
      <w:r w:rsidR="000003F3" w:rsidRPr="003111E1">
        <w:t>,</w:t>
      </w:r>
      <w:r w:rsidRPr="003111E1">
        <w:t>060</w:t>
      </w:r>
      <w:r w:rsidRPr="003111E1">
        <w:t>萬桶，</w:t>
      </w:r>
      <w:r w:rsidR="000003F3" w:rsidRPr="003111E1">
        <w:t>較</w:t>
      </w:r>
      <w:r w:rsidRPr="003111E1">
        <w:t>1</w:t>
      </w:r>
      <w:r w:rsidRPr="003111E1">
        <w:t>月預期減少</w:t>
      </w:r>
      <w:r w:rsidRPr="003111E1">
        <w:t>20</w:t>
      </w:r>
      <w:r w:rsidRPr="003111E1">
        <w:t>萬桶，但</w:t>
      </w:r>
      <w:r w:rsidR="000003F3" w:rsidRPr="003111E1">
        <w:t>較</w:t>
      </w:r>
      <w:r w:rsidR="000003F3" w:rsidRPr="003111E1">
        <w:t>2012</w:t>
      </w:r>
      <w:r w:rsidRPr="003111E1">
        <w:t>年增加</w:t>
      </w:r>
      <w:r w:rsidRPr="003111E1">
        <w:t>78.5</w:t>
      </w:r>
      <w:r w:rsidRPr="003111E1">
        <w:t>萬桶。</w:t>
      </w:r>
    </w:p>
    <w:p w:rsidR="0067757C" w:rsidRPr="003111E1" w:rsidRDefault="0067757C" w:rsidP="00276BD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2-7-3   </w:t>
      </w:r>
      <w:r w:rsidRPr="003111E1">
        <w:rPr>
          <w:b/>
          <w:snapToGrid w:val="0"/>
          <w:kern w:val="2"/>
          <w:szCs w:val="24"/>
        </w:rPr>
        <w:t>近年國際主要原油價格變動</w:t>
      </w:r>
      <w:bookmarkEnd w:id="80"/>
      <w:bookmarkEnd w:id="81"/>
      <w:bookmarkEnd w:id="82"/>
      <w:bookmarkEnd w:id="83"/>
      <w:bookmarkEnd w:id="84"/>
      <w:bookmarkEnd w:id="85"/>
      <w:bookmarkEnd w:id="86"/>
      <w:bookmarkEnd w:id="87"/>
    </w:p>
    <w:p w:rsidR="00701176" w:rsidRPr="003111E1" w:rsidRDefault="00701EE2" w:rsidP="00701176">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83328" behindDoc="0" locked="0" layoutInCell="1" allowOverlap="1" wp14:anchorId="71BA3A32" wp14:editId="105786C7">
                <wp:simplePos x="0" y="0"/>
                <wp:positionH relativeFrom="column">
                  <wp:posOffset>202565</wp:posOffset>
                </wp:positionH>
                <wp:positionV relativeFrom="page">
                  <wp:posOffset>7399817</wp:posOffset>
                </wp:positionV>
                <wp:extent cx="5732780" cy="304800"/>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7EBE" w:rsidRPr="00221128" w:rsidRDefault="003D7EBE"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5.95pt;margin-top:582.65pt;width:451.4pt;height:24pt;z-index:251683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OE+gIAAIQ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" filled="f" fillcolor="#ff9" stroked="f">
                <v:textbox>
                  <w:txbxContent>
                    <w:p w:rsidR="003D7EBE" w:rsidRPr="00221128" w:rsidRDefault="003D7EBE"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v:textbox>
                <w10:wrap anchory="page"/>
              </v:shape>
            </w:pict>
          </mc:Fallback>
        </mc:AlternateContent>
      </w:r>
      <w:r w:rsidR="00701176" w:rsidRPr="003111E1">
        <w:rPr>
          <w:noProof/>
          <w:color w:val="FF0000"/>
        </w:rPr>
        <mc:AlternateContent>
          <mc:Choice Requires="wps">
            <w:drawing>
              <wp:anchor distT="0" distB="0" distL="180340" distR="114300" simplePos="0" relativeHeight="251682304" behindDoc="0" locked="0" layoutInCell="1" allowOverlap="1" wp14:anchorId="08DA4874" wp14:editId="391A3A8C">
                <wp:simplePos x="0" y="0"/>
                <wp:positionH relativeFrom="column">
                  <wp:posOffset>3627755</wp:posOffset>
                </wp:positionH>
                <wp:positionV relativeFrom="page">
                  <wp:posOffset>5503926</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7EBE" w:rsidRPr="00C12AFE" w:rsidRDefault="003D7EBE"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3D7EBE" w:rsidRPr="00C12AFE" w:rsidRDefault="003D7EBE" w:rsidP="00701176">
                            <w:pPr>
                              <w:rPr>
                                <w:rFonts w:eastAsia="標楷體"/>
                                <w:b/>
                              </w:rPr>
                            </w:pPr>
                            <w:r>
                              <w:rPr>
                                <w:rFonts w:eastAsia="標楷體"/>
                                <w:b/>
                              </w:rPr>
                              <w:t xml:space="preserve">WTI          </w:t>
                            </w:r>
                            <w:r>
                              <w:rPr>
                                <w:rFonts w:eastAsia="標楷體" w:hint="eastAsia"/>
                                <w:b/>
                              </w:rPr>
                              <w:t>95.79</w:t>
                            </w:r>
                          </w:p>
                          <w:p w:rsidR="003D7EBE" w:rsidRPr="00C12AFE" w:rsidRDefault="003D7EBE" w:rsidP="00701176">
                            <w:pPr>
                              <w:rPr>
                                <w:rFonts w:eastAsia="標楷體"/>
                                <w:b/>
                              </w:rPr>
                            </w:pPr>
                            <w:r w:rsidRPr="00C12AFE">
                              <w:rPr>
                                <w:rFonts w:eastAsia="標楷體"/>
                                <w:b/>
                              </w:rPr>
                              <w:t>杜拜</w:t>
                            </w:r>
                            <w:r>
                              <w:rPr>
                                <w:rFonts w:eastAsia="標楷體"/>
                                <w:b/>
                              </w:rPr>
                              <w:t xml:space="preserve">         1</w:t>
                            </w:r>
                            <w:r>
                              <w:rPr>
                                <w:rFonts w:eastAsia="標楷體" w:hint="eastAsia"/>
                                <w:b/>
                              </w:rPr>
                              <w:t>00</w:t>
                            </w:r>
                            <w:r>
                              <w:rPr>
                                <w:rFonts w:eastAsia="標楷體"/>
                                <w:b/>
                              </w:rPr>
                              <w:t>.</w:t>
                            </w:r>
                            <w:r>
                              <w:rPr>
                                <w:rFonts w:eastAsia="標楷體" w:hint="eastAsia"/>
                                <w:b/>
                              </w:rPr>
                              <w:t>17</w:t>
                            </w:r>
                          </w:p>
                          <w:p w:rsidR="003D7EBE" w:rsidRPr="00C12AFE" w:rsidRDefault="003D7EBE" w:rsidP="00701176">
                            <w:pPr>
                              <w:rPr>
                                <w:rFonts w:eastAsia="標楷體"/>
                                <w:b/>
                              </w:rPr>
                            </w:pPr>
                            <w:r w:rsidRPr="00C12AFE">
                              <w:rPr>
                                <w:rFonts w:eastAsia="標楷體"/>
                                <w:b/>
                              </w:rPr>
                              <w:t>北海布蘭特</w:t>
                            </w:r>
                            <w:r>
                              <w:rPr>
                                <w:rFonts w:eastAsia="標楷體"/>
                                <w:b/>
                              </w:rPr>
                              <w:t xml:space="preserve">   1</w:t>
                            </w:r>
                            <w:r>
                              <w:rPr>
                                <w:rFonts w:eastAsia="標楷體" w:hint="eastAsia"/>
                                <w:b/>
                              </w:rPr>
                              <w:t>03</w:t>
                            </w:r>
                            <w:r>
                              <w:rPr>
                                <w:rFonts w:eastAsia="標楷體"/>
                                <w:b/>
                              </w:rPr>
                              <w:t>.</w:t>
                            </w:r>
                            <w:r>
                              <w:rPr>
                                <w:rFonts w:eastAsia="標楷體" w:hint="eastAsia"/>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5.65pt;margin-top:433.4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" filled="f" fillcolor="#ff9" stroked="f">
                <v:textbox>
                  <w:txbxContent>
                    <w:p w:rsidR="003D7EBE" w:rsidRPr="00C12AFE" w:rsidRDefault="003D7EBE"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5</w:t>
                      </w:r>
                      <w:r w:rsidRPr="00C12AFE">
                        <w:rPr>
                          <w:rFonts w:eastAsia="標楷體"/>
                          <w:b/>
                        </w:rPr>
                        <w:t>月油價</w:t>
                      </w:r>
                      <w:r w:rsidRPr="00C12AFE">
                        <w:rPr>
                          <w:rFonts w:eastAsia="標楷體"/>
                          <w:b/>
                        </w:rPr>
                        <w:t>:</w:t>
                      </w:r>
                    </w:p>
                    <w:p w:rsidR="003D7EBE" w:rsidRPr="00C12AFE" w:rsidRDefault="003D7EBE" w:rsidP="00701176">
                      <w:pPr>
                        <w:rPr>
                          <w:rFonts w:eastAsia="標楷體"/>
                          <w:b/>
                        </w:rPr>
                      </w:pPr>
                      <w:r>
                        <w:rPr>
                          <w:rFonts w:eastAsia="標楷體"/>
                          <w:b/>
                        </w:rPr>
                        <w:t xml:space="preserve">WTI          </w:t>
                      </w:r>
                      <w:r>
                        <w:rPr>
                          <w:rFonts w:eastAsia="標楷體" w:hint="eastAsia"/>
                          <w:b/>
                        </w:rPr>
                        <w:t>95.79</w:t>
                      </w:r>
                    </w:p>
                    <w:p w:rsidR="003D7EBE" w:rsidRPr="00C12AFE" w:rsidRDefault="003D7EBE" w:rsidP="00701176">
                      <w:pPr>
                        <w:rPr>
                          <w:rFonts w:eastAsia="標楷體"/>
                          <w:b/>
                        </w:rPr>
                      </w:pPr>
                      <w:r w:rsidRPr="00C12AFE">
                        <w:rPr>
                          <w:rFonts w:eastAsia="標楷體"/>
                          <w:b/>
                        </w:rPr>
                        <w:t>杜拜</w:t>
                      </w:r>
                      <w:r>
                        <w:rPr>
                          <w:rFonts w:eastAsia="標楷體"/>
                          <w:b/>
                        </w:rPr>
                        <w:t xml:space="preserve">         1</w:t>
                      </w:r>
                      <w:r>
                        <w:rPr>
                          <w:rFonts w:eastAsia="標楷體" w:hint="eastAsia"/>
                          <w:b/>
                        </w:rPr>
                        <w:t>00</w:t>
                      </w:r>
                      <w:r>
                        <w:rPr>
                          <w:rFonts w:eastAsia="標楷體"/>
                          <w:b/>
                        </w:rPr>
                        <w:t>.</w:t>
                      </w:r>
                      <w:r>
                        <w:rPr>
                          <w:rFonts w:eastAsia="標楷體" w:hint="eastAsia"/>
                          <w:b/>
                        </w:rPr>
                        <w:t>17</w:t>
                      </w:r>
                    </w:p>
                    <w:p w:rsidR="003D7EBE" w:rsidRPr="00C12AFE" w:rsidRDefault="003D7EBE" w:rsidP="00701176">
                      <w:pPr>
                        <w:rPr>
                          <w:rFonts w:eastAsia="標楷體"/>
                          <w:b/>
                        </w:rPr>
                      </w:pPr>
                      <w:r w:rsidRPr="00C12AFE">
                        <w:rPr>
                          <w:rFonts w:eastAsia="標楷體"/>
                          <w:b/>
                        </w:rPr>
                        <w:t>北海布蘭特</w:t>
                      </w:r>
                      <w:r>
                        <w:rPr>
                          <w:rFonts w:eastAsia="標楷體"/>
                          <w:b/>
                        </w:rPr>
                        <w:t xml:space="preserve">   1</w:t>
                      </w:r>
                      <w:r>
                        <w:rPr>
                          <w:rFonts w:eastAsia="標楷體" w:hint="eastAsia"/>
                          <w:b/>
                        </w:rPr>
                        <w:t>03</w:t>
                      </w:r>
                      <w:r>
                        <w:rPr>
                          <w:rFonts w:eastAsia="標楷體"/>
                          <w:b/>
                        </w:rPr>
                        <w:t>.</w:t>
                      </w:r>
                      <w:r>
                        <w:rPr>
                          <w:rFonts w:eastAsia="標楷體" w:hint="eastAsia"/>
                          <w:b/>
                        </w:rPr>
                        <w:t>13</w:t>
                      </w:r>
                    </w:p>
                  </w:txbxContent>
                </v:textbox>
                <w10:wrap anchory="page"/>
              </v:shape>
            </w:pict>
          </mc:Fallback>
        </mc:AlternateContent>
      </w:r>
      <w:r w:rsidR="00701176" w:rsidRPr="003111E1">
        <w:rPr>
          <w:rFonts w:eastAsia="標楷體"/>
          <w:noProof/>
          <w:color w:val="FF0000"/>
          <w:sz w:val="18"/>
        </w:rPr>
        <w:drawing>
          <wp:inline distT="0" distB="0" distL="0" distR="0" wp14:anchorId="3E44CD60" wp14:editId="70879E69">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3111E1" w:rsidRDefault="00701176" w:rsidP="0067757C">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52608" behindDoc="0" locked="0" layoutInCell="1" allowOverlap="1" wp14:anchorId="1DD50760" wp14:editId="1088B0A4">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7EBE" w:rsidRDefault="003D7E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3D7EBE" w:rsidRDefault="003D7EBE"/>
                  </w:txbxContent>
                </v:textbox>
                <w10:wrap anchory="page"/>
              </v:shape>
            </w:pict>
          </mc:Fallback>
        </mc:AlternateContent>
      </w:r>
    </w:p>
    <w:p w:rsidR="0067757C" w:rsidRPr="003111E1" w:rsidRDefault="0067757C" w:rsidP="0067757C">
      <w:pPr>
        <w:snapToGrid w:val="0"/>
        <w:spacing w:line="240" w:lineRule="atLeast"/>
        <w:jc w:val="both"/>
        <w:rPr>
          <w:rFonts w:eastAsia="標楷體"/>
          <w:sz w:val="22"/>
          <w:szCs w:val="22"/>
        </w:rPr>
      </w:pPr>
      <w:r w:rsidRPr="003111E1">
        <w:rPr>
          <w:rFonts w:eastAsia="標楷體"/>
          <w:sz w:val="22"/>
          <w:szCs w:val="22"/>
        </w:rPr>
        <w:t>資料來源：經濟部能源局。</w:t>
      </w:r>
    </w:p>
    <w:p w:rsidR="0067757C" w:rsidRPr="003111E1" w:rsidRDefault="0067757C" w:rsidP="00276BD8">
      <w:pPr>
        <w:pStyle w:val="k3a"/>
        <w:tabs>
          <w:tab w:val="left" w:pos="540"/>
        </w:tabs>
        <w:spacing w:before="180" w:afterLines="50" w:after="180"/>
        <w:ind w:leftChars="0" w:left="0" w:right="0" w:firstLineChars="0" w:firstLine="0"/>
        <w:rPr>
          <w:b/>
          <w:bCs/>
          <w:color w:val="FF0000"/>
        </w:rPr>
      </w:pPr>
    </w:p>
    <w:p w:rsidR="008E3E1B"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8E3E1B" w:rsidRPr="003111E1">
        <w:rPr>
          <w:b/>
          <w:bCs/>
        </w:rPr>
        <w:lastRenderedPageBreak/>
        <w:t>４、</w:t>
      </w:r>
      <w:r w:rsidR="003D7398" w:rsidRPr="003111E1">
        <w:rPr>
          <w:b/>
          <w:bCs/>
        </w:rPr>
        <w:t>102</w:t>
      </w:r>
      <w:r w:rsidR="003D7398" w:rsidRPr="003111E1">
        <w:rPr>
          <w:b/>
          <w:bCs/>
        </w:rPr>
        <w:t>年</w:t>
      </w:r>
      <w:r w:rsidR="00433581" w:rsidRPr="003111E1">
        <w:rPr>
          <w:b/>
          <w:bCs/>
        </w:rPr>
        <w:t>6</w:t>
      </w:r>
      <w:r w:rsidR="003D7398" w:rsidRPr="003111E1">
        <w:rPr>
          <w:b/>
          <w:bCs/>
        </w:rPr>
        <w:t>月除</w:t>
      </w:r>
      <w:r w:rsidR="00433581" w:rsidRPr="003111E1">
        <w:rPr>
          <w:b/>
          <w:bCs/>
        </w:rPr>
        <w:t>小麥</w:t>
      </w:r>
      <w:r w:rsidR="003D7398" w:rsidRPr="003111E1">
        <w:rPr>
          <w:b/>
          <w:bCs/>
        </w:rPr>
        <w:t>外，</w:t>
      </w:r>
      <w:r w:rsidR="00433581" w:rsidRPr="003111E1">
        <w:rPr>
          <w:b/>
          <w:bCs/>
        </w:rPr>
        <w:t>黃豆</w:t>
      </w:r>
      <w:r w:rsidR="003D7398" w:rsidRPr="003111E1">
        <w:rPr>
          <w:b/>
          <w:bCs/>
        </w:rPr>
        <w:t>及</w:t>
      </w:r>
      <w:r w:rsidR="00B26C51" w:rsidRPr="003111E1">
        <w:rPr>
          <w:b/>
          <w:bCs/>
        </w:rPr>
        <w:t>玉米</w:t>
      </w:r>
      <w:r w:rsidR="003D7398" w:rsidRPr="003111E1">
        <w:rPr>
          <w:b/>
          <w:bCs/>
        </w:rPr>
        <w:t>期貨</w:t>
      </w:r>
      <w:proofErr w:type="gramStart"/>
      <w:r w:rsidR="003D7398" w:rsidRPr="003111E1">
        <w:rPr>
          <w:b/>
          <w:bCs/>
        </w:rPr>
        <w:t>價格均較</w:t>
      </w:r>
      <w:r w:rsidR="00433581" w:rsidRPr="003111E1">
        <w:rPr>
          <w:b/>
          <w:bCs/>
        </w:rPr>
        <w:t>5</w:t>
      </w:r>
      <w:r w:rsidR="003D7398" w:rsidRPr="003111E1">
        <w:rPr>
          <w:b/>
          <w:bCs/>
        </w:rPr>
        <w:t>月</w:t>
      </w:r>
      <w:proofErr w:type="gramEnd"/>
      <w:r w:rsidR="00433581" w:rsidRPr="003111E1">
        <w:rPr>
          <w:b/>
          <w:bCs/>
        </w:rPr>
        <w:t>上漲</w:t>
      </w:r>
    </w:p>
    <w:p w:rsidR="008E3E1B" w:rsidRPr="003111E1" w:rsidRDefault="003D7398" w:rsidP="00506996">
      <w:pPr>
        <w:autoSpaceDE w:val="0"/>
        <w:autoSpaceDN w:val="0"/>
        <w:snapToGrid w:val="0"/>
        <w:spacing w:beforeLines="50" w:before="180" w:line="300" w:lineRule="auto"/>
        <w:ind w:rightChars="18" w:right="43" w:firstLineChars="202" w:firstLine="566"/>
        <w:rPr>
          <w:rFonts w:eastAsia="標楷體"/>
          <w:sz w:val="28"/>
        </w:rPr>
      </w:pPr>
      <w:r w:rsidRPr="003111E1">
        <w:rPr>
          <w:rFonts w:eastAsia="標楷體"/>
          <w:sz w:val="28"/>
        </w:rPr>
        <w:t>根據行政院主計總處公布之國際大宗物資期貨價格（芝加哥穀物價格）顯示：</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黃豆價格</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8</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17.65</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433581" w:rsidRPr="003111E1">
        <w:rPr>
          <w:rFonts w:eastAsia="標楷體"/>
          <w:sz w:val="28"/>
        </w:rPr>
        <w:t>6</w:t>
      </w:r>
      <w:r w:rsidR="003D7398" w:rsidRPr="003111E1">
        <w:rPr>
          <w:rFonts w:eastAsia="標楷體"/>
          <w:sz w:val="28"/>
        </w:rPr>
        <w:t>月為</w:t>
      </w:r>
      <w:r w:rsidR="00433581" w:rsidRPr="003111E1">
        <w:rPr>
          <w:rFonts w:eastAsia="標楷體"/>
          <w:sz w:val="28"/>
        </w:rPr>
        <w:t>15.65</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月上漲</w:t>
      </w:r>
      <w:r w:rsidR="00433581" w:rsidRPr="003111E1">
        <w:rPr>
          <w:rFonts w:eastAsia="標楷體"/>
          <w:sz w:val="28"/>
        </w:rPr>
        <w:t>3.64</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B26C51" w:rsidRPr="003111E1">
        <w:rPr>
          <w:rFonts w:eastAsia="標楷體"/>
          <w:sz w:val="28"/>
        </w:rPr>
        <w:t>上漲</w:t>
      </w:r>
      <w:r w:rsidR="00433581" w:rsidRPr="003111E1">
        <w:rPr>
          <w:rFonts w:eastAsia="標楷體"/>
          <w:sz w:val="28"/>
        </w:rPr>
        <w:t>3.4</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color w:val="FF0000"/>
          <w:sz w:val="28"/>
        </w:rPr>
      </w:pPr>
      <w:r w:rsidRPr="003111E1">
        <w:rPr>
          <w:rFonts w:eastAsia="標楷體"/>
          <w:sz w:val="28"/>
        </w:rPr>
        <w:t>－</w:t>
      </w:r>
      <w:r w:rsidR="003D7398" w:rsidRPr="003111E1">
        <w:rPr>
          <w:rFonts w:eastAsia="標楷體"/>
          <w:sz w:val="28"/>
        </w:rPr>
        <w:t>小麥價格在</w:t>
      </w:r>
      <w:r w:rsidR="003D7398" w:rsidRPr="003111E1">
        <w:rPr>
          <w:rFonts w:eastAsia="標楷體"/>
          <w:sz w:val="28"/>
        </w:rPr>
        <w:t>2008</w:t>
      </w:r>
      <w:r w:rsidR="003D7398" w:rsidRPr="003111E1">
        <w:rPr>
          <w:rFonts w:eastAsia="標楷體"/>
          <w:sz w:val="28"/>
        </w:rPr>
        <w:t>年</w:t>
      </w:r>
      <w:r w:rsidR="003D7398" w:rsidRPr="003111E1">
        <w:rPr>
          <w:rFonts w:eastAsia="標楷體"/>
          <w:sz w:val="28"/>
        </w:rPr>
        <w:t>2</w:t>
      </w:r>
      <w:r w:rsidR="003D7398" w:rsidRPr="003111E1">
        <w:rPr>
          <w:rFonts w:eastAsia="標楷體"/>
          <w:sz w:val="28"/>
        </w:rPr>
        <w:t>月達到最高點每英</w:t>
      </w:r>
      <w:proofErr w:type="gramStart"/>
      <w:r w:rsidR="003D7398" w:rsidRPr="003111E1">
        <w:rPr>
          <w:rFonts w:eastAsia="標楷體"/>
          <w:sz w:val="28"/>
        </w:rPr>
        <w:t>斗</w:t>
      </w:r>
      <w:proofErr w:type="gramEnd"/>
      <w:r w:rsidR="003D7398" w:rsidRPr="003111E1">
        <w:rPr>
          <w:rFonts w:eastAsia="標楷體"/>
          <w:sz w:val="28"/>
        </w:rPr>
        <w:t>10.73</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433581" w:rsidRPr="003111E1">
        <w:rPr>
          <w:rFonts w:eastAsia="標楷體"/>
          <w:sz w:val="28"/>
        </w:rPr>
        <w:t>6</w:t>
      </w:r>
      <w:r w:rsidR="003D7398" w:rsidRPr="003111E1">
        <w:rPr>
          <w:rFonts w:eastAsia="標楷體"/>
          <w:sz w:val="28"/>
        </w:rPr>
        <w:t>月為</w:t>
      </w:r>
      <w:r w:rsidR="00433581" w:rsidRPr="003111E1">
        <w:rPr>
          <w:rFonts w:eastAsia="標楷體"/>
          <w:sz w:val="28"/>
        </w:rPr>
        <w:t>6.49</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B26C51" w:rsidRPr="003111E1">
        <w:rPr>
          <w:rFonts w:eastAsia="標楷體"/>
          <w:sz w:val="28"/>
        </w:rPr>
        <w:t>下跌</w:t>
      </w:r>
      <w:r w:rsidR="00433581" w:rsidRPr="003111E1">
        <w:rPr>
          <w:rFonts w:eastAsia="標楷體"/>
          <w:sz w:val="28"/>
        </w:rPr>
        <w:t>8</w:t>
      </w:r>
      <w:r w:rsidR="00556DCD" w:rsidRPr="003111E1">
        <w:rPr>
          <w:rFonts w:eastAsia="標楷體"/>
          <w:sz w:val="28"/>
        </w:rPr>
        <w:t>.</w:t>
      </w:r>
      <w:r w:rsidR="00433581" w:rsidRPr="003111E1">
        <w:rPr>
          <w:rFonts w:eastAsia="標楷體"/>
          <w:sz w:val="28"/>
        </w:rPr>
        <w:t>07</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433581" w:rsidRPr="003111E1">
        <w:rPr>
          <w:rFonts w:eastAsia="標楷體"/>
          <w:sz w:val="28"/>
        </w:rPr>
        <w:t>下跌</w:t>
      </w:r>
      <w:r w:rsidR="00433581" w:rsidRPr="003111E1">
        <w:rPr>
          <w:rFonts w:eastAsia="標楷體"/>
          <w:sz w:val="28"/>
        </w:rPr>
        <w:t>12.2</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玉米價格在</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7</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8.07</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433581" w:rsidRPr="003111E1">
        <w:rPr>
          <w:rFonts w:eastAsia="標楷體"/>
          <w:sz w:val="28"/>
        </w:rPr>
        <w:t>6</w:t>
      </w:r>
      <w:r w:rsidR="003D7398" w:rsidRPr="003111E1">
        <w:rPr>
          <w:rFonts w:eastAsia="標楷體"/>
          <w:sz w:val="28"/>
        </w:rPr>
        <w:t>月為</w:t>
      </w:r>
      <w:r w:rsidR="003D7398" w:rsidRPr="003111E1">
        <w:rPr>
          <w:rFonts w:eastAsia="標楷體"/>
          <w:sz w:val="28"/>
        </w:rPr>
        <w:t>6.</w:t>
      </w:r>
      <w:r w:rsidR="00433581" w:rsidRPr="003111E1">
        <w:rPr>
          <w:rFonts w:eastAsia="標楷體"/>
          <w:sz w:val="28"/>
        </w:rPr>
        <w:t>79</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433581" w:rsidRPr="003111E1">
        <w:rPr>
          <w:rFonts w:eastAsia="標楷體"/>
          <w:sz w:val="28"/>
        </w:rPr>
        <w:t>上漲</w:t>
      </w:r>
      <w:r w:rsidR="00433581" w:rsidRPr="003111E1">
        <w:rPr>
          <w:rFonts w:eastAsia="標楷體"/>
          <w:sz w:val="28"/>
        </w:rPr>
        <w:t>2.57</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年同月上漲</w:t>
      </w:r>
      <w:r w:rsidR="00433581" w:rsidRPr="003111E1">
        <w:rPr>
          <w:rFonts w:eastAsia="標楷體"/>
          <w:sz w:val="28"/>
        </w:rPr>
        <w:t>0.9</w:t>
      </w:r>
      <w:r w:rsidR="003D7398" w:rsidRPr="003111E1">
        <w:rPr>
          <w:rFonts w:eastAsia="標楷體"/>
          <w:sz w:val="28"/>
        </w:rPr>
        <w:t>％。</w:t>
      </w:r>
    </w:p>
    <w:p w:rsidR="000B7159" w:rsidRPr="003111E1" w:rsidRDefault="000B7159" w:rsidP="000B7159">
      <w:pPr>
        <w:snapToGrid w:val="0"/>
        <w:spacing w:before="240" w:line="300" w:lineRule="auto"/>
        <w:ind w:rightChars="-59" w:right="-142"/>
        <w:jc w:val="center"/>
        <w:rPr>
          <w:rFonts w:eastAsia="標楷體"/>
          <w:b/>
          <w:bCs/>
          <w:sz w:val="28"/>
        </w:rPr>
      </w:pPr>
      <w:r w:rsidRPr="003111E1">
        <w:rPr>
          <w:rFonts w:eastAsia="標楷體"/>
          <w:b/>
          <w:bCs/>
          <w:sz w:val="28"/>
        </w:rPr>
        <w:t>表</w:t>
      </w:r>
      <w:r w:rsidRPr="003111E1">
        <w:rPr>
          <w:rFonts w:eastAsia="標楷體"/>
          <w:b/>
          <w:bCs/>
          <w:sz w:val="28"/>
        </w:rPr>
        <w:t xml:space="preserve"> 2-7-4   </w:t>
      </w:r>
      <w:r w:rsidRPr="003111E1">
        <w:rPr>
          <w:rFonts w:eastAsia="標楷體"/>
          <w:b/>
          <w:bCs/>
          <w:sz w:val="28"/>
        </w:rPr>
        <w:t>近年國際主要大宗物資價格變動</w:t>
      </w:r>
    </w:p>
    <w:p w:rsidR="003D7398" w:rsidRPr="003111E1" w:rsidRDefault="003D7398" w:rsidP="003D7398">
      <w:pPr>
        <w:snapToGrid w:val="0"/>
        <w:spacing w:before="120" w:line="300" w:lineRule="auto"/>
        <w:ind w:rightChars="-59" w:right="-142"/>
        <w:jc w:val="center"/>
        <w:rPr>
          <w:rFonts w:eastAsia="標楷體"/>
          <w:b/>
          <w:bCs/>
          <w:color w:val="FF0000"/>
          <w:sz w:val="28"/>
        </w:rPr>
      </w:pPr>
      <w:r w:rsidRPr="003111E1">
        <w:rPr>
          <w:noProof/>
          <w:color w:val="FF0000"/>
        </w:rPr>
        <w:drawing>
          <wp:anchor distT="0" distB="0" distL="114300" distR="114300" simplePos="0" relativeHeight="251686400" behindDoc="0" locked="0" layoutInCell="1" allowOverlap="1" wp14:anchorId="66ED30FC" wp14:editId="347D103C">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668" y="4450"/>
                <wp:lineTo x="17978" y="4690"/>
                <wp:lineTo x="735" y="5292"/>
                <wp:lineTo x="668" y="10343"/>
                <wp:lineTo x="936" y="10463"/>
                <wp:lineTo x="3542" y="10463"/>
                <wp:lineTo x="1002" y="11305"/>
                <wp:lineTo x="936" y="11906"/>
                <wp:lineTo x="1604" y="12388"/>
                <wp:lineTo x="936" y="12869"/>
                <wp:lineTo x="936" y="13229"/>
                <wp:lineTo x="1537" y="14312"/>
                <wp:lineTo x="1136" y="14312"/>
                <wp:lineTo x="936" y="14913"/>
                <wp:lineTo x="936" y="17920"/>
                <wp:lineTo x="1604" y="18160"/>
                <wp:lineTo x="1671" y="18882"/>
                <wp:lineTo x="20584" y="18882"/>
                <wp:lineTo x="20718" y="18160"/>
                <wp:lineTo x="10760" y="18160"/>
                <wp:lineTo x="8554" y="16477"/>
                <wp:lineTo x="7686" y="16356"/>
                <wp:lineTo x="1337" y="16236"/>
                <wp:lineTo x="21052" y="14913"/>
                <wp:lineTo x="21186" y="14312"/>
                <wp:lineTo x="18913" y="14312"/>
                <wp:lineTo x="21252" y="13831"/>
                <wp:lineTo x="21186" y="12267"/>
                <wp:lineTo x="20785" y="10343"/>
                <wp:lineTo x="16975" y="8539"/>
                <wp:lineTo x="18045" y="8539"/>
                <wp:lineTo x="20985" y="7096"/>
                <wp:lineTo x="20918" y="6615"/>
                <wp:lineTo x="21252" y="5773"/>
                <wp:lineTo x="20851" y="4690"/>
                <wp:lineTo x="20116" y="3007"/>
                <wp:lineTo x="1804" y="2766"/>
                <wp:lineTo x="2807" y="132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D7398" w:rsidRPr="003111E1" w:rsidRDefault="00A3528D" w:rsidP="00A3528D">
      <w:pPr>
        <w:snapToGrid w:val="0"/>
        <w:spacing w:before="120" w:line="300" w:lineRule="auto"/>
        <w:ind w:rightChars="-59" w:right="-142"/>
        <w:jc w:val="center"/>
        <w:rPr>
          <w:rFonts w:eastAsia="標楷體"/>
          <w:b/>
          <w:bCs/>
          <w:color w:val="FF0000"/>
          <w:sz w:val="28"/>
        </w:rPr>
      </w:pPr>
      <w:r w:rsidRPr="003111E1">
        <w:rPr>
          <w:noProof/>
          <w:color w:val="FF0000"/>
        </w:rPr>
        <mc:AlternateContent>
          <mc:Choice Requires="wps">
            <w:drawing>
              <wp:anchor distT="0" distB="0" distL="180340" distR="114300" simplePos="0" relativeHeight="251685376" behindDoc="0" locked="0" layoutInCell="1" allowOverlap="1" wp14:anchorId="66C03D96" wp14:editId="78078426">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7EBE" w:rsidRPr="00C12AFE" w:rsidRDefault="003D7EBE"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3D7EBE" w:rsidRPr="00C12AFE" w:rsidRDefault="003D7EBE"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p>
    <w:p w:rsidR="004D4E6B" w:rsidRPr="003111E1" w:rsidRDefault="004D4E6B" w:rsidP="00A3528D">
      <w:pPr>
        <w:snapToGrid w:val="0"/>
        <w:spacing w:before="120" w:line="300" w:lineRule="auto"/>
        <w:ind w:rightChars="-59" w:right="-142"/>
        <w:rPr>
          <w:rFonts w:eastAsia="標楷體"/>
          <w:color w:val="FF0000"/>
          <w:sz w:val="22"/>
          <w:szCs w:val="22"/>
        </w:rPr>
      </w:pPr>
    </w:p>
    <w:p w:rsidR="003D7398" w:rsidRPr="003111E1" w:rsidRDefault="003D7398" w:rsidP="00A3528D">
      <w:pPr>
        <w:snapToGrid w:val="0"/>
        <w:spacing w:before="120" w:line="300" w:lineRule="auto"/>
        <w:ind w:rightChars="-59" w:right="-142"/>
        <w:rPr>
          <w:rFonts w:eastAsia="標楷體"/>
          <w:sz w:val="22"/>
          <w:szCs w:val="22"/>
        </w:rPr>
      </w:pPr>
      <w:r w:rsidRPr="003111E1">
        <w:rPr>
          <w:rFonts w:eastAsia="標楷體"/>
          <w:sz w:val="22"/>
          <w:szCs w:val="22"/>
        </w:rPr>
        <w:t>資料來源：行政院主計總處。</w:t>
      </w:r>
    </w:p>
    <w:p w:rsidR="000B7159" w:rsidRPr="003111E1" w:rsidRDefault="000B7159" w:rsidP="000B7159">
      <w:pPr>
        <w:snapToGrid w:val="0"/>
        <w:spacing w:before="120" w:line="300" w:lineRule="auto"/>
        <w:ind w:rightChars="-59" w:right="-142"/>
        <w:jc w:val="center"/>
        <w:rPr>
          <w:rFonts w:eastAsia="標楷體"/>
          <w:b/>
          <w:bCs/>
          <w:color w:val="FF0000"/>
          <w:sz w:val="28"/>
        </w:rPr>
      </w:pPr>
    </w:p>
    <w:p w:rsidR="00B11D2B" w:rsidRPr="003111E1" w:rsidRDefault="002E64FA" w:rsidP="00A3528D">
      <w:pPr>
        <w:snapToGrid w:val="0"/>
        <w:spacing w:before="120" w:line="300" w:lineRule="auto"/>
        <w:ind w:rightChars="-59" w:right="-142"/>
        <w:rPr>
          <w:color w:val="FF0000"/>
        </w:rPr>
      </w:pPr>
      <w:r w:rsidRPr="003111E1">
        <w:rPr>
          <w:rFonts w:eastAsia="標楷體"/>
          <w:color w:val="FF0000"/>
          <w:sz w:val="22"/>
          <w:szCs w:val="22"/>
        </w:rPr>
        <w:br w:type="page"/>
      </w:r>
    </w:p>
    <w:p w:rsidR="001D5182" w:rsidRPr="003111E1" w:rsidRDefault="00C97C23" w:rsidP="00276BD8">
      <w:pPr>
        <w:pStyle w:val="t-3"/>
        <w:snapToGrid w:val="0"/>
        <w:spacing w:beforeLines="50" w:before="180" w:line="300" w:lineRule="auto"/>
        <w:ind w:right="-60"/>
        <w:rPr>
          <w:color w:val="FF0000"/>
        </w:rPr>
      </w:pPr>
      <w:bookmarkStart w:id="88" w:name="_（八）金融"/>
      <w:bookmarkStart w:id="89" w:name="_Toc187823738"/>
      <w:bookmarkStart w:id="90" w:name="_Toc201487792"/>
      <w:bookmarkStart w:id="91" w:name="_Toc230064844"/>
      <w:bookmarkStart w:id="92" w:name="_Toc279048483"/>
      <w:bookmarkStart w:id="93" w:name="_Toc337122136"/>
      <w:bookmarkStart w:id="94" w:name="_Toc349916588"/>
      <w:bookmarkStart w:id="95" w:name="_Toc358042583"/>
      <w:bookmarkEnd w:id="88"/>
      <w:r w:rsidRPr="003111E1">
        <w:rPr>
          <w:noProof/>
          <w:color w:val="000000" w:themeColor="text1"/>
          <w:spacing w:val="-8"/>
        </w:rPr>
        <w:lastRenderedPageBreak/>
        <w:drawing>
          <wp:anchor distT="0" distB="0" distL="114300" distR="114300" simplePos="0" relativeHeight="251688448" behindDoc="0" locked="0" layoutInCell="1" allowOverlap="1" wp14:anchorId="3900BE3D" wp14:editId="6C8F098B">
            <wp:simplePos x="0" y="0"/>
            <wp:positionH relativeFrom="column">
              <wp:posOffset>2529840</wp:posOffset>
            </wp:positionH>
            <wp:positionV relativeFrom="paragraph">
              <wp:posOffset>196850</wp:posOffset>
            </wp:positionV>
            <wp:extent cx="3207385" cy="2688590"/>
            <wp:effectExtent l="0" t="0" r="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3111E1">
        <w:rPr>
          <w:color w:val="000000" w:themeColor="text1"/>
        </w:rPr>
        <w:t>（八）金融</w:t>
      </w:r>
      <w:bookmarkEnd w:id="89"/>
      <w:bookmarkEnd w:id="90"/>
      <w:bookmarkEnd w:id="91"/>
      <w:bookmarkEnd w:id="92"/>
      <w:bookmarkEnd w:id="93"/>
      <w:bookmarkEnd w:id="94"/>
      <w:bookmarkEnd w:id="95"/>
    </w:p>
    <w:p w:rsidR="008E3E1B" w:rsidRPr="00125A95" w:rsidRDefault="008E3E1B" w:rsidP="0050699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96" w:name="_（九）就業"/>
      <w:bookmarkStart w:id="97" w:name="_Toc187823739"/>
      <w:bookmarkStart w:id="98" w:name="_Toc187823740"/>
      <w:bookmarkStart w:id="99" w:name="_Toc201487793"/>
      <w:bookmarkStart w:id="100" w:name="_Toc230064845"/>
      <w:bookmarkStart w:id="101" w:name="_Toc279048484"/>
      <w:bookmarkStart w:id="102" w:name="_Toc337122137"/>
      <w:bookmarkEnd w:id="96"/>
      <w:r w:rsidRPr="003111E1">
        <w:rPr>
          <w:color w:val="auto"/>
          <w:spacing w:val="-8"/>
        </w:rPr>
        <w:t>１、</w:t>
      </w:r>
      <w:r w:rsidR="00380879" w:rsidRPr="003111E1">
        <w:rPr>
          <w:color w:val="auto"/>
          <w:spacing w:val="-8"/>
        </w:rPr>
        <w:t>102</w:t>
      </w:r>
      <w:r w:rsidR="00380879" w:rsidRPr="003111E1">
        <w:rPr>
          <w:color w:val="auto"/>
          <w:spacing w:val="-8"/>
        </w:rPr>
        <w:t>年</w:t>
      </w:r>
      <w:r w:rsidR="006C42FB" w:rsidRPr="003111E1">
        <w:rPr>
          <w:color w:val="auto"/>
          <w:spacing w:val="-8"/>
        </w:rPr>
        <w:t>6</w:t>
      </w:r>
      <w:r w:rsidR="00380879" w:rsidRPr="003111E1">
        <w:rPr>
          <w:color w:val="auto"/>
          <w:spacing w:val="-8"/>
        </w:rPr>
        <w:t>月</w:t>
      </w:r>
      <w:r w:rsidR="00380879" w:rsidRPr="00125A95">
        <w:rPr>
          <w:color w:val="auto"/>
          <w:spacing w:val="-8"/>
        </w:rPr>
        <w:t>M1A</w:t>
      </w:r>
      <w:r w:rsidR="00380879" w:rsidRPr="00125A95">
        <w:rPr>
          <w:color w:val="auto"/>
          <w:spacing w:val="-8"/>
        </w:rPr>
        <w:t>、</w:t>
      </w:r>
      <w:r w:rsidR="00380879" w:rsidRPr="00125A95">
        <w:rPr>
          <w:color w:val="auto"/>
          <w:spacing w:val="-8"/>
        </w:rPr>
        <w:t>M1B</w:t>
      </w:r>
      <w:r w:rsidR="00380879" w:rsidRPr="00125A95">
        <w:rPr>
          <w:color w:val="auto"/>
          <w:spacing w:val="-8"/>
        </w:rPr>
        <w:t>及</w:t>
      </w:r>
      <w:r w:rsidR="00380879" w:rsidRPr="00125A95">
        <w:rPr>
          <w:color w:val="auto"/>
          <w:spacing w:val="-8"/>
        </w:rPr>
        <w:t>M2</w:t>
      </w:r>
      <w:r w:rsidR="00380879" w:rsidRPr="00125A95">
        <w:rPr>
          <w:color w:val="auto"/>
          <w:spacing w:val="-8"/>
        </w:rPr>
        <w:t>年增率為</w:t>
      </w:r>
      <w:r w:rsidR="00125A95" w:rsidRPr="00125A95">
        <w:rPr>
          <w:rFonts w:hint="eastAsia"/>
          <w:color w:val="auto"/>
          <w:spacing w:val="-8"/>
        </w:rPr>
        <w:t>9</w:t>
      </w:r>
      <w:r w:rsidR="00380879" w:rsidRPr="00125A95">
        <w:rPr>
          <w:color w:val="auto"/>
          <w:spacing w:val="-8"/>
        </w:rPr>
        <w:t>.</w:t>
      </w:r>
      <w:r w:rsidR="00125A95" w:rsidRPr="00125A95">
        <w:rPr>
          <w:rFonts w:hint="eastAsia"/>
          <w:color w:val="auto"/>
          <w:spacing w:val="-8"/>
        </w:rPr>
        <w:t>02</w:t>
      </w:r>
      <w:r w:rsidR="00380879" w:rsidRPr="00125A95">
        <w:rPr>
          <w:color w:val="auto"/>
          <w:spacing w:val="-8"/>
        </w:rPr>
        <w:t>％、</w:t>
      </w:r>
      <w:r w:rsidR="00ED0B45" w:rsidRPr="00125A95">
        <w:rPr>
          <w:color w:val="auto"/>
          <w:spacing w:val="-8"/>
        </w:rPr>
        <w:t>7</w:t>
      </w:r>
      <w:r w:rsidR="00380879" w:rsidRPr="00125A95">
        <w:rPr>
          <w:color w:val="auto"/>
          <w:spacing w:val="-8"/>
        </w:rPr>
        <w:t>.</w:t>
      </w:r>
      <w:r w:rsidR="00326D61" w:rsidRPr="00125A95">
        <w:rPr>
          <w:rFonts w:hint="eastAsia"/>
          <w:color w:val="auto"/>
          <w:spacing w:val="-8"/>
        </w:rPr>
        <w:t>89</w:t>
      </w:r>
      <w:r w:rsidR="00380879" w:rsidRPr="00125A95">
        <w:rPr>
          <w:color w:val="auto"/>
          <w:spacing w:val="-8"/>
        </w:rPr>
        <w:t>％及</w:t>
      </w:r>
      <w:r w:rsidR="00ED0B45" w:rsidRPr="00125A95">
        <w:rPr>
          <w:color w:val="auto"/>
          <w:spacing w:val="-8"/>
        </w:rPr>
        <w:t>4</w:t>
      </w:r>
      <w:r w:rsidR="00380879" w:rsidRPr="00125A95">
        <w:rPr>
          <w:color w:val="auto"/>
          <w:spacing w:val="-8"/>
        </w:rPr>
        <w:t>.</w:t>
      </w:r>
      <w:r w:rsidR="00326D61" w:rsidRPr="00125A95">
        <w:rPr>
          <w:rFonts w:hint="eastAsia"/>
          <w:color w:val="auto"/>
          <w:spacing w:val="-8"/>
        </w:rPr>
        <w:t>82</w:t>
      </w:r>
      <w:r w:rsidR="00380879" w:rsidRPr="00125A95">
        <w:rPr>
          <w:color w:val="auto"/>
          <w:spacing w:val="-8"/>
        </w:rPr>
        <w:t>％</w:t>
      </w:r>
    </w:p>
    <w:p w:rsidR="008E3E1B" w:rsidRPr="003111E1" w:rsidRDefault="00380879" w:rsidP="00506996">
      <w:pPr>
        <w:pStyle w:val="k32"/>
        <w:topLinePunct/>
        <w:spacing w:beforeLines="0" w:before="0"/>
        <w:ind w:leftChars="118" w:left="283" w:rightChars="10" w:right="24" w:firstLineChars="202" w:firstLine="566"/>
        <w:rPr>
          <w:color w:val="FF0000"/>
        </w:rPr>
      </w:pPr>
      <w:r w:rsidRPr="00125A95">
        <w:t>102</w:t>
      </w:r>
      <w:r w:rsidRPr="00125A95">
        <w:t>年</w:t>
      </w:r>
      <w:r w:rsidR="006C42FB" w:rsidRPr="00125A95">
        <w:t>6</w:t>
      </w:r>
      <w:r w:rsidRPr="00125A95">
        <w:t>月</w:t>
      </w:r>
      <w:r w:rsidRPr="003111E1">
        <w:t>M</w:t>
      </w:r>
      <w:r w:rsidRPr="00125A95">
        <w:t>1A</w:t>
      </w:r>
      <w:r w:rsidRPr="00125A95">
        <w:t>、</w:t>
      </w:r>
      <w:r w:rsidRPr="00125A95">
        <w:t>M1B</w:t>
      </w:r>
      <w:r w:rsidRPr="00125A95">
        <w:t>及</w:t>
      </w:r>
      <w:r w:rsidRPr="00125A95">
        <w:t>M2</w:t>
      </w:r>
      <w:r w:rsidRPr="00125A95">
        <w:t>年增率分別為</w:t>
      </w:r>
      <w:r w:rsidR="00125A95">
        <w:rPr>
          <w:rFonts w:hint="eastAsia"/>
        </w:rPr>
        <w:t>9</w:t>
      </w:r>
      <w:r w:rsidRPr="00125A95">
        <w:t>.</w:t>
      </w:r>
      <w:r w:rsidR="00125A95">
        <w:rPr>
          <w:rFonts w:hint="eastAsia"/>
        </w:rPr>
        <w:t>02</w:t>
      </w:r>
      <w:r w:rsidRPr="00125A95">
        <w:t>％、</w:t>
      </w:r>
      <w:r w:rsidR="00B04306" w:rsidRPr="00125A95">
        <w:t>7</w:t>
      </w:r>
      <w:r w:rsidRPr="00125A95">
        <w:t>.</w:t>
      </w:r>
      <w:r w:rsidR="00326D61" w:rsidRPr="00125A95">
        <w:rPr>
          <w:rFonts w:hint="eastAsia"/>
        </w:rPr>
        <w:t>89</w:t>
      </w:r>
      <w:r w:rsidRPr="00125A95">
        <w:t>％及</w:t>
      </w:r>
      <w:r w:rsidR="00B04306" w:rsidRPr="00125A95">
        <w:t>4</w:t>
      </w:r>
      <w:r w:rsidRPr="00125A95">
        <w:t>.</w:t>
      </w:r>
      <w:r w:rsidR="00326D61" w:rsidRPr="00125A95">
        <w:rPr>
          <w:rFonts w:hint="eastAsia"/>
        </w:rPr>
        <w:t>82</w:t>
      </w:r>
      <w:r w:rsidRPr="00125A95">
        <w:t>％；</w:t>
      </w:r>
      <w:r w:rsidRPr="00125A95">
        <w:t>M1B</w:t>
      </w:r>
      <w:r w:rsidRPr="00125A95">
        <w:t>及</w:t>
      </w:r>
      <w:r w:rsidRPr="00125A95">
        <w:t>M2</w:t>
      </w:r>
      <w:r w:rsidRPr="00125A95">
        <w:t>年增率較</w:t>
      </w:r>
      <w:r w:rsidR="00326D61" w:rsidRPr="00125A95">
        <w:rPr>
          <w:rFonts w:hint="eastAsia"/>
        </w:rPr>
        <w:t>5</w:t>
      </w:r>
      <w:r w:rsidRPr="00125A95">
        <w:t>月</w:t>
      </w:r>
      <w:r w:rsidR="00B04306" w:rsidRPr="00125A95">
        <w:t>為高</w:t>
      </w:r>
      <w:r w:rsidRPr="00125A95">
        <w:t>，</w:t>
      </w:r>
      <w:r w:rsidR="00326D61" w:rsidRPr="00125A95">
        <w:rPr>
          <w:rFonts w:hint="eastAsia"/>
        </w:rPr>
        <w:t>主要係銀行放款與投資成長增加所致。</w:t>
      </w:r>
      <w:r w:rsidR="00B04306" w:rsidRPr="00125A95">
        <w:t>累計</w:t>
      </w:r>
      <w:r w:rsidR="00B04306" w:rsidRPr="00125A95">
        <w:t>1</w:t>
      </w:r>
      <w:r w:rsidR="00B04306" w:rsidRPr="00125A95">
        <w:t>至</w:t>
      </w:r>
      <w:r w:rsidR="00326D61" w:rsidRPr="00125A95">
        <w:rPr>
          <w:rFonts w:hint="eastAsia"/>
        </w:rPr>
        <w:t>6</w:t>
      </w:r>
      <w:r w:rsidR="00B04306" w:rsidRPr="00125A95">
        <w:t>月</w:t>
      </w:r>
      <w:r w:rsidR="00B04306" w:rsidRPr="00125A95">
        <w:t>M1B</w:t>
      </w:r>
      <w:r w:rsidR="00B04306" w:rsidRPr="00125A95">
        <w:t>及</w:t>
      </w:r>
      <w:r w:rsidR="00B04306" w:rsidRPr="00125A95">
        <w:t>M</w:t>
      </w:r>
      <w:r w:rsidR="00B04306" w:rsidRPr="00326D61">
        <w:t>2</w:t>
      </w:r>
      <w:r w:rsidR="00B04306" w:rsidRPr="00326D61">
        <w:t>年增率分別為</w:t>
      </w:r>
      <w:r w:rsidR="00326D61" w:rsidRPr="00326D61">
        <w:rPr>
          <w:rFonts w:hint="eastAsia"/>
        </w:rPr>
        <w:t>6</w:t>
      </w:r>
      <w:r w:rsidR="00B04306" w:rsidRPr="00326D61">
        <w:t>.</w:t>
      </w:r>
      <w:r w:rsidR="00326D61" w:rsidRPr="00326D61">
        <w:rPr>
          <w:rFonts w:hint="eastAsia"/>
        </w:rPr>
        <w:t>05</w:t>
      </w:r>
      <w:r w:rsidR="00B04306" w:rsidRPr="00326D61">
        <w:t>％及</w:t>
      </w:r>
      <w:r w:rsidR="00B04306" w:rsidRPr="00326D61">
        <w:t>3.</w:t>
      </w:r>
      <w:r w:rsidR="00326D61" w:rsidRPr="00326D61">
        <w:rPr>
          <w:rFonts w:hint="eastAsia"/>
        </w:rPr>
        <w:t>86</w:t>
      </w:r>
      <w:r w:rsidR="00B04306" w:rsidRPr="00326D61">
        <w:t>％。</w:t>
      </w:r>
    </w:p>
    <w:p w:rsidR="005A51F9" w:rsidRPr="003111E1" w:rsidRDefault="005A51F9" w:rsidP="001B238E">
      <w:pPr>
        <w:pStyle w:val="k32"/>
        <w:topLinePunct/>
        <w:spacing w:beforeLines="0" w:before="0"/>
        <w:ind w:left="0" w:rightChars="10" w:right="24" w:firstLineChars="0" w:firstLine="0"/>
        <w:rPr>
          <w:color w:val="FF0000"/>
        </w:rPr>
      </w:pPr>
    </w:p>
    <w:p w:rsidR="008E3E1B" w:rsidRPr="003111E1" w:rsidRDefault="008E3E1B" w:rsidP="001B238E">
      <w:pPr>
        <w:snapToGrid w:val="0"/>
        <w:spacing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2-8-1  </w:t>
      </w:r>
      <w:r w:rsidRPr="003111E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84C1D" w:rsidRPr="003111E1" w:rsidTr="008E3E1B">
        <w:trPr>
          <w:trHeight w:val="621"/>
          <w:jc w:val="center"/>
        </w:trPr>
        <w:tc>
          <w:tcPr>
            <w:tcW w:w="1638" w:type="dxa"/>
            <w:tcBorders>
              <w:left w:val="nil"/>
              <w:bottom w:val="single" w:sz="4" w:space="0" w:color="auto"/>
            </w:tcBorders>
            <w:vAlign w:val="center"/>
          </w:tcPr>
          <w:p w:rsidR="008E3E1B" w:rsidRPr="003111E1"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111E1">
              <w:rPr>
                <w:rFonts w:eastAsia="標楷體"/>
                <w:color w:val="000000" w:themeColor="text1"/>
              </w:rPr>
              <w:t>年</w:t>
            </w:r>
            <w:r w:rsidRPr="003111E1">
              <w:rPr>
                <w:rFonts w:eastAsia="標楷體"/>
                <w:color w:val="000000" w:themeColor="text1"/>
              </w:rPr>
              <w:t>(</w:t>
            </w:r>
            <w:r w:rsidRPr="003111E1">
              <w:rPr>
                <w:rFonts w:eastAsia="標楷體"/>
                <w:color w:val="000000" w:themeColor="text1"/>
              </w:rPr>
              <w:t>月</w:t>
            </w:r>
            <w:r w:rsidRPr="003111E1">
              <w:rPr>
                <w:rFonts w:eastAsia="標楷體"/>
                <w:color w:val="000000" w:themeColor="text1"/>
              </w:rPr>
              <w:t>)</w:t>
            </w:r>
          </w:p>
        </w:tc>
        <w:tc>
          <w:tcPr>
            <w:tcW w:w="1360" w:type="dxa"/>
            <w:tcBorders>
              <w:left w:val="nil"/>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M2</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13"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M1A</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00"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M1B</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416"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新台幣兌美元</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平均匯率</w:t>
            </w:r>
          </w:p>
        </w:tc>
        <w:tc>
          <w:tcPr>
            <w:tcW w:w="1336" w:type="dxa"/>
            <w:tcBorders>
              <w:bottom w:val="single" w:sz="4" w:space="0" w:color="auto"/>
              <w:right w:val="nil"/>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金融業隔夜</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拆款利率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r>
      <w:tr w:rsidR="00084C1D" w:rsidRPr="003111E1" w:rsidTr="008E3E1B">
        <w:trPr>
          <w:trHeight w:val="17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97</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color w:val="000000" w:themeColor="text1"/>
                <w:spacing w:val="0"/>
                <w:kern w:val="2"/>
                <w:szCs w:val="24"/>
              </w:rPr>
            </w:pPr>
            <w:r w:rsidRPr="003111E1">
              <w:rPr>
                <w:rFonts w:eastAsia="標楷體"/>
                <w:b/>
                <w:color w:val="000000" w:themeColor="text1"/>
                <w:spacing w:val="0"/>
                <w:kern w:val="2"/>
                <w:szCs w:val="24"/>
              </w:rPr>
              <w:t>2.71</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color w:val="000000" w:themeColor="text1"/>
              </w:rPr>
            </w:pPr>
            <w:r w:rsidRPr="003111E1">
              <w:rPr>
                <w:rFonts w:eastAsia="標楷體"/>
                <w:b/>
                <w:color w:val="000000" w:themeColor="text1"/>
              </w:rPr>
              <w:t>0.97</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color w:val="000000" w:themeColor="text1"/>
              </w:rPr>
            </w:pPr>
            <w:r w:rsidRPr="003111E1">
              <w:rPr>
                <w:rFonts w:eastAsia="標楷體"/>
                <w:b/>
                <w:color w:val="000000" w:themeColor="text1"/>
              </w:rPr>
              <w:t>-2.94</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31.517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color w:val="000000" w:themeColor="text1"/>
              </w:rPr>
            </w:pPr>
            <w:r w:rsidRPr="003111E1">
              <w:rPr>
                <w:rFonts w:eastAsia="標楷體"/>
                <w:b/>
                <w:color w:val="000000" w:themeColor="text1"/>
              </w:rPr>
              <w:t>1.932</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98</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7.46</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b/>
                <w:bCs/>
                <w:color w:val="000000" w:themeColor="text1"/>
              </w:rPr>
            </w:pPr>
            <w:r w:rsidRPr="003111E1">
              <w:rPr>
                <w:b/>
                <w:bCs/>
                <w:color w:val="000000" w:themeColor="text1"/>
              </w:rPr>
              <w:t>13.41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b/>
                <w:bCs/>
                <w:color w:val="000000" w:themeColor="text1"/>
              </w:rPr>
            </w:pPr>
            <w:r w:rsidRPr="003111E1">
              <w:rPr>
                <w:b/>
                <w:bCs/>
                <w:color w:val="000000" w:themeColor="text1"/>
              </w:rPr>
              <w:t>16.69</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33.049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0.121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Pr="003111E1">
              <w:rPr>
                <w:rFonts w:eastAsia="標楷體"/>
                <w:b/>
                <w:bCs/>
                <w:color w:val="000000" w:themeColor="text1"/>
              </w:rPr>
              <w:t xml:space="preserve"> </w:t>
            </w:r>
            <w:r w:rsidR="008E3E1B" w:rsidRPr="003111E1">
              <w:rPr>
                <w:rFonts w:eastAsia="標楷體"/>
                <w:b/>
                <w:bCs/>
                <w:color w:val="000000" w:themeColor="text1"/>
              </w:rPr>
              <w:t>99</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4.53</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14.71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14.93</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31.642</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0.181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100</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5.84</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8.10</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7.16</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29.464</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0.341</w:t>
            </w:r>
          </w:p>
        </w:tc>
      </w:tr>
      <w:tr w:rsidR="00084C1D" w:rsidRPr="003111E1" w:rsidTr="008E3E1B">
        <w:trPr>
          <w:trHeight w:val="307"/>
          <w:jc w:val="center"/>
        </w:trPr>
        <w:tc>
          <w:tcPr>
            <w:tcW w:w="1638" w:type="dxa"/>
            <w:tcBorders>
              <w:top w:val="nil"/>
              <w:left w:val="nil"/>
              <w:bottom w:val="nil"/>
              <w:right w:val="single" w:sz="4" w:space="0" w:color="auto"/>
            </w:tcBorders>
          </w:tcPr>
          <w:p w:rsidR="008E3E1B" w:rsidRPr="003111E1" w:rsidRDefault="00721238" w:rsidP="00721238">
            <w:pPr>
              <w:snapToGrid w:val="0"/>
              <w:spacing w:line="240" w:lineRule="atLeast"/>
              <w:ind w:right="66"/>
              <w:jc w:val="both"/>
              <w:rPr>
                <w:rFonts w:eastAsia="標楷體"/>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101</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4.</w:t>
            </w:r>
            <w:r w:rsidR="007D6A54" w:rsidRPr="003111E1">
              <w:rPr>
                <w:b/>
                <w:bCs/>
                <w:color w:val="000000" w:themeColor="text1"/>
              </w:rPr>
              <w:t>17</w:t>
            </w:r>
          </w:p>
        </w:tc>
        <w:tc>
          <w:tcPr>
            <w:tcW w:w="1513" w:type="dxa"/>
            <w:tcBorders>
              <w:top w:val="nil"/>
              <w:left w:val="nil"/>
              <w:bottom w:val="nil"/>
              <w:right w:val="nil"/>
            </w:tcBorders>
            <w:vAlign w:val="center"/>
          </w:tcPr>
          <w:p w:rsidR="008E3E1B" w:rsidRPr="003111E1" w:rsidRDefault="002B5939" w:rsidP="007D6A54">
            <w:pPr>
              <w:snapToGrid w:val="0"/>
              <w:spacing w:line="240" w:lineRule="atLeast"/>
              <w:ind w:rightChars="213" w:right="511"/>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3.</w:t>
            </w:r>
            <w:r w:rsidR="007D6A54" w:rsidRPr="003111E1">
              <w:rPr>
                <w:rFonts w:eastAsia="華康粗圓體"/>
                <w:b/>
                <w:bCs/>
                <w:color w:val="000000" w:themeColor="text1"/>
                <w:spacing w:val="4"/>
                <w:kern w:val="0"/>
                <w:szCs w:val="27"/>
              </w:rPr>
              <w:t>55</w:t>
            </w:r>
          </w:p>
        </w:tc>
        <w:tc>
          <w:tcPr>
            <w:tcW w:w="1500" w:type="dxa"/>
            <w:tcBorders>
              <w:top w:val="nil"/>
              <w:left w:val="nil"/>
              <w:bottom w:val="nil"/>
              <w:right w:val="nil"/>
            </w:tcBorders>
            <w:vAlign w:val="center"/>
          </w:tcPr>
          <w:p w:rsidR="008E3E1B" w:rsidRPr="003111E1" w:rsidRDefault="00721588" w:rsidP="007D6A54">
            <w:pPr>
              <w:snapToGrid w:val="0"/>
              <w:spacing w:line="240" w:lineRule="atLeast"/>
              <w:ind w:rightChars="189" w:right="454"/>
              <w:jc w:val="right"/>
              <w:rPr>
                <w:b/>
                <w:bCs/>
                <w:color w:val="000000" w:themeColor="text1"/>
              </w:rPr>
            </w:pPr>
            <w:r w:rsidRPr="003111E1">
              <w:rPr>
                <w:b/>
                <w:bCs/>
                <w:color w:val="000000" w:themeColor="text1"/>
              </w:rPr>
              <w:t>3.</w:t>
            </w:r>
            <w:r w:rsidR="007D6A54" w:rsidRPr="003111E1">
              <w:rPr>
                <w:b/>
                <w:bCs/>
                <w:color w:val="000000" w:themeColor="text1"/>
              </w:rPr>
              <w:t>45</w:t>
            </w:r>
          </w:p>
        </w:tc>
        <w:tc>
          <w:tcPr>
            <w:tcW w:w="1416" w:type="dxa"/>
            <w:tcBorders>
              <w:top w:val="nil"/>
              <w:left w:val="nil"/>
              <w:bottom w:val="nil"/>
              <w:right w:val="nil"/>
            </w:tcBorders>
            <w:vAlign w:val="center"/>
          </w:tcPr>
          <w:p w:rsidR="008E3E1B" w:rsidRPr="003111E1" w:rsidRDefault="009B408D" w:rsidP="008E3E1B">
            <w:pPr>
              <w:snapToGrid w:val="0"/>
              <w:spacing w:line="240" w:lineRule="atLeast"/>
              <w:ind w:rightChars="188" w:right="451"/>
              <w:jc w:val="right"/>
              <w:rPr>
                <w:b/>
                <w:bCs/>
                <w:color w:val="000000" w:themeColor="text1"/>
              </w:rPr>
            </w:pPr>
            <w:r w:rsidRPr="003111E1">
              <w:rPr>
                <w:b/>
                <w:bCs/>
                <w:color w:val="000000" w:themeColor="text1"/>
              </w:rPr>
              <w:t>29.6</w:t>
            </w:r>
            <w:r w:rsidR="00E37155" w:rsidRPr="003111E1">
              <w:rPr>
                <w:b/>
                <w:bCs/>
                <w:color w:val="000000" w:themeColor="text1"/>
              </w:rPr>
              <w:t>14</w:t>
            </w:r>
          </w:p>
        </w:tc>
        <w:tc>
          <w:tcPr>
            <w:tcW w:w="1336" w:type="dxa"/>
            <w:tcBorders>
              <w:top w:val="nil"/>
              <w:left w:val="nil"/>
              <w:bottom w:val="nil"/>
              <w:right w:val="nil"/>
            </w:tcBorders>
            <w:vAlign w:val="center"/>
          </w:tcPr>
          <w:p w:rsidR="008E3E1B" w:rsidRPr="003111E1" w:rsidRDefault="009B408D" w:rsidP="00E37155">
            <w:pPr>
              <w:snapToGrid w:val="0"/>
              <w:spacing w:line="240" w:lineRule="atLeast"/>
              <w:ind w:rightChars="154" w:right="370"/>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0.42</w:t>
            </w:r>
            <w:r w:rsidR="00E37155" w:rsidRPr="003111E1">
              <w:rPr>
                <w:rFonts w:eastAsia="華康粗圓體"/>
                <w:b/>
                <w:bCs/>
                <w:color w:val="000000" w:themeColor="text1"/>
                <w:spacing w:val="4"/>
                <w:kern w:val="0"/>
                <w:szCs w:val="27"/>
              </w:rPr>
              <w:t>4</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6</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4.19</w:t>
            </w:r>
          </w:p>
        </w:tc>
        <w:tc>
          <w:tcPr>
            <w:tcW w:w="1513" w:type="dxa"/>
            <w:tcBorders>
              <w:top w:val="nil"/>
              <w:left w:val="nil"/>
              <w:bottom w:val="nil"/>
              <w:right w:val="nil"/>
            </w:tcBorders>
            <w:vAlign w:val="center"/>
          </w:tcPr>
          <w:p w:rsidR="00C97C23" w:rsidRPr="003111E1" w:rsidRDefault="00C97C23" w:rsidP="002407AA">
            <w:pPr>
              <w:snapToGrid w:val="0"/>
              <w:spacing w:line="240" w:lineRule="atLeast"/>
              <w:ind w:rightChars="213" w:right="511"/>
              <w:jc w:val="right"/>
              <w:rPr>
                <w:rFonts w:eastAsia="華康粗圓體"/>
                <w:color w:val="000000" w:themeColor="text1"/>
                <w:spacing w:val="4"/>
                <w:kern w:val="0"/>
                <w:szCs w:val="27"/>
              </w:rPr>
            </w:pPr>
            <w:r w:rsidRPr="003111E1">
              <w:rPr>
                <w:rFonts w:eastAsia="華康粗圓體"/>
                <w:color w:val="000000" w:themeColor="text1"/>
                <w:spacing w:val="4"/>
                <w:kern w:val="0"/>
                <w:szCs w:val="27"/>
              </w:rPr>
              <w:t>4.51</w:t>
            </w:r>
          </w:p>
        </w:tc>
        <w:tc>
          <w:tcPr>
            <w:tcW w:w="1500" w:type="dxa"/>
            <w:tcBorders>
              <w:top w:val="nil"/>
              <w:left w:val="nil"/>
              <w:bottom w:val="nil"/>
              <w:right w:val="nil"/>
            </w:tcBorders>
            <w:vAlign w:val="center"/>
          </w:tcPr>
          <w:p w:rsidR="00C97C23" w:rsidRPr="003111E1" w:rsidRDefault="00C97C23" w:rsidP="002407AA">
            <w:pPr>
              <w:snapToGrid w:val="0"/>
              <w:spacing w:line="240" w:lineRule="atLeast"/>
              <w:ind w:rightChars="189" w:right="454"/>
              <w:jc w:val="right"/>
              <w:rPr>
                <w:color w:val="000000" w:themeColor="text1"/>
              </w:rPr>
            </w:pPr>
            <w:r w:rsidRPr="003111E1">
              <w:rPr>
                <w:color w:val="000000" w:themeColor="text1"/>
              </w:rPr>
              <w:t>3.18</w:t>
            </w:r>
          </w:p>
        </w:tc>
        <w:tc>
          <w:tcPr>
            <w:tcW w:w="1416" w:type="dxa"/>
            <w:tcBorders>
              <w:top w:val="nil"/>
              <w:left w:val="nil"/>
              <w:bottom w:val="nil"/>
              <w:right w:val="nil"/>
            </w:tcBorders>
            <w:vAlign w:val="center"/>
          </w:tcPr>
          <w:p w:rsidR="00C97C23" w:rsidRPr="003111E1" w:rsidRDefault="00C97C23" w:rsidP="002407AA">
            <w:pPr>
              <w:snapToGrid w:val="0"/>
              <w:spacing w:line="240" w:lineRule="atLeast"/>
              <w:ind w:rightChars="188" w:right="451"/>
              <w:jc w:val="right"/>
              <w:rPr>
                <w:color w:val="000000" w:themeColor="text1"/>
              </w:rPr>
            </w:pPr>
            <w:r w:rsidRPr="003111E1">
              <w:rPr>
                <w:color w:val="000000" w:themeColor="text1"/>
              </w:rPr>
              <w:t>29.948</w:t>
            </w:r>
          </w:p>
        </w:tc>
        <w:tc>
          <w:tcPr>
            <w:tcW w:w="1336" w:type="dxa"/>
            <w:tcBorders>
              <w:top w:val="nil"/>
              <w:left w:val="nil"/>
              <w:bottom w:val="nil"/>
              <w:right w:val="nil"/>
            </w:tcBorders>
            <w:vAlign w:val="center"/>
          </w:tcPr>
          <w:p w:rsidR="00C97C23" w:rsidRPr="003111E1" w:rsidRDefault="00C97C23"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0.513</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7</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3.80</w:t>
            </w:r>
          </w:p>
        </w:tc>
        <w:tc>
          <w:tcPr>
            <w:tcW w:w="1513" w:type="dxa"/>
            <w:tcBorders>
              <w:top w:val="nil"/>
              <w:left w:val="nil"/>
              <w:bottom w:val="nil"/>
              <w:right w:val="nil"/>
            </w:tcBorders>
            <w:vAlign w:val="center"/>
          </w:tcPr>
          <w:p w:rsidR="00C97C23" w:rsidRPr="003111E1" w:rsidRDefault="00C97C23" w:rsidP="002407AA">
            <w:pPr>
              <w:snapToGrid w:val="0"/>
              <w:spacing w:line="240" w:lineRule="atLeast"/>
              <w:ind w:rightChars="213" w:right="511"/>
              <w:jc w:val="right"/>
              <w:rPr>
                <w:rFonts w:eastAsia="華康粗圓體"/>
                <w:color w:val="000000" w:themeColor="text1"/>
                <w:spacing w:val="4"/>
                <w:kern w:val="0"/>
                <w:szCs w:val="27"/>
              </w:rPr>
            </w:pPr>
            <w:r w:rsidRPr="003111E1">
              <w:rPr>
                <w:rFonts w:eastAsia="華康粗圓體"/>
                <w:color w:val="000000" w:themeColor="text1"/>
                <w:spacing w:val="4"/>
                <w:kern w:val="0"/>
                <w:szCs w:val="27"/>
              </w:rPr>
              <w:t>4.05</w:t>
            </w:r>
          </w:p>
        </w:tc>
        <w:tc>
          <w:tcPr>
            <w:tcW w:w="1500" w:type="dxa"/>
            <w:tcBorders>
              <w:top w:val="nil"/>
              <w:left w:val="nil"/>
              <w:bottom w:val="nil"/>
              <w:right w:val="nil"/>
            </w:tcBorders>
            <w:vAlign w:val="center"/>
          </w:tcPr>
          <w:p w:rsidR="00C97C23" w:rsidRPr="003111E1" w:rsidRDefault="00C97C23" w:rsidP="002407AA">
            <w:pPr>
              <w:snapToGrid w:val="0"/>
              <w:spacing w:line="240" w:lineRule="atLeast"/>
              <w:ind w:rightChars="189" w:right="454"/>
              <w:jc w:val="right"/>
              <w:rPr>
                <w:color w:val="000000" w:themeColor="text1"/>
              </w:rPr>
            </w:pPr>
            <w:r w:rsidRPr="003111E1">
              <w:rPr>
                <w:color w:val="000000" w:themeColor="text1"/>
              </w:rPr>
              <w:t>2.88</w:t>
            </w:r>
          </w:p>
        </w:tc>
        <w:tc>
          <w:tcPr>
            <w:tcW w:w="1416" w:type="dxa"/>
            <w:tcBorders>
              <w:top w:val="nil"/>
              <w:left w:val="nil"/>
              <w:bottom w:val="nil"/>
              <w:right w:val="nil"/>
            </w:tcBorders>
            <w:vAlign w:val="center"/>
          </w:tcPr>
          <w:p w:rsidR="00C97C23" w:rsidRPr="003111E1" w:rsidRDefault="00C97C23" w:rsidP="002407AA">
            <w:pPr>
              <w:snapToGrid w:val="0"/>
              <w:spacing w:line="240" w:lineRule="atLeast"/>
              <w:ind w:rightChars="188" w:right="451"/>
              <w:jc w:val="right"/>
              <w:rPr>
                <w:color w:val="000000" w:themeColor="text1"/>
              </w:rPr>
            </w:pPr>
            <w:r w:rsidRPr="003111E1">
              <w:rPr>
                <w:color w:val="000000" w:themeColor="text1"/>
              </w:rPr>
              <w:t>30.007</w:t>
            </w:r>
          </w:p>
        </w:tc>
        <w:tc>
          <w:tcPr>
            <w:tcW w:w="1336" w:type="dxa"/>
            <w:tcBorders>
              <w:top w:val="nil"/>
              <w:left w:val="nil"/>
              <w:bottom w:val="nil"/>
              <w:right w:val="nil"/>
            </w:tcBorders>
            <w:vAlign w:val="center"/>
          </w:tcPr>
          <w:p w:rsidR="00C97C23" w:rsidRPr="003111E1" w:rsidRDefault="00C97C23"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0.445</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8</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2.35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2.73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29.988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9</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3.96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2.54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3.35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29.608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0.389</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10</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3.21</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3.57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29.335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11</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3.69</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3.65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12</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3.67</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4.72</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4.91</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29.119</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DD538E"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9E2F22">
            <w:pPr>
              <w:snapToGrid w:val="0"/>
              <w:spacing w:line="240" w:lineRule="atLeast"/>
              <w:ind w:right="284"/>
              <w:rPr>
                <w:rFonts w:eastAsia="標楷體"/>
                <w:b/>
              </w:rPr>
            </w:pPr>
            <w:r w:rsidRPr="00326D61">
              <w:rPr>
                <w:rFonts w:eastAsia="標楷體"/>
                <w:b/>
              </w:rPr>
              <w:t>102</w:t>
            </w:r>
            <w:r w:rsidRPr="00326D61">
              <w:rPr>
                <w:rFonts w:eastAsia="標楷體"/>
                <w:b/>
              </w:rPr>
              <w:t>年</w:t>
            </w:r>
            <w:r w:rsidRPr="00326D61">
              <w:rPr>
                <w:rFonts w:eastAsia="標楷體"/>
                <w:b/>
              </w:rPr>
              <w:t>1~</w:t>
            </w:r>
            <w:r w:rsidR="00084C1D" w:rsidRPr="00326D61">
              <w:rPr>
                <w:rFonts w:eastAsia="標楷體"/>
                <w:b/>
              </w:rPr>
              <w:t>6</w:t>
            </w:r>
            <w:r w:rsidRPr="00326D61">
              <w:rPr>
                <w:rFonts w:eastAsia="標楷體"/>
                <w:b/>
              </w:rPr>
              <w:t>月</w:t>
            </w:r>
          </w:p>
        </w:tc>
        <w:tc>
          <w:tcPr>
            <w:tcW w:w="1360" w:type="dxa"/>
            <w:tcBorders>
              <w:top w:val="nil"/>
              <w:left w:val="single" w:sz="4" w:space="0" w:color="auto"/>
              <w:bottom w:val="nil"/>
              <w:right w:val="nil"/>
            </w:tcBorders>
          </w:tcPr>
          <w:p w:rsidR="00C97C23" w:rsidRPr="00326D61" w:rsidRDefault="00C97C23" w:rsidP="00326D61">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326D61">
              <w:rPr>
                <w:b/>
                <w:bCs/>
              </w:rPr>
              <w:t>3.</w:t>
            </w:r>
            <w:r w:rsidR="00326D61" w:rsidRPr="00326D61">
              <w:rPr>
                <w:rFonts w:hint="eastAsia"/>
                <w:b/>
                <w:bCs/>
              </w:rPr>
              <w:t>86</w:t>
            </w:r>
          </w:p>
        </w:tc>
        <w:tc>
          <w:tcPr>
            <w:tcW w:w="1513" w:type="dxa"/>
            <w:tcBorders>
              <w:top w:val="nil"/>
              <w:left w:val="nil"/>
              <w:bottom w:val="nil"/>
              <w:right w:val="nil"/>
            </w:tcBorders>
          </w:tcPr>
          <w:p w:rsidR="00C97C23" w:rsidRPr="007A49C9" w:rsidRDefault="00C97C23" w:rsidP="007A49C9">
            <w:pPr>
              <w:snapToGrid w:val="0"/>
              <w:spacing w:line="240" w:lineRule="atLeast"/>
              <w:ind w:rightChars="213" w:right="511"/>
              <w:jc w:val="right"/>
              <w:rPr>
                <w:b/>
                <w:bCs/>
              </w:rPr>
            </w:pPr>
            <w:r w:rsidRPr="007A49C9">
              <w:rPr>
                <w:b/>
                <w:bCs/>
              </w:rPr>
              <w:t>8.</w:t>
            </w:r>
            <w:r w:rsidR="007A49C9" w:rsidRPr="007A49C9">
              <w:rPr>
                <w:rFonts w:hint="eastAsia"/>
                <w:b/>
                <w:bCs/>
              </w:rPr>
              <w:t>54</w:t>
            </w:r>
          </w:p>
        </w:tc>
        <w:tc>
          <w:tcPr>
            <w:tcW w:w="1500" w:type="dxa"/>
            <w:tcBorders>
              <w:top w:val="nil"/>
              <w:left w:val="nil"/>
              <w:bottom w:val="nil"/>
              <w:right w:val="nil"/>
            </w:tcBorders>
          </w:tcPr>
          <w:p w:rsidR="00C97C23" w:rsidRPr="007A49C9" w:rsidRDefault="00326D61" w:rsidP="00326D61">
            <w:pPr>
              <w:snapToGrid w:val="0"/>
              <w:spacing w:line="240" w:lineRule="atLeast"/>
              <w:ind w:rightChars="189" w:right="454"/>
              <w:jc w:val="right"/>
              <w:rPr>
                <w:b/>
                <w:bCs/>
              </w:rPr>
            </w:pPr>
            <w:r w:rsidRPr="007A49C9">
              <w:rPr>
                <w:rFonts w:hint="eastAsia"/>
                <w:b/>
                <w:bCs/>
              </w:rPr>
              <w:t>6</w:t>
            </w:r>
            <w:r w:rsidR="001018B5" w:rsidRPr="007A49C9">
              <w:rPr>
                <w:b/>
                <w:bCs/>
              </w:rPr>
              <w:t>.</w:t>
            </w:r>
            <w:r w:rsidRPr="007A49C9">
              <w:rPr>
                <w:rFonts w:hint="eastAsia"/>
                <w:b/>
                <w:bCs/>
              </w:rPr>
              <w:t>05</w:t>
            </w:r>
          </w:p>
        </w:tc>
        <w:tc>
          <w:tcPr>
            <w:tcW w:w="1416" w:type="dxa"/>
            <w:tcBorders>
              <w:top w:val="nil"/>
              <w:left w:val="nil"/>
              <w:bottom w:val="nil"/>
              <w:right w:val="nil"/>
            </w:tcBorders>
          </w:tcPr>
          <w:p w:rsidR="00C97C23" w:rsidRPr="007A49C9" w:rsidRDefault="00C97C23" w:rsidP="00084C1D">
            <w:pPr>
              <w:snapToGrid w:val="0"/>
              <w:spacing w:line="240" w:lineRule="atLeast"/>
              <w:ind w:rightChars="188" w:right="451"/>
              <w:jc w:val="right"/>
              <w:rPr>
                <w:b/>
                <w:bCs/>
              </w:rPr>
            </w:pPr>
            <w:r w:rsidRPr="007A49C9">
              <w:rPr>
                <w:b/>
                <w:bCs/>
              </w:rPr>
              <w:t>29.</w:t>
            </w:r>
            <w:r w:rsidR="00084C1D" w:rsidRPr="007A49C9">
              <w:rPr>
                <w:b/>
                <w:bCs/>
              </w:rPr>
              <w:t>751</w:t>
            </w:r>
          </w:p>
        </w:tc>
        <w:tc>
          <w:tcPr>
            <w:tcW w:w="1336" w:type="dxa"/>
            <w:tcBorders>
              <w:top w:val="nil"/>
              <w:left w:val="nil"/>
              <w:bottom w:val="nil"/>
              <w:right w:val="nil"/>
            </w:tcBorders>
          </w:tcPr>
          <w:p w:rsidR="00C97C23" w:rsidRPr="007A49C9" w:rsidRDefault="00C97C23" w:rsidP="002407AA">
            <w:pPr>
              <w:snapToGrid w:val="0"/>
              <w:spacing w:line="240" w:lineRule="atLeast"/>
              <w:ind w:rightChars="154" w:right="370"/>
              <w:jc w:val="right"/>
              <w:rPr>
                <w:b/>
                <w:bCs/>
              </w:rPr>
            </w:pPr>
            <w:r w:rsidRPr="007A49C9">
              <w:rPr>
                <w:b/>
                <w:bCs/>
              </w:rPr>
              <w:t>0.</w:t>
            </w:r>
            <w:r w:rsidRPr="007A49C9">
              <w:rPr>
                <w:rFonts w:eastAsia="華康粗圓體"/>
                <w:b/>
                <w:bCs/>
                <w:spacing w:val="4"/>
                <w:kern w:val="0"/>
                <w:szCs w:val="27"/>
              </w:rPr>
              <w:t>387</w:t>
            </w:r>
          </w:p>
        </w:tc>
      </w:tr>
      <w:tr w:rsidR="00084C1D"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1</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2.99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5.94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3.97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29.184</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276D6E">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2</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3.53</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10.26</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5.66</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29.665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D5080C">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3</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3.78</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9.55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6.03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29.798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9E2F22">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4</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3.71</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7.95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5.72</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29.880</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084C1D">
        <w:trPr>
          <w:trHeight w:val="307"/>
          <w:jc w:val="center"/>
        </w:trPr>
        <w:tc>
          <w:tcPr>
            <w:tcW w:w="1638" w:type="dxa"/>
            <w:tcBorders>
              <w:top w:val="nil"/>
              <w:left w:val="nil"/>
              <w:bottom w:val="nil"/>
              <w:right w:val="single" w:sz="4" w:space="0" w:color="auto"/>
            </w:tcBorders>
          </w:tcPr>
          <w:p w:rsidR="009E2F22" w:rsidRPr="00326D61" w:rsidRDefault="009E2F22" w:rsidP="002407AA">
            <w:pPr>
              <w:snapToGrid w:val="0"/>
              <w:spacing w:line="240" w:lineRule="atLeast"/>
              <w:ind w:right="284"/>
              <w:jc w:val="right"/>
              <w:rPr>
                <w:rFonts w:eastAsia="標楷體"/>
              </w:rPr>
            </w:pPr>
            <w:r w:rsidRPr="00326D61">
              <w:rPr>
                <w:rFonts w:eastAsia="標楷體"/>
              </w:rPr>
              <w:t>5</w:t>
            </w:r>
            <w:r w:rsidRPr="00326D61">
              <w:rPr>
                <w:rFonts w:eastAsia="標楷體"/>
              </w:rPr>
              <w:t>月</w:t>
            </w:r>
          </w:p>
        </w:tc>
        <w:tc>
          <w:tcPr>
            <w:tcW w:w="1360" w:type="dxa"/>
            <w:tcBorders>
              <w:top w:val="nil"/>
              <w:left w:val="single" w:sz="4" w:space="0" w:color="auto"/>
              <w:bottom w:val="nil"/>
              <w:right w:val="nil"/>
            </w:tcBorders>
            <w:vAlign w:val="center"/>
          </w:tcPr>
          <w:p w:rsidR="009E2F22" w:rsidRPr="00326D61" w:rsidRDefault="00E82BE6"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4.32</w:t>
            </w:r>
          </w:p>
        </w:tc>
        <w:tc>
          <w:tcPr>
            <w:tcW w:w="1513" w:type="dxa"/>
            <w:tcBorders>
              <w:top w:val="nil"/>
              <w:left w:val="nil"/>
              <w:bottom w:val="nil"/>
              <w:right w:val="nil"/>
            </w:tcBorders>
            <w:vAlign w:val="center"/>
          </w:tcPr>
          <w:p w:rsidR="009E2F22" w:rsidRPr="007A49C9" w:rsidRDefault="00B04306"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8.54</w:t>
            </w:r>
          </w:p>
        </w:tc>
        <w:tc>
          <w:tcPr>
            <w:tcW w:w="1500" w:type="dxa"/>
            <w:tcBorders>
              <w:top w:val="nil"/>
              <w:left w:val="nil"/>
              <w:bottom w:val="nil"/>
              <w:right w:val="nil"/>
            </w:tcBorders>
            <w:vAlign w:val="center"/>
          </w:tcPr>
          <w:p w:rsidR="009E2F22" w:rsidRPr="00326D61" w:rsidRDefault="001018B5" w:rsidP="002407AA">
            <w:pPr>
              <w:snapToGrid w:val="0"/>
              <w:spacing w:line="240" w:lineRule="atLeast"/>
              <w:ind w:rightChars="189" w:right="454"/>
              <w:jc w:val="right"/>
            </w:pPr>
            <w:r w:rsidRPr="00326D61">
              <w:t>7.04</w:t>
            </w:r>
          </w:p>
        </w:tc>
        <w:tc>
          <w:tcPr>
            <w:tcW w:w="1416" w:type="dxa"/>
            <w:tcBorders>
              <w:top w:val="nil"/>
              <w:left w:val="nil"/>
              <w:bottom w:val="nil"/>
              <w:right w:val="nil"/>
            </w:tcBorders>
            <w:vAlign w:val="center"/>
          </w:tcPr>
          <w:p w:rsidR="009E2F22" w:rsidRPr="003111E1" w:rsidRDefault="009E2F22" w:rsidP="002407AA">
            <w:pPr>
              <w:snapToGrid w:val="0"/>
              <w:spacing w:line="240" w:lineRule="atLeast"/>
              <w:ind w:rightChars="188" w:right="451"/>
              <w:jc w:val="right"/>
              <w:rPr>
                <w:color w:val="000000" w:themeColor="text1"/>
              </w:rPr>
            </w:pPr>
            <w:r w:rsidRPr="003111E1">
              <w:rPr>
                <w:color w:val="000000" w:themeColor="text1"/>
              </w:rPr>
              <w:t>29.888</w:t>
            </w:r>
          </w:p>
        </w:tc>
        <w:tc>
          <w:tcPr>
            <w:tcW w:w="1336" w:type="dxa"/>
            <w:tcBorders>
              <w:top w:val="nil"/>
              <w:left w:val="nil"/>
              <w:bottom w:val="nil"/>
              <w:right w:val="nil"/>
            </w:tcBorders>
            <w:vAlign w:val="center"/>
          </w:tcPr>
          <w:p w:rsidR="009E2F22" w:rsidRPr="003111E1" w:rsidRDefault="009E2F22"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B055E" w:rsidRPr="003111E1" w:rsidTr="00276D6E">
        <w:trPr>
          <w:trHeight w:val="307"/>
          <w:jc w:val="center"/>
        </w:trPr>
        <w:tc>
          <w:tcPr>
            <w:tcW w:w="1638" w:type="dxa"/>
            <w:tcBorders>
              <w:top w:val="nil"/>
              <w:left w:val="nil"/>
              <w:bottom w:val="single" w:sz="4" w:space="0" w:color="auto"/>
              <w:right w:val="single" w:sz="4" w:space="0" w:color="auto"/>
            </w:tcBorders>
          </w:tcPr>
          <w:p w:rsidR="00084C1D" w:rsidRPr="00326D61" w:rsidRDefault="00084C1D" w:rsidP="002407AA">
            <w:pPr>
              <w:snapToGrid w:val="0"/>
              <w:spacing w:line="240" w:lineRule="atLeast"/>
              <w:ind w:right="284"/>
              <w:jc w:val="right"/>
              <w:rPr>
                <w:rFonts w:eastAsia="標楷體"/>
              </w:rPr>
            </w:pPr>
            <w:r w:rsidRPr="00326D61">
              <w:rPr>
                <w:rFonts w:eastAsia="標楷體"/>
              </w:rPr>
              <w:t>6</w:t>
            </w:r>
            <w:r w:rsidRPr="00326D61">
              <w:rPr>
                <w:rFonts w:eastAsia="標楷體"/>
              </w:rPr>
              <w:t>月</w:t>
            </w:r>
          </w:p>
        </w:tc>
        <w:tc>
          <w:tcPr>
            <w:tcW w:w="1360" w:type="dxa"/>
            <w:tcBorders>
              <w:top w:val="nil"/>
              <w:left w:val="single" w:sz="4" w:space="0" w:color="auto"/>
              <w:bottom w:val="single" w:sz="4" w:space="0" w:color="auto"/>
              <w:right w:val="nil"/>
            </w:tcBorders>
            <w:vAlign w:val="center"/>
          </w:tcPr>
          <w:p w:rsidR="00084C1D" w:rsidRPr="00326D61" w:rsidRDefault="00326D61"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rPr>
                <w:rFonts w:hint="eastAsia"/>
              </w:rPr>
              <w:t>4.82</w:t>
            </w:r>
          </w:p>
        </w:tc>
        <w:tc>
          <w:tcPr>
            <w:tcW w:w="1513" w:type="dxa"/>
            <w:tcBorders>
              <w:top w:val="nil"/>
              <w:left w:val="nil"/>
              <w:bottom w:val="single" w:sz="4" w:space="0" w:color="auto"/>
              <w:right w:val="nil"/>
            </w:tcBorders>
            <w:vAlign w:val="center"/>
          </w:tcPr>
          <w:p w:rsidR="00084C1D" w:rsidRPr="007A49C9" w:rsidRDefault="00125A95" w:rsidP="00125A95">
            <w:pPr>
              <w:snapToGrid w:val="0"/>
              <w:spacing w:line="240" w:lineRule="atLeast"/>
              <w:ind w:rightChars="213" w:right="511"/>
              <w:jc w:val="right"/>
              <w:rPr>
                <w:rFonts w:eastAsia="華康粗圓體"/>
                <w:spacing w:val="4"/>
                <w:kern w:val="0"/>
                <w:szCs w:val="27"/>
              </w:rPr>
            </w:pPr>
            <w:r w:rsidRPr="007A49C9">
              <w:rPr>
                <w:rFonts w:eastAsia="華康粗圓體" w:hint="eastAsia"/>
                <w:spacing w:val="4"/>
                <w:kern w:val="0"/>
                <w:szCs w:val="27"/>
              </w:rPr>
              <w:t>9.02</w:t>
            </w:r>
          </w:p>
        </w:tc>
        <w:tc>
          <w:tcPr>
            <w:tcW w:w="1500" w:type="dxa"/>
            <w:tcBorders>
              <w:top w:val="nil"/>
              <w:left w:val="nil"/>
              <w:bottom w:val="single" w:sz="4" w:space="0" w:color="auto"/>
              <w:right w:val="nil"/>
            </w:tcBorders>
            <w:vAlign w:val="center"/>
          </w:tcPr>
          <w:p w:rsidR="00084C1D" w:rsidRPr="00326D61" w:rsidRDefault="00326D61" w:rsidP="00326D61">
            <w:pPr>
              <w:snapToGrid w:val="0"/>
              <w:spacing w:line="240" w:lineRule="atLeast"/>
              <w:ind w:rightChars="189" w:right="454"/>
              <w:jc w:val="right"/>
            </w:pPr>
            <w:r w:rsidRPr="00326D61">
              <w:rPr>
                <w:rFonts w:hint="eastAsia"/>
              </w:rPr>
              <w:t>7.89</w:t>
            </w:r>
          </w:p>
        </w:tc>
        <w:tc>
          <w:tcPr>
            <w:tcW w:w="1416" w:type="dxa"/>
            <w:tcBorders>
              <w:top w:val="nil"/>
              <w:left w:val="nil"/>
              <w:bottom w:val="single" w:sz="4" w:space="0" w:color="auto"/>
              <w:right w:val="nil"/>
            </w:tcBorders>
            <w:vAlign w:val="center"/>
          </w:tcPr>
          <w:p w:rsidR="00084C1D" w:rsidRPr="003111E1" w:rsidRDefault="00084C1D" w:rsidP="002407AA">
            <w:pPr>
              <w:snapToGrid w:val="0"/>
              <w:spacing w:line="240" w:lineRule="atLeast"/>
              <w:ind w:rightChars="188" w:right="451"/>
              <w:jc w:val="right"/>
              <w:rPr>
                <w:color w:val="000000" w:themeColor="text1"/>
              </w:rPr>
            </w:pPr>
            <w:r w:rsidRPr="003111E1">
              <w:rPr>
                <w:color w:val="000000" w:themeColor="text1"/>
              </w:rPr>
              <w:t>30.089</w:t>
            </w:r>
          </w:p>
        </w:tc>
        <w:tc>
          <w:tcPr>
            <w:tcW w:w="1336" w:type="dxa"/>
            <w:tcBorders>
              <w:top w:val="nil"/>
              <w:left w:val="nil"/>
              <w:bottom w:val="single" w:sz="4" w:space="0" w:color="auto"/>
              <w:right w:val="nil"/>
            </w:tcBorders>
            <w:vAlign w:val="center"/>
          </w:tcPr>
          <w:p w:rsidR="00084C1D" w:rsidRPr="003111E1" w:rsidRDefault="00CB055E"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bl>
    <w:p w:rsidR="008E3E1B" w:rsidRPr="003111E1" w:rsidRDefault="008E3E1B" w:rsidP="00D35CC8">
      <w:pPr>
        <w:ind w:left="425" w:hangingChars="193" w:hanging="425"/>
        <w:rPr>
          <w:rFonts w:eastAsia="標楷體"/>
          <w:color w:val="000000" w:themeColor="text1"/>
          <w:kern w:val="0"/>
          <w:sz w:val="22"/>
          <w:szCs w:val="22"/>
        </w:rPr>
      </w:pPr>
      <w:proofErr w:type="gramStart"/>
      <w:r w:rsidRPr="003111E1">
        <w:rPr>
          <w:rFonts w:eastAsia="標楷體"/>
          <w:color w:val="000000" w:themeColor="text1"/>
          <w:kern w:val="0"/>
          <w:sz w:val="22"/>
          <w:szCs w:val="22"/>
        </w:rPr>
        <w:t>註</w:t>
      </w:r>
      <w:proofErr w:type="gramEnd"/>
      <w:r w:rsidRPr="003111E1">
        <w:rPr>
          <w:rFonts w:eastAsia="標楷體"/>
          <w:color w:val="000000" w:themeColor="text1"/>
          <w:kern w:val="0"/>
          <w:sz w:val="22"/>
          <w:szCs w:val="22"/>
        </w:rPr>
        <w:t>：</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為通貨淨額加上企業及個人在貨幣機構的支票存款及活期存款；</w:t>
      </w:r>
      <w:r w:rsidR="00783971" w:rsidRPr="003111E1">
        <w:rPr>
          <w:rFonts w:eastAsia="標楷體"/>
          <w:color w:val="000000" w:themeColor="text1"/>
          <w:kern w:val="0"/>
          <w:sz w:val="22"/>
          <w:szCs w:val="22"/>
        </w:rPr>
        <w:t>M1</w:t>
      </w:r>
      <w:r w:rsidR="004125E1" w:rsidRPr="003111E1">
        <w:rPr>
          <w:rFonts w:eastAsia="標楷體"/>
          <w:color w:val="000000" w:themeColor="text1"/>
          <w:kern w:val="0"/>
          <w:sz w:val="22"/>
          <w:szCs w:val="22"/>
        </w:rPr>
        <w:t>B</w:t>
      </w:r>
      <w:r w:rsidR="004125E1" w:rsidRPr="003111E1">
        <w:rPr>
          <w:rFonts w:eastAsia="標楷體"/>
          <w:color w:val="000000" w:themeColor="text1"/>
          <w:kern w:val="0"/>
          <w:sz w:val="22"/>
          <w:szCs w:val="22"/>
        </w:rPr>
        <w:t>為</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加上個人活期儲蓄存款；</w:t>
      </w:r>
      <w:r w:rsidR="004125E1" w:rsidRPr="003111E1">
        <w:rPr>
          <w:rFonts w:eastAsia="標楷體"/>
          <w:color w:val="000000" w:themeColor="text1"/>
          <w:kern w:val="0"/>
          <w:sz w:val="22"/>
          <w:szCs w:val="22"/>
        </w:rPr>
        <w:t>M2</w:t>
      </w:r>
      <w:r w:rsidR="0011131D" w:rsidRPr="003111E1">
        <w:rPr>
          <w:rFonts w:eastAsia="標楷體"/>
          <w:color w:val="000000" w:themeColor="text1"/>
          <w:kern w:val="0"/>
          <w:sz w:val="22"/>
          <w:szCs w:val="22"/>
        </w:rPr>
        <w:t>為</w:t>
      </w:r>
      <w:r w:rsidR="0011131D" w:rsidRPr="003111E1">
        <w:rPr>
          <w:rFonts w:eastAsia="標楷體"/>
          <w:color w:val="000000" w:themeColor="text1"/>
          <w:kern w:val="0"/>
          <w:sz w:val="22"/>
          <w:szCs w:val="22"/>
        </w:rPr>
        <w:t>M1B</w:t>
      </w:r>
      <w:r w:rsidR="0011131D" w:rsidRPr="003111E1">
        <w:rPr>
          <w:rFonts w:eastAsia="標楷體"/>
          <w:color w:val="000000" w:themeColor="text1"/>
          <w:kern w:val="0"/>
          <w:sz w:val="22"/>
          <w:szCs w:val="22"/>
        </w:rPr>
        <w:t>加上</w:t>
      </w:r>
      <w:proofErr w:type="gramStart"/>
      <w:r w:rsidR="0011131D" w:rsidRPr="003111E1">
        <w:rPr>
          <w:rFonts w:eastAsia="標楷體"/>
          <w:color w:val="000000" w:themeColor="text1"/>
          <w:kern w:val="0"/>
          <w:sz w:val="22"/>
          <w:szCs w:val="22"/>
        </w:rPr>
        <w:t>準</w:t>
      </w:r>
      <w:proofErr w:type="gramEnd"/>
      <w:r w:rsidR="0011131D" w:rsidRPr="003111E1">
        <w:rPr>
          <w:rFonts w:eastAsia="標楷體"/>
          <w:color w:val="000000" w:themeColor="text1"/>
          <w:kern w:val="0"/>
          <w:sz w:val="22"/>
          <w:szCs w:val="22"/>
        </w:rPr>
        <w:t>貨幣。</w:t>
      </w:r>
    </w:p>
    <w:p w:rsidR="008E3E1B" w:rsidRPr="003111E1" w:rsidRDefault="008E3E1B" w:rsidP="008E3E1B">
      <w:pPr>
        <w:pStyle w:val="ad"/>
        <w:snapToGrid w:val="0"/>
        <w:spacing w:line="240" w:lineRule="auto"/>
        <w:ind w:leftChars="0" w:left="0" w:firstLineChars="0" w:firstLine="0"/>
        <w:rPr>
          <w:color w:val="000000" w:themeColor="text1"/>
          <w:szCs w:val="22"/>
        </w:rPr>
      </w:pPr>
      <w:r w:rsidRPr="003111E1">
        <w:rPr>
          <w:color w:val="000000" w:themeColor="text1"/>
          <w:szCs w:val="22"/>
        </w:rPr>
        <w:t>資料來源：中央銀行。</w:t>
      </w:r>
    </w:p>
    <w:p w:rsidR="009256A6" w:rsidRPr="003111E1" w:rsidRDefault="009256A6" w:rsidP="008E3E1B">
      <w:pPr>
        <w:pStyle w:val="ad"/>
        <w:snapToGrid w:val="0"/>
        <w:spacing w:line="240" w:lineRule="auto"/>
        <w:ind w:leftChars="0" w:left="0" w:firstLineChars="0" w:firstLine="0"/>
        <w:rPr>
          <w:color w:val="FF0000"/>
          <w:szCs w:val="22"/>
        </w:rPr>
      </w:pPr>
    </w:p>
    <w:p w:rsidR="008E3E1B" w:rsidRPr="003111E1" w:rsidRDefault="008E3E1B" w:rsidP="00934181">
      <w:pPr>
        <w:pStyle w:val="t-4"/>
        <w:tabs>
          <w:tab w:val="clear" w:pos="540"/>
        </w:tabs>
        <w:snapToGrid w:val="0"/>
        <w:spacing w:before="360" w:afterLines="0" w:after="0" w:line="300" w:lineRule="auto"/>
        <w:ind w:leftChars="0" w:left="0" w:firstLineChars="0" w:firstLine="0"/>
        <w:rPr>
          <w:color w:val="000000" w:themeColor="text1"/>
        </w:rPr>
      </w:pPr>
      <w:r w:rsidRPr="003111E1">
        <w:rPr>
          <w:color w:val="000000" w:themeColor="text1"/>
        </w:rPr>
        <w:lastRenderedPageBreak/>
        <w:t>２、</w:t>
      </w:r>
      <w:r w:rsidRPr="003111E1">
        <w:rPr>
          <w:color w:val="000000" w:themeColor="text1"/>
        </w:rPr>
        <w:t>10</w:t>
      </w:r>
      <w:r w:rsidR="000C5FD3" w:rsidRPr="003111E1">
        <w:rPr>
          <w:color w:val="000000" w:themeColor="text1"/>
        </w:rPr>
        <w:t>2</w:t>
      </w:r>
      <w:r w:rsidRPr="003111E1">
        <w:rPr>
          <w:color w:val="000000" w:themeColor="text1"/>
        </w:rPr>
        <w:t>年</w:t>
      </w:r>
      <w:r w:rsidR="00CB1C72" w:rsidRPr="003111E1">
        <w:rPr>
          <w:color w:val="000000" w:themeColor="text1"/>
        </w:rPr>
        <w:t>6</w:t>
      </w:r>
      <w:r w:rsidRPr="003111E1">
        <w:rPr>
          <w:color w:val="000000" w:themeColor="text1"/>
        </w:rPr>
        <w:t>月市場利率</w:t>
      </w:r>
    </w:p>
    <w:p w:rsidR="00F60C9C" w:rsidRPr="003111E1" w:rsidRDefault="00F60C9C" w:rsidP="00506996">
      <w:pPr>
        <w:pStyle w:val="k32"/>
        <w:topLinePunct/>
        <w:ind w:leftChars="118" w:left="283" w:rightChars="-59" w:firstLineChars="283" w:firstLine="566"/>
        <w:rPr>
          <w:color w:val="FF0000"/>
          <w:szCs w:val="28"/>
        </w:rPr>
      </w:pPr>
      <w:r w:rsidRPr="003111E1">
        <w:rPr>
          <w:noProof/>
          <w:color w:val="000000" w:themeColor="text1"/>
          <w:sz w:val="20"/>
        </w:rPr>
        <w:drawing>
          <wp:anchor distT="0" distB="0" distL="114300" distR="114300" simplePos="0" relativeHeight="251690496" behindDoc="0" locked="0" layoutInCell="1" allowOverlap="1" wp14:anchorId="466DFC1A" wp14:editId="046D4CC9">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111E1">
        <w:rPr>
          <w:color w:val="000000" w:themeColor="text1"/>
          <w:szCs w:val="28"/>
        </w:rPr>
        <w:t>貨幣市場方面，</w:t>
      </w:r>
      <w:r w:rsidRPr="003111E1">
        <w:rPr>
          <w:color w:val="000000" w:themeColor="text1"/>
          <w:szCs w:val="28"/>
        </w:rPr>
        <w:t>102</w:t>
      </w:r>
      <w:r w:rsidRPr="003111E1">
        <w:rPr>
          <w:color w:val="000000" w:themeColor="text1"/>
          <w:szCs w:val="28"/>
        </w:rPr>
        <w:t>年</w:t>
      </w:r>
      <w:r w:rsidR="00CB1C72" w:rsidRPr="003111E1">
        <w:rPr>
          <w:color w:val="000000" w:themeColor="text1"/>
          <w:szCs w:val="28"/>
        </w:rPr>
        <w:t>6</w:t>
      </w:r>
      <w:r w:rsidRPr="003111E1">
        <w:rPr>
          <w:color w:val="000000" w:themeColor="text1"/>
          <w:szCs w:val="28"/>
        </w:rPr>
        <w:t>月金融業隔夜拆款利率</w:t>
      </w:r>
      <w:r w:rsidRPr="003111E1">
        <w:rPr>
          <w:color w:val="000000" w:themeColor="text1"/>
          <w:szCs w:val="28"/>
        </w:rPr>
        <w:t>0.38</w:t>
      </w:r>
      <w:r w:rsidR="00CB1C72" w:rsidRPr="003111E1">
        <w:rPr>
          <w:color w:val="000000" w:themeColor="text1"/>
          <w:szCs w:val="28"/>
        </w:rPr>
        <w:t>6</w:t>
      </w:r>
      <w:r w:rsidRPr="003111E1">
        <w:rPr>
          <w:color w:val="000000" w:themeColor="text1"/>
          <w:szCs w:val="28"/>
        </w:rPr>
        <w:t>％，</w:t>
      </w:r>
      <w:r w:rsidR="009111E9" w:rsidRPr="003111E1">
        <w:rPr>
          <w:color w:val="000000" w:themeColor="text1"/>
          <w:szCs w:val="28"/>
        </w:rPr>
        <w:t>與上月相同</w:t>
      </w:r>
      <w:r w:rsidRPr="003111E1">
        <w:rPr>
          <w:color w:val="000000" w:themeColor="text1"/>
          <w:szCs w:val="28"/>
        </w:rPr>
        <w:t>；初級市場商業本票</w:t>
      </w:r>
      <w:r w:rsidRPr="003111E1">
        <w:rPr>
          <w:color w:val="000000" w:themeColor="text1"/>
          <w:szCs w:val="28"/>
        </w:rPr>
        <w:t>30</w:t>
      </w:r>
      <w:r w:rsidRPr="003111E1">
        <w:rPr>
          <w:color w:val="000000" w:themeColor="text1"/>
          <w:szCs w:val="28"/>
        </w:rPr>
        <w:t>天期利率</w:t>
      </w:r>
      <w:r w:rsidRPr="003111E1">
        <w:rPr>
          <w:color w:val="000000" w:themeColor="text1"/>
          <w:szCs w:val="28"/>
        </w:rPr>
        <w:t>0.8</w:t>
      </w:r>
      <w:r w:rsidR="00CB1C72" w:rsidRPr="003111E1">
        <w:rPr>
          <w:color w:val="000000" w:themeColor="text1"/>
          <w:szCs w:val="28"/>
        </w:rPr>
        <w:t>6</w:t>
      </w:r>
      <w:r w:rsidR="009111E9" w:rsidRPr="003111E1">
        <w:rPr>
          <w:color w:val="000000" w:themeColor="text1"/>
          <w:szCs w:val="28"/>
        </w:rPr>
        <w:t>％</w:t>
      </w:r>
      <w:r w:rsidRPr="003111E1">
        <w:rPr>
          <w:color w:val="000000" w:themeColor="text1"/>
          <w:szCs w:val="28"/>
        </w:rPr>
        <w:t>，</w:t>
      </w:r>
      <w:r w:rsidR="00CB1C72" w:rsidRPr="003111E1">
        <w:rPr>
          <w:color w:val="000000" w:themeColor="text1"/>
          <w:szCs w:val="28"/>
        </w:rPr>
        <w:t>略低於</w:t>
      </w:r>
      <w:r w:rsidR="00CB1C72" w:rsidRPr="003111E1">
        <w:rPr>
          <w:color w:val="000000" w:themeColor="text1"/>
          <w:szCs w:val="28"/>
        </w:rPr>
        <w:t>5</w:t>
      </w:r>
      <w:r w:rsidRPr="003111E1">
        <w:rPr>
          <w:color w:val="000000" w:themeColor="text1"/>
          <w:szCs w:val="28"/>
        </w:rPr>
        <w:t>月之</w:t>
      </w:r>
      <w:r w:rsidRPr="003111E1">
        <w:rPr>
          <w:color w:val="000000" w:themeColor="text1"/>
          <w:szCs w:val="28"/>
        </w:rPr>
        <w:t>0.8</w:t>
      </w:r>
      <w:r w:rsidR="00CB1C72" w:rsidRPr="003111E1">
        <w:rPr>
          <w:color w:val="000000" w:themeColor="text1"/>
          <w:szCs w:val="28"/>
        </w:rPr>
        <w:t>7</w:t>
      </w:r>
      <w:r w:rsidRPr="003111E1">
        <w:rPr>
          <w:color w:val="000000" w:themeColor="text1"/>
          <w:szCs w:val="28"/>
        </w:rPr>
        <w:t>％。</w:t>
      </w: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8E3E1B" w:rsidRPr="003111E1" w:rsidRDefault="008E3E1B" w:rsidP="00934181">
      <w:pPr>
        <w:pStyle w:val="t-4"/>
        <w:snapToGrid w:val="0"/>
        <w:spacing w:before="120" w:afterLines="0" w:after="0" w:line="300" w:lineRule="auto"/>
        <w:ind w:leftChars="0" w:left="0" w:firstLineChars="0" w:firstLine="0"/>
        <w:rPr>
          <w:color w:val="auto"/>
        </w:rPr>
      </w:pPr>
      <w:r w:rsidRPr="003111E1">
        <w:rPr>
          <w:color w:val="auto"/>
        </w:rPr>
        <w:t>３、</w:t>
      </w:r>
      <w:r w:rsidRPr="003111E1">
        <w:rPr>
          <w:color w:val="auto"/>
        </w:rPr>
        <w:t>10</w:t>
      </w:r>
      <w:r w:rsidR="004B3303" w:rsidRPr="003111E1">
        <w:rPr>
          <w:color w:val="auto"/>
        </w:rPr>
        <w:t>2</w:t>
      </w:r>
      <w:r w:rsidRPr="003111E1">
        <w:rPr>
          <w:color w:val="auto"/>
        </w:rPr>
        <w:t>年</w:t>
      </w:r>
      <w:r w:rsidR="00435065" w:rsidRPr="003111E1">
        <w:rPr>
          <w:color w:val="auto"/>
        </w:rPr>
        <w:t>6</w:t>
      </w:r>
      <w:r w:rsidRPr="003111E1">
        <w:rPr>
          <w:color w:val="auto"/>
        </w:rPr>
        <w:t>月主要金融機構放款及投資</w:t>
      </w:r>
    </w:p>
    <w:p w:rsidR="00F60C9C" w:rsidRPr="003111E1" w:rsidRDefault="00F60C9C" w:rsidP="00506996">
      <w:pPr>
        <w:pStyle w:val="k32"/>
        <w:topLinePunct/>
        <w:ind w:leftChars="118" w:left="283" w:rightChars="-59" w:firstLineChars="202" w:firstLine="566"/>
        <w:rPr>
          <w:b/>
          <w:bCs/>
          <w:color w:val="FF0000"/>
        </w:rPr>
      </w:pPr>
      <w:r w:rsidRPr="005A132D">
        <w:rPr>
          <w:noProof/>
        </w:rPr>
        <w:drawing>
          <wp:anchor distT="0" distB="0" distL="114300" distR="114300" simplePos="0" relativeHeight="251692544" behindDoc="0" locked="0" layoutInCell="1" allowOverlap="1" wp14:anchorId="0D11A225" wp14:editId="78861EFC">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A132D">
        <w:t>102</w:t>
      </w:r>
      <w:r w:rsidRPr="005A132D">
        <w:t>年</w:t>
      </w:r>
      <w:r w:rsidR="007A49C9" w:rsidRPr="005A132D">
        <w:rPr>
          <w:rFonts w:hint="eastAsia"/>
        </w:rPr>
        <w:t>6</w:t>
      </w:r>
      <w:r w:rsidRPr="005A132D">
        <w:t>月主要金融機構放款與投資餘額為</w:t>
      </w:r>
      <w:r w:rsidRPr="005A132D">
        <w:t>26.0</w:t>
      </w:r>
      <w:r w:rsidR="007A49C9" w:rsidRPr="005A132D">
        <w:rPr>
          <w:rFonts w:hint="eastAsia"/>
        </w:rPr>
        <w:t>5</w:t>
      </w:r>
      <w:r w:rsidRPr="005A132D">
        <w:t>兆元，較</w:t>
      </w:r>
      <w:r w:rsidR="005A132D" w:rsidRPr="005A132D">
        <w:rPr>
          <w:rFonts w:hint="eastAsia"/>
        </w:rPr>
        <w:t>5</w:t>
      </w:r>
      <w:r w:rsidRPr="005A132D">
        <w:t>月增加，年增率</w:t>
      </w:r>
      <w:r w:rsidRPr="005A132D">
        <w:t>5.</w:t>
      </w:r>
      <w:r w:rsidR="005A132D" w:rsidRPr="005A132D">
        <w:rPr>
          <w:rFonts w:hint="eastAsia"/>
        </w:rPr>
        <w:t>94</w:t>
      </w:r>
      <w:r w:rsidRPr="005A132D">
        <w:t>％；</w:t>
      </w:r>
      <w:r w:rsidRPr="005A132D">
        <w:t>102</w:t>
      </w:r>
      <w:r w:rsidRPr="005A132D">
        <w:t>年</w:t>
      </w:r>
      <w:r w:rsidR="005A132D" w:rsidRPr="005A132D">
        <w:rPr>
          <w:rFonts w:hint="eastAsia"/>
        </w:rPr>
        <w:t>6</w:t>
      </w:r>
      <w:r w:rsidRPr="005A132D">
        <w:t>月放款餘額較</w:t>
      </w:r>
      <w:r w:rsidR="005A132D" w:rsidRPr="005A132D">
        <w:rPr>
          <w:rFonts w:hint="eastAsia"/>
        </w:rPr>
        <w:t>5</w:t>
      </w:r>
      <w:r w:rsidRPr="005A132D">
        <w:t>月</w:t>
      </w:r>
      <w:r w:rsidR="005A132D" w:rsidRPr="005A132D">
        <w:rPr>
          <w:rFonts w:hint="eastAsia"/>
        </w:rPr>
        <w:t>增加</w:t>
      </w:r>
      <w:r w:rsidRPr="005A132D">
        <w:t>，年增率</w:t>
      </w:r>
      <w:r w:rsidR="005A132D" w:rsidRPr="005A132D">
        <w:rPr>
          <w:rFonts w:hint="eastAsia"/>
        </w:rPr>
        <w:t>3</w:t>
      </w:r>
      <w:r w:rsidR="00A6138B" w:rsidRPr="005A132D">
        <w:t>.</w:t>
      </w:r>
      <w:r w:rsidR="005A132D" w:rsidRPr="005A132D">
        <w:rPr>
          <w:rFonts w:hint="eastAsia"/>
        </w:rPr>
        <w:t>54</w:t>
      </w:r>
      <w:r w:rsidRPr="005A132D">
        <w:t>％。</w:t>
      </w:r>
    </w:p>
    <w:p w:rsidR="00F60C9C" w:rsidRPr="003111E1" w:rsidRDefault="00F60C9C" w:rsidP="00F60C9C">
      <w:pPr>
        <w:pStyle w:val="t-4"/>
        <w:spacing w:before="180" w:after="180"/>
        <w:ind w:leftChars="0" w:left="0" w:firstLineChars="0" w:firstLine="0"/>
        <w:rPr>
          <w:color w:val="FF0000"/>
        </w:rPr>
      </w:pPr>
    </w:p>
    <w:p w:rsidR="00F60C9C" w:rsidRPr="003111E1" w:rsidRDefault="00F60C9C" w:rsidP="00F60C9C">
      <w:pPr>
        <w:rPr>
          <w:color w:val="FF0000"/>
        </w:rPr>
      </w:pPr>
    </w:p>
    <w:p w:rsidR="00F60C9C" w:rsidRPr="003111E1" w:rsidRDefault="00F60C9C" w:rsidP="00F60C9C">
      <w:pPr>
        <w:rPr>
          <w:color w:val="FF0000"/>
        </w:rPr>
      </w:pPr>
    </w:p>
    <w:p w:rsidR="00F60C9C" w:rsidRPr="003111E1" w:rsidRDefault="00F60C9C" w:rsidP="00F60C9C">
      <w:pPr>
        <w:rPr>
          <w:color w:val="FF0000"/>
        </w:rPr>
      </w:pPr>
    </w:p>
    <w:p w:rsidR="00F60C9C" w:rsidRPr="003111E1" w:rsidRDefault="00F60C9C" w:rsidP="00F60C9C">
      <w:pPr>
        <w:rPr>
          <w:color w:val="FF0000"/>
        </w:rPr>
      </w:pPr>
    </w:p>
    <w:p w:rsidR="008E3E1B" w:rsidRPr="003111E1" w:rsidRDefault="008E3E1B" w:rsidP="00934181">
      <w:pPr>
        <w:pStyle w:val="t-4"/>
        <w:snapToGrid w:val="0"/>
        <w:spacing w:before="120" w:afterLines="0" w:after="0" w:line="300" w:lineRule="auto"/>
        <w:ind w:leftChars="0" w:left="0" w:firstLineChars="0" w:firstLine="0"/>
        <w:rPr>
          <w:color w:val="auto"/>
        </w:rPr>
      </w:pPr>
      <w:r w:rsidRPr="003111E1">
        <w:rPr>
          <w:color w:val="auto"/>
        </w:rPr>
        <w:t>４、</w:t>
      </w:r>
      <w:r w:rsidRPr="003111E1">
        <w:rPr>
          <w:color w:val="auto"/>
        </w:rPr>
        <w:t>10</w:t>
      </w:r>
      <w:r w:rsidR="0078776F" w:rsidRPr="003111E1">
        <w:rPr>
          <w:color w:val="auto"/>
        </w:rPr>
        <w:t>2</w:t>
      </w:r>
      <w:r w:rsidRPr="003111E1">
        <w:rPr>
          <w:color w:val="auto"/>
        </w:rPr>
        <w:t>年</w:t>
      </w:r>
      <w:r w:rsidR="000A0380" w:rsidRPr="003111E1">
        <w:rPr>
          <w:color w:val="auto"/>
        </w:rPr>
        <w:t>6</w:t>
      </w:r>
      <w:r w:rsidR="00F60C9C" w:rsidRPr="003111E1">
        <w:rPr>
          <w:color w:val="auto"/>
        </w:rPr>
        <w:t>月平均新台幣兌美元匯率為</w:t>
      </w:r>
      <w:r w:rsidR="000A0380" w:rsidRPr="003111E1">
        <w:rPr>
          <w:color w:val="auto"/>
        </w:rPr>
        <w:t>30.089</w:t>
      </w:r>
    </w:p>
    <w:p w:rsidR="008E3E1B" w:rsidRPr="003111E1" w:rsidRDefault="00F60C9C" w:rsidP="00506996">
      <w:pPr>
        <w:pStyle w:val="k32"/>
        <w:topLinePunct/>
        <w:spacing w:beforeLines="0" w:before="120"/>
        <w:ind w:leftChars="118" w:left="283" w:rightChars="-59" w:firstLineChars="202" w:firstLine="566"/>
        <w:rPr>
          <w:color w:val="FF0000"/>
        </w:rPr>
      </w:pPr>
      <w:r w:rsidRPr="003111E1">
        <w:t>102</w:t>
      </w:r>
      <w:r w:rsidRPr="003111E1">
        <w:t>年</w:t>
      </w:r>
      <w:r w:rsidR="000A0380" w:rsidRPr="003111E1">
        <w:t>6</w:t>
      </w:r>
      <w:r w:rsidRPr="003111E1">
        <w:t>月新台幣兌美元平均匯率為</w:t>
      </w:r>
      <w:r w:rsidR="000A0380" w:rsidRPr="003111E1">
        <w:t>30.089</w:t>
      </w:r>
      <w:r w:rsidRPr="003111E1">
        <w:t>，較</w:t>
      </w:r>
      <w:r w:rsidR="000A0380" w:rsidRPr="003111E1">
        <w:t>5</w:t>
      </w:r>
      <w:r w:rsidRPr="003111E1">
        <w:t>月匯率</w:t>
      </w:r>
      <w:r w:rsidRPr="003111E1">
        <w:t>29.</w:t>
      </w:r>
      <w:r w:rsidR="00D047D0" w:rsidRPr="003111E1">
        <w:t>88</w:t>
      </w:r>
      <w:r w:rsidR="000A0380" w:rsidRPr="003111E1">
        <w:t>8</w:t>
      </w:r>
      <w:r w:rsidRPr="003111E1">
        <w:t>貶值</w:t>
      </w:r>
      <w:r w:rsidRPr="003111E1">
        <w:t>0.</w:t>
      </w:r>
      <w:r w:rsidR="005D2BEF" w:rsidRPr="003111E1">
        <w:t>67</w:t>
      </w:r>
      <w:r w:rsidRPr="003111E1">
        <w:t>％，較</w:t>
      </w:r>
      <w:r w:rsidR="002D6620">
        <w:rPr>
          <w:rFonts w:hint="eastAsia"/>
        </w:rPr>
        <w:t>上</w:t>
      </w:r>
      <w:r w:rsidRPr="003111E1">
        <w:t>年同月匯率</w:t>
      </w:r>
      <w:r w:rsidRPr="003111E1">
        <w:t>29.</w:t>
      </w:r>
      <w:r w:rsidR="000A0380" w:rsidRPr="003111E1">
        <w:t>948</w:t>
      </w:r>
      <w:r w:rsidRPr="003111E1">
        <w:t>貶值</w:t>
      </w:r>
      <w:r w:rsidR="005D2BEF" w:rsidRPr="003111E1">
        <w:t>0</w:t>
      </w:r>
      <w:r w:rsidRPr="003111E1">
        <w:t>.</w:t>
      </w:r>
      <w:r w:rsidR="005D2BEF" w:rsidRPr="003111E1">
        <w:t>47</w:t>
      </w:r>
      <w:r w:rsidRPr="003111E1">
        <w:t>％。</w:t>
      </w:r>
    </w:p>
    <w:p w:rsidR="00144382" w:rsidRPr="003111E1" w:rsidRDefault="00144382" w:rsidP="00144382">
      <w:pPr>
        <w:rPr>
          <w:color w:val="FF0000"/>
        </w:rPr>
      </w:pPr>
    </w:p>
    <w:p w:rsidR="00CF1324" w:rsidRPr="003111E1" w:rsidRDefault="00CF1324" w:rsidP="00144382">
      <w:pPr>
        <w:rPr>
          <w:color w:val="FF0000"/>
        </w:rPr>
      </w:pPr>
    </w:p>
    <w:p w:rsidR="00CF1324" w:rsidRPr="003111E1" w:rsidRDefault="00CF1324" w:rsidP="00144382">
      <w:pPr>
        <w:rPr>
          <w:color w:val="FF0000"/>
        </w:rPr>
      </w:pPr>
    </w:p>
    <w:p w:rsidR="008E3E1B" w:rsidRPr="003111E1" w:rsidRDefault="008E3E1B" w:rsidP="00475675">
      <w:pPr>
        <w:pStyle w:val="t-4"/>
        <w:spacing w:before="180" w:afterLines="0" w:after="0" w:line="300" w:lineRule="auto"/>
        <w:ind w:leftChars="0" w:left="0" w:firstLineChars="0" w:firstLine="0"/>
        <w:rPr>
          <w:color w:val="auto"/>
        </w:rPr>
      </w:pPr>
      <w:r w:rsidRPr="003111E1">
        <w:rPr>
          <w:color w:val="auto"/>
        </w:rPr>
        <w:lastRenderedPageBreak/>
        <w:t>５、</w:t>
      </w:r>
      <w:r w:rsidRPr="003111E1">
        <w:rPr>
          <w:color w:val="auto"/>
        </w:rPr>
        <w:t>10</w:t>
      </w:r>
      <w:r w:rsidR="00652523" w:rsidRPr="003111E1">
        <w:rPr>
          <w:color w:val="auto"/>
        </w:rPr>
        <w:t>2</w:t>
      </w:r>
      <w:r w:rsidRPr="003111E1">
        <w:rPr>
          <w:color w:val="auto"/>
        </w:rPr>
        <w:t>年</w:t>
      </w:r>
      <w:r w:rsidR="009A0A78" w:rsidRPr="003111E1">
        <w:rPr>
          <w:color w:val="auto"/>
        </w:rPr>
        <w:t>6</w:t>
      </w:r>
      <w:r w:rsidR="00D50988" w:rsidRPr="003111E1">
        <w:rPr>
          <w:color w:val="auto"/>
        </w:rPr>
        <w:t>月底外匯存底為</w:t>
      </w:r>
      <w:r w:rsidR="00D50988" w:rsidRPr="003111E1">
        <w:rPr>
          <w:color w:val="auto"/>
        </w:rPr>
        <w:t>4,</w:t>
      </w:r>
      <w:r w:rsidR="00132117" w:rsidRPr="003111E1">
        <w:rPr>
          <w:color w:val="auto"/>
        </w:rPr>
        <w:t>066.</w:t>
      </w:r>
      <w:r w:rsidR="009A0A78" w:rsidRPr="003111E1">
        <w:rPr>
          <w:color w:val="auto"/>
        </w:rPr>
        <w:t>0</w:t>
      </w:r>
      <w:r w:rsidR="00132117" w:rsidRPr="003111E1">
        <w:rPr>
          <w:color w:val="auto"/>
        </w:rPr>
        <w:t>6</w:t>
      </w:r>
      <w:r w:rsidR="00D50988" w:rsidRPr="003111E1">
        <w:rPr>
          <w:color w:val="auto"/>
        </w:rPr>
        <w:t>億美元</w:t>
      </w:r>
    </w:p>
    <w:p w:rsidR="009A0A78" w:rsidRPr="003111E1" w:rsidRDefault="00D50988" w:rsidP="001508C5">
      <w:pPr>
        <w:widowControl/>
        <w:topLinePunct/>
        <w:snapToGrid w:val="0"/>
        <w:spacing w:beforeLines="50" w:before="180" w:line="300" w:lineRule="auto"/>
        <w:ind w:leftChars="118" w:left="283" w:rightChars="-59" w:right="-142" w:firstLineChars="236" w:firstLine="566"/>
        <w:jc w:val="both"/>
        <w:rPr>
          <w:rFonts w:eastAsia="標楷體"/>
          <w:color w:val="FF0000"/>
          <w:sz w:val="28"/>
          <w:szCs w:val="28"/>
        </w:rPr>
      </w:pPr>
      <w:r w:rsidRPr="003111E1">
        <w:rPr>
          <w:noProof/>
        </w:rPr>
        <w:drawing>
          <wp:anchor distT="0" distB="0" distL="114300" distR="114300" simplePos="0" relativeHeight="251694592" behindDoc="1" locked="0" layoutInCell="1" allowOverlap="1" wp14:anchorId="0A420029" wp14:editId="210CD78C">
            <wp:simplePos x="0" y="0"/>
            <wp:positionH relativeFrom="column">
              <wp:posOffset>2190115</wp:posOffset>
            </wp:positionH>
            <wp:positionV relativeFrom="paragraph">
              <wp:posOffset>0</wp:posOffset>
            </wp:positionV>
            <wp:extent cx="3497580" cy="2739390"/>
            <wp:effectExtent l="0" t="0" r="7620" b="381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111E1">
        <w:rPr>
          <w:rFonts w:eastAsia="標楷體"/>
          <w:sz w:val="28"/>
          <w:szCs w:val="28"/>
        </w:rPr>
        <w:t>102</w:t>
      </w:r>
      <w:r w:rsidRPr="003111E1">
        <w:rPr>
          <w:rFonts w:eastAsia="標楷體"/>
          <w:sz w:val="28"/>
          <w:szCs w:val="28"/>
        </w:rPr>
        <w:t>年</w:t>
      </w:r>
      <w:r w:rsidR="009A0A78" w:rsidRPr="003111E1">
        <w:rPr>
          <w:rFonts w:eastAsia="標楷體"/>
          <w:sz w:val="28"/>
          <w:szCs w:val="28"/>
        </w:rPr>
        <w:t>6</w:t>
      </w:r>
      <w:r w:rsidRPr="003111E1">
        <w:rPr>
          <w:rFonts w:eastAsia="標楷體"/>
          <w:sz w:val="28"/>
          <w:szCs w:val="28"/>
        </w:rPr>
        <w:t>月底外匯存底為</w:t>
      </w:r>
      <w:r w:rsidRPr="003111E1">
        <w:rPr>
          <w:rFonts w:eastAsia="標楷體"/>
          <w:sz w:val="28"/>
          <w:szCs w:val="28"/>
        </w:rPr>
        <w:t>4,</w:t>
      </w:r>
      <w:r w:rsidR="000E74AA" w:rsidRPr="003111E1">
        <w:rPr>
          <w:rFonts w:eastAsia="標楷體"/>
          <w:sz w:val="28"/>
          <w:szCs w:val="28"/>
        </w:rPr>
        <w:t>066.</w:t>
      </w:r>
      <w:r w:rsidR="009A0A78" w:rsidRPr="003111E1">
        <w:rPr>
          <w:rFonts w:eastAsia="標楷體"/>
          <w:sz w:val="28"/>
          <w:szCs w:val="28"/>
        </w:rPr>
        <w:t>0</w:t>
      </w:r>
      <w:r w:rsidR="000E74AA" w:rsidRPr="003111E1">
        <w:rPr>
          <w:rFonts w:eastAsia="標楷體"/>
          <w:sz w:val="28"/>
          <w:szCs w:val="28"/>
        </w:rPr>
        <w:t>6</w:t>
      </w:r>
      <w:r w:rsidRPr="003111E1">
        <w:rPr>
          <w:rFonts w:eastAsia="標楷體"/>
          <w:sz w:val="28"/>
          <w:szCs w:val="28"/>
        </w:rPr>
        <w:t>億美元，較</w:t>
      </w:r>
      <w:r w:rsidR="00D55857">
        <w:rPr>
          <w:rFonts w:eastAsia="標楷體" w:hint="eastAsia"/>
          <w:sz w:val="28"/>
          <w:szCs w:val="28"/>
        </w:rPr>
        <w:t>5</w:t>
      </w:r>
      <w:r w:rsidRPr="003111E1">
        <w:rPr>
          <w:rFonts w:eastAsia="標楷體"/>
          <w:sz w:val="28"/>
          <w:szCs w:val="28"/>
        </w:rPr>
        <w:t>月底</w:t>
      </w:r>
      <w:r w:rsidR="009A0A78" w:rsidRPr="003111E1">
        <w:rPr>
          <w:rFonts w:eastAsia="標楷體"/>
          <w:sz w:val="28"/>
          <w:szCs w:val="28"/>
        </w:rPr>
        <w:t>減少</w:t>
      </w:r>
      <w:r w:rsidR="009A0A78" w:rsidRPr="003111E1">
        <w:rPr>
          <w:rFonts w:eastAsia="標楷體"/>
          <w:sz w:val="28"/>
          <w:szCs w:val="28"/>
        </w:rPr>
        <w:t>0.10</w:t>
      </w:r>
      <w:r w:rsidRPr="003111E1">
        <w:rPr>
          <w:rFonts w:eastAsia="標楷體"/>
          <w:sz w:val="28"/>
          <w:szCs w:val="28"/>
        </w:rPr>
        <w:t>億美元</w:t>
      </w:r>
      <w:r w:rsidR="00AE3718" w:rsidRPr="003111E1">
        <w:rPr>
          <w:rFonts w:eastAsia="標楷體"/>
          <w:sz w:val="28"/>
          <w:szCs w:val="28"/>
        </w:rPr>
        <w:t>。</w:t>
      </w:r>
      <w:r w:rsidR="009A0A78" w:rsidRPr="003111E1">
        <w:rPr>
          <w:rFonts w:eastAsia="標楷體"/>
          <w:sz w:val="28"/>
          <w:szCs w:val="28"/>
        </w:rPr>
        <w:t>本月外匯存底微幅減少，主要係因外資匯出抵銷外匯存底投資運用收益所致。</w:t>
      </w:r>
    </w:p>
    <w:p w:rsidR="00D50988" w:rsidRPr="003111E1" w:rsidRDefault="00D50988" w:rsidP="009A0A78">
      <w:pPr>
        <w:widowControl/>
        <w:topLinePunct/>
        <w:snapToGrid w:val="0"/>
        <w:spacing w:beforeLines="50" w:before="180" w:line="300" w:lineRule="auto"/>
        <w:ind w:rightChars="-59" w:right="-142"/>
        <w:jc w:val="both"/>
        <w:rPr>
          <w:rFonts w:eastAsia="標楷體"/>
          <w:color w:val="FF0000"/>
          <w:sz w:val="28"/>
          <w:szCs w:val="28"/>
        </w:rPr>
      </w:pPr>
    </w:p>
    <w:p w:rsidR="00475675" w:rsidRPr="003111E1" w:rsidRDefault="00475675" w:rsidP="00D50988">
      <w:pPr>
        <w:pStyle w:val="k32"/>
        <w:topLinePunct/>
        <w:ind w:left="0" w:rightChars="-59" w:firstLineChars="0" w:firstLine="0"/>
        <w:rPr>
          <w:b/>
          <w:bCs/>
          <w:color w:val="FF0000"/>
        </w:rPr>
      </w:pPr>
    </w:p>
    <w:p w:rsidR="00462FA9" w:rsidRPr="003111E1" w:rsidRDefault="00462FA9" w:rsidP="00D50988">
      <w:pPr>
        <w:pStyle w:val="k32"/>
        <w:topLinePunct/>
        <w:ind w:left="0" w:rightChars="-59" w:firstLineChars="0" w:firstLine="0"/>
        <w:rPr>
          <w:b/>
          <w:bCs/>
          <w:color w:val="FF0000"/>
        </w:rPr>
      </w:pPr>
    </w:p>
    <w:p w:rsidR="008E3E1B" w:rsidRPr="003111E1" w:rsidRDefault="008E3E1B" w:rsidP="00276BD8">
      <w:pPr>
        <w:pStyle w:val="k32"/>
        <w:topLinePunct/>
        <w:spacing w:beforeLines="100" w:before="360"/>
        <w:ind w:left="0" w:rightChars="-59" w:firstLineChars="0" w:firstLine="0"/>
        <w:rPr>
          <w:b/>
          <w:bCs/>
        </w:rPr>
      </w:pPr>
      <w:r w:rsidRPr="003111E1">
        <w:rPr>
          <w:b/>
          <w:bCs/>
        </w:rPr>
        <w:t>６、</w:t>
      </w:r>
      <w:r w:rsidRPr="003111E1">
        <w:rPr>
          <w:b/>
          <w:bCs/>
        </w:rPr>
        <w:t>10</w:t>
      </w:r>
      <w:r w:rsidR="009F5CFF" w:rsidRPr="003111E1">
        <w:rPr>
          <w:b/>
          <w:bCs/>
        </w:rPr>
        <w:t>2</w:t>
      </w:r>
      <w:r w:rsidRPr="003111E1">
        <w:rPr>
          <w:b/>
          <w:bCs/>
        </w:rPr>
        <w:t>年</w:t>
      </w:r>
      <w:r w:rsidR="00A7204E" w:rsidRPr="003111E1">
        <w:rPr>
          <w:b/>
          <w:bCs/>
        </w:rPr>
        <w:t>6</w:t>
      </w:r>
      <w:r w:rsidR="00D50988" w:rsidRPr="003111E1">
        <w:rPr>
          <w:b/>
          <w:bCs/>
        </w:rPr>
        <w:t>月台灣加權股價平均收盤指數為</w:t>
      </w:r>
      <w:r w:rsidR="00A7204E" w:rsidRPr="003111E1">
        <w:rPr>
          <w:b/>
          <w:bCs/>
        </w:rPr>
        <w:t>7,988.80</w:t>
      </w:r>
    </w:p>
    <w:p w:rsidR="00D50988" w:rsidRPr="003111E1" w:rsidRDefault="00D50988" w:rsidP="001508C5">
      <w:pPr>
        <w:pStyle w:val="k32"/>
        <w:topLinePunct/>
        <w:ind w:leftChars="118" w:left="283" w:rightChars="-59" w:firstLineChars="202" w:firstLine="566"/>
        <w:jc w:val="left"/>
        <w:rPr>
          <w:color w:val="000000" w:themeColor="text1"/>
        </w:rPr>
      </w:pPr>
      <w:bookmarkStart w:id="103" w:name="_Toc349916589"/>
      <w:r w:rsidRPr="003111E1">
        <w:t>台灣股票市場</w:t>
      </w:r>
      <w:r w:rsidRPr="003111E1">
        <w:t>102</w:t>
      </w:r>
      <w:r w:rsidRPr="003111E1">
        <w:t>年</w:t>
      </w:r>
      <w:r w:rsidR="00A7204E" w:rsidRPr="003111E1">
        <w:t>6</w:t>
      </w:r>
      <w:r w:rsidRPr="003111E1">
        <w:t>月平均股價收盤指數為</w:t>
      </w:r>
      <w:r w:rsidR="00A7204E" w:rsidRPr="003111E1">
        <w:t>7</w:t>
      </w:r>
      <w:r w:rsidRPr="003111E1">
        <w:t>,</w:t>
      </w:r>
      <w:r w:rsidR="00A7204E" w:rsidRPr="003111E1">
        <w:t>988.80</w:t>
      </w:r>
      <w:r w:rsidRPr="003111E1">
        <w:t>，較</w:t>
      </w:r>
      <w:r w:rsidR="00D55857">
        <w:rPr>
          <w:rFonts w:hint="eastAsia"/>
        </w:rPr>
        <w:t>上</w:t>
      </w:r>
      <w:r w:rsidR="00D55857">
        <w:rPr>
          <w:rFonts w:hint="eastAsia"/>
        </w:rPr>
        <w:t>5</w:t>
      </w:r>
      <w:r w:rsidR="00D55857">
        <w:rPr>
          <w:rFonts w:hint="eastAsia"/>
        </w:rPr>
        <w:t>月</w:t>
      </w:r>
      <w:r w:rsidRPr="003111E1">
        <w:t>平均收盤指數</w:t>
      </w:r>
      <w:r w:rsidR="00A7204E" w:rsidRPr="003111E1">
        <w:t>8</w:t>
      </w:r>
      <w:r w:rsidRPr="003111E1">
        <w:t>,</w:t>
      </w:r>
      <w:r w:rsidR="00A7204E" w:rsidRPr="003111E1">
        <w:t>272.34</w:t>
      </w:r>
      <w:r w:rsidRPr="003111E1">
        <w:t>，</w:t>
      </w:r>
      <w:r w:rsidR="00A7204E" w:rsidRPr="003111E1">
        <w:t>下跌</w:t>
      </w:r>
      <w:r w:rsidR="00A7204E" w:rsidRPr="003111E1">
        <w:t>3.43</w:t>
      </w:r>
      <w:r w:rsidRPr="003111E1">
        <w:rPr>
          <w:color w:val="000000" w:themeColor="text1"/>
        </w:rPr>
        <w:t>％，較</w:t>
      </w:r>
      <w:r w:rsidR="002D6620">
        <w:rPr>
          <w:rFonts w:hint="eastAsia"/>
          <w:color w:val="000000" w:themeColor="text1"/>
        </w:rPr>
        <w:t>上</w:t>
      </w:r>
      <w:r w:rsidRPr="003111E1">
        <w:rPr>
          <w:color w:val="000000" w:themeColor="text1"/>
        </w:rPr>
        <w:t>年同月</w:t>
      </w:r>
      <w:r w:rsidRPr="003111E1">
        <w:rPr>
          <w:color w:val="000000" w:themeColor="text1"/>
        </w:rPr>
        <w:t>7,</w:t>
      </w:r>
      <w:r w:rsidR="00A7204E" w:rsidRPr="003111E1">
        <w:rPr>
          <w:color w:val="000000" w:themeColor="text1"/>
        </w:rPr>
        <w:t>142</w:t>
      </w:r>
      <w:r w:rsidR="0060489D" w:rsidRPr="003111E1">
        <w:rPr>
          <w:color w:val="000000" w:themeColor="text1"/>
        </w:rPr>
        <w:t>.</w:t>
      </w:r>
      <w:r w:rsidR="00A7204E" w:rsidRPr="003111E1">
        <w:rPr>
          <w:color w:val="000000" w:themeColor="text1"/>
        </w:rPr>
        <w:t>52</w:t>
      </w:r>
      <w:r w:rsidRPr="003111E1">
        <w:rPr>
          <w:color w:val="000000" w:themeColor="text1"/>
        </w:rPr>
        <w:t> </w:t>
      </w:r>
      <w:r w:rsidRPr="003111E1">
        <w:rPr>
          <w:color w:val="000000" w:themeColor="text1"/>
        </w:rPr>
        <w:t>上漲</w:t>
      </w:r>
      <w:r w:rsidR="00CA1F0C" w:rsidRPr="003111E1">
        <w:rPr>
          <w:color w:val="000000" w:themeColor="text1"/>
        </w:rPr>
        <w:t>1</w:t>
      </w:r>
      <w:r w:rsidR="00A7204E" w:rsidRPr="003111E1">
        <w:rPr>
          <w:color w:val="000000" w:themeColor="text1"/>
        </w:rPr>
        <w:t>1</w:t>
      </w:r>
      <w:r w:rsidR="00CA1F0C" w:rsidRPr="003111E1">
        <w:rPr>
          <w:color w:val="000000" w:themeColor="text1"/>
        </w:rPr>
        <w:t>.</w:t>
      </w:r>
      <w:r w:rsidR="00A7204E" w:rsidRPr="003111E1">
        <w:rPr>
          <w:color w:val="000000" w:themeColor="text1"/>
        </w:rPr>
        <w:t>85</w:t>
      </w:r>
      <w:r w:rsidRPr="003111E1">
        <w:rPr>
          <w:color w:val="000000" w:themeColor="text1"/>
        </w:rPr>
        <w:t>％。</w:t>
      </w:r>
    </w:p>
    <w:p w:rsidR="00D50988" w:rsidRPr="003111E1" w:rsidRDefault="00D50988" w:rsidP="00C87B45">
      <w:pPr>
        <w:pStyle w:val="k32"/>
        <w:topLinePunct/>
        <w:spacing w:beforeLines="0" w:before="0"/>
        <w:ind w:left="0" w:rightChars="-59" w:firstLineChars="0" w:firstLine="0"/>
        <w:rPr>
          <w:color w:val="FF0000"/>
        </w:rPr>
      </w:pPr>
      <w:r w:rsidRPr="003111E1">
        <w:rPr>
          <w:rFonts w:eastAsia="新細明體"/>
          <w:noProof/>
          <w:color w:val="FF0000"/>
          <w:kern w:val="2"/>
          <w:sz w:val="24"/>
          <w:szCs w:val="24"/>
        </w:rPr>
        <mc:AlternateContent>
          <mc:Choice Requires="wps">
            <w:drawing>
              <wp:anchor distT="0" distB="0" distL="114300" distR="114300" simplePos="0" relativeHeight="251696640" behindDoc="0" locked="0" layoutInCell="1" allowOverlap="1" wp14:anchorId="04B5E79C" wp14:editId="518305AA">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3D7EBE" w:rsidRPr="008033DF" w:rsidRDefault="003D7EBE"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7"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P92Fi+0AQAAIQMAAA4AAAAAAAAAAAAAAAAALgIAAGRycy9lMm9E&#10;b2MueG1sUEsBAi0AFAAGAAgAAAAhAKJ/hrzfAAAACwEAAA8AAAAAAAAAAAAAAAAADgQAAGRycy9k&#10;b3ducmV2LnhtbFBLBQYAAAAABAAEAPMAAAAaBQAAAAA=&#10;" filled="f" stroked="f">
                <v:textbox>
                  <w:txbxContent>
                    <w:p w:rsidR="003D7EBE" w:rsidRPr="008033DF" w:rsidRDefault="003D7EBE"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Pr="003111E1">
        <w:rPr>
          <w:noProof/>
          <w:color w:val="FF0000"/>
        </w:rPr>
        <w:drawing>
          <wp:inline distT="0" distB="0" distL="0" distR="0" wp14:anchorId="2A7D3B3A" wp14:editId="2155EC33">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111E1">
        <w:rPr>
          <w:color w:val="FF0000"/>
        </w:rPr>
        <w:br w:type="page"/>
      </w:r>
    </w:p>
    <w:p w:rsidR="00576223" w:rsidRPr="003111E1" w:rsidRDefault="00576223" w:rsidP="00F81704">
      <w:pPr>
        <w:pStyle w:val="t-3"/>
        <w:snapToGrid w:val="0"/>
        <w:spacing w:line="300" w:lineRule="auto"/>
        <w:ind w:right="-60"/>
      </w:pPr>
      <w:bookmarkStart w:id="104" w:name="_Toc358042584"/>
      <w:r w:rsidRPr="003111E1">
        <w:lastRenderedPageBreak/>
        <w:t>（九）就業</w:t>
      </w:r>
      <w:bookmarkEnd w:id="97"/>
      <w:bookmarkEnd w:id="98"/>
      <w:bookmarkEnd w:id="99"/>
      <w:bookmarkEnd w:id="100"/>
      <w:bookmarkEnd w:id="101"/>
      <w:bookmarkEnd w:id="102"/>
      <w:bookmarkEnd w:id="103"/>
      <w:bookmarkEnd w:id="104"/>
    </w:p>
    <w:p w:rsidR="007651D7" w:rsidRPr="003111E1" w:rsidRDefault="007651D7" w:rsidP="00F81704">
      <w:pPr>
        <w:pStyle w:val="t-4"/>
        <w:snapToGrid w:val="0"/>
        <w:spacing w:afterLines="0" w:after="0" w:line="300" w:lineRule="auto"/>
        <w:ind w:leftChars="0" w:left="0" w:rightChars="-136" w:right="-326" w:firstLineChars="0" w:firstLine="0"/>
        <w:rPr>
          <w:color w:val="auto"/>
          <w:spacing w:val="-4"/>
        </w:rPr>
      </w:pPr>
      <w:r w:rsidRPr="003111E1">
        <w:rPr>
          <w:color w:val="auto"/>
          <w:spacing w:val="-4"/>
        </w:rPr>
        <w:t>１、</w:t>
      </w:r>
      <w:r w:rsidR="00334A38" w:rsidRPr="003111E1">
        <w:rPr>
          <w:color w:val="auto"/>
          <w:spacing w:val="-4"/>
        </w:rPr>
        <w:t>102</w:t>
      </w:r>
      <w:r w:rsidR="00334A38" w:rsidRPr="003111E1">
        <w:rPr>
          <w:color w:val="auto"/>
          <w:spacing w:val="-4"/>
        </w:rPr>
        <w:t>年</w:t>
      </w:r>
      <w:r w:rsidR="00912BB5" w:rsidRPr="003111E1">
        <w:rPr>
          <w:color w:val="auto"/>
          <w:spacing w:val="-4"/>
        </w:rPr>
        <w:t>6</w:t>
      </w:r>
      <w:r w:rsidR="00334A38" w:rsidRPr="003111E1">
        <w:rPr>
          <w:color w:val="auto"/>
          <w:spacing w:val="-4"/>
        </w:rPr>
        <w:t>月失業率為</w:t>
      </w:r>
      <w:r w:rsidR="00334A38" w:rsidRPr="003111E1">
        <w:rPr>
          <w:color w:val="auto"/>
          <w:spacing w:val="-4"/>
        </w:rPr>
        <w:t>4.</w:t>
      </w:r>
      <w:r w:rsidR="00912BB5" w:rsidRPr="003111E1">
        <w:rPr>
          <w:color w:val="auto"/>
          <w:spacing w:val="-4"/>
        </w:rPr>
        <w:t>14</w:t>
      </w:r>
      <w:r w:rsidR="00334A38" w:rsidRPr="003111E1">
        <w:rPr>
          <w:color w:val="auto"/>
          <w:spacing w:val="-4"/>
        </w:rPr>
        <w:t>％，較</w:t>
      </w:r>
      <w:r w:rsidR="00334A38" w:rsidRPr="003111E1">
        <w:rPr>
          <w:color w:val="auto"/>
          <w:spacing w:val="-4"/>
        </w:rPr>
        <w:t>101</w:t>
      </w:r>
      <w:r w:rsidR="00334A38" w:rsidRPr="003111E1">
        <w:rPr>
          <w:color w:val="auto"/>
          <w:spacing w:val="-4"/>
        </w:rPr>
        <w:t>年同月下降</w:t>
      </w:r>
      <w:r w:rsidR="00334A38" w:rsidRPr="003111E1">
        <w:rPr>
          <w:color w:val="auto"/>
          <w:spacing w:val="-4"/>
        </w:rPr>
        <w:t>0.0</w:t>
      </w:r>
      <w:r w:rsidR="00912BB5" w:rsidRPr="003111E1">
        <w:rPr>
          <w:color w:val="auto"/>
          <w:spacing w:val="-4"/>
        </w:rPr>
        <w:t>7</w:t>
      </w:r>
      <w:r w:rsidR="00334A38" w:rsidRPr="003111E1">
        <w:rPr>
          <w:color w:val="auto"/>
          <w:spacing w:val="-4"/>
        </w:rPr>
        <w:t>個百分點</w:t>
      </w:r>
    </w:p>
    <w:p w:rsidR="00334A38" w:rsidRPr="003111E1" w:rsidRDefault="00334A38" w:rsidP="001508C5">
      <w:pPr>
        <w:pStyle w:val="t-5"/>
        <w:spacing w:before="0"/>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912BB5" w:rsidRPr="003111E1">
        <w:rPr>
          <w:color w:val="auto"/>
        </w:rPr>
        <w:t>6</w:t>
      </w:r>
      <w:r w:rsidRPr="003111E1">
        <w:rPr>
          <w:color w:val="auto"/>
        </w:rPr>
        <w:t>月勞動力為</w:t>
      </w:r>
      <w:r w:rsidRPr="003111E1">
        <w:rPr>
          <w:color w:val="auto"/>
        </w:rPr>
        <w:t>1,</w:t>
      </w:r>
      <w:r w:rsidR="00912BB5" w:rsidRPr="003111E1">
        <w:rPr>
          <w:color w:val="auto"/>
        </w:rPr>
        <w:t>143.2</w:t>
      </w:r>
      <w:r w:rsidRPr="003111E1">
        <w:rPr>
          <w:color w:val="auto"/>
        </w:rPr>
        <w:t>萬人，較</w:t>
      </w:r>
      <w:r w:rsidR="002D6620">
        <w:rPr>
          <w:rFonts w:hint="eastAsia"/>
          <w:color w:val="auto"/>
        </w:rPr>
        <w:t>上</w:t>
      </w:r>
      <w:r w:rsidRPr="003111E1">
        <w:rPr>
          <w:color w:val="auto"/>
        </w:rPr>
        <w:t>年同月增加</w:t>
      </w:r>
      <w:r w:rsidRPr="003111E1">
        <w:rPr>
          <w:color w:val="auto"/>
        </w:rPr>
        <w:t>0.</w:t>
      </w:r>
      <w:r w:rsidR="00912BB5" w:rsidRPr="003111E1">
        <w:rPr>
          <w:color w:val="auto"/>
        </w:rPr>
        <w:t>89</w:t>
      </w:r>
      <w:r w:rsidRPr="003111E1">
        <w:rPr>
          <w:color w:val="auto"/>
        </w:rPr>
        <w:t>％；勞動力參與率為</w:t>
      </w:r>
      <w:r w:rsidRPr="003111E1">
        <w:rPr>
          <w:color w:val="auto"/>
        </w:rPr>
        <w:t>58.</w:t>
      </w:r>
      <w:r w:rsidR="00912BB5" w:rsidRPr="003111E1">
        <w:rPr>
          <w:color w:val="auto"/>
        </w:rPr>
        <w:t>38</w:t>
      </w:r>
      <w:r w:rsidRPr="003111E1">
        <w:rPr>
          <w:color w:val="auto"/>
        </w:rPr>
        <w:t>％，較</w:t>
      </w:r>
      <w:r w:rsidR="002D6620">
        <w:rPr>
          <w:rFonts w:hint="eastAsia"/>
          <w:color w:val="auto"/>
        </w:rPr>
        <w:t>上</w:t>
      </w:r>
      <w:r w:rsidRPr="003111E1">
        <w:rPr>
          <w:color w:val="auto"/>
        </w:rPr>
        <w:t>年同月上升</w:t>
      </w:r>
      <w:r w:rsidRPr="003111E1">
        <w:rPr>
          <w:color w:val="auto"/>
        </w:rPr>
        <w:t>0.0</w:t>
      </w:r>
      <w:r w:rsidR="00912BB5" w:rsidRPr="003111E1">
        <w:rPr>
          <w:color w:val="auto"/>
        </w:rPr>
        <w:t>6</w:t>
      </w:r>
      <w:r w:rsidRPr="003111E1">
        <w:rPr>
          <w:color w:val="auto"/>
        </w:rPr>
        <w:t>個百分點。</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912BB5" w:rsidRPr="003111E1">
        <w:rPr>
          <w:color w:val="auto"/>
        </w:rPr>
        <w:t>6</w:t>
      </w:r>
      <w:r w:rsidRPr="003111E1">
        <w:rPr>
          <w:color w:val="auto"/>
        </w:rPr>
        <w:t>月就業人數為</w:t>
      </w:r>
      <w:r w:rsidRPr="003111E1">
        <w:rPr>
          <w:color w:val="auto"/>
        </w:rPr>
        <w:t>1,</w:t>
      </w:r>
      <w:r w:rsidR="00912BB5" w:rsidRPr="003111E1">
        <w:rPr>
          <w:color w:val="auto"/>
        </w:rPr>
        <w:t>095.9</w:t>
      </w:r>
      <w:r w:rsidRPr="003111E1">
        <w:rPr>
          <w:color w:val="auto"/>
        </w:rPr>
        <w:t>萬人，較</w:t>
      </w:r>
      <w:r w:rsidR="002D6620">
        <w:rPr>
          <w:rFonts w:hint="eastAsia"/>
          <w:color w:val="auto"/>
        </w:rPr>
        <w:t>上年</w:t>
      </w:r>
      <w:r w:rsidRPr="003111E1">
        <w:rPr>
          <w:color w:val="auto"/>
        </w:rPr>
        <w:t>同月增加</w:t>
      </w:r>
      <w:r w:rsidR="00A114A0" w:rsidRPr="003111E1">
        <w:rPr>
          <w:color w:val="auto"/>
        </w:rPr>
        <w:t>0.9</w:t>
      </w:r>
      <w:r w:rsidR="00912BB5" w:rsidRPr="003111E1">
        <w:rPr>
          <w:color w:val="auto"/>
        </w:rPr>
        <w:t>7</w:t>
      </w:r>
      <w:r w:rsidRPr="003111E1">
        <w:rPr>
          <w:color w:val="auto"/>
        </w:rPr>
        <w:t>％。</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912BB5" w:rsidRPr="003111E1">
        <w:rPr>
          <w:color w:val="auto"/>
        </w:rPr>
        <w:t>6</w:t>
      </w:r>
      <w:r w:rsidRPr="003111E1">
        <w:rPr>
          <w:color w:val="auto"/>
        </w:rPr>
        <w:t>月失業人數為</w:t>
      </w:r>
      <w:r w:rsidRPr="003111E1">
        <w:rPr>
          <w:color w:val="auto"/>
        </w:rPr>
        <w:t>4</w:t>
      </w:r>
      <w:r w:rsidR="00912BB5" w:rsidRPr="003111E1">
        <w:rPr>
          <w:color w:val="auto"/>
        </w:rPr>
        <w:t>7.3</w:t>
      </w:r>
      <w:r w:rsidRPr="003111E1">
        <w:rPr>
          <w:color w:val="auto"/>
        </w:rPr>
        <w:t>萬人，失業率為</w:t>
      </w:r>
      <w:r w:rsidRPr="003111E1">
        <w:rPr>
          <w:color w:val="auto"/>
        </w:rPr>
        <w:t>4.</w:t>
      </w:r>
      <w:r w:rsidR="00912BB5" w:rsidRPr="003111E1">
        <w:rPr>
          <w:color w:val="auto"/>
        </w:rPr>
        <w:t>14</w:t>
      </w:r>
      <w:r w:rsidRPr="003111E1">
        <w:rPr>
          <w:color w:val="auto"/>
        </w:rPr>
        <w:t>％，較</w:t>
      </w:r>
      <w:r w:rsidR="002D6620">
        <w:rPr>
          <w:rFonts w:hint="eastAsia"/>
          <w:color w:val="auto"/>
        </w:rPr>
        <w:t>上</w:t>
      </w:r>
      <w:r w:rsidRPr="003111E1">
        <w:rPr>
          <w:color w:val="auto"/>
        </w:rPr>
        <w:t>年同月下降</w:t>
      </w:r>
      <w:r w:rsidRPr="003111E1">
        <w:rPr>
          <w:color w:val="auto"/>
        </w:rPr>
        <w:t>0.0</w:t>
      </w:r>
      <w:r w:rsidR="00912BB5" w:rsidRPr="003111E1">
        <w:rPr>
          <w:color w:val="auto"/>
        </w:rPr>
        <w:t>7</w:t>
      </w:r>
      <w:r w:rsidRPr="003111E1">
        <w:rPr>
          <w:color w:val="auto"/>
        </w:rPr>
        <w:t>個百分點。</w:t>
      </w:r>
    </w:p>
    <w:p w:rsidR="007651D7"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912BB5" w:rsidRPr="003111E1">
        <w:rPr>
          <w:color w:val="auto"/>
        </w:rPr>
        <w:t>6</w:t>
      </w:r>
      <w:r w:rsidRPr="003111E1">
        <w:rPr>
          <w:color w:val="auto"/>
        </w:rPr>
        <w:t>月就業結構：農業</w:t>
      </w:r>
      <w:r w:rsidRPr="003111E1">
        <w:rPr>
          <w:color w:val="auto"/>
        </w:rPr>
        <w:t>54.</w:t>
      </w:r>
      <w:r w:rsidR="00587D6B" w:rsidRPr="003111E1">
        <w:rPr>
          <w:color w:val="auto"/>
        </w:rPr>
        <w:t>3</w:t>
      </w:r>
      <w:r w:rsidRPr="003111E1">
        <w:rPr>
          <w:color w:val="auto"/>
        </w:rPr>
        <w:t>萬人（占</w:t>
      </w:r>
      <w:r w:rsidRPr="003111E1">
        <w:rPr>
          <w:color w:val="auto"/>
        </w:rPr>
        <w:t>4.9</w:t>
      </w:r>
      <w:r w:rsidR="00137E3E" w:rsidRPr="003111E1">
        <w:rPr>
          <w:color w:val="auto"/>
        </w:rPr>
        <w:t>5</w:t>
      </w:r>
      <w:r w:rsidRPr="003111E1">
        <w:rPr>
          <w:color w:val="auto"/>
        </w:rPr>
        <w:t>％），工業</w:t>
      </w:r>
      <w:r w:rsidRPr="003111E1">
        <w:rPr>
          <w:color w:val="auto"/>
        </w:rPr>
        <w:t>395.</w:t>
      </w:r>
      <w:r w:rsidR="00587D6B" w:rsidRPr="003111E1">
        <w:rPr>
          <w:color w:val="auto"/>
        </w:rPr>
        <w:t>8</w:t>
      </w:r>
      <w:r w:rsidRPr="003111E1">
        <w:rPr>
          <w:color w:val="auto"/>
        </w:rPr>
        <w:t>萬人（占</w:t>
      </w:r>
      <w:r w:rsidRPr="003111E1">
        <w:rPr>
          <w:color w:val="auto"/>
        </w:rPr>
        <w:t>36.</w:t>
      </w:r>
      <w:r w:rsidR="00393B8F" w:rsidRPr="003111E1">
        <w:rPr>
          <w:color w:val="auto"/>
        </w:rPr>
        <w:t>1</w:t>
      </w:r>
      <w:r w:rsidR="00912BB5" w:rsidRPr="003111E1">
        <w:rPr>
          <w:color w:val="auto"/>
        </w:rPr>
        <w:t>1</w:t>
      </w:r>
      <w:r w:rsidRPr="003111E1">
        <w:rPr>
          <w:color w:val="auto"/>
        </w:rPr>
        <w:t>％），服務業</w:t>
      </w:r>
      <w:r w:rsidRPr="003111E1">
        <w:rPr>
          <w:color w:val="auto"/>
        </w:rPr>
        <w:t>64</w:t>
      </w:r>
      <w:r w:rsidR="00587D6B" w:rsidRPr="003111E1">
        <w:rPr>
          <w:color w:val="auto"/>
        </w:rPr>
        <w:t>5</w:t>
      </w:r>
      <w:r w:rsidRPr="003111E1">
        <w:rPr>
          <w:color w:val="auto"/>
        </w:rPr>
        <w:t>.</w:t>
      </w:r>
      <w:r w:rsidR="00587D6B" w:rsidRPr="003111E1">
        <w:rPr>
          <w:color w:val="auto"/>
        </w:rPr>
        <w:t>9</w:t>
      </w:r>
      <w:r w:rsidRPr="003111E1">
        <w:rPr>
          <w:color w:val="auto"/>
        </w:rPr>
        <w:t>萬人（占</w:t>
      </w:r>
      <w:r w:rsidRPr="003111E1">
        <w:rPr>
          <w:color w:val="auto"/>
        </w:rPr>
        <w:t>58.</w:t>
      </w:r>
      <w:r w:rsidR="00137E3E" w:rsidRPr="003111E1">
        <w:rPr>
          <w:color w:val="auto"/>
        </w:rPr>
        <w:t>93</w:t>
      </w:r>
      <w:r w:rsidRPr="003111E1">
        <w:rPr>
          <w:color w:val="auto"/>
        </w:rPr>
        <w:t>％）。</w:t>
      </w:r>
    </w:p>
    <w:p w:rsidR="007651D7" w:rsidRPr="003111E1" w:rsidRDefault="007651D7" w:rsidP="00276BD8">
      <w:pPr>
        <w:snapToGrid w:val="0"/>
        <w:spacing w:beforeLines="50" w:before="180" w:line="300" w:lineRule="auto"/>
        <w:ind w:rightChars="-511" w:right="-1226"/>
        <w:jc w:val="center"/>
        <w:rPr>
          <w:rFonts w:eastAsia="標楷體"/>
          <w:szCs w:val="28"/>
        </w:rPr>
      </w:pPr>
      <w:r w:rsidRPr="003111E1">
        <w:rPr>
          <w:rFonts w:eastAsia="標楷體"/>
          <w:b/>
          <w:bCs/>
          <w:sz w:val="28"/>
        </w:rPr>
        <w:t>表</w:t>
      </w:r>
      <w:r w:rsidRPr="003111E1">
        <w:rPr>
          <w:rFonts w:eastAsia="標楷體"/>
          <w:b/>
          <w:bCs/>
          <w:sz w:val="28"/>
        </w:rPr>
        <w:t xml:space="preserve"> 2-9-1  </w:t>
      </w:r>
      <w:r w:rsidRPr="003111E1">
        <w:rPr>
          <w:rFonts w:eastAsia="標楷體"/>
          <w:b/>
          <w:bCs/>
          <w:sz w:val="28"/>
        </w:rPr>
        <w:t>就業市場相關指標</w:t>
      </w:r>
      <w:r w:rsidRPr="003111E1">
        <w:rPr>
          <w:rFonts w:eastAsia="標楷體"/>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12BB5" w:rsidRPr="003111E1" w:rsidTr="00C13AF8">
        <w:trPr>
          <w:cantSplit/>
          <w:jc w:val="center"/>
        </w:trPr>
        <w:tc>
          <w:tcPr>
            <w:tcW w:w="1505" w:type="dxa"/>
            <w:vMerge w:val="restart"/>
            <w:tcBorders>
              <w:right w:val="single" w:sz="4" w:space="0" w:color="auto"/>
            </w:tcBorders>
            <w:vAlign w:val="center"/>
          </w:tcPr>
          <w:p w:rsidR="007651D7" w:rsidRPr="003111E1" w:rsidRDefault="007651D7" w:rsidP="003010F5">
            <w:pPr>
              <w:snapToGrid w:val="0"/>
              <w:spacing w:line="320" w:lineRule="exact"/>
              <w:jc w:val="both"/>
              <w:rPr>
                <w:rFonts w:eastAsia="標楷體"/>
                <w:b/>
                <w:bCs/>
                <w:w w:val="95"/>
              </w:rPr>
            </w:pPr>
            <w:r w:rsidRPr="003111E1">
              <w:rPr>
                <w:rFonts w:eastAsia="標楷體"/>
                <w:spacing w:val="-20"/>
                <w:w w:val="95"/>
              </w:rPr>
              <w:t>年</w:t>
            </w:r>
            <w:r w:rsidRPr="003111E1">
              <w:rPr>
                <w:rFonts w:eastAsia="標楷體"/>
                <w:spacing w:val="-20"/>
                <w:w w:val="95"/>
              </w:rPr>
              <w:t>(</w:t>
            </w:r>
            <w:r w:rsidRPr="003111E1">
              <w:rPr>
                <w:rFonts w:eastAsia="標楷體"/>
                <w:spacing w:val="-20"/>
                <w:w w:val="95"/>
              </w:rPr>
              <w:t>月</w:t>
            </w:r>
            <w:r w:rsidRPr="003111E1">
              <w:rPr>
                <w:rFonts w:eastAsia="標楷體"/>
                <w:spacing w:val="-20"/>
                <w:w w:val="95"/>
              </w:rPr>
              <w:t>)</w:t>
            </w:r>
          </w:p>
        </w:tc>
        <w:tc>
          <w:tcPr>
            <w:tcW w:w="1983" w:type="dxa"/>
            <w:gridSpan w:val="3"/>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w:t>
            </w:r>
            <w:r w:rsidRPr="003111E1">
              <w:rPr>
                <w:rFonts w:eastAsia="標楷體"/>
                <w:spacing w:val="-20"/>
                <w:w w:val="95"/>
              </w:rPr>
              <w:t>(</w:t>
            </w:r>
            <w:r w:rsidRPr="003111E1">
              <w:rPr>
                <w:rFonts w:eastAsia="標楷體"/>
                <w:spacing w:val="-20"/>
                <w:w w:val="95"/>
              </w:rPr>
              <w:t>萬人</w:t>
            </w:r>
            <w:r w:rsidRPr="003111E1">
              <w:rPr>
                <w:rFonts w:eastAsia="標楷體"/>
                <w:spacing w:val="-20"/>
                <w:w w:val="95"/>
              </w:rPr>
              <w:t>)</w:t>
            </w:r>
          </w:p>
        </w:tc>
        <w:tc>
          <w:tcPr>
            <w:tcW w:w="684"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勞動力參與率</w:t>
            </w: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590" w:type="dxa"/>
            <w:gridSpan w:val="4"/>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就業者結構</w:t>
            </w:r>
            <w:r w:rsidRPr="003111E1">
              <w:rPr>
                <w:rFonts w:eastAsia="標楷體"/>
                <w:spacing w:val="-20"/>
                <w:w w:val="95"/>
              </w:rPr>
              <w:t xml:space="preserve"> (</w:t>
            </w:r>
            <w:r w:rsidRPr="003111E1">
              <w:rPr>
                <w:rFonts w:eastAsia="標楷體"/>
                <w:w w:val="95"/>
                <w:szCs w:val="28"/>
              </w:rPr>
              <w:t>萬人</w:t>
            </w:r>
            <w:r w:rsidRPr="003111E1">
              <w:rPr>
                <w:rFonts w:eastAsia="標楷體"/>
                <w:spacing w:val="-20"/>
                <w:w w:val="95"/>
              </w:rPr>
              <w:t>)</w:t>
            </w:r>
          </w:p>
        </w:tc>
        <w:tc>
          <w:tcPr>
            <w:tcW w:w="712"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失業率</w:t>
            </w:r>
          </w:p>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146" w:type="dxa"/>
            <w:gridSpan w:val="3"/>
            <w:tcBorders>
              <w:lef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失業者按年齡分</w:t>
            </w:r>
            <w:r w:rsidRPr="003111E1">
              <w:rPr>
                <w:rFonts w:eastAsia="標楷體"/>
                <w:spacing w:val="-20"/>
                <w:w w:val="95"/>
              </w:rPr>
              <w:t>(</w:t>
            </w:r>
            <w:r w:rsidRPr="003111E1">
              <w:rPr>
                <w:rFonts w:eastAsia="標楷體"/>
                <w:w w:val="95"/>
                <w:szCs w:val="28"/>
              </w:rPr>
              <w:t>千人</w:t>
            </w:r>
            <w:r w:rsidRPr="003111E1">
              <w:rPr>
                <w:rFonts w:eastAsia="標楷體"/>
                <w:spacing w:val="-20"/>
                <w:w w:val="95"/>
              </w:rPr>
              <w:t>)</w:t>
            </w:r>
          </w:p>
        </w:tc>
      </w:tr>
      <w:tr w:rsidR="00912BB5" w:rsidRPr="003111E1" w:rsidTr="00C13AF8">
        <w:trPr>
          <w:cantSplit/>
          <w:trHeight w:val="134"/>
          <w:jc w:val="center"/>
        </w:trPr>
        <w:tc>
          <w:tcPr>
            <w:tcW w:w="1505" w:type="dxa"/>
            <w:vMerge/>
            <w:tcBorders>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失業者</w:t>
            </w:r>
          </w:p>
        </w:tc>
        <w:tc>
          <w:tcPr>
            <w:tcW w:w="684"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農業</w:t>
            </w:r>
          </w:p>
        </w:tc>
        <w:tc>
          <w:tcPr>
            <w:tcW w:w="651" w:type="dxa"/>
            <w:vMerge w:val="restart"/>
            <w:tcBorders>
              <w:left w:val="single" w:sz="4" w:space="0" w:color="auto"/>
              <w:right w:val="nil"/>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工業</w:t>
            </w:r>
          </w:p>
        </w:tc>
        <w:tc>
          <w:tcPr>
            <w:tcW w:w="742" w:type="dxa"/>
            <w:tcBorders>
              <w:left w:val="nil"/>
              <w:right w:val="single" w:sz="4" w:space="0" w:color="auto"/>
            </w:tcBorders>
          </w:tcPr>
          <w:p w:rsidR="007651D7" w:rsidRPr="003111E1"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服務業</w:t>
            </w:r>
          </w:p>
        </w:tc>
        <w:tc>
          <w:tcPr>
            <w:tcW w:w="712"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15-24</w:t>
            </w:r>
            <w:r w:rsidRPr="003111E1">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25-44</w:t>
            </w:r>
            <w:r w:rsidRPr="003111E1">
              <w:rPr>
                <w:rFonts w:eastAsia="標楷體"/>
                <w:spacing w:val="-20"/>
                <w:w w:val="95"/>
              </w:rPr>
              <w:t>歲</w:t>
            </w:r>
          </w:p>
        </w:tc>
        <w:tc>
          <w:tcPr>
            <w:tcW w:w="742" w:type="dxa"/>
            <w:vMerge w:val="restart"/>
            <w:tcBorders>
              <w:lef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45-64</w:t>
            </w:r>
            <w:r w:rsidRPr="003111E1">
              <w:rPr>
                <w:rFonts w:eastAsia="標楷體"/>
                <w:spacing w:val="-20"/>
                <w:w w:val="95"/>
              </w:rPr>
              <w:t>歲</w:t>
            </w:r>
          </w:p>
        </w:tc>
      </w:tr>
      <w:tr w:rsidR="00912BB5" w:rsidRPr="003111E1" w:rsidTr="00C13AF8">
        <w:trPr>
          <w:cantSplit/>
          <w:jc w:val="center"/>
        </w:trPr>
        <w:tc>
          <w:tcPr>
            <w:tcW w:w="1505" w:type="dxa"/>
            <w:vMerge/>
            <w:tcBorders>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3111E1" w:rsidRDefault="007651D7" w:rsidP="003010F5">
            <w:pPr>
              <w:snapToGrid w:val="0"/>
              <w:spacing w:line="320" w:lineRule="exact"/>
              <w:jc w:val="center"/>
              <w:rPr>
                <w:rFonts w:eastAsia="標楷體"/>
                <w:spacing w:val="-20"/>
                <w:w w:val="95"/>
              </w:rPr>
            </w:pP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98</w:t>
            </w:r>
            <w:r w:rsidR="007651D7" w:rsidRPr="003111E1">
              <w:rPr>
                <w:rFonts w:eastAsia="標楷體"/>
                <w:b/>
                <w:bCs/>
                <w:w w:val="95"/>
              </w:rPr>
              <w:t>年</w:t>
            </w:r>
          </w:p>
        </w:tc>
        <w:tc>
          <w:tcPr>
            <w:tcW w:w="633" w:type="dxa"/>
            <w:tcBorders>
              <w:top w:val="nil"/>
              <w:left w:val="single" w:sz="4" w:space="0" w:color="auto"/>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1,091.7</w:t>
            </w:r>
          </w:p>
        </w:tc>
        <w:tc>
          <w:tcPr>
            <w:tcW w:w="726"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1,027.9</w:t>
            </w:r>
          </w:p>
        </w:tc>
        <w:tc>
          <w:tcPr>
            <w:tcW w:w="624"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63.9</w:t>
            </w:r>
          </w:p>
        </w:tc>
        <w:tc>
          <w:tcPr>
            <w:tcW w:w="684"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57.90</w:t>
            </w:r>
          </w:p>
        </w:tc>
        <w:tc>
          <w:tcPr>
            <w:tcW w:w="5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54.3</w:t>
            </w:r>
          </w:p>
        </w:tc>
        <w:tc>
          <w:tcPr>
            <w:tcW w:w="651"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368.4</w:t>
            </w:r>
          </w:p>
        </w:tc>
        <w:tc>
          <w:tcPr>
            <w:tcW w:w="7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279.0</w:t>
            </w:r>
          </w:p>
        </w:tc>
        <w:tc>
          <w:tcPr>
            <w:tcW w:w="655"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605.1</w:t>
            </w:r>
          </w:p>
        </w:tc>
        <w:tc>
          <w:tcPr>
            <w:tcW w:w="71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5.85</w:t>
            </w:r>
          </w:p>
        </w:tc>
        <w:tc>
          <w:tcPr>
            <w:tcW w:w="66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12.7</w:t>
            </w:r>
          </w:p>
        </w:tc>
        <w:tc>
          <w:tcPr>
            <w:tcW w:w="742" w:type="dxa"/>
            <w:tcBorders>
              <w:top w:val="nil"/>
              <w:left w:val="nil"/>
              <w:bottom w:val="nil"/>
              <w:right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37.2</w:t>
            </w:r>
          </w:p>
        </w:tc>
        <w:tc>
          <w:tcPr>
            <w:tcW w:w="742" w:type="dxa"/>
            <w:tcBorders>
              <w:top w:val="nil"/>
              <w:left w:val="nil"/>
              <w:bottom w:val="nil"/>
            </w:tcBorders>
            <w:vAlign w:val="center"/>
          </w:tcPr>
          <w:p w:rsidR="007651D7" w:rsidRPr="003111E1" w:rsidRDefault="007651D7" w:rsidP="00C13AF8">
            <w:pPr>
              <w:snapToGrid w:val="0"/>
              <w:spacing w:line="260" w:lineRule="atLeast"/>
              <w:jc w:val="center"/>
              <w:rPr>
                <w:rFonts w:eastAsia="標楷體"/>
                <w:b/>
                <w:bCs/>
                <w:snapToGrid w:val="0"/>
                <w:spacing w:val="-20"/>
                <w:w w:val="95"/>
              </w:rPr>
            </w:pPr>
            <w:r w:rsidRPr="003111E1">
              <w:rPr>
                <w:rFonts w:eastAsia="標楷體"/>
                <w:b/>
                <w:bCs/>
                <w:snapToGrid w:val="0"/>
                <w:spacing w:val="-20"/>
                <w:w w:val="95"/>
              </w:rPr>
              <w:t>13.9</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99</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1,107.0</w:t>
            </w:r>
          </w:p>
        </w:tc>
        <w:tc>
          <w:tcPr>
            <w:tcW w:w="726"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1,049.3</w:t>
            </w:r>
          </w:p>
        </w:tc>
        <w:tc>
          <w:tcPr>
            <w:tcW w:w="624"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57.7</w:t>
            </w:r>
          </w:p>
        </w:tc>
        <w:tc>
          <w:tcPr>
            <w:tcW w:w="68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58.07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55.0</w:t>
            </w:r>
          </w:p>
        </w:tc>
        <w:tc>
          <w:tcPr>
            <w:tcW w:w="651"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376.9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286.1</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617.4</w:t>
            </w:r>
          </w:p>
        </w:tc>
        <w:tc>
          <w:tcPr>
            <w:tcW w:w="712" w:type="dxa"/>
            <w:tcBorders>
              <w:top w:val="nil"/>
              <w:left w:val="nil"/>
              <w:bottom w:val="nil"/>
              <w:right w:val="nil"/>
            </w:tcBorders>
            <w:vAlign w:val="center"/>
          </w:tcPr>
          <w:p w:rsidR="007651D7" w:rsidRPr="003111E1" w:rsidRDefault="007651D7" w:rsidP="00C13AF8">
            <w:pPr>
              <w:pStyle w:val="t12"/>
              <w:overflowPunct/>
              <w:autoSpaceDE/>
              <w:autoSpaceDN/>
              <w:snapToGrid w:val="0"/>
              <w:spacing w:beforeLines="0" w:before="0" w:afterLines="0" w:after="0" w:line="260" w:lineRule="atLeast"/>
              <w:textAlignment w:val="auto"/>
              <w:rPr>
                <w:rFonts w:ascii="Times New Roman" w:eastAsia="標楷體" w:hAnsi="Times New Roman"/>
                <w:bCs/>
                <w:snapToGrid w:val="0"/>
                <w:spacing w:val="0"/>
                <w:w w:val="95"/>
                <w:kern w:val="2"/>
              </w:rPr>
            </w:pPr>
            <w:r w:rsidRPr="003111E1">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11.4</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33.7</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12.5</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b/>
                <w:bCs/>
                <w:w w:val="95"/>
              </w:rPr>
            </w:pPr>
            <w:r w:rsidRPr="003111E1">
              <w:rPr>
                <w:rFonts w:eastAsia="標楷體"/>
                <w:b/>
                <w:bCs/>
                <w:w w:val="95"/>
              </w:rPr>
              <w:t xml:space="preserve"> </w:t>
            </w:r>
            <w:r w:rsidR="007651D7" w:rsidRPr="003111E1">
              <w:rPr>
                <w:rFonts w:eastAsia="標楷體"/>
                <w:b/>
                <w:bCs/>
                <w:w w:val="95"/>
              </w:rPr>
              <w:t>100</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1,120.0</w:t>
            </w:r>
          </w:p>
        </w:tc>
        <w:tc>
          <w:tcPr>
            <w:tcW w:w="726"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1,070.9</w:t>
            </w:r>
          </w:p>
        </w:tc>
        <w:tc>
          <w:tcPr>
            <w:tcW w:w="62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49.1</w:t>
            </w:r>
          </w:p>
        </w:tc>
        <w:tc>
          <w:tcPr>
            <w:tcW w:w="684"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szCs w:val="18"/>
              </w:rPr>
            </w:pPr>
            <w:r w:rsidRPr="003111E1">
              <w:rPr>
                <w:b/>
                <w:bCs/>
                <w:spacing w:val="-20"/>
                <w:szCs w:val="18"/>
              </w:rPr>
              <w:t>58.17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54.2</w:t>
            </w:r>
          </w:p>
        </w:tc>
        <w:tc>
          <w:tcPr>
            <w:tcW w:w="651"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389.2</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294.8</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627.5</w:t>
            </w:r>
          </w:p>
        </w:tc>
        <w:tc>
          <w:tcPr>
            <w:tcW w:w="712" w:type="dxa"/>
            <w:tcBorders>
              <w:top w:val="nil"/>
              <w:left w:val="nil"/>
              <w:bottom w:val="nil"/>
              <w:right w:val="nil"/>
            </w:tcBorders>
            <w:vAlign w:val="center"/>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281</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101</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w w:val="95"/>
              </w:rPr>
            </w:pPr>
            <w:r w:rsidRPr="003111E1">
              <w:rPr>
                <w:rFonts w:eastAsia="標楷體"/>
                <w:b/>
                <w:bCs/>
                <w:w w:val="95"/>
              </w:rPr>
              <w:t xml:space="preserve"> </w:t>
            </w:r>
            <w:r w:rsidR="007651D7" w:rsidRPr="003111E1">
              <w:rPr>
                <w:rFonts w:eastAsia="標楷體"/>
                <w:b/>
                <w:bCs/>
                <w:w w:val="95"/>
              </w:rPr>
              <w:t>101</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1,13</w:t>
            </w:r>
            <w:r w:rsidR="0076263E" w:rsidRPr="003111E1">
              <w:rPr>
                <w:rFonts w:eastAsia="新細明體"/>
                <w:b/>
                <w:bCs/>
                <w:spacing w:val="-20"/>
                <w:kern w:val="2"/>
                <w:szCs w:val="18"/>
              </w:rPr>
              <w:t>4</w:t>
            </w:r>
            <w:r w:rsidRPr="003111E1">
              <w:rPr>
                <w:rFonts w:eastAsia="新細明體"/>
                <w:b/>
                <w:bCs/>
                <w:spacing w:val="-20"/>
                <w:kern w:val="2"/>
                <w:szCs w:val="18"/>
              </w:rPr>
              <w:t>.</w:t>
            </w:r>
            <w:r w:rsidR="0076263E" w:rsidRPr="003111E1">
              <w:rPr>
                <w:rFonts w:eastAsia="新細明體"/>
                <w:b/>
                <w:bCs/>
                <w:spacing w:val="-20"/>
                <w:kern w:val="2"/>
                <w:szCs w:val="18"/>
              </w:rPr>
              <w:t>1</w:t>
            </w:r>
          </w:p>
        </w:tc>
        <w:tc>
          <w:tcPr>
            <w:tcW w:w="726" w:type="dxa"/>
            <w:tcBorders>
              <w:top w:val="nil"/>
              <w:left w:val="nil"/>
              <w:bottom w:val="nil"/>
              <w:right w:val="nil"/>
            </w:tcBorders>
            <w:vAlign w:val="bottom"/>
          </w:tcPr>
          <w:p w:rsidR="007651D7" w:rsidRPr="003111E1" w:rsidRDefault="008B0E10" w:rsidP="00C13AF8">
            <w:pPr>
              <w:snapToGrid w:val="0"/>
              <w:spacing w:line="260" w:lineRule="atLeast"/>
              <w:jc w:val="center"/>
              <w:rPr>
                <w:b/>
                <w:bCs/>
                <w:spacing w:val="-20"/>
                <w:szCs w:val="18"/>
              </w:rPr>
            </w:pPr>
            <w:r w:rsidRPr="003111E1">
              <w:rPr>
                <w:b/>
                <w:bCs/>
                <w:spacing w:val="-20"/>
                <w:szCs w:val="18"/>
              </w:rPr>
              <w:t>1,08</w:t>
            </w:r>
            <w:r w:rsidR="0076263E" w:rsidRPr="003111E1">
              <w:rPr>
                <w:b/>
                <w:bCs/>
                <w:spacing w:val="-20"/>
                <w:szCs w:val="18"/>
              </w:rPr>
              <w:t>6</w:t>
            </w:r>
            <w:r w:rsidRPr="003111E1">
              <w:rPr>
                <w:b/>
                <w:bCs/>
                <w:spacing w:val="-20"/>
                <w:szCs w:val="18"/>
              </w:rPr>
              <w:t>.</w:t>
            </w:r>
            <w:r w:rsidR="0076263E" w:rsidRPr="003111E1">
              <w:rPr>
                <w:b/>
                <w:bCs/>
                <w:spacing w:val="-20"/>
                <w:szCs w:val="18"/>
              </w:rPr>
              <w:t>0</w:t>
            </w:r>
          </w:p>
        </w:tc>
        <w:tc>
          <w:tcPr>
            <w:tcW w:w="624" w:type="dxa"/>
            <w:tcBorders>
              <w:top w:val="nil"/>
              <w:left w:val="nil"/>
              <w:bottom w:val="nil"/>
              <w:right w:val="nil"/>
            </w:tcBorders>
            <w:vAlign w:val="bottom"/>
          </w:tcPr>
          <w:p w:rsidR="007651D7" w:rsidRPr="003111E1" w:rsidRDefault="008B0E10" w:rsidP="00C13AF8">
            <w:pPr>
              <w:snapToGrid w:val="0"/>
              <w:spacing w:line="260" w:lineRule="atLeast"/>
              <w:jc w:val="center"/>
              <w:rPr>
                <w:b/>
                <w:bCs/>
                <w:spacing w:val="-20"/>
                <w:szCs w:val="18"/>
              </w:rPr>
            </w:pPr>
            <w:r w:rsidRPr="003111E1">
              <w:rPr>
                <w:b/>
                <w:bCs/>
                <w:spacing w:val="-20"/>
                <w:szCs w:val="18"/>
              </w:rPr>
              <w:t>48</w:t>
            </w:r>
            <w:r w:rsidR="003B1BF7" w:rsidRPr="003111E1">
              <w:rPr>
                <w:b/>
                <w:bCs/>
                <w:spacing w:val="-20"/>
                <w:szCs w:val="18"/>
              </w:rPr>
              <w:t>.</w:t>
            </w:r>
            <w:r w:rsidRPr="003111E1">
              <w:rPr>
                <w:b/>
                <w:bCs/>
                <w:spacing w:val="-20"/>
                <w:szCs w:val="18"/>
              </w:rPr>
              <w:t>1</w:t>
            </w:r>
          </w:p>
        </w:tc>
        <w:tc>
          <w:tcPr>
            <w:tcW w:w="684" w:type="dxa"/>
            <w:tcBorders>
              <w:top w:val="nil"/>
              <w:left w:val="nil"/>
              <w:bottom w:val="nil"/>
              <w:right w:val="nil"/>
            </w:tcBorders>
            <w:vAlign w:val="bottom"/>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58.3</w:t>
            </w:r>
            <w:r w:rsidR="0076263E" w:rsidRPr="003111E1">
              <w:rPr>
                <w:rFonts w:eastAsia="新細明體"/>
                <w:b/>
                <w:bCs/>
                <w:spacing w:val="-20"/>
                <w:kern w:val="2"/>
                <w:szCs w:val="18"/>
              </w:rPr>
              <w:t>5</w:t>
            </w:r>
          </w:p>
        </w:tc>
        <w:tc>
          <w:tcPr>
            <w:tcW w:w="542"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54.4</w:t>
            </w:r>
          </w:p>
        </w:tc>
        <w:tc>
          <w:tcPr>
            <w:tcW w:w="651"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393.</w:t>
            </w:r>
            <w:r w:rsidR="00EF5DCB" w:rsidRPr="003111E1">
              <w:rPr>
                <w:b/>
                <w:bCs/>
                <w:spacing w:val="-20"/>
              </w:rPr>
              <w:t>5</w:t>
            </w:r>
          </w:p>
        </w:tc>
        <w:tc>
          <w:tcPr>
            <w:tcW w:w="742" w:type="dxa"/>
            <w:tcBorders>
              <w:top w:val="nil"/>
              <w:left w:val="nil"/>
              <w:bottom w:val="nil"/>
              <w:right w:val="nil"/>
            </w:tcBorders>
            <w:vAlign w:val="bottom"/>
          </w:tcPr>
          <w:p w:rsidR="007651D7" w:rsidRPr="003111E1" w:rsidRDefault="00914497" w:rsidP="00C13AF8">
            <w:pPr>
              <w:snapToGrid w:val="0"/>
              <w:spacing w:line="260" w:lineRule="atLeast"/>
              <w:jc w:val="center"/>
              <w:rPr>
                <w:b/>
                <w:bCs/>
                <w:spacing w:val="-20"/>
              </w:rPr>
            </w:pPr>
            <w:r w:rsidRPr="003111E1">
              <w:rPr>
                <w:b/>
                <w:bCs/>
                <w:spacing w:val="-20"/>
              </w:rPr>
              <w:t>297.</w:t>
            </w:r>
            <w:r w:rsidR="00EF5DCB" w:rsidRPr="003111E1">
              <w:rPr>
                <w:b/>
                <w:bCs/>
                <w:spacing w:val="-20"/>
              </w:rPr>
              <w:t>5</w:t>
            </w:r>
          </w:p>
        </w:tc>
        <w:tc>
          <w:tcPr>
            <w:tcW w:w="655"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63</w:t>
            </w:r>
            <w:r w:rsidR="00EF5DCB" w:rsidRPr="003111E1">
              <w:rPr>
                <w:b/>
                <w:bCs/>
                <w:spacing w:val="-20"/>
              </w:rPr>
              <w:t>8</w:t>
            </w:r>
            <w:r w:rsidRPr="003111E1">
              <w:rPr>
                <w:b/>
                <w:bCs/>
                <w:spacing w:val="-20"/>
              </w:rPr>
              <w:t>.</w:t>
            </w:r>
            <w:r w:rsidR="00EF5DCB" w:rsidRPr="003111E1">
              <w:rPr>
                <w:b/>
                <w:bCs/>
                <w:spacing w:val="-20"/>
              </w:rPr>
              <w:t>1</w:t>
            </w:r>
          </w:p>
        </w:tc>
        <w:tc>
          <w:tcPr>
            <w:tcW w:w="712" w:type="dxa"/>
            <w:tcBorders>
              <w:top w:val="nil"/>
              <w:left w:val="nil"/>
              <w:bottom w:val="nil"/>
              <w:right w:val="nil"/>
            </w:tcBorders>
            <w:vAlign w:val="center"/>
          </w:tcPr>
          <w:p w:rsidR="007651D7" w:rsidRPr="003111E1"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3111E1"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113</w:t>
            </w:r>
          </w:p>
        </w:tc>
        <w:tc>
          <w:tcPr>
            <w:tcW w:w="742" w:type="dxa"/>
            <w:tcBorders>
              <w:top w:val="nil"/>
              <w:left w:val="nil"/>
              <w:bottom w:val="nil"/>
              <w:right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27</w:t>
            </w:r>
            <w:r w:rsidR="00EF5DCB" w:rsidRPr="003111E1">
              <w:rPr>
                <w:b/>
                <w:bCs/>
                <w:spacing w:val="-20"/>
              </w:rPr>
              <w:t>6</w:t>
            </w:r>
          </w:p>
        </w:tc>
        <w:tc>
          <w:tcPr>
            <w:tcW w:w="742" w:type="dxa"/>
            <w:tcBorders>
              <w:top w:val="nil"/>
              <w:left w:val="nil"/>
              <w:bottom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9</w:t>
            </w:r>
            <w:r w:rsidR="00EF5DCB" w:rsidRPr="003111E1">
              <w:rPr>
                <w:b/>
                <w:bCs/>
                <w:spacing w:val="-20"/>
              </w:rPr>
              <w:t>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6</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1,133.1</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1,085.4</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393.2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297.5</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637.9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4.21</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108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275</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94</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7</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1,137.2</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1088.3</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49.0</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393.7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297.7</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4.31</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280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8</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1,140.3</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1,090.1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50.2</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58.61</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4.40</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284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9</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1,136.9</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1,087.8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49.1</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54.2</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639.1</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4.32</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88</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10</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1,139.1</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1,089.7</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298.0</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4.33</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1,140.5</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54.6</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642.2</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4.18</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912BB5">
            <w:pPr>
              <w:snapToGrid w:val="0"/>
              <w:spacing w:line="260" w:lineRule="atLeast"/>
              <w:rPr>
                <w:rFonts w:eastAsia="標楷體"/>
                <w:b/>
                <w:w w:val="95"/>
              </w:rPr>
            </w:pPr>
            <w:r w:rsidRPr="003111E1">
              <w:rPr>
                <w:rFonts w:eastAsia="標楷體"/>
                <w:b/>
                <w:w w:val="95"/>
              </w:rPr>
              <w:t>102</w:t>
            </w:r>
            <w:r w:rsidRPr="003111E1">
              <w:rPr>
                <w:rFonts w:eastAsia="標楷體"/>
                <w:b/>
                <w:w w:val="95"/>
              </w:rPr>
              <w:t>年</w:t>
            </w:r>
            <w:r w:rsidRPr="003111E1">
              <w:rPr>
                <w:rFonts w:eastAsia="標楷體"/>
                <w:b/>
              </w:rPr>
              <w:t>1~</w:t>
            </w:r>
            <w:r w:rsidR="00912BB5" w:rsidRPr="003111E1">
              <w:rPr>
                <w:rFonts w:eastAsia="標楷體"/>
                <w:b/>
              </w:rPr>
              <w:t>6</w:t>
            </w:r>
            <w:r w:rsidRPr="003111E1">
              <w:rPr>
                <w:rFonts w:eastAsia="標楷體"/>
                <w:b/>
              </w:rPr>
              <w:t>月</w:t>
            </w:r>
          </w:p>
        </w:tc>
        <w:tc>
          <w:tcPr>
            <w:tcW w:w="633" w:type="dxa"/>
            <w:tcBorders>
              <w:top w:val="nil"/>
              <w:left w:val="single" w:sz="4" w:space="0" w:color="auto"/>
              <w:bottom w:val="nil"/>
            </w:tcBorders>
            <w:vAlign w:val="bottom"/>
          </w:tcPr>
          <w:p w:rsidR="00334A38" w:rsidRPr="003111E1" w:rsidRDefault="00334A38" w:rsidP="00912BB5">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1</w:t>
            </w:r>
            <w:r w:rsidR="00912BB5" w:rsidRPr="003111E1">
              <w:rPr>
                <w:rFonts w:eastAsia="新細明體"/>
                <w:b/>
                <w:bCs/>
                <w:spacing w:val="-20"/>
                <w:kern w:val="2"/>
                <w:szCs w:val="18"/>
              </w:rPr>
              <w:t>,140.5</w:t>
            </w:r>
          </w:p>
        </w:tc>
        <w:tc>
          <w:tcPr>
            <w:tcW w:w="726" w:type="dxa"/>
            <w:tcBorders>
              <w:top w:val="nil"/>
              <w:bottom w:val="nil"/>
            </w:tcBorders>
            <w:vAlign w:val="bottom"/>
          </w:tcPr>
          <w:p w:rsidR="00334A38" w:rsidRPr="003111E1" w:rsidRDefault="00334A38" w:rsidP="00912BB5">
            <w:pPr>
              <w:snapToGrid w:val="0"/>
              <w:spacing w:line="260" w:lineRule="atLeast"/>
              <w:jc w:val="center"/>
              <w:rPr>
                <w:b/>
                <w:bCs/>
                <w:spacing w:val="-20"/>
                <w:szCs w:val="18"/>
              </w:rPr>
            </w:pPr>
            <w:r w:rsidRPr="003111E1">
              <w:rPr>
                <w:b/>
                <w:bCs/>
                <w:spacing w:val="-20"/>
                <w:szCs w:val="18"/>
              </w:rPr>
              <w:t>1</w:t>
            </w:r>
            <w:r w:rsidR="00912BB5" w:rsidRPr="003111E1">
              <w:rPr>
                <w:b/>
                <w:bCs/>
                <w:spacing w:val="-20"/>
                <w:szCs w:val="18"/>
              </w:rPr>
              <w:t>,</w:t>
            </w:r>
            <w:r w:rsidRPr="003111E1">
              <w:rPr>
                <w:b/>
                <w:bCs/>
                <w:spacing w:val="-20"/>
                <w:szCs w:val="18"/>
              </w:rPr>
              <w:t>0</w:t>
            </w:r>
            <w:r w:rsidR="00912BB5" w:rsidRPr="003111E1">
              <w:rPr>
                <w:b/>
                <w:bCs/>
                <w:spacing w:val="-20"/>
                <w:szCs w:val="18"/>
              </w:rPr>
              <w:t>93.3</w:t>
            </w:r>
          </w:p>
        </w:tc>
        <w:tc>
          <w:tcPr>
            <w:tcW w:w="624" w:type="dxa"/>
            <w:tcBorders>
              <w:top w:val="nil"/>
              <w:bottom w:val="nil"/>
            </w:tcBorders>
            <w:vAlign w:val="bottom"/>
          </w:tcPr>
          <w:p w:rsidR="00334A38" w:rsidRPr="003111E1" w:rsidRDefault="00334A38" w:rsidP="00A114A0">
            <w:pPr>
              <w:snapToGrid w:val="0"/>
              <w:spacing w:line="260" w:lineRule="atLeast"/>
              <w:jc w:val="center"/>
              <w:rPr>
                <w:b/>
                <w:bCs/>
                <w:spacing w:val="-20"/>
                <w:szCs w:val="18"/>
              </w:rPr>
            </w:pPr>
            <w:r w:rsidRPr="003111E1">
              <w:rPr>
                <w:b/>
                <w:bCs/>
                <w:spacing w:val="-20"/>
                <w:szCs w:val="18"/>
              </w:rPr>
              <w:t>47.</w:t>
            </w:r>
            <w:r w:rsidR="00A114A0" w:rsidRPr="003111E1">
              <w:rPr>
                <w:b/>
                <w:bCs/>
                <w:spacing w:val="-20"/>
                <w:szCs w:val="18"/>
              </w:rPr>
              <w:t>2</w:t>
            </w:r>
          </w:p>
        </w:tc>
        <w:tc>
          <w:tcPr>
            <w:tcW w:w="684" w:type="dxa"/>
            <w:tcBorders>
              <w:top w:val="nil"/>
              <w:bottom w:val="nil"/>
            </w:tcBorders>
            <w:vAlign w:val="bottom"/>
          </w:tcPr>
          <w:p w:rsidR="00334A38" w:rsidRPr="003111E1" w:rsidRDefault="00334A38" w:rsidP="00912BB5">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18"/>
              </w:rPr>
            </w:pPr>
            <w:r w:rsidRPr="003111E1">
              <w:rPr>
                <w:rFonts w:eastAsia="新細明體"/>
                <w:b/>
                <w:bCs/>
                <w:spacing w:val="-20"/>
                <w:kern w:val="2"/>
                <w:szCs w:val="18"/>
              </w:rPr>
              <w:t>58.</w:t>
            </w:r>
            <w:r w:rsidR="00912BB5" w:rsidRPr="003111E1">
              <w:rPr>
                <w:rFonts w:eastAsia="新細明體"/>
                <w:b/>
                <w:bCs/>
                <w:spacing w:val="-20"/>
                <w:kern w:val="2"/>
                <w:szCs w:val="18"/>
              </w:rPr>
              <w:t>31</w:t>
            </w:r>
          </w:p>
        </w:tc>
        <w:tc>
          <w:tcPr>
            <w:tcW w:w="542" w:type="dxa"/>
            <w:tcBorders>
              <w:top w:val="nil"/>
              <w:bottom w:val="nil"/>
            </w:tcBorders>
            <w:vAlign w:val="bottom"/>
          </w:tcPr>
          <w:p w:rsidR="00334A38" w:rsidRPr="003111E1" w:rsidRDefault="00334A38" w:rsidP="001F67F2">
            <w:pPr>
              <w:snapToGrid w:val="0"/>
              <w:spacing w:line="260" w:lineRule="atLeast"/>
              <w:jc w:val="center"/>
              <w:rPr>
                <w:b/>
                <w:bCs/>
                <w:spacing w:val="-20"/>
              </w:rPr>
            </w:pPr>
            <w:r w:rsidRPr="003111E1">
              <w:rPr>
                <w:b/>
                <w:bCs/>
                <w:spacing w:val="-20"/>
              </w:rPr>
              <w:t>54.</w:t>
            </w:r>
            <w:r w:rsidR="001F67F2" w:rsidRPr="003111E1">
              <w:rPr>
                <w:b/>
                <w:bCs/>
                <w:spacing w:val="-20"/>
              </w:rPr>
              <w:t>3</w:t>
            </w:r>
          </w:p>
        </w:tc>
        <w:tc>
          <w:tcPr>
            <w:tcW w:w="651" w:type="dxa"/>
            <w:tcBorders>
              <w:top w:val="nil"/>
              <w:bottom w:val="nil"/>
            </w:tcBorders>
            <w:vAlign w:val="bottom"/>
          </w:tcPr>
          <w:p w:rsidR="00334A38" w:rsidRPr="003111E1" w:rsidRDefault="00334A38" w:rsidP="00B9643F">
            <w:pPr>
              <w:snapToGrid w:val="0"/>
              <w:spacing w:line="260" w:lineRule="atLeast"/>
              <w:jc w:val="center"/>
              <w:rPr>
                <w:b/>
                <w:bCs/>
                <w:spacing w:val="-20"/>
              </w:rPr>
            </w:pPr>
            <w:r w:rsidRPr="003111E1">
              <w:rPr>
                <w:b/>
                <w:bCs/>
                <w:spacing w:val="-20"/>
              </w:rPr>
              <w:t>395.</w:t>
            </w:r>
            <w:r w:rsidR="00B9643F" w:rsidRPr="003111E1">
              <w:rPr>
                <w:b/>
                <w:bCs/>
                <w:spacing w:val="-20"/>
              </w:rPr>
              <w:t>4</w:t>
            </w:r>
          </w:p>
        </w:tc>
        <w:tc>
          <w:tcPr>
            <w:tcW w:w="742" w:type="dxa"/>
            <w:tcBorders>
              <w:top w:val="nil"/>
              <w:bottom w:val="nil"/>
            </w:tcBorders>
            <w:vAlign w:val="bottom"/>
          </w:tcPr>
          <w:p w:rsidR="00334A38" w:rsidRPr="003111E1" w:rsidRDefault="00334A38" w:rsidP="00B9643F">
            <w:pPr>
              <w:snapToGrid w:val="0"/>
              <w:spacing w:line="260" w:lineRule="atLeast"/>
              <w:jc w:val="center"/>
              <w:rPr>
                <w:b/>
                <w:bCs/>
                <w:spacing w:val="-20"/>
              </w:rPr>
            </w:pPr>
            <w:r w:rsidRPr="003111E1">
              <w:rPr>
                <w:b/>
                <w:bCs/>
                <w:spacing w:val="-20"/>
              </w:rPr>
              <w:t>298.</w:t>
            </w:r>
            <w:r w:rsidR="00B9643F" w:rsidRPr="003111E1">
              <w:rPr>
                <w:b/>
                <w:bCs/>
                <w:spacing w:val="-20"/>
              </w:rPr>
              <w:t>3</w:t>
            </w:r>
          </w:p>
        </w:tc>
        <w:tc>
          <w:tcPr>
            <w:tcW w:w="655" w:type="dxa"/>
            <w:tcBorders>
              <w:top w:val="nil"/>
              <w:bottom w:val="nil"/>
            </w:tcBorders>
            <w:vAlign w:val="bottom"/>
          </w:tcPr>
          <w:p w:rsidR="00334A38" w:rsidRPr="003111E1" w:rsidRDefault="00334A38" w:rsidP="00B9643F">
            <w:pPr>
              <w:snapToGrid w:val="0"/>
              <w:spacing w:line="260" w:lineRule="atLeast"/>
              <w:jc w:val="center"/>
              <w:rPr>
                <w:b/>
                <w:bCs/>
                <w:spacing w:val="-20"/>
              </w:rPr>
            </w:pPr>
            <w:r w:rsidRPr="003111E1">
              <w:rPr>
                <w:b/>
                <w:bCs/>
                <w:spacing w:val="-20"/>
              </w:rPr>
              <w:t>64</w:t>
            </w:r>
            <w:r w:rsidR="001F67F2" w:rsidRPr="003111E1">
              <w:rPr>
                <w:b/>
                <w:bCs/>
                <w:spacing w:val="-20"/>
              </w:rPr>
              <w:t>3</w:t>
            </w:r>
            <w:r w:rsidRPr="003111E1">
              <w:rPr>
                <w:b/>
                <w:bCs/>
                <w:spacing w:val="-20"/>
              </w:rPr>
              <w:t>.</w:t>
            </w:r>
            <w:r w:rsidR="00B9643F" w:rsidRPr="003111E1">
              <w:rPr>
                <w:b/>
                <w:bCs/>
                <w:spacing w:val="-20"/>
              </w:rPr>
              <w:t>6</w:t>
            </w:r>
          </w:p>
        </w:tc>
        <w:tc>
          <w:tcPr>
            <w:tcW w:w="712" w:type="dxa"/>
            <w:tcBorders>
              <w:top w:val="nil"/>
              <w:bottom w:val="nil"/>
            </w:tcBorders>
            <w:vAlign w:val="center"/>
          </w:tcPr>
          <w:p w:rsidR="00334A38" w:rsidRPr="003111E1" w:rsidRDefault="00334A38"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b/>
                <w:bCs/>
                <w:snapToGrid w:val="0"/>
                <w:spacing w:val="0"/>
                <w:w w:val="95"/>
                <w:kern w:val="2"/>
                <w:szCs w:val="24"/>
              </w:rPr>
            </w:pPr>
            <w:r w:rsidRPr="003111E1">
              <w:rPr>
                <w:rFonts w:eastAsia="標楷體"/>
                <w:b/>
                <w:bCs/>
                <w:snapToGrid w:val="0"/>
                <w:spacing w:val="0"/>
                <w:w w:val="95"/>
                <w:kern w:val="2"/>
                <w:szCs w:val="24"/>
              </w:rPr>
              <w:t>4.1</w:t>
            </w:r>
            <w:r w:rsidR="00A114A0" w:rsidRPr="003111E1">
              <w:rPr>
                <w:rFonts w:eastAsia="標楷體"/>
                <w:b/>
                <w:bCs/>
                <w:snapToGrid w:val="0"/>
                <w:spacing w:val="0"/>
                <w:w w:val="95"/>
                <w:kern w:val="2"/>
                <w:szCs w:val="24"/>
              </w:rPr>
              <w:t>4</w:t>
            </w:r>
          </w:p>
        </w:tc>
        <w:tc>
          <w:tcPr>
            <w:tcW w:w="662" w:type="dxa"/>
            <w:tcBorders>
              <w:top w:val="nil"/>
              <w:bottom w:val="nil"/>
            </w:tcBorders>
            <w:vAlign w:val="bottom"/>
          </w:tcPr>
          <w:p w:rsidR="00334A38" w:rsidRPr="003111E1" w:rsidRDefault="00334A38" w:rsidP="00A7628C">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w:t>
            </w:r>
            <w:r w:rsidR="00A7628C" w:rsidRPr="003111E1">
              <w:rPr>
                <w:rFonts w:eastAsia="新細明體"/>
                <w:b/>
                <w:bCs/>
                <w:spacing w:val="-20"/>
                <w:kern w:val="2"/>
                <w:szCs w:val="24"/>
              </w:rPr>
              <w:t>2</w:t>
            </w:r>
          </w:p>
        </w:tc>
        <w:tc>
          <w:tcPr>
            <w:tcW w:w="742" w:type="dxa"/>
            <w:tcBorders>
              <w:top w:val="nil"/>
              <w:bottom w:val="nil"/>
            </w:tcBorders>
            <w:vAlign w:val="bottom"/>
          </w:tcPr>
          <w:p w:rsidR="00334A38" w:rsidRPr="003111E1" w:rsidRDefault="00334A38" w:rsidP="00E30F2F">
            <w:pPr>
              <w:snapToGrid w:val="0"/>
              <w:spacing w:line="260" w:lineRule="atLeast"/>
              <w:jc w:val="center"/>
              <w:rPr>
                <w:b/>
                <w:bCs/>
                <w:spacing w:val="-20"/>
              </w:rPr>
            </w:pPr>
            <w:r w:rsidRPr="003111E1">
              <w:rPr>
                <w:b/>
                <w:bCs/>
                <w:spacing w:val="-20"/>
              </w:rPr>
              <w:t>26</w:t>
            </w:r>
            <w:r w:rsidR="00E30F2F" w:rsidRPr="003111E1">
              <w:rPr>
                <w:b/>
                <w:bCs/>
                <w:spacing w:val="-20"/>
              </w:rPr>
              <w:t>8</w:t>
            </w:r>
          </w:p>
        </w:tc>
        <w:tc>
          <w:tcPr>
            <w:tcW w:w="742" w:type="dxa"/>
            <w:tcBorders>
              <w:top w:val="nil"/>
              <w:bottom w:val="nil"/>
            </w:tcBorders>
            <w:vAlign w:val="bottom"/>
          </w:tcPr>
          <w:p w:rsidR="00334A38" w:rsidRPr="003111E1" w:rsidRDefault="00334A38" w:rsidP="00592DC0">
            <w:pPr>
              <w:snapToGrid w:val="0"/>
              <w:spacing w:line="260" w:lineRule="atLeast"/>
              <w:jc w:val="center"/>
              <w:rPr>
                <w:b/>
                <w:bCs/>
                <w:spacing w:val="-20"/>
              </w:rPr>
            </w:pPr>
            <w:r w:rsidRPr="003111E1">
              <w:rPr>
                <w:b/>
                <w:bCs/>
                <w:spacing w:val="-20"/>
              </w:rPr>
              <w:t>9</w:t>
            </w:r>
            <w:r w:rsidR="00592DC0" w:rsidRPr="003111E1">
              <w:rPr>
                <w:b/>
                <w:bCs/>
                <w:spacing w:val="-20"/>
              </w:rPr>
              <w:t>1</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1,141.0</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4.16</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94</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4.24</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96</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3</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139.6</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8D42CE">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4</w:t>
            </w:r>
            <w:r w:rsidRPr="003111E1">
              <w:rPr>
                <w:rFonts w:eastAsia="標楷體"/>
                <w:w w:val="95"/>
              </w:rPr>
              <w:t>月</w:t>
            </w:r>
          </w:p>
        </w:tc>
        <w:tc>
          <w:tcPr>
            <w:tcW w:w="633" w:type="dxa"/>
            <w:tcBorders>
              <w:top w:val="nil"/>
              <w:left w:val="single" w:sz="4" w:space="0" w:color="auto"/>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139.2</w:t>
            </w:r>
          </w:p>
        </w:tc>
        <w:tc>
          <w:tcPr>
            <w:tcW w:w="726"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092.9</w:t>
            </w:r>
          </w:p>
        </w:tc>
        <w:tc>
          <w:tcPr>
            <w:tcW w:w="624"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46.4</w:t>
            </w:r>
          </w:p>
        </w:tc>
        <w:tc>
          <w:tcPr>
            <w:tcW w:w="684"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58.23</w:t>
            </w:r>
          </w:p>
        </w:tc>
        <w:tc>
          <w:tcPr>
            <w:tcW w:w="5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643.3</w:t>
            </w:r>
          </w:p>
        </w:tc>
        <w:tc>
          <w:tcPr>
            <w:tcW w:w="712" w:type="dxa"/>
            <w:tcBorders>
              <w:top w:val="nil"/>
              <w:left w:val="nil"/>
              <w:bottom w:val="nil"/>
              <w:right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4.07</w:t>
            </w:r>
          </w:p>
        </w:tc>
        <w:tc>
          <w:tcPr>
            <w:tcW w:w="662"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263</w:t>
            </w:r>
          </w:p>
        </w:tc>
        <w:tc>
          <w:tcPr>
            <w:tcW w:w="742" w:type="dxa"/>
            <w:tcBorders>
              <w:top w:val="nil"/>
              <w:left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90</w:t>
            </w:r>
          </w:p>
        </w:tc>
      </w:tr>
      <w:tr w:rsidR="00592DC0" w:rsidRPr="003111E1" w:rsidTr="00912BB5">
        <w:trPr>
          <w:jc w:val="center"/>
        </w:trPr>
        <w:tc>
          <w:tcPr>
            <w:tcW w:w="1505" w:type="dxa"/>
            <w:tcBorders>
              <w:top w:val="nil"/>
              <w:bottom w:val="nil"/>
              <w:right w:val="single" w:sz="4" w:space="0" w:color="auto"/>
            </w:tcBorders>
            <w:vAlign w:val="center"/>
          </w:tcPr>
          <w:p w:rsidR="008D42CE" w:rsidRPr="003111E1" w:rsidRDefault="008D42CE" w:rsidP="002407AA">
            <w:pPr>
              <w:snapToGrid w:val="0"/>
              <w:spacing w:line="260" w:lineRule="atLeast"/>
              <w:jc w:val="center"/>
              <w:rPr>
                <w:rFonts w:eastAsia="標楷體"/>
                <w:w w:val="95"/>
              </w:rPr>
            </w:pPr>
            <w:r w:rsidRPr="003111E1">
              <w:rPr>
                <w:rFonts w:eastAsia="標楷體"/>
                <w:w w:val="95"/>
              </w:rPr>
              <w:t>5</w:t>
            </w:r>
            <w:r w:rsidRPr="003111E1">
              <w:rPr>
                <w:rFonts w:eastAsia="標楷體"/>
                <w:w w:val="95"/>
              </w:rPr>
              <w:t>月</w:t>
            </w:r>
          </w:p>
        </w:tc>
        <w:tc>
          <w:tcPr>
            <w:tcW w:w="633" w:type="dxa"/>
            <w:tcBorders>
              <w:top w:val="nil"/>
              <w:left w:val="single" w:sz="4" w:space="0" w:color="auto"/>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140.1</w:t>
            </w:r>
          </w:p>
        </w:tc>
        <w:tc>
          <w:tcPr>
            <w:tcW w:w="726"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093.9</w:t>
            </w:r>
          </w:p>
        </w:tc>
        <w:tc>
          <w:tcPr>
            <w:tcW w:w="624"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46.3</w:t>
            </w:r>
          </w:p>
        </w:tc>
        <w:tc>
          <w:tcPr>
            <w:tcW w:w="684" w:type="dxa"/>
            <w:tcBorders>
              <w:top w:val="nil"/>
              <w:left w:val="nil"/>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58.25</w:t>
            </w:r>
          </w:p>
        </w:tc>
        <w:tc>
          <w:tcPr>
            <w:tcW w:w="5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54.2</w:t>
            </w:r>
          </w:p>
        </w:tc>
        <w:tc>
          <w:tcPr>
            <w:tcW w:w="651" w:type="dxa"/>
            <w:tcBorders>
              <w:top w:val="nil"/>
              <w:left w:val="nil"/>
              <w:bottom w:val="nil"/>
              <w:right w:val="nil"/>
            </w:tcBorders>
            <w:vAlign w:val="bottom"/>
          </w:tcPr>
          <w:p w:rsidR="008D42CE" w:rsidRPr="003111E1" w:rsidRDefault="001F67F2" w:rsidP="001F67F2">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298.3</w:t>
            </w:r>
          </w:p>
        </w:tc>
        <w:tc>
          <w:tcPr>
            <w:tcW w:w="655"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644.6</w:t>
            </w:r>
          </w:p>
        </w:tc>
        <w:tc>
          <w:tcPr>
            <w:tcW w:w="712" w:type="dxa"/>
            <w:tcBorders>
              <w:top w:val="nil"/>
              <w:left w:val="nil"/>
              <w:bottom w:val="nil"/>
              <w:right w:val="nil"/>
            </w:tcBorders>
            <w:vAlign w:val="center"/>
          </w:tcPr>
          <w:p w:rsidR="008D42CE" w:rsidRPr="003111E1" w:rsidRDefault="00A114A0"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4.06</w:t>
            </w:r>
          </w:p>
        </w:tc>
        <w:tc>
          <w:tcPr>
            <w:tcW w:w="662" w:type="dxa"/>
            <w:tcBorders>
              <w:top w:val="nil"/>
              <w:left w:val="nil"/>
              <w:bottom w:val="nil"/>
              <w:right w:val="nil"/>
            </w:tcBorders>
            <w:vAlign w:val="bottom"/>
          </w:tcPr>
          <w:p w:rsidR="008D42CE" w:rsidRPr="003111E1" w:rsidRDefault="00A7628C"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108</w:t>
            </w:r>
          </w:p>
        </w:tc>
        <w:tc>
          <w:tcPr>
            <w:tcW w:w="742" w:type="dxa"/>
            <w:tcBorders>
              <w:top w:val="nil"/>
              <w:left w:val="nil"/>
              <w:bottom w:val="nil"/>
              <w:right w:val="nil"/>
            </w:tcBorders>
            <w:vAlign w:val="bottom"/>
          </w:tcPr>
          <w:p w:rsidR="008D42CE" w:rsidRPr="003111E1" w:rsidRDefault="00A7628C" w:rsidP="002407AA">
            <w:pPr>
              <w:snapToGrid w:val="0"/>
              <w:spacing w:line="260" w:lineRule="atLeast"/>
              <w:jc w:val="center"/>
              <w:rPr>
                <w:spacing w:val="-20"/>
              </w:rPr>
            </w:pPr>
            <w:r w:rsidRPr="003111E1">
              <w:rPr>
                <w:spacing w:val="-20"/>
              </w:rPr>
              <w:t>268</w:t>
            </w:r>
          </w:p>
        </w:tc>
        <w:tc>
          <w:tcPr>
            <w:tcW w:w="742" w:type="dxa"/>
            <w:tcBorders>
              <w:top w:val="nil"/>
              <w:left w:val="nil"/>
              <w:bottom w:val="nil"/>
            </w:tcBorders>
            <w:vAlign w:val="bottom"/>
          </w:tcPr>
          <w:p w:rsidR="008D42CE" w:rsidRPr="003111E1" w:rsidRDefault="00A7628C" w:rsidP="002407AA">
            <w:pPr>
              <w:snapToGrid w:val="0"/>
              <w:spacing w:line="260" w:lineRule="atLeast"/>
              <w:jc w:val="center"/>
              <w:rPr>
                <w:spacing w:val="-20"/>
              </w:rPr>
            </w:pPr>
            <w:r w:rsidRPr="003111E1">
              <w:rPr>
                <w:spacing w:val="-20"/>
              </w:rPr>
              <w:t>86</w:t>
            </w:r>
          </w:p>
        </w:tc>
      </w:tr>
      <w:tr w:rsidR="00592DC0" w:rsidRPr="003111E1" w:rsidTr="00C13AF8">
        <w:trPr>
          <w:jc w:val="center"/>
        </w:trPr>
        <w:tc>
          <w:tcPr>
            <w:tcW w:w="1505" w:type="dxa"/>
            <w:tcBorders>
              <w:top w:val="nil"/>
              <w:bottom w:val="single" w:sz="4" w:space="0" w:color="auto"/>
              <w:right w:val="single" w:sz="4" w:space="0" w:color="auto"/>
            </w:tcBorders>
            <w:vAlign w:val="center"/>
          </w:tcPr>
          <w:p w:rsidR="00912BB5" w:rsidRPr="003111E1" w:rsidRDefault="00D35CC8" w:rsidP="002407AA">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912BB5" w:rsidRPr="003111E1" w:rsidRDefault="00912BB5"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1,143.2</w:t>
            </w:r>
          </w:p>
        </w:tc>
        <w:tc>
          <w:tcPr>
            <w:tcW w:w="726" w:type="dxa"/>
            <w:tcBorders>
              <w:top w:val="nil"/>
              <w:left w:val="nil"/>
              <w:bottom w:val="single" w:sz="4" w:space="0" w:color="auto"/>
              <w:right w:val="nil"/>
            </w:tcBorders>
            <w:vAlign w:val="bottom"/>
          </w:tcPr>
          <w:p w:rsidR="00912BB5" w:rsidRPr="003111E1" w:rsidRDefault="00912BB5" w:rsidP="002407AA">
            <w:pPr>
              <w:snapToGrid w:val="0"/>
              <w:spacing w:line="260" w:lineRule="atLeast"/>
              <w:jc w:val="center"/>
              <w:rPr>
                <w:spacing w:val="-20"/>
                <w:szCs w:val="18"/>
              </w:rPr>
            </w:pPr>
            <w:r w:rsidRPr="003111E1">
              <w:rPr>
                <w:spacing w:val="-20"/>
                <w:szCs w:val="18"/>
              </w:rPr>
              <w:t>1,095.9</w:t>
            </w:r>
          </w:p>
        </w:tc>
        <w:tc>
          <w:tcPr>
            <w:tcW w:w="624" w:type="dxa"/>
            <w:tcBorders>
              <w:top w:val="nil"/>
              <w:left w:val="nil"/>
              <w:bottom w:val="single" w:sz="4" w:space="0" w:color="auto"/>
              <w:right w:val="nil"/>
            </w:tcBorders>
            <w:vAlign w:val="bottom"/>
          </w:tcPr>
          <w:p w:rsidR="00912BB5" w:rsidRPr="003111E1" w:rsidRDefault="00912BB5" w:rsidP="002407AA">
            <w:pPr>
              <w:snapToGrid w:val="0"/>
              <w:spacing w:line="260" w:lineRule="atLeast"/>
              <w:jc w:val="center"/>
              <w:rPr>
                <w:spacing w:val="-20"/>
                <w:szCs w:val="18"/>
              </w:rPr>
            </w:pPr>
            <w:r w:rsidRPr="003111E1">
              <w:rPr>
                <w:spacing w:val="-20"/>
                <w:szCs w:val="18"/>
              </w:rPr>
              <w:t>47.3</w:t>
            </w:r>
          </w:p>
        </w:tc>
        <w:tc>
          <w:tcPr>
            <w:tcW w:w="684" w:type="dxa"/>
            <w:tcBorders>
              <w:top w:val="nil"/>
              <w:left w:val="nil"/>
              <w:bottom w:val="single" w:sz="4" w:space="0" w:color="auto"/>
              <w:right w:val="nil"/>
            </w:tcBorders>
            <w:vAlign w:val="bottom"/>
          </w:tcPr>
          <w:p w:rsidR="00912BB5" w:rsidRPr="003111E1" w:rsidRDefault="00912BB5"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58.38</w:t>
            </w:r>
          </w:p>
        </w:tc>
        <w:tc>
          <w:tcPr>
            <w:tcW w:w="542" w:type="dxa"/>
            <w:tcBorders>
              <w:top w:val="nil"/>
              <w:left w:val="nil"/>
              <w:bottom w:val="single" w:sz="4" w:space="0" w:color="auto"/>
              <w:right w:val="nil"/>
            </w:tcBorders>
            <w:vAlign w:val="bottom"/>
          </w:tcPr>
          <w:p w:rsidR="00912BB5" w:rsidRPr="003111E1" w:rsidRDefault="00B9643F" w:rsidP="002407AA">
            <w:pPr>
              <w:snapToGrid w:val="0"/>
              <w:spacing w:line="260" w:lineRule="atLeast"/>
              <w:jc w:val="center"/>
              <w:rPr>
                <w:spacing w:val="-20"/>
              </w:rPr>
            </w:pPr>
            <w:r w:rsidRPr="003111E1">
              <w:rPr>
                <w:spacing w:val="-20"/>
              </w:rPr>
              <w:t>54.3</w:t>
            </w:r>
          </w:p>
        </w:tc>
        <w:tc>
          <w:tcPr>
            <w:tcW w:w="651" w:type="dxa"/>
            <w:tcBorders>
              <w:top w:val="nil"/>
              <w:left w:val="nil"/>
              <w:bottom w:val="single" w:sz="4" w:space="0" w:color="auto"/>
              <w:right w:val="nil"/>
            </w:tcBorders>
            <w:vAlign w:val="bottom"/>
          </w:tcPr>
          <w:p w:rsidR="00912BB5" w:rsidRPr="003111E1" w:rsidRDefault="00B9643F" w:rsidP="001F67F2">
            <w:pPr>
              <w:snapToGrid w:val="0"/>
              <w:spacing w:line="260" w:lineRule="atLeast"/>
              <w:jc w:val="center"/>
              <w:rPr>
                <w:spacing w:val="-20"/>
              </w:rPr>
            </w:pPr>
            <w:r w:rsidRPr="003111E1">
              <w:rPr>
                <w:spacing w:val="-20"/>
              </w:rPr>
              <w:t>395.8</w:t>
            </w:r>
          </w:p>
        </w:tc>
        <w:tc>
          <w:tcPr>
            <w:tcW w:w="742" w:type="dxa"/>
            <w:tcBorders>
              <w:top w:val="nil"/>
              <w:left w:val="nil"/>
              <w:bottom w:val="single" w:sz="4" w:space="0" w:color="auto"/>
              <w:right w:val="nil"/>
            </w:tcBorders>
            <w:vAlign w:val="bottom"/>
          </w:tcPr>
          <w:p w:rsidR="00912BB5" w:rsidRPr="003111E1" w:rsidRDefault="00B9643F" w:rsidP="002407AA">
            <w:pPr>
              <w:snapToGrid w:val="0"/>
              <w:spacing w:line="260" w:lineRule="atLeast"/>
              <w:jc w:val="center"/>
              <w:rPr>
                <w:spacing w:val="-20"/>
              </w:rPr>
            </w:pPr>
            <w:r w:rsidRPr="003111E1">
              <w:rPr>
                <w:spacing w:val="-20"/>
              </w:rPr>
              <w:t>298.4</w:t>
            </w:r>
          </w:p>
        </w:tc>
        <w:tc>
          <w:tcPr>
            <w:tcW w:w="655" w:type="dxa"/>
            <w:tcBorders>
              <w:top w:val="nil"/>
              <w:left w:val="nil"/>
              <w:bottom w:val="single" w:sz="4" w:space="0" w:color="auto"/>
              <w:right w:val="nil"/>
            </w:tcBorders>
            <w:vAlign w:val="bottom"/>
          </w:tcPr>
          <w:p w:rsidR="00912BB5" w:rsidRPr="003111E1" w:rsidRDefault="00B9643F" w:rsidP="002407AA">
            <w:pPr>
              <w:snapToGrid w:val="0"/>
              <w:spacing w:line="260" w:lineRule="atLeast"/>
              <w:jc w:val="center"/>
              <w:rPr>
                <w:spacing w:val="-20"/>
              </w:rPr>
            </w:pPr>
            <w:r w:rsidRPr="003111E1">
              <w:rPr>
                <w:spacing w:val="-20"/>
              </w:rPr>
              <w:t>645.9</w:t>
            </w:r>
          </w:p>
        </w:tc>
        <w:tc>
          <w:tcPr>
            <w:tcW w:w="712" w:type="dxa"/>
            <w:tcBorders>
              <w:top w:val="nil"/>
              <w:left w:val="nil"/>
              <w:bottom w:val="single" w:sz="4" w:space="0" w:color="auto"/>
              <w:right w:val="nil"/>
            </w:tcBorders>
            <w:vAlign w:val="center"/>
          </w:tcPr>
          <w:p w:rsidR="00912BB5" w:rsidRPr="003111E1" w:rsidRDefault="00912BB5"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4.14</w:t>
            </w:r>
          </w:p>
        </w:tc>
        <w:tc>
          <w:tcPr>
            <w:tcW w:w="662" w:type="dxa"/>
            <w:tcBorders>
              <w:top w:val="nil"/>
              <w:left w:val="nil"/>
              <w:bottom w:val="single" w:sz="4" w:space="0" w:color="auto"/>
              <w:right w:val="nil"/>
            </w:tcBorders>
            <w:vAlign w:val="bottom"/>
          </w:tcPr>
          <w:p w:rsidR="00912BB5" w:rsidRPr="003111E1" w:rsidRDefault="007D059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left w:val="nil"/>
              <w:bottom w:val="single" w:sz="4" w:space="0" w:color="auto"/>
              <w:right w:val="nil"/>
            </w:tcBorders>
            <w:vAlign w:val="bottom"/>
          </w:tcPr>
          <w:p w:rsidR="00912BB5" w:rsidRPr="003111E1" w:rsidRDefault="007D0593" w:rsidP="002407AA">
            <w:pPr>
              <w:snapToGrid w:val="0"/>
              <w:spacing w:line="260" w:lineRule="atLeast"/>
              <w:jc w:val="center"/>
              <w:rPr>
                <w:spacing w:val="-20"/>
              </w:rPr>
            </w:pPr>
            <w:r w:rsidRPr="003111E1">
              <w:rPr>
                <w:spacing w:val="-20"/>
              </w:rPr>
              <w:t>269</w:t>
            </w:r>
          </w:p>
        </w:tc>
        <w:tc>
          <w:tcPr>
            <w:tcW w:w="742" w:type="dxa"/>
            <w:tcBorders>
              <w:top w:val="nil"/>
              <w:left w:val="nil"/>
              <w:bottom w:val="single" w:sz="4" w:space="0" w:color="auto"/>
            </w:tcBorders>
            <w:vAlign w:val="bottom"/>
          </w:tcPr>
          <w:p w:rsidR="00912BB5" w:rsidRPr="003111E1" w:rsidRDefault="007D0593" w:rsidP="002407AA">
            <w:pPr>
              <w:snapToGrid w:val="0"/>
              <w:spacing w:line="260" w:lineRule="atLeast"/>
              <w:jc w:val="center"/>
              <w:rPr>
                <w:spacing w:val="-20"/>
              </w:rPr>
            </w:pPr>
            <w:r w:rsidRPr="003111E1">
              <w:rPr>
                <w:spacing w:val="-20"/>
              </w:rPr>
              <w:t>90</w:t>
            </w:r>
          </w:p>
        </w:tc>
      </w:tr>
      <w:tr w:rsidR="00592DC0" w:rsidRPr="003111E1" w:rsidTr="00C13AF8">
        <w:trPr>
          <w:jc w:val="center"/>
        </w:trPr>
        <w:tc>
          <w:tcPr>
            <w:tcW w:w="1505" w:type="dxa"/>
            <w:tcBorders>
              <w:top w:val="nil"/>
              <w:bottom w:val="single" w:sz="4" w:space="0" w:color="auto"/>
              <w:right w:val="single" w:sz="4" w:space="0" w:color="auto"/>
            </w:tcBorders>
            <w:vAlign w:val="center"/>
          </w:tcPr>
          <w:p w:rsidR="00334A38" w:rsidRPr="003111E1" w:rsidRDefault="00334A38" w:rsidP="00CE7968">
            <w:pPr>
              <w:snapToGrid w:val="0"/>
              <w:spacing w:line="280" w:lineRule="exact"/>
              <w:jc w:val="center"/>
              <w:rPr>
                <w:rFonts w:eastAsia="標楷體"/>
                <w:w w:val="95"/>
                <w:sz w:val="22"/>
                <w:szCs w:val="22"/>
              </w:rPr>
            </w:pPr>
            <w:r w:rsidRPr="003111E1">
              <w:rPr>
                <w:rFonts w:eastAsia="標楷體"/>
                <w:w w:val="95"/>
                <w:sz w:val="22"/>
                <w:szCs w:val="22"/>
              </w:rPr>
              <w:t>較</w:t>
            </w:r>
            <w:r w:rsidRPr="003111E1">
              <w:rPr>
                <w:rFonts w:eastAsia="標楷體"/>
                <w:w w:val="95"/>
                <w:sz w:val="22"/>
                <w:szCs w:val="22"/>
              </w:rPr>
              <w:t>101</w:t>
            </w:r>
            <w:r w:rsidRPr="003111E1">
              <w:rPr>
                <w:rFonts w:eastAsia="標楷體"/>
                <w:w w:val="95"/>
                <w:sz w:val="22"/>
                <w:szCs w:val="22"/>
              </w:rPr>
              <w:t>年同月變動</w:t>
            </w:r>
            <w:r w:rsidRPr="003111E1">
              <w:rPr>
                <w:rFonts w:eastAsia="標楷體"/>
                <w:w w:val="95"/>
                <w:sz w:val="22"/>
                <w:szCs w:val="22"/>
              </w:rPr>
              <w:t>(</w:t>
            </w:r>
            <w:r w:rsidR="00CE7968">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334A38" w:rsidRPr="003111E1" w:rsidRDefault="00334A38" w:rsidP="00912BB5">
            <w:pPr>
              <w:jc w:val="center"/>
              <w:rPr>
                <w:spacing w:val="-20"/>
              </w:rPr>
            </w:pPr>
            <w:r w:rsidRPr="003111E1">
              <w:rPr>
                <w:spacing w:val="-20"/>
              </w:rPr>
              <w:t>0.</w:t>
            </w:r>
            <w:r w:rsidR="00912BB5" w:rsidRPr="003111E1">
              <w:rPr>
                <w:spacing w:val="-20"/>
              </w:rPr>
              <w:t>89</w:t>
            </w:r>
          </w:p>
        </w:tc>
        <w:tc>
          <w:tcPr>
            <w:tcW w:w="726" w:type="dxa"/>
            <w:tcBorders>
              <w:top w:val="nil"/>
              <w:left w:val="nil"/>
              <w:bottom w:val="single" w:sz="4" w:space="0" w:color="auto"/>
              <w:right w:val="nil"/>
            </w:tcBorders>
            <w:vAlign w:val="center"/>
          </w:tcPr>
          <w:p w:rsidR="00334A38" w:rsidRPr="003111E1" w:rsidRDefault="00A114A0" w:rsidP="00912BB5">
            <w:pPr>
              <w:jc w:val="center"/>
              <w:rPr>
                <w:spacing w:val="-20"/>
              </w:rPr>
            </w:pPr>
            <w:r w:rsidRPr="003111E1">
              <w:rPr>
                <w:spacing w:val="-20"/>
              </w:rPr>
              <w:t>0.</w:t>
            </w:r>
            <w:r w:rsidR="00912BB5" w:rsidRPr="003111E1">
              <w:rPr>
                <w:spacing w:val="-20"/>
              </w:rPr>
              <w:t>97</w:t>
            </w:r>
          </w:p>
        </w:tc>
        <w:tc>
          <w:tcPr>
            <w:tcW w:w="624" w:type="dxa"/>
            <w:tcBorders>
              <w:top w:val="nil"/>
              <w:left w:val="nil"/>
              <w:bottom w:val="single" w:sz="4" w:space="0" w:color="auto"/>
              <w:right w:val="nil"/>
            </w:tcBorders>
            <w:vAlign w:val="center"/>
          </w:tcPr>
          <w:p w:rsidR="00334A38" w:rsidRPr="003111E1" w:rsidRDefault="00A114A0" w:rsidP="00912BB5">
            <w:pPr>
              <w:jc w:val="center"/>
              <w:rPr>
                <w:spacing w:val="-20"/>
              </w:rPr>
            </w:pPr>
            <w:r w:rsidRPr="003111E1">
              <w:rPr>
                <w:spacing w:val="-20"/>
              </w:rPr>
              <w:t>-0.</w:t>
            </w:r>
            <w:r w:rsidR="00912BB5" w:rsidRPr="003111E1">
              <w:rPr>
                <w:spacing w:val="-20"/>
              </w:rPr>
              <w:t>89</w:t>
            </w:r>
          </w:p>
        </w:tc>
        <w:tc>
          <w:tcPr>
            <w:tcW w:w="684" w:type="dxa"/>
            <w:tcBorders>
              <w:top w:val="nil"/>
              <w:left w:val="nil"/>
              <w:bottom w:val="single" w:sz="4" w:space="0" w:color="auto"/>
              <w:right w:val="nil"/>
            </w:tcBorders>
            <w:vAlign w:val="center"/>
          </w:tcPr>
          <w:p w:rsidR="00334A38" w:rsidRPr="003111E1" w:rsidRDefault="00A114A0" w:rsidP="00912BB5">
            <w:pPr>
              <w:jc w:val="center"/>
              <w:rPr>
                <w:spacing w:val="-20"/>
              </w:rPr>
            </w:pPr>
            <w:r w:rsidRPr="003111E1">
              <w:rPr>
                <w:spacing w:val="-20"/>
              </w:rPr>
              <w:t>0.</w:t>
            </w:r>
            <w:r w:rsidR="00D76676" w:rsidRPr="003111E1">
              <w:rPr>
                <w:spacing w:val="-20"/>
              </w:rPr>
              <w:t>0</w:t>
            </w:r>
            <w:r w:rsidR="00912BB5" w:rsidRPr="003111E1">
              <w:rPr>
                <w:spacing w:val="-20"/>
              </w:rPr>
              <w:t>6</w:t>
            </w:r>
            <w:r w:rsidR="00334A38" w:rsidRPr="003111E1">
              <w:rPr>
                <w:spacing w:val="-20"/>
              </w:rPr>
              <w:t>*</w:t>
            </w:r>
          </w:p>
        </w:tc>
        <w:tc>
          <w:tcPr>
            <w:tcW w:w="542" w:type="dxa"/>
            <w:tcBorders>
              <w:top w:val="nil"/>
              <w:left w:val="nil"/>
              <w:bottom w:val="single" w:sz="4" w:space="0" w:color="auto"/>
              <w:right w:val="nil"/>
            </w:tcBorders>
            <w:vAlign w:val="center"/>
          </w:tcPr>
          <w:p w:rsidR="00334A38" w:rsidRPr="003111E1" w:rsidRDefault="00334A38" w:rsidP="00B9643F">
            <w:pPr>
              <w:jc w:val="center"/>
              <w:rPr>
                <w:spacing w:val="-20"/>
              </w:rPr>
            </w:pPr>
            <w:r w:rsidRPr="003111E1">
              <w:rPr>
                <w:spacing w:val="-20"/>
              </w:rPr>
              <w:t>0.</w:t>
            </w:r>
            <w:r w:rsidR="00B9643F" w:rsidRPr="003111E1">
              <w:rPr>
                <w:spacing w:val="-20"/>
              </w:rPr>
              <w:t>04</w:t>
            </w:r>
          </w:p>
        </w:tc>
        <w:tc>
          <w:tcPr>
            <w:tcW w:w="651" w:type="dxa"/>
            <w:tcBorders>
              <w:top w:val="nil"/>
              <w:left w:val="nil"/>
              <w:bottom w:val="single" w:sz="4" w:space="0" w:color="auto"/>
              <w:right w:val="nil"/>
            </w:tcBorders>
            <w:vAlign w:val="center"/>
          </w:tcPr>
          <w:p w:rsidR="00334A38" w:rsidRPr="003111E1" w:rsidRDefault="00334A38" w:rsidP="00B9643F">
            <w:pPr>
              <w:jc w:val="center"/>
              <w:rPr>
                <w:spacing w:val="-20"/>
              </w:rPr>
            </w:pPr>
            <w:r w:rsidRPr="003111E1">
              <w:rPr>
                <w:spacing w:val="-20"/>
              </w:rPr>
              <w:t>0.</w:t>
            </w:r>
            <w:r w:rsidR="00B9643F" w:rsidRPr="003111E1">
              <w:rPr>
                <w:spacing w:val="-20"/>
              </w:rPr>
              <w:t>65</w:t>
            </w:r>
          </w:p>
        </w:tc>
        <w:tc>
          <w:tcPr>
            <w:tcW w:w="742" w:type="dxa"/>
            <w:tcBorders>
              <w:top w:val="nil"/>
              <w:left w:val="nil"/>
              <w:bottom w:val="single" w:sz="4" w:space="0" w:color="auto"/>
              <w:right w:val="nil"/>
            </w:tcBorders>
            <w:vAlign w:val="center"/>
          </w:tcPr>
          <w:p w:rsidR="00334A38" w:rsidRPr="003111E1" w:rsidRDefault="00334A38" w:rsidP="00B9643F">
            <w:pPr>
              <w:jc w:val="center"/>
              <w:rPr>
                <w:spacing w:val="-20"/>
              </w:rPr>
            </w:pPr>
            <w:r w:rsidRPr="003111E1">
              <w:rPr>
                <w:spacing w:val="-20"/>
              </w:rPr>
              <w:t>0.</w:t>
            </w:r>
            <w:r w:rsidR="00A7628C" w:rsidRPr="003111E1">
              <w:rPr>
                <w:spacing w:val="-20"/>
              </w:rPr>
              <w:t>3</w:t>
            </w:r>
            <w:r w:rsidR="00B9643F" w:rsidRPr="003111E1">
              <w:rPr>
                <w:spacing w:val="-20"/>
              </w:rPr>
              <w:t>0</w:t>
            </w:r>
          </w:p>
        </w:tc>
        <w:tc>
          <w:tcPr>
            <w:tcW w:w="655" w:type="dxa"/>
            <w:tcBorders>
              <w:top w:val="nil"/>
              <w:left w:val="nil"/>
              <w:bottom w:val="single" w:sz="4" w:space="0" w:color="auto"/>
              <w:right w:val="nil"/>
            </w:tcBorders>
            <w:vAlign w:val="center"/>
          </w:tcPr>
          <w:p w:rsidR="00334A38" w:rsidRPr="003111E1" w:rsidRDefault="00334A38" w:rsidP="00B9643F">
            <w:pPr>
              <w:jc w:val="center"/>
              <w:rPr>
                <w:spacing w:val="-20"/>
              </w:rPr>
            </w:pPr>
            <w:r w:rsidRPr="003111E1">
              <w:rPr>
                <w:spacing w:val="-20"/>
              </w:rPr>
              <w:t>1.2</w:t>
            </w:r>
            <w:r w:rsidR="00B9643F" w:rsidRPr="003111E1">
              <w:rPr>
                <w:spacing w:val="-20"/>
              </w:rPr>
              <w:t>5</w:t>
            </w:r>
          </w:p>
        </w:tc>
        <w:tc>
          <w:tcPr>
            <w:tcW w:w="712" w:type="dxa"/>
            <w:tcBorders>
              <w:top w:val="nil"/>
              <w:left w:val="nil"/>
              <w:bottom w:val="single" w:sz="4" w:space="0" w:color="auto"/>
              <w:right w:val="nil"/>
            </w:tcBorders>
            <w:vAlign w:val="center"/>
          </w:tcPr>
          <w:p w:rsidR="00334A38" w:rsidRPr="003111E1" w:rsidRDefault="00334A38" w:rsidP="00912BB5">
            <w:pPr>
              <w:jc w:val="center"/>
              <w:rPr>
                <w:spacing w:val="-20"/>
              </w:rPr>
            </w:pPr>
            <w:r w:rsidRPr="003111E1">
              <w:rPr>
                <w:spacing w:val="-20"/>
              </w:rPr>
              <w:t>-0.0</w:t>
            </w:r>
            <w:r w:rsidR="00912BB5" w:rsidRPr="003111E1">
              <w:rPr>
                <w:spacing w:val="-20"/>
              </w:rPr>
              <w:t>7</w:t>
            </w:r>
            <w:r w:rsidRPr="003111E1">
              <w:rPr>
                <w:spacing w:val="-20"/>
              </w:rPr>
              <w:t>*</w:t>
            </w:r>
          </w:p>
        </w:tc>
        <w:tc>
          <w:tcPr>
            <w:tcW w:w="662" w:type="dxa"/>
            <w:tcBorders>
              <w:top w:val="nil"/>
              <w:left w:val="nil"/>
              <w:bottom w:val="single" w:sz="4" w:space="0" w:color="auto"/>
              <w:right w:val="nil"/>
            </w:tcBorders>
            <w:vAlign w:val="center"/>
          </w:tcPr>
          <w:p w:rsidR="00334A38" w:rsidRPr="003111E1" w:rsidRDefault="00592DC0" w:rsidP="00592DC0">
            <w:pPr>
              <w:jc w:val="center"/>
              <w:rPr>
                <w:spacing w:val="-20"/>
              </w:rPr>
            </w:pPr>
            <w:r w:rsidRPr="003111E1">
              <w:rPr>
                <w:spacing w:val="-20"/>
              </w:rPr>
              <w:t>4</w:t>
            </w:r>
            <w:r w:rsidR="00A0509D" w:rsidRPr="003111E1">
              <w:rPr>
                <w:spacing w:val="-20"/>
              </w:rPr>
              <w:t>.</w:t>
            </w:r>
            <w:r w:rsidRPr="003111E1">
              <w:rPr>
                <w:spacing w:val="-20"/>
              </w:rPr>
              <w:t>63</w:t>
            </w:r>
          </w:p>
        </w:tc>
        <w:tc>
          <w:tcPr>
            <w:tcW w:w="742" w:type="dxa"/>
            <w:tcBorders>
              <w:top w:val="nil"/>
              <w:left w:val="nil"/>
              <w:bottom w:val="single" w:sz="4" w:space="0" w:color="auto"/>
              <w:right w:val="nil"/>
            </w:tcBorders>
            <w:vAlign w:val="center"/>
          </w:tcPr>
          <w:p w:rsidR="00334A38" w:rsidRPr="003111E1" w:rsidRDefault="00A0509D" w:rsidP="00592DC0">
            <w:pPr>
              <w:jc w:val="center"/>
              <w:rPr>
                <w:spacing w:val="-20"/>
              </w:rPr>
            </w:pPr>
            <w:r w:rsidRPr="003111E1">
              <w:rPr>
                <w:spacing w:val="-20"/>
              </w:rPr>
              <w:t>-</w:t>
            </w:r>
            <w:r w:rsidR="00592DC0" w:rsidRPr="003111E1">
              <w:rPr>
                <w:spacing w:val="-20"/>
              </w:rPr>
              <w:t>1</w:t>
            </w:r>
            <w:r w:rsidRPr="003111E1">
              <w:rPr>
                <w:spacing w:val="-20"/>
              </w:rPr>
              <w:t>.</w:t>
            </w:r>
            <w:r w:rsidR="00592DC0" w:rsidRPr="003111E1">
              <w:rPr>
                <w:spacing w:val="-20"/>
              </w:rPr>
              <w:t>93</w:t>
            </w:r>
          </w:p>
        </w:tc>
        <w:tc>
          <w:tcPr>
            <w:tcW w:w="742" w:type="dxa"/>
            <w:tcBorders>
              <w:top w:val="nil"/>
              <w:left w:val="nil"/>
              <w:bottom w:val="single" w:sz="4" w:space="0" w:color="auto"/>
            </w:tcBorders>
            <w:vAlign w:val="center"/>
          </w:tcPr>
          <w:p w:rsidR="00334A38" w:rsidRPr="003111E1" w:rsidRDefault="00A0509D" w:rsidP="00592DC0">
            <w:pPr>
              <w:jc w:val="center"/>
              <w:rPr>
                <w:spacing w:val="-20"/>
              </w:rPr>
            </w:pPr>
            <w:r w:rsidRPr="003111E1">
              <w:rPr>
                <w:spacing w:val="-20"/>
              </w:rPr>
              <w:t>-</w:t>
            </w:r>
            <w:r w:rsidR="00592DC0" w:rsidRPr="003111E1">
              <w:rPr>
                <w:spacing w:val="-20"/>
              </w:rPr>
              <w:t>4</w:t>
            </w:r>
            <w:r w:rsidRPr="003111E1">
              <w:rPr>
                <w:spacing w:val="-20"/>
              </w:rPr>
              <w:t>.</w:t>
            </w:r>
            <w:r w:rsidR="00592DC0" w:rsidRPr="003111E1">
              <w:rPr>
                <w:spacing w:val="-20"/>
              </w:rPr>
              <w:t>23</w:t>
            </w:r>
          </w:p>
        </w:tc>
      </w:tr>
      <w:tr w:rsidR="00592DC0" w:rsidRPr="003111E1" w:rsidTr="00C13AF8">
        <w:trPr>
          <w:jc w:val="center"/>
        </w:trPr>
        <w:tc>
          <w:tcPr>
            <w:tcW w:w="1505" w:type="dxa"/>
            <w:tcBorders>
              <w:top w:val="single" w:sz="4" w:space="0" w:color="auto"/>
              <w:right w:val="single" w:sz="4" w:space="0" w:color="auto"/>
            </w:tcBorders>
            <w:vAlign w:val="center"/>
          </w:tcPr>
          <w:p w:rsidR="00334A38" w:rsidRPr="003111E1" w:rsidRDefault="00334A38" w:rsidP="00CE7968">
            <w:pPr>
              <w:snapToGrid w:val="0"/>
              <w:spacing w:line="280" w:lineRule="exact"/>
              <w:jc w:val="center"/>
              <w:rPr>
                <w:rFonts w:eastAsia="標楷體"/>
                <w:w w:val="95"/>
                <w:sz w:val="22"/>
                <w:szCs w:val="22"/>
              </w:rPr>
            </w:pPr>
            <w:r w:rsidRPr="003111E1">
              <w:rPr>
                <w:rFonts w:eastAsia="標楷體"/>
                <w:w w:val="95"/>
                <w:sz w:val="22"/>
                <w:szCs w:val="22"/>
              </w:rPr>
              <w:t>累計較</w:t>
            </w:r>
            <w:r w:rsidRPr="003111E1">
              <w:rPr>
                <w:rFonts w:eastAsia="標楷體"/>
                <w:w w:val="95"/>
                <w:sz w:val="22"/>
                <w:szCs w:val="22"/>
              </w:rPr>
              <w:t>101</w:t>
            </w:r>
            <w:r w:rsidRPr="003111E1">
              <w:rPr>
                <w:rFonts w:eastAsia="標楷體"/>
                <w:w w:val="95"/>
                <w:sz w:val="22"/>
                <w:szCs w:val="22"/>
              </w:rPr>
              <w:t>年同期變動</w:t>
            </w:r>
            <w:r w:rsidRPr="003111E1">
              <w:rPr>
                <w:rFonts w:eastAsia="標楷體"/>
                <w:w w:val="95"/>
                <w:sz w:val="22"/>
                <w:szCs w:val="22"/>
              </w:rPr>
              <w:t>(</w:t>
            </w:r>
            <w:r w:rsidR="00CE7968">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single" w:sz="4" w:space="0" w:color="auto"/>
              <w:left w:val="single" w:sz="4" w:space="0" w:color="auto"/>
            </w:tcBorders>
            <w:vAlign w:val="center"/>
          </w:tcPr>
          <w:p w:rsidR="00334A38" w:rsidRPr="003111E1" w:rsidRDefault="00334A38" w:rsidP="00912BB5">
            <w:pPr>
              <w:jc w:val="center"/>
              <w:rPr>
                <w:spacing w:val="-20"/>
              </w:rPr>
            </w:pPr>
            <w:r w:rsidRPr="003111E1">
              <w:rPr>
                <w:spacing w:val="-20"/>
              </w:rPr>
              <w:t>1.</w:t>
            </w:r>
            <w:r w:rsidR="00912BB5" w:rsidRPr="003111E1">
              <w:rPr>
                <w:spacing w:val="-20"/>
              </w:rPr>
              <w:t>02</w:t>
            </w:r>
          </w:p>
        </w:tc>
        <w:tc>
          <w:tcPr>
            <w:tcW w:w="726" w:type="dxa"/>
            <w:tcBorders>
              <w:top w:val="single" w:sz="4" w:space="0" w:color="auto"/>
            </w:tcBorders>
            <w:vAlign w:val="center"/>
          </w:tcPr>
          <w:p w:rsidR="00334A38" w:rsidRPr="003111E1" w:rsidRDefault="00334A38" w:rsidP="00912BB5">
            <w:pPr>
              <w:jc w:val="center"/>
              <w:rPr>
                <w:spacing w:val="-20"/>
              </w:rPr>
            </w:pPr>
            <w:r w:rsidRPr="003111E1">
              <w:rPr>
                <w:spacing w:val="-20"/>
              </w:rPr>
              <w:t>1.</w:t>
            </w:r>
            <w:r w:rsidR="00912BB5" w:rsidRPr="003111E1">
              <w:rPr>
                <w:spacing w:val="-20"/>
              </w:rPr>
              <w:t>06</w:t>
            </w:r>
          </w:p>
        </w:tc>
        <w:tc>
          <w:tcPr>
            <w:tcW w:w="624" w:type="dxa"/>
            <w:tcBorders>
              <w:top w:val="single" w:sz="4" w:space="0" w:color="auto"/>
            </w:tcBorders>
            <w:vAlign w:val="center"/>
          </w:tcPr>
          <w:p w:rsidR="00334A38" w:rsidRPr="003111E1" w:rsidRDefault="00334A38" w:rsidP="00912BB5">
            <w:pPr>
              <w:jc w:val="center"/>
              <w:rPr>
                <w:spacing w:val="-20"/>
              </w:rPr>
            </w:pPr>
            <w:r w:rsidRPr="003111E1">
              <w:rPr>
                <w:spacing w:val="-20"/>
              </w:rPr>
              <w:t>0.</w:t>
            </w:r>
            <w:r w:rsidR="00912BB5" w:rsidRPr="003111E1">
              <w:rPr>
                <w:spacing w:val="-20"/>
              </w:rPr>
              <w:t>15</w:t>
            </w:r>
          </w:p>
        </w:tc>
        <w:tc>
          <w:tcPr>
            <w:tcW w:w="684" w:type="dxa"/>
            <w:tcBorders>
              <w:top w:val="single" w:sz="4" w:space="0" w:color="auto"/>
            </w:tcBorders>
            <w:vAlign w:val="center"/>
          </w:tcPr>
          <w:p w:rsidR="00334A38" w:rsidRPr="003111E1" w:rsidRDefault="00334A38" w:rsidP="00912BB5">
            <w:pPr>
              <w:jc w:val="center"/>
              <w:rPr>
                <w:spacing w:val="-20"/>
              </w:rPr>
            </w:pPr>
            <w:r w:rsidRPr="003111E1">
              <w:rPr>
                <w:spacing w:val="-20"/>
              </w:rPr>
              <w:t>0.</w:t>
            </w:r>
            <w:r w:rsidR="00912BB5" w:rsidRPr="003111E1">
              <w:rPr>
                <w:spacing w:val="-20"/>
              </w:rPr>
              <w:t>09</w:t>
            </w:r>
            <w:r w:rsidRPr="003111E1">
              <w:rPr>
                <w:spacing w:val="-20"/>
              </w:rPr>
              <w:t>*</w:t>
            </w:r>
          </w:p>
        </w:tc>
        <w:tc>
          <w:tcPr>
            <w:tcW w:w="542" w:type="dxa"/>
            <w:tcBorders>
              <w:top w:val="single" w:sz="4" w:space="0" w:color="auto"/>
            </w:tcBorders>
            <w:vAlign w:val="center"/>
          </w:tcPr>
          <w:p w:rsidR="00334A38" w:rsidRPr="003111E1" w:rsidRDefault="00334A38" w:rsidP="00B9643F">
            <w:pPr>
              <w:jc w:val="center"/>
              <w:rPr>
                <w:spacing w:val="-20"/>
              </w:rPr>
            </w:pPr>
            <w:r w:rsidRPr="003111E1">
              <w:rPr>
                <w:spacing w:val="-20"/>
              </w:rPr>
              <w:t>-0.</w:t>
            </w:r>
            <w:r w:rsidR="00B9643F" w:rsidRPr="003111E1">
              <w:rPr>
                <w:spacing w:val="-20"/>
              </w:rPr>
              <w:t>17</w:t>
            </w:r>
          </w:p>
        </w:tc>
        <w:tc>
          <w:tcPr>
            <w:tcW w:w="651" w:type="dxa"/>
            <w:tcBorders>
              <w:top w:val="single" w:sz="4" w:space="0" w:color="auto"/>
            </w:tcBorders>
            <w:vAlign w:val="center"/>
          </w:tcPr>
          <w:p w:rsidR="00334A38" w:rsidRPr="003111E1" w:rsidRDefault="00334A38" w:rsidP="00B9643F">
            <w:pPr>
              <w:jc w:val="center"/>
              <w:rPr>
                <w:spacing w:val="-20"/>
              </w:rPr>
            </w:pPr>
            <w:r w:rsidRPr="003111E1">
              <w:rPr>
                <w:spacing w:val="-20"/>
              </w:rPr>
              <w:t>0.</w:t>
            </w:r>
            <w:r w:rsidR="00B9643F" w:rsidRPr="003111E1">
              <w:rPr>
                <w:spacing w:val="-20"/>
              </w:rPr>
              <w:t>78</w:t>
            </w:r>
          </w:p>
        </w:tc>
        <w:tc>
          <w:tcPr>
            <w:tcW w:w="742" w:type="dxa"/>
            <w:tcBorders>
              <w:top w:val="single" w:sz="4" w:space="0" w:color="auto"/>
            </w:tcBorders>
            <w:vAlign w:val="center"/>
          </w:tcPr>
          <w:p w:rsidR="00334A38" w:rsidRPr="003111E1" w:rsidRDefault="00334A38" w:rsidP="00B9643F">
            <w:pPr>
              <w:jc w:val="center"/>
              <w:rPr>
                <w:spacing w:val="-20"/>
              </w:rPr>
            </w:pPr>
            <w:r w:rsidRPr="003111E1">
              <w:rPr>
                <w:spacing w:val="-20"/>
              </w:rPr>
              <w:t>0.</w:t>
            </w:r>
            <w:r w:rsidR="00B9643F" w:rsidRPr="003111E1">
              <w:rPr>
                <w:spacing w:val="-20"/>
              </w:rPr>
              <w:t>49</w:t>
            </w:r>
          </w:p>
        </w:tc>
        <w:tc>
          <w:tcPr>
            <w:tcW w:w="655" w:type="dxa"/>
            <w:tcBorders>
              <w:top w:val="single" w:sz="4" w:space="0" w:color="auto"/>
            </w:tcBorders>
            <w:vAlign w:val="center"/>
          </w:tcPr>
          <w:p w:rsidR="00334A38" w:rsidRPr="003111E1" w:rsidRDefault="00334A38" w:rsidP="00B9643F">
            <w:pPr>
              <w:jc w:val="center"/>
              <w:rPr>
                <w:spacing w:val="-20"/>
              </w:rPr>
            </w:pPr>
            <w:r w:rsidRPr="003111E1">
              <w:rPr>
                <w:spacing w:val="-20"/>
              </w:rPr>
              <w:t>1.3</w:t>
            </w:r>
            <w:r w:rsidR="00B9643F" w:rsidRPr="003111E1">
              <w:rPr>
                <w:spacing w:val="-20"/>
              </w:rPr>
              <w:t>3</w:t>
            </w:r>
          </w:p>
        </w:tc>
        <w:tc>
          <w:tcPr>
            <w:tcW w:w="712" w:type="dxa"/>
            <w:tcBorders>
              <w:top w:val="single" w:sz="4" w:space="0" w:color="auto"/>
            </w:tcBorders>
            <w:vAlign w:val="center"/>
          </w:tcPr>
          <w:p w:rsidR="00334A38" w:rsidRPr="003111E1" w:rsidRDefault="00334A38" w:rsidP="00A114A0">
            <w:pPr>
              <w:jc w:val="center"/>
              <w:rPr>
                <w:spacing w:val="-20"/>
              </w:rPr>
            </w:pPr>
            <w:r w:rsidRPr="003111E1">
              <w:rPr>
                <w:spacing w:val="-20"/>
              </w:rPr>
              <w:t>-0.0</w:t>
            </w:r>
            <w:r w:rsidR="00A114A0" w:rsidRPr="003111E1">
              <w:rPr>
                <w:spacing w:val="-20"/>
              </w:rPr>
              <w:t>3</w:t>
            </w:r>
            <w:r w:rsidRPr="003111E1">
              <w:rPr>
                <w:spacing w:val="-20"/>
              </w:rPr>
              <w:t>*</w:t>
            </w:r>
          </w:p>
        </w:tc>
        <w:tc>
          <w:tcPr>
            <w:tcW w:w="662" w:type="dxa"/>
            <w:tcBorders>
              <w:top w:val="single" w:sz="4" w:space="0" w:color="auto"/>
            </w:tcBorders>
            <w:vAlign w:val="center"/>
          </w:tcPr>
          <w:p w:rsidR="00334A38" w:rsidRPr="003111E1" w:rsidRDefault="0018383A" w:rsidP="00592DC0">
            <w:pPr>
              <w:jc w:val="center"/>
              <w:rPr>
                <w:spacing w:val="-20"/>
              </w:rPr>
            </w:pPr>
            <w:r w:rsidRPr="003111E1">
              <w:rPr>
                <w:spacing w:val="-20"/>
              </w:rPr>
              <w:t>7.</w:t>
            </w:r>
            <w:r w:rsidR="00592DC0" w:rsidRPr="003111E1">
              <w:rPr>
                <w:spacing w:val="-20"/>
              </w:rPr>
              <w:t>36</w:t>
            </w:r>
          </w:p>
        </w:tc>
        <w:tc>
          <w:tcPr>
            <w:tcW w:w="742" w:type="dxa"/>
            <w:tcBorders>
              <w:top w:val="single" w:sz="4" w:space="0" w:color="auto"/>
            </w:tcBorders>
            <w:vAlign w:val="center"/>
          </w:tcPr>
          <w:p w:rsidR="00334A38" w:rsidRPr="003111E1" w:rsidRDefault="0018383A" w:rsidP="00592DC0">
            <w:pPr>
              <w:jc w:val="center"/>
              <w:rPr>
                <w:spacing w:val="-20"/>
              </w:rPr>
            </w:pPr>
            <w:r w:rsidRPr="003111E1">
              <w:rPr>
                <w:spacing w:val="-20"/>
              </w:rPr>
              <w:t>-2.</w:t>
            </w:r>
            <w:r w:rsidR="00592DC0" w:rsidRPr="003111E1">
              <w:rPr>
                <w:spacing w:val="-20"/>
              </w:rPr>
              <w:t>40</w:t>
            </w:r>
          </w:p>
        </w:tc>
        <w:tc>
          <w:tcPr>
            <w:tcW w:w="742" w:type="dxa"/>
            <w:tcBorders>
              <w:top w:val="single" w:sz="4" w:space="0" w:color="auto"/>
            </w:tcBorders>
            <w:vAlign w:val="center"/>
          </w:tcPr>
          <w:p w:rsidR="00334A38" w:rsidRPr="003111E1" w:rsidRDefault="0018383A" w:rsidP="00592DC0">
            <w:pPr>
              <w:jc w:val="center"/>
              <w:rPr>
                <w:spacing w:val="-20"/>
              </w:rPr>
            </w:pPr>
            <w:r w:rsidRPr="003111E1">
              <w:rPr>
                <w:spacing w:val="-20"/>
              </w:rPr>
              <w:t>0.</w:t>
            </w:r>
            <w:r w:rsidR="00592DC0" w:rsidRPr="003111E1">
              <w:rPr>
                <w:spacing w:val="-20"/>
              </w:rPr>
              <w:t>48</w:t>
            </w:r>
          </w:p>
        </w:tc>
      </w:tr>
    </w:tbl>
    <w:p w:rsidR="007651D7" w:rsidRPr="003111E1" w:rsidRDefault="007651D7" w:rsidP="00972814">
      <w:pPr>
        <w:snapToGrid w:val="0"/>
        <w:spacing w:line="240" w:lineRule="atLeast"/>
        <w:ind w:right="-465"/>
        <w:rPr>
          <w:rFonts w:eastAsia="標楷體"/>
          <w:sz w:val="22"/>
          <w:szCs w:val="22"/>
        </w:rPr>
      </w:pPr>
      <w:proofErr w:type="gramStart"/>
      <w:r w:rsidRPr="003111E1">
        <w:rPr>
          <w:rFonts w:eastAsia="標楷體"/>
          <w:sz w:val="22"/>
          <w:szCs w:val="22"/>
        </w:rPr>
        <w:t>註</w:t>
      </w:r>
      <w:proofErr w:type="gramEnd"/>
      <w:r w:rsidRPr="003111E1">
        <w:rPr>
          <w:rFonts w:eastAsia="標楷體"/>
          <w:sz w:val="22"/>
          <w:szCs w:val="22"/>
        </w:rPr>
        <w:t>：</w:t>
      </w:r>
      <w:r w:rsidRPr="003111E1">
        <w:rPr>
          <w:rFonts w:eastAsia="標楷體"/>
          <w:sz w:val="22"/>
          <w:szCs w:val="22"/>
        </w:rPr>
        <w:t>*</w:t>
      </w:r>
      <w:r w:rsidRPr="003111E1">
        <w:rPr>
          <w:rFonts w:eastAsia="標楷體"/>
          <w:sz w:val="22"/>
          <w:szCs w:val="22"/>
        </w:rPr>
        <w:t>數字表示增減百分點</w:t>
      </w:r>
    </w:p>
    <w:p w:rsidR="007651D7" w:rsidRPr="003111E1" w:rsidRDefault="007651D7" w:rsidP="00972814">
      <w:pPr>
        <w:snapToGrid w:val="0"/>
        <w:spacing w:line="240" w:lineRule="atLeast"/>
        <w:ind w:right="-465"/>
        <w:rPr>
          <w:rFonts w:eastAsia="標楷體"/>
          <w:sz w:val="22"/>
          <w:szCs w:val="22"/>
        </w:rPr>
      </w:pPr>
      <w:r w:rsidRPr="003111E1">
        <w:rPr>
          <w:rFonts w:eastAsia="標楷體"/>
          <w:sz w:val="22"/>
          <w:szCs w:val="22"/>
        </w:rPr>
        <w:t>資料來源：行政院主計總處「人力資源統計月報」。</w:t>
      </w:r>
    </w:p>
    <w:p w:rsidR="007651D7" w:rsidRPr="003111E1" w:rsidRDefault="007651D7" w:rsidP="00276BD8">
      <w:pPr>
        <w:pStyle w:val="t-4"/>
        <w:snapToGrid w:val="0"/>
        <w:spacing w:beforeLines="50" w:before="180" w:afterLines="0" w:after="0" w:line="300" w:lineRule="auto"/>
        <w:ind w:leftChars="0" w:left="0" w:firstLineChars="0" w:firstLine="0"/>
        <w:rPr>
          <w:color w:val="auto"/>
        </w:rPr>
      </w:pPr>
      <w:r w:rsidRPr="003111E1">
        <w:rPr>
          <w:color w:val="auto"/>
        </w:rPr>
        <w:lastRenderedPageBreak/>
        <w:t>２、國際比較</w:t>
      </w:r>
    </w:p>
    <w:p w:rsidR="00334A38" w:rsidRPr="003111E1" w:rsidRDefault="00334A38" w:rsidP="001508C5">
      <w:pPr>
        <w:snapToGrid w:val="0"/>
        <w:spacing w:beforeLines="50" w:before="180" w:line="300" w:lineRule="auto"/>
        <w:ind w:leftChars="118" w:left="283" w:rightChars="-59" w:right="-142" w:firstLineChars="202" w:firstLine="566"/>
        <w:jc w:val="both"/>
        <w:rPr>
          <w:rFonts w:eastAsia="標楷體"/>
          <w:sz w:val="28"/>
          <w:szCs w:val="32"/>
        </w:rPr>
      </w:pPr>
      <w:r w:rsidRPr="003111E1">
        <w:rPr>
          <w:rFonts w:eastAsia="標楷體"/>
          <w:sz w:val="28"/>
          <w:szCs w:val="32"/>
        </w:rPr>
        <w:t>102</w:t>
      </w:r>
      <w:r w:rsidRPr="003111E1">
        <w:rPr>
          <w:rFonts w:eastAsia="標楷體"/>
          <w:sz w:val="28"/>
          <w:szCs w:val="32"/>
        </w:rPr>
        <w:t>年</w:t>
      </w:r>
      <w:r w:rsidR="000143BC" w:rsidRPr="003111E1">
        <w:rPr>
          <w:rFonts w:eastAsia="標楷體"/>
          <w:sz w:val="28"/>
          <w:szCs w:val="32"/>
        </w:rPr>
        <w:t>6</w:t>
      </w:r>
      <w:r w:rsidRPr="003111E1">
        <w:rPr>
          <w:rFonts w:eastAsia="標楷體"/>
          <w:sz w:val="28"/>
          <w:szCs w:val="32"/>
        </w:rPr>
        <w:t>月國內經季節調整後之失業率為</w:t>
      </w:r>
      <w:r w:rsidRPr="003111E1">
        <w:rPr>
          <w:rFonts w:eastAsia="標楷體"/>
          <w:sz w:val="28"/>
          <w:szCs w:val="32"/>
        </w:rPr>
        <w:t>4.1</w:t>
      </w:r>
      <w:r w:rsidR="000143BC" w:rsidRPr="003111E1">
        <w:rPr>
          <w:rFonts w:eastAsia="標楷體"/>
          <w:sz w:val="28"/>
          <w:szCs w:val="32"/>
        </w:rPr>
        <w:t>7</w:t>
      </w:r>
      <w:r w:rsidRPr="003111E1">
        <w:rPr>
          <w:rFonts w:eastAsia="標楷體"/>
          <w:sz w:val="28"/>
          <w:szCs w:val="32"/>
        </w:rPr>
        <w:t>％，低於美國、加拿大，惟較香港為高。</w:t>
      </w:r>
    </w:p>
    <w:p w:rsidR="00334A38" w:rsidRPr="003111E1" w:rsidRDefault="00334A38" w:rsidP="00334A38">
      <w:pPr>
        <w:snapToGrid w:val="0"/>
        <w:spacing w:before="120"/>
        <w:jc w:val="center"/>
        <w:rPr>
          <w:rFonts w:eastAsia="標楷體"/>
          <w:b/>
          <w:bCs/>
          <w:sz w:val="28"/>
        </w:rPr>
      </w:pPr>
      <w:r w:rsidRPr="003111E1">
        <w:rPr>
          <w:rFonts w:eastAsia="標楷體"/>
          <w:b/>
          <w:bCs/>
          <w:sz w:val="28"/>
        </w:rPr>
        <w:t>表</w:t>
      </w:r>
      <w:r w:rsidRPr="003111E1">
        <w:rPr>
          <w:rFonts w:eastAsia="標楷體"/>
          <w:b/>
          <w:bCs/>
          <w:sz w:val="28"/>
        </w:rPr>
        <w:t xml:space="preserve">2-9-2  </w:t>
      </w:r>
      <w:r w:rsidRPr="003111E1">
        <w:rPr>
          <w:rFonts w:eastAsia="標楷體"/>
          <w:b/>
          <w:bCs/>
          <w:sz w:val="28"/>
        </w:rPr>
        <w:t>主要國家失業率比較</w:t>
      </w:r>
    </w:p>
    <w:p w:rsidR="00334A38" w:rsidRPr="003111E1" w:rsidRDefault="00334A38" w:rsidP="008157D6">
      <w:pPr>
        <w:pStyle w:val="ad"/>
        <w:snapToGrid w:val="0"/>
        <w:spacing w:line="300" w:lineRule="atLeast"/>
        <w:ind w:leftChars="0" w:left="0" w:right="-816" w:firstLineChars="0" w:firstLine="0"/>
        <w:jc w:val="right"/>
        <w:rPr>
          <w:sz w:val="24"/>
        </w:rPr>
      </w:pPr>
      <w:r w:rsidRPr="003111E1">
        <w:t xml:space="preserve">                                      </w:t>
      </w:r>
      <w:r w:rsidRPr="003111E1">
        <w:rPr>
          <w:sz w:val="24"/>
        </w:rPr>
        <w:t>單位：％</w:t>
      </w:r>
    </w:p>
    <w:tbl>
      <w:tblPr>
        <w:tblW w:w="10105"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2"/>
        <w:gridCol w:w="540"/>
        <w:gridCol w:w="518"/>
        <w:gridCol w:w="519"/>
        <w:gridCol w:w="519"/>
        <w:gridCol w:w="479"/>
        <w:gridCol w:w="558"/>
        <w:gridCol w:w="519"/>
        <w:gridCol w:w="519"/>
        <w:gridCol w:w="522"/>
        <w:gridCol w:w="532"/>
        <w:gridCol w:w="533"/>
        <w:gridCol w:w="533"/>
        <w:gridCol w:w="533"/>
        <w:gridCol w:w="533"/>
        <w:gridCol w:w="531"/>
        <w:gridCol w:w="1235"/>
      </w:tblGrid>
      <w:tr w:rsidR="000143BC" w:rsidRPr="003111E1" w:rsidTr="000143BC">
        <w:trPr>
          <w:cantSplit/>
          <w:trHeight w:val="324"/>
          <w:jc w:val="center"/>
        </w:trPr>
        <w:tc>
          <w:tcPr>
            <w:tcW w:w="982" w:type="dxa"/>
            <w:vMerge w:val="restart"/>
            <w:tcBorders>
              <w:top w:val="single" w:sz="4" w:space="0" w:color="auto"/>
              <w:left w:val="nil"/>
              <w:tl2br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val="restart"/>
            <w:tcBorders>
              <w:top w:val="single" w:sz="4" w:space="0" w:color="auto"/>
              <w:left w:val="nil"/>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3111E1">
              <w:rPr>
                <w:rFonts w:eastAsia="標楷體"/>
                <w:sz w:val="20"/>
              </w:rPr>
              <w:t>100</w:t>
            </w:r>
            <w:r w:rsidRPr="003111E1">
              <w:rPr>
                <w:rFonts w:eastAsia="標楷體"/>
                <w:sz w:val="20"/>
              </w:rPr>
              <w:t>年</w:t>
            </w:r>
          </w:p>
        </w:tc>
        <w:tc>
          <w:tcPr>
            <w:tcW w:w="4153" w:type="dxa"/>
            <w:gridSpan w:val="8"/>
            <w:tcBorders>
              <w:top w:val="single" w:sz="4" w:space="0" w:color="auto"/>
              <w:left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w:t>
            </w:r>
          </w:p>
        </w:tc>
        <w:tc>
          <w:tcPr>
            <w:tcW w:w="3195" w:type="dxa"/>
            <w:gridSpan w:val="6"/>
            <w:tcBorders>
              <w:top w:val="single" w:sz="4" w:space="0" w:color="auto"/>
              <w:left w:val="single" w:sz="4" w:space="0" w:color="auto"/>
              <w:right w:val="single" w:sz="4" w:space="0" w:color="auto"/>
            </w:tcBorders>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102</w:t>
            </w:r>
            <w:r w:rsidRPr="003111E1">
              <w:rPr>
                <w:rFonts w:eastAsia="標楷體"/>
                <w:spacing w:val="-24"/>
                <w:sz w:val="20"/>
              </w:rPr>
              <w:t>年</w:t>
            </w:r>
          </w:p>
        </w:tc>
        <w:tc>
          <w:tcPr>
            <w:tcW w:w="1235" w:type="dxa"/>
            <w:vMerge w:val="restart"/>
            <w:tcBorders>
              <w:top w:val="single" w:sz="4" w:space="0" w:color="auto"/>
              <w:left w:val="single" w:sz="4" w:space="0" w:color="auto"/>
              <w:right w:val="nil"/>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年當月</w:t>
            </w:r>
            <w:r w:rsidRPr="003111E1">
              <w:rPr>
                <w:rFonts w:eastAsia="標楷體"/>
                <w:spacing w:val="-24"/>
                <w:sz w:val="20"/>
              </w:rPr>
              <w:t>*</w:t>
            </w:r>
          </w:p>
          <w:p w:rsidR="000143BC" w:rsidRPr="003111E1" w:rsidRDefault="00827576"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w:t>
            </w:r>
            <w:r w:rsidR="000143BC" w:rsidRPr="003111E1">
              <w:rPr>
                <w:rFonts w:eastAsia="標楷體"/>
                <w:spacing w:val="-24"/>
                <w:sz w:val="20"/>
              </w:rPr>
              <w:t>變動百分點</w:t>
            </w:r>
            <w:r>
              <w:rPr>
                <w:rFonts w:eastAsia="標楷體" w:hint="eastAsia"/>
                <w:spacing w:val="-24"/>
                <w:sz w:val="20"/>
              </w:rPr>
              <w:t>）</w:t>
            </w:r>
          </w:p>
        </w:tc>
      </w:tr>
      <w:tr w:rsidR="000143BC" w:rsidRPr="003111E1" w:rsidTr="000143BC">
        <w:trPr>
          <w:cantSplit/>
          <w:trHeight w:val="324"/>
          <w:jc w:val="center"/>
        </w:trPr>
        <w:tc>
          <w:tcPr>
            <w:tcW w:w="982" w:type="dxa"/>
            <w:vMerge/>
            <w:tcBorders>
              <w:left w:val="nil"/>
              <w:bottom w:val="single" w:sz="4" w:space="0" w:color="auto"/>
              <w:tl2br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tcBorders>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平均</w:t>
            </w:r>
          </w:p>
        </w:tc>
        <w:tc>
          <w:tcPr>
            <w:tcW w:w="519" w:type="dxa"/>
            <w:tcBorders>
              <w:top w:val="nil"/>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6</w:t>
            </w:r>
            <w:r w:rsidRPr="003111E1">
              <w:rPr>
                <w:rFonts w:eastAsia="標楷體"/>
                <w:spacing w:val="-24"/>
                <w:sz w:val="20"/>
              </w:rPr>
              <w:t>月</w:t>
            </w:r>
          </w:p>
        </w:tc>
        <w:tc>
          <w:tcPr>
            <w:tcW w:w="519" w:type="dxa"/>
            <w:tcBorders>
              <w:top w:val="nil"/>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7</w:t>
            </w:r>
            <w:r w:rsidRPr="003111E1">
              <w:rPr>
                <w:rFonts w:eastAsia="標楷體"/>
                <w:spacing w:val="-24"/>
                <w:sz w:val="20"/>
              </w:rPr>
              <w:t>月</w:t>
            </w:r>
          </w:p>
        </w:tc>
        <w:tc>
          <w:tcPr>
            <w:tcW w:w="479" w:type="dxa"/>
            <w:tcBorders>
              <w:top w:val="nil"/>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8</w:t>
            </w:r>
            <w:r w:rsidRPr="003111E1">
              <w:rPr>
                <w:rFonts w:eastAsia="標楷體"/>
                <w:spacing w:val="-24"/>
                <w:sz w:val="20"/>
              </w:rPr>
              <w:t>月</w:t>
            </w:r>
          </w:p>
        </w:tc>
        <w:tc>
          <w:tcPr>
            <w:tcW w:w="558" w:type="dxa"/>
            <w:tcBorders>
              <w:top w:val="nil"/>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9</w:t>
            </w:r>
            <w:r w:rsidRPr="003111E1">
              <w:rPr>
                <w:rFonts w:eastAsia="標楷體"/>
                <w:spacing w:val="-24"/>
                <w:sz w:val="20"/>
              </w:rPr>
              <w:t>月</w:t>
            </w:r>
          </w:p>
        </w:tc>
        <w:tc>
          <w:tcPr>
            <w:tcW w:w="519" w:type="dxa"/>
            <w:tcBorders>
              <w:top w:val="nil"/>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10</w:t>
            </w:r>
            <w:r w:rsidRPr="003111E1">
              <w:rPr>
                <w:rFonts w:eastAsia="標楷體"/>
                <w:spacing w:val="-24"/>
                <w:sz w:val="20"/>
              </w:rPr>
              <w:t>月</w:t>
            </w:r>
          </w:p>
        </w:tc>
        <w:tc>
          <w:tcPr>
            <w:tcW w:w="519" w:type="dxa"/>
            <w:tcBorders>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11</w:t>
            </w:r>
            <w:r w:rsidRPr="003111E1">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12</w:t>
            </w:r>
            <w:r w:rsidRPr="003111E1">
              <w:rPr>
                <w:rFonts w:eastAsia="標楷體"/>
                <w:spacing w:val="-24"/>
                <w:sz w:val="20"/>
              </w:rPr>
              <w:t>月</w:t>
            </w:r>
          </w:p>
        </w:tc>
        <w:tc>
          <w:tcPr>
            <w:tcW w:w="532" w:type="dxa"/>
            <w:tcBorders>
              <w:left w:val="single" w:sz="4" w:space="0" w:color="auto"/>
              <w:bottom w:val="single" w:sz="4" w:space="0" w:color="auto"/>
              <w:right w:val="single" w:sz="4" w:space="0" w:color="auto"/>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2</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3</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4</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5</w:t>
            </w:r>
            <w:r w:rsidRPr="003111E1">
              <w:rPr>
                <w:rFonts w:eastAsia="標楷體"/>
                <w:spacing w:val="-24"/>
                <w:sz w:val="20"/>
              </w:rPr>
              <w:t>月</w:t>
            </w:r>
          </w:p>
        </w:tc>
        <w:tc>
          <w:tcPr>
            <w:tcW w:w="531" w:type="dxa"/>
            <w:tcBorders>
              <w:left w:val="single" w:sz="4" w:space="0" w:color="auto"/>
              <w:bottom w:val="single" w:sz="4" w:space="0" w:color="auto"/>
              <w:right w:val="single" w:sz="4" w:space="0" w:color="auto"/>
            </w:tcBorders>
            <w:vAlign w:val="center"/>
          </w:tcPr>
          <w:p w:rsidR="000143BC" w:rsidRPr="003111E1" w:rsidRDefault="000143BC" w:rsidP="00AD5B2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6</w:t>
            </w:r>
            <w:r w:rsidRPr="003111E1">
              <w:rPr>
                <w:rFonts w:eastAsia="標楷體"/>
                <w:spacing w:val="-24"/>
                <w:sz w:val="20"/>
              </w:rPr>
              <w:t>月</w:t>
            </w:r>
          </w:p>
        </w:tc>
        <w:tc>
          <w:tcPr>
            <w:tcW w:w="1235" w:type="dxa"/>
            <w:vMerge/>
            <w:tcBorders>
              <w:left w:val="single" w:sz="4" w:space="0" w:color="auto"/>
              <w:bottom w:val="single" w:sz="4" w:space="0" w:color="auto"/>
              <w:right w:val="nil"/>
            </w:tcBorders>
            <w:vAlign w:val="center"/>
          </w:tcPr>
          <w:p w:rsidR="000143BC" w:rsidRPr="003111E1" w:rsidRDefault="000143BC"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143BC" w:rsidRPr="003111E1" w:rsidTr="000143BC">
        <w:trPr>
          <w:cantSplit/>
          <w:jc w:val="center"/>
        </w:trPr>
        <w:tc>
          <w:tcPr>
            <w:tcW w:w="982" w:type="dxa"/>
            <w:tcBorders>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台灣</w:t>
            </w:r>
          </w:p>
        </w:tc>
        <w:tc>
          <w:tcPr>
            <w:tcW w:w="540"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4.39</w:t>
            </w:r>
          </w:p>
        </w:tc>
        <w:tc>
          <w:tcPr>
            <w:tcW w:w="518"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4.24</w:t>
            </w:r>
          </w:p>
        </w:tc>
        <w:tc>
          <w:tcPr>
            <w:tcW w:w="519" w:type="dxa"/>
            <w:tcBorders>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4.27</w:t>
            </w:r>
          </w:p>
        </w:tc>
        <w:tc>
          <w:tcPr>
            <w:tcW w:w="519" w:type="dxa"/>
            <w:tcBorders>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4.26</w:t>
            </w:r>
          </w:p>
        </w:tc>
        <w:tc>
          <w:tcPr>
            <w:tcW w:w="479" w:type="dxa"/>
            <w:tcBorders>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4.27</w:t>
            </w:r>
          </w:p>
        </w:tc>
        <w:tc>
          <w:tcPr>
            <w:tcW w:w="558" w:type="dxa"/>
            <w:tcBorders>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4.28</w:t>
            </w:r>
          </w:p>
        </w:tc>
        <w:tc>
          <w:tcPr>
            <w:tcW w:w="519"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4.28</w:t>
            </w:r>
          </w:p>
        </w:tc>
        <w:tc>
          <w:tcPr>
            <w:tcW w:w="519"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4.24</w:t>
            </w:r>
          </w:p>
        </w:tc>
        <w:tc>
          <w:tcPr>
            <w:tcW w:w="522"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4.21</w:t>
            </w:r>
          </w:p>
        </w:tc>
        <w:tc>
          <w:tcPr>
            <w:tcW w:w="532" w:type="dxa"/>
            <w:tcBorders>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4.20</w:t>
            </w:r>
          </w:p>
        </w:tc>
        <w:tc>
          <w:tcPr>
            <w:tcW w:w="533" w:type="dxa"/>
            <w:tcBorders>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sidRPr="003111E1">
              <w:rPr>
                <w:rFonts w:eastAsia="標楷體"/>
                <w:sz w:val="20"/>
              </w:rPr>
              <w:t>4.16</w:t>
            </w:r>
          </w:p>
        </w:tc>
        <w:tc>
          <w:tcPr>
            <w:tcW w:w="533" w:type="dxa"/>
            <w:tcBorders>
              <w:left w:val="single" w:sz="4" w:space="0" w:color="auto"/>
              <w:bottom w:val="nil"/>
              <w:right w:val="single" w:sz="4" w:space="0" w:color="auto"/>
            </w:tcBorders>
          </w:tcPr>
          <w:p w:rsidR="000143BC" w:rsidRPr="003111E1" w:rsidRDefault="000143BC"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4.18</w:t>
            </w:r>
          </w:p>
        </w:tc>
        <w:tc>
          <w:tcPr>
            <w:tcW w:w="533" w:type="dxa"/>
            <w:tcBorders>
              <w:left w:val="single" w:sz="4" w:space="0" w:color="auto"/>
              <w:bottom w:val="nil"/>
              <w:right w:val="single" w:sz="4" w:space="0" w:color="auto"/>
            </w:tcBorders>
          </w:tcPr>
          <w:p w:rsidR="000143BC" w:rsidRPr="003111E1" w:rsidRDefault="000143BC" w:rsidP="002407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0143BC" w:rsidRPr="003111E1" w:rsidRDefault="000143BC" w:rsidP="00137E3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1" w:type="dxa"/>
            <w:tcBorders>
              <w:left w:val="single" w:sz="4" w:space="0" w:color="auto"/>
              <w:bottom w:val="nil"/>
              <w:right w:val="single" w:sz="4" w:space="0" w:color="auto"/>
            </w:tcBorders>
          </w:tcPr>
          <w:p w:rsidR="000143BC" w:rsidRPr="003111E1" w:rsidRDefault="000143BC" w:rsidP="00AD5B2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4.17</w:t>
            </w:r>
          </w:p>
        </w:tc>
        <w:tc>
          <w:tcPr>
            <w:tcW w:w="1235" w:type="dxa"/>
            <w:tcBorders>
              <w:left w:val="single" w:sz="4" w:space="0" w:color="auto"/>
              <w:bottom w:val="nil"/>
              <w:right w:val="nil"/>
            </w:tcBorders>
          </w:tcPr>
          <w:p w:rsidR="000143BC" w:rsidRPr="003111E1" w:rsidRDefault="000143BC" w:rsidP="0082757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4.27(</w:t>
            </w:r>
            <w:r w:rsidRPr="003111E1">
              <w:rPr>
                <w:sz w:val="20"/>
              </w:rPr>
              <w:t>↓0.1</w:t>
            </w:r>
            <w:r w:rsidRPr="003111E1">
              <w:rPr>
                <w:rFonts w:eastAsia="標楷體"/>
                <w:sz w:val="20"/>
              </w:rPr>
              <w:t>)</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香港</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3.3</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3.5</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3.5</w:t>
            </w:r>
          </w:p>
        </w:tc>
        <w:tc>
          <w:tcPr>
            <w:tcW w:w="533" w:type="dxa"/>
            <w:tcBorders>
              <w:top w:val="nil"/>
              <w:left w:val="single" w:sz="4" w:space="0" w:color="auto"/>
              <w:bottom w:val="nil"/>
              <w:right w:val="single" w:sz="4" w:space="0" w:color="auto"/>
            </w:tcBorders>
          </w:tcPr>
          <w:p w:rsidR="000143BC" w:rsidRPr="003111E1" w:rsidRDefault="000143BC" w:rsidP="00137E3E">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1235" w:type="dxa"/>
            <w:tcBorders>
              <w:top w:val="nil"/>
              <w:left w:val="single" w:sz="4" w:space="0" w:color="auto"/>
              <w:bottom w:val="nil"/>
              <w:right w:val="nil"/>
            </w:tcBorders>
          </w:tcPr>
          <w:p w:rsidR="000143BC" w:rsidRPr="003111E1" w:rsidRDefault="000143BC"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3.2(↑0.1)</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日本</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4.6</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4.4</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4.3</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4.3</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4.2</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4.3</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0143BC" w:rsidRPr="003111E1" w:rsidRDefault="000143BC" w:rsidP="000143BC">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1235" w:type="dxa"/>
            <w:tcBorders>
              <w:top w:val="nil"/>
              <w:left w:val="single" w:sz="4" w:space="0" w:color="auto"/>
              <w:bottom w:val="nil"/>
              <w:right w:val="nil"/>
            </w:tcBorders>
          </w:tcPr>
          <w:p w:rsidR="000143BC" w:rsidRPr="003111E1" w:rsidRDefault="000143BC"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4.4(</w:t>
            </w:r>
            <w:r w:rsidRPr="003111E1">
              <w:rPr>
                <w:sz w:val="20"/>
              </w:rPr>
              <w:t>↓0.3</w:t>
            </w:r>
            <w:r w:rsidRPr="003111E1">
              <w:rPr>
                <w:rFonts w:eastAsia="標楷體"/>
                <w:sz w:val="20"/>
              </w:rPr>
              <w:t>)</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南韓</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3.1</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3.0</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3.5</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33" w:type="dxa"/>
            <w:tcBorders>
              <w:top w:val="nil"/>
              <w:left w:val="single" w:sz="4" w:space="0" w:color="auto"/>
              <w:bottom w:val="nil"/>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3.1</w:t>
            </w:r>
          </w:p>
        </w:tc>
        <w:tc>
          <w:tcPr>
            <w:tcW w:w="533" w:type="dxa"/>
            <w:tcBorders>
              <w:top w:val="nil"/>
              <w:left w:val="single" w:sz="4" w:space="0" w:color="auto"/>
              <w:bottom w:val="nil"/>
              <w:right w:val="single" w:sz="4" w:space="0" w:color="auto"/>
            </w:tcBorders>
          </w:tcPr>
          <w:p w:rsidR="000143BC" w:rsidRPr="003111E1" w:rsidRDefault="000143BC" w:rsidP="000143BC">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1235" w:type="dxa"/>
            <w:tcBorders>
              <w:top w:val="nil"/>
              <w:left w:val="single" w:sz="4" w:space="0" w:color="auto"/>
              <w:bottom w:val="nil"/>
              <w:right w:val="nil"/>
            </w:tcBorders>
          </w:tcPr>
          <w:p w:rsidR="000143BC" w:rsidRPr="003111E1" w:rsidRDefault="000143BC"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3.3(↓0.1)</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新加坡</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2.0</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1.9</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1.8</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1.9</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33" w:type="dxa"/>
            <w:tcBorders>
              <w:top w:val="nil"/>
              <w:left w:val="single" w:sz="4" w:space="0" w:color="auto"/>
              <w:bottom w:val="nil"/>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1235" w:type="dxa"/>
            <w:tcBorders>
              <w:top w:val="nil"/>
              <w:left w:val="single" w:sz="4" w:space="0" w:color="auto"/>
              <w:bottom w:val="nil"/>
              <w:right w:val="nil"/>
            </w:tcBorders>
          </w:tcPr>
          <w:p w:rsidR="000143BC" w:rsidRPr="003111E1" w:rsidRDefault="000143BC"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2.1(↓0.2)</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美國</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9.0</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3111E1">
              <w:rPr>
                <w:sz w:val="20"/>
              </w:rPr>
              <w:t>8.1</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8.2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8.2</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8.1</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7.8</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7.9</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7.8</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7.8</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3111E1">
              <w:rPr>
                <w:sz w:val="20"/>
              </w:rPr>
              <w:t>7.9</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7.7</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33" w:type="dxa"/>
            <w:tcBorders>
              <w:top w:val="nil"/>
              <w:left w:val="single" w:sz="4" w:space="0" w:color="auto"/>
              <w:bottom w:val="nil"/>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7.6</w:t>
            </w:r>
          </w:p>
        </w:tc>
        <w:tc>
          <w:tcPr>
            <w:tcW w:w="1235" w:type="dxa"/>
            <w:tcBorders>
              <w:top w:val="nil"/>
              <w:left w:val="single" w:sz="4" w:space="0" w:color="auto"/>
              <w:bottom w:val="nil"/>
              <w:right w:val="nil"/>
            </w:tcBorders>
          </w:tcPr>
          <w:p w:rsidR="000143BC" w:rsidRPr="003111E1" w:rsidRDefault="000143BC" w:rsidP="0082757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8.2</w:t>
            </w:r>
            <w:r w:rsidRPr="003111E1">
              <w:rPr>
                <w:rFonts w:eastAsia="標楷體"/>
                <w:sz w:val="20"/>
              </w:rPr>
              <w:t>(</w:t>
            </w:r>
            <w:r w:rsidRPr="003111E1">
              <w:rPr>
                <w:sz w:val="20"/>
              </w:rPr>
              <w:t>↓0.6</w:t>
            </w:r>
            <w:r w:rsidRPr="003111E1">
              <w:rPr>
                <w:rFonts w:eastAsia="標楷體"/>
                <w:sz w:val="20"/>
              </w:rPr>
              <w:t>)</w:t>
            </w:r>
          </w:p>
        </w:tc>
      </w:tr>
      <w:tr w:rsidR="000143BC" w:rsidRPr="003111E1" w:rsidTr="000143BC">
        <w:trPr>
          <w:cantSplit/>
          <w:jc w:val="center"/>
        </w:trPr>
        <w:tc>
          <w:tcPr>
            <w:tcW w:w="982" w:type="dxa"/>
            <w:tcBorders>
              <w:top w:val="nil"/>
              <w:left w:val="nil"/>
              <w:bottom w:val="nil"/>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加拿大</w:t>
            </w:r>
          </w:p>
        </w:tc>
        <w:tc>
          <w:tcPr>
            <w:tcW w:w="540"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18"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7.2</w:t>
            </w:r>
          </w:p>
        </w:tc>
        <w:tc>
          <w:tcPr>
            <w:tcW w:w="51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479"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558" w:type="dxa"/>
            <w:tcBorders>
              <w:top w:val="nil"/>
              <w:left w:val="single" w:sz="4" w:space="0" w:color="auto"/>
              <w:bottom w:val="nil"/>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7.3</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7.4</w:t>
            </w:r>
          </w:p>
        </w:tc>
        <w:tc>
          <w:tcPr>
            <w:tcW w:w="519"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2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532" w:type="dxa"/>
            <w:tcBorders>
              <w:top w:val="nil"/>
              <w:left w:val="single" w:sz="4" w:space="0" w:color="auto"/>
              <w:bottom w:val="nil"/>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7.0</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7.0</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33" w:type="dxa"/>
            <w:tcBorders>
              <w:top w:val="nil"/>
              <w:left w:val="single" w:sz="4" w:space="0" w:color="auto"/>
              <w:bottom w:val="nil"/>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533" w:type="dxa"/>
            <w:tcBorders>
              <w:top w:val="nil"/>
              <w:left w:val="single" w:sz="4" w:space="0" w:color="auto"/>
              <w:bottom w:val="nil"/>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531" w:type="dxa"/>
            <w:tcBorders>
              <w:top w:val="nil"/>
              <w:left w:val="single" w:sz="4" w:space="0" w:color="auto"/>
              <w:bottom w:val="nil"/>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7.1</w:t>
            </w:r>
          </w:p>
        </w:tc>
        <w:tc>
          <w:tcPr>
            <w:tcW w:w="1235" w:type="dxa"/>
            <w:tcBorders>
              <w:top w:val="nil"/>
              <w:left w:val="single" w:sz="4" w:space="0" w:color="auto"/>
              <w:bottom w:val="nil"/>
              <w:right w:val="nil"/>
            </w:tcBorders>
          </w:tcPr>
          <w:p w:rsidR="000143BC" w:rsidRPr="003111E1" w:rsidRDefault="000143BC" w:rsidP="0082757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7.2</w:t>
            </w:r>
            <w:r w:rsidRPr="003111E1">
              <w:rPr>
                <w:rFonts w:eastAsia="標楷體"/>
                <w:sz w:val="20"/>
              </w:rPr>
              <w:t>(</w:t>
            </w:r>
            <w:r w:rsidRPr="003111E1">
              <w:rPr>
                <w:sz w:val="20"/>
              </w:rPr>
              <w:t>↓0.1</w:t>
            </w:r>
            <w:r w:rsidRPr="003111E1">
              <w:rPr>
                <w:rFonts w:eastAsia="標楷體"/>
                <w:sz w:val="20"/>
              </w:rPr>
              <w:t>)</w:t>
            </w:r>
          </w:p>
        </w:tc>
      </w:tr>
      <w:tr w:rsidR="000143BC" w:rsidRPr="003111E1" w:rsidTr="000143BC">
        <w:trPr>
          <w:cantSplit/>
          <w:jc w:val="center"/>
        </w:trPr>
        <w:tc>
          <w:tcPr>
            <w:tcW w:w="982" w:type="dxa"/>
            <w:tcBorders>
              <w:top w:val="nil"/>
              <w:left w:val="nil"/>
              <w:bottom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德國</w:t>
            </w:r>
          </w:p>
        </w:tc>
        <w:tc>
          <w:tcPr>
            <w:tcW w:w="540"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6.0</w:t>
            </w:r>
          </w:p>
        </w:tc>
        <w:tc>
          <w:tcPr>
            <w:tcW w:w="518"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5.5</w:t>
            </w:r>
          </w:p>
        </w:tc>
        <w:tc>
          <w:tcPr>
            <w:tcW w:w="519" w:type="dxa"/>
            <w:tcBorders>
              <w:top w:val="nil"/>
              <w:left w:val="single" w:sz="4" w:space="0" w:color="auto"/>
              <w:bottom w:val="single" w:sz="4" w:space="0" w:color="auto"/>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5.5</w:t>
            </w:r>
          </w:p>
        </w:tc>
        <w:tc>
          <w:tcPr>
            <w:tcW w:w="519" w:type="dxa"/>
            <w:tcBorders>
              <w:top w:val="nil"/>
              <w:left w:val="single" w:sz="4" w:space="0" w:color="auto"/>
              <w:bottom w:val="single" w:sz="4" w:space="0" w:color="auto"/>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5.5</w:t>
            </w:r>
          </w:p>
        </w:tc>
        <w:tc>
          <w:tcPr>
            <w:tcW w:w="479" w:type="dxa"/>
            <w:tcBorders>
              <w:top w:val="nil"/>
              <w:left w:val="single" w:sz="4" w:space="0" w:color="auto"/>
              <w:bottom w:val="single" w:sz="4" w:space="0" w:color="auto"/>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5.4</w:t>
            </w:r>
          </w:p>
        </w:tc>
        <w:tc>
          <w:tcPr>
            <w:tcW w:w="558" w:type="dxa"/>
            <w:tcBorders>
              <w:top w:val="nil"/>
              <w:left w:val="single" w:sz="4" w:space="0" w:color="auto"/>
              <w:bottom w:val="single" w:sz="4" w:space="0" w:color="auto"/>
              <w:right w:val="single" w:sz="4" w:space="0" w:color="auto"/>
            </w:tcBorders>
          </w:tcPr>
          <w:p w:rsidR="000143BC" w:rsidRPr="003111E1" w:rsidRDefault="000143BC" w:rsidP="002407A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3111E1">
              <w:rPr>
                <w:rFonts w:eastAsia="標楷體"/>
                <w:spacing w:val="0"/>
                <w:kern w:val="2"/>
                <w:sz w:val="20"/>
                <w:szCs w:val="24"/>
              </w:rPr>
              <w:t>5.4</w:t>
            </w:r>
          </w:p>
        </w:tc>
        <w:tc>
          <w:tcPr>
            <w:tcW w:w="519"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19"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5.3</w:t>
            </w:r>
          </w:p>
        </w:tc>
        <w:tc>
          <w:tcPr>
            <w:tcW w:w="522"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5.3</w:t>
            </w:r>
          </w:p>
        </w:tc>
        <w:tc>
          <w:tcPr>
            <w:tcW w:w="532" w:type="dxa"/>
            <w:tcBorders>
              <w:top w:val="nil"/>
              <w:left w:val="single" w:sz="4" w:space="0" w:color="auto"/>
              <w:bottom w:val="single" w:sz="4" w:space="0" w:color="auto"/>
              <w:right w:val="single" w:sz="4" w:space="0" w:color="auto"/>
            </w:tcBorders>
          </w:tcPr>
          <w:p w:rsidR="000143BC" w:rsidRPr="003111E1" w:rsidRDefault="000143BC"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33" w:type="dxa"/>
            <w:tcBorders>
              <w:top w:val="nil"/>
              <w:left w:val="single" w:sz="4" w:space="0" w:color="auto"/>
              <w:bottom w:val="single" w:sz="4" w:space="0" w:color="auto"/>
              <w:right w:val="single" w:sz="4" w:space="0" w:color="auto"/>
            </w:tcBorders>
          </w:tcPr>
          <w:p w:rsidR="000143BC" w:rsidRPr="003111E1" w:rsidRDefault="000143BC" w:rsidP="002407A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143BC" w:rsidRPr="003111E1" w:rsidRDefault="000143BC" w:rsidP="00EB0A5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5.4</w:t>
            </w:r>
          </w:p>
        </w:tc>
        <w:tc>
          <w:tcPr>
            <w:tcW w:w="533" w:type="dxa"/>
            <w:tcBorders>
              <w:top w:val="nil"/>
              <w:left w:val="single" w:sz="4" w:space="0" w:color="auto"/>
              <w:bottom w:val="single" w:sz="4" w:space="0" w:color="auto"/>
              <w:right w:val="single" w:sz="4" w:space="0" w:color="auto"/>
            </w:tcBorders>
          </w:tcPr>
          <w:p w:rsidR="000143BC" w:rsidRPr="003111E1" w:rsidRDefault="000143BC" w:rsidP="000143BC">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5.3</w:t>
            </w:r>
          </w:p>
        </w:tc>
        <w:tc>
          <w:tcPr>
            <w:tcW w:w="531" w:type="dxa"/>
            <w:tcBorders>
              <w:top w:val="nil"/>
              <w:left w:val="single" w:sz="4" w:space="0" w:color="auto"/>
              <w:bottom w:val="single" w:sz="4" w:space="0" w:color="auto"/>
              <w:right w:val="single" w:sz="4" w:space="0" w:color="auto"/>
            </w:tcBorders>
          </w:tcPr>
          <w:p w:rsidR="000143BC" w:rsidRPr="003111E1" w:rsidRDefault="000143BC" w:rsidP="00AD5B2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w:t>
            </w:r>
          </w:p>
        </w:tc>
        <w:tc>
          <w:tcPr>
            <w:tcW w:w="1235" w:type="dxa"/>
            <w:tcBorders>
              <w:top w:val="nil"/>
              <w:left w:val="single" w:sz="4" w:space="0" w:color="auto"/>
              <w:bottom w:val="single" w:sz="4" w:space="0" w:color="auto"/>
              <w:right w:val="nil"/>
            </w:tcBorders>
          </w:tcPr>
          <w:p w:rsidR="000143BC" w:rsidRPr="003111E1" w:rsidRDefault="000143BC" w:rsidP="00827576">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5.5(↓0.</w:t>
            </w:r>
            <w:r w:rsidR="00A8694E" w:rsidRPr="003111E1">
              <w:rPr>
                <w:sz w:val="20"/>
              </w:rPr>
              <w:t>2</w:t>
            </w:r>
            <w:r w:rsidRPr="003111E1">
              <w:rPr>
                <w:rFonts w:eastAsia="標楷體"/>
                <w:sz w:val="20"/>
              </w:rPr>
              <w:t>)</w:t>
            </w:r>
          </w:p>
        </w:tc>
      </w:tr>
    </w:tbl>
    <w:p w:rsidR="00334A38" w:rsidRPr="003111E1" w:rsidRDefault="00334A38" w:rsidP="00334A38">
      <w:pPr>
        <w:pStyle w:val="ad"/>
        <w:snapToGrid w:val="0"/>
        <w:spacing w:line="320" w:lineRule="atLeast"/>
        <w:ind w:leftChars="0" w:left="0" w:right="250" w:firstLineChars="0" w:firstLine="0"/>
        <w:rPr>
          <w:szCs w:val="22"/>
        </w:rPr>
      </w:pPr>
      <w:proofErr w:type="gramStart"/>
      <w:r w:rsidRPr="003111E1">
        <w:rPr>
          <w:szCs w:val="22"/>
        </w:rPr>
        <w:t>註</w:t>
      </w:r>
      <w:proofErr w:type="gramEnd"/>
      <w:r w:rsidRPr="003111E1">
        <w:rPr>
          <w:szCs w:val="22"/>
        </w:rPr>
        <w:t>：</w:t>
      </w:r>
      <w:r w:rsidRPr="003111E1">
        <w:rPr>
          <w:szCs w:val="22"/>
        </w:rPr>
        <w:t>1.</w:t>
      </w:r>
      <w:r w:rsidRPr="003111E1">
        <w:rPr>
          <w:szCs w:val="22"/>
        </w:rPr>
        <w:t>各國失業率為季節調整後資料。</w:t>
      </w:r>
      <w:r w:rsidRPr="003111E1">
        <w:rPr>
          <w:kern w:val="2"/>
          <w:szCs w:val="22"/>
        </w:rPr>
        <w:t xml:space="preserve"> </w:t>
      </w:r>
    </w:p>
    <w:p w:rsidR="00334A38" w:rsidRPr="003111E1" w:rsidRDefault="002D6620" w:rsidP="00D35CC8">
      <w:pPr>
        <w:pStyle w:val="ad"/>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2.</w:t>
      </w:r>
      <w:r w:rsidR="00334A38" w:rsidRPr="003111E1">
        <w:rPr>
          <w:szCs w:val="22"/>
        </w:rPr>
        <w:t>香港失業率係</w:t>
      </w:r>
      <w:r w:rsidR="00334A38" w:rsidRPr="003111E1">
        <w:rPr>
          <w:szCs w:val="22"/>
        </w:rPr>
        <w:t>3</w:t>
      </w:r>
      <w:r w:rsidR="00334A38" w:rsidRPr="003111E1">
        <w:rPr>
          <w:szCs w:val="22"/>
        </w:rPr>
        <w:t>個月（當月及前</w:t>
      </w:r>
      <w:r w:rsidR="00334A38" w:rsidRPr="003111E1">
        <w:rPr>
          <w:szCs w:val="22"/>
        </w:rPr>
        <w:t>2</w:t>
      </w:r>
      <w:r w:rsidR="00334A38" w:rsidRPr="003111E1">
        <w:rPr>
          <w:szCs w:val="22"/>
        </w:rPr>
        <w:t>個月）的平均值。</w:t>
      </w:r>
    </w:p>
    <w:p w:rsidR="00334A38" w:rsidRPr="003111E1" w:rsidRDefault="002D6620" w:rsidP="00D35CC8">
      <w:pPr>
        <w:pStyle w:val="ad"/>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3.</w:t>
      </w:r>
      <w:proofErr w:type="gramStart"/>
      <w:r w:rsidR="00334A38" w:rsidRPr="003111E1">
        <w:rPr>
          <w:szCs w:val="22"/>
        </w:rPr>
        <w:t>＊</w:t>
      </w:r>
      <w:proofErr w:type="gramEnd"/>
      <w:r w:rsidR="00334A38" w:rsidRPr="003111E1">
        <w:rPr>
          <w:szCs w:val="22"/>
        </w:rPr>
        <w:t>為</w:t>
      </w:r>
      <w:r w:rsidR="00334A38" w:rsidRPr="003111E1">
        <w:rPr>
          <w:szCs w:val="22"/>
        </w:rPr>
        <w:t>102</w:t>
      </w:r>
      <w:r w:rsidR="00334A38" w:rsidRPr="003111E1">
        <w:rPr>
          <w:szCs w:val="22"/>
        </w:rPr>
        <w:t>年最新月份失業率與</w:t>
      </w:r>
      <w:r w:rsidR="00334A38" w:rsidRPr="003111E1">
        <w:rPr>
          <w:szCs w:val="22"/>
        </w:rPr>
        <w:t>101</w:t>
      </w:r>
      <w:r w:rsidR="00334A38" w:rsidRPr="003111E1">
        <w:rPr>
          <w:szCs w:val="22"/>
        </w:rPr>
        <w:t>年同月相較。</w:t>
      </w:r>
    </w:p>
    <w:p w:rsidR="00334A38" w:rsidRPr="003111E1" w:rsidRDefault="00334A38" w:rsidP="00334A38">
      <w:pPr>
        <w:pStyle w:val="ad"/>
        <w:snapToGrid w:val="0"/>
        <w:spacing w:line="320" w:lineRule="atLeast"/>
        <w:ind w:leftChars="0" w:left="0" w:right="-334" w:firstLineChars="0" w:firstLine="0"/>
        <w:rPr>
          <w:szCs w:val="22"/>
        </w:rPr>
      </w:pPr>
      <w:r w:rsidRPr="003111E1">
        <w:rPr>
          <w:szCs w:val="22"/>
        </w:rPr>
        <w:t>資料來源：行政院主計總處「人力資源統計月報」。</w:t>
      </w:r>
    </w:p>
    <w:p w:rsidR="007651D7" w:rsidRPr="003111E1" w:rsidRDefault="007651D7" w:rsidP="007651D7">
      <w:pPr>
        <w:pStyle w:val="ad"/>
        <w:snapToGrid w:val="0"/>
        <w:spacing w:line="320" w:lineRule="atLeast"/>
        <w:ind w:leftChars="0" w:left="0" w:right="-334" w:firstLineChars="0" w:firstLine="0"/>
        <w:rPr>
          <w:color w:val="FF0000"/>
        </w:rPr>
      </w:pPr>
      <w:r w:rsidRPr="003111E1">
        <w:rPr>
          <w:color w:val="FF0000"/>
          <w:sz w:val="24"/>
        </w:rPr>
        <w:t xml:space="preserve">　　　　　</w:t>
      </w:r>
    </w:p>
    <w:p w:rsidR="007651D7" w:rsidRPr="003111E1" w:rsidRDefault="007651D7" w:rsidP="004570FD">
      <w:pPr>
        <w:pStyle w:val="k3a"/>
        <w:tabs>
          <w:tab w:val="left" w:pos="540"/>
          <w:tab w:val="right" w:pos="8669"/>
        </w:tabs>
        <w:spacing w:before="180" w:line="300" w:lineRule="auto"/>
        <w:ind w:leftChars="0" w:left="0" w:right="0" w:firstLineChars="0" w:firstLine="0"/>
        <w:rPr>
          <w:b/>
          <w:bCs/>
        </w:rPr>
      </w:pPr>
      <w:r w:rsidRPr="003111E1">
        <w:rPr>
          <w:b/>
          <w:bCs/>
        </w:rPr>
        <w:t>３、</w:t>
      </w:r>
      <w:r w:rsidR="00334A38" w:rsidRPr="003111E1">
        <w:rPr>
          <w:b/>
          <w:bCs/>
        </w:rPr>
        <w:t>102</w:t>
      </w:r>
      <w:r w:rsidR="00334A38" w:rsidRPr="003111E1">
        <w:rPr>
          <w:b/>
          <w:bCs/>
        </w:rPr>
        <w:t>年</w:t>
      </w:r>
      <w:r w:rsidR="00E942EC" w:rsidRPr="003111E1">
        <w:rPr>
          <w:b/>
          <w:bCs/>
        </w:rPr>
        <w:t>5</w:t>
      </w:r>
      <w:r w:rsidR="00334A38" w:rsidRPr="003111E1">
        <w:rPr>
          <w:b/>
          <w:bCs/>
        </w:rPr>
        <w:t>月工業及服務業平均薪資較</w:t>
      </w:r>
      <w:r w:rsidR="00334A38" w:rsidRPr="003111E1">
        <w:rPr>
          <w:b/>
          <w:bCs/>
        </w:rPr>
        <w:t>101</w:t>
      </w:r>
      <w:r w:rsidR="00334A38" w:rsidRPr="003111E1">
        <w:rPr>
          <w:b/>
          <w:bCs/>
        </w:rPr>
        <w:t>年同月增加</w:t>
      </w:r>
      <w:r w:rsidR="00E942EC" w:rsidRPr="003111E1">
        <w:rPr>
          <w:b/>
          <w:bCs/>
        </w:rPr>
        <w:t>0</w:t>
      </w:r>
      <w:r w:rsidR="001C0047" w:rsidRPr="003111E1">
        <w:rPr>
          <w:b/>
          <w:bCs/>
        </w:rPr>
        <w:t>.</w:t>
      </w:r>
      <w:r w:rsidR="00E942EC" w:rsidRPr="003111E1">
        <w:rPr>
          <w:b/>
          <w:bCs/>
        </w:rPr>
        <w:t>90</w:t>
      </w:r>
      <w:r w:rsidR="00334A38" w:rsidRPr="003111E1">
        <w:rPr>
          <w:b/>
          <w:bCs/>
        </w:rPr>
        <w:t>％</w:t>
      </w:r>
      <w:r w:rsidR="004570FD" w:rsidRPr="003111E1">
        <w:rPr>
          <w:b/>
          <w:bCs/>
        </w:rPr>
        <w:tab/>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E942EC" w:rsidRPr="003111E1">
        <w:rPr>
          <w:rFonts w:eastAsia="標楷體"/>
          <w:sz w:val="28"/>
          <w:szCs w:val="32"/>
        </w:rPr>
        <w:t>5</w:t>
      </w:r>
      <w:r w:rsidRPr="003111E1">
        <w:rPr>
          <w:rFonts w:eastAsia="標楷體"/>
          <w:sz w:val="28"/>
          <w:szCs w:val="32"/>
        </w:rPr>
        <w:t>月工業及服務業平均薪資為</w:t>
      </w:r>
      <w:r w:rsidR="004570FD" w:rsidRPr="003111E1">
        <w:rPr>
          <w:rFonts w:eastAsia="標楷體"/>
          <w:sz w:val="28"/>
          <w:szCs w:val="32"/>
        </w:rPr>
        <w:t>42</w:t>
      </w:r>
      <w:r w:rsidRPr="003111E1">
        <w:rPr>
          <w:rFonts w:eastAsia="標楷體"/>
          <w:sz w:val="28"/>
          <w:szCs w:val="32"/>
        </w:rPr>
        <w:t>,</w:t>
      </w:r>
      <w:r w:rsidR="00E942EC" w:rsidRPr="003111E1">
        <w:rPr>
          <w:rFonts w:eastAsia="標楷體"/>
          <w:sz w:val="28"/>
          <w:szCs w:val="32"/>
        </w:rPr>
        <w:t>302</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月</w:t>
      </w:r>
      <w:r w:rsidR="001C0047" w:rsidRPr="003111E1">
        <w:rPr>
          <w:rFonts w:eastAsia="標楷體"/>
          <w:sz w:val="28"/>
          <w:szCs w:val="32"/>
        </w:rPr>
        <w:t>增加</w:t>
      </w:r>
      <w:r w:rsidR="001C0047" w:rsidRPr="003111E1">
        <w:rPr>
          <w:rFonts w:eastAsia="標楷體"/>
          <w:sz w:val="28"/>
          <w:szCs w:val="32"/>
        </w:rPr>
        <w:t>0.</w:t>
      </w:r>
      <w:r w:rsidR="00E942EC" w:rsidRPr="003111E1">
        <w:rPr>
          <w:rFonts w:eastAsia="標楷體"/>
          <w:sz w:val="28"/>
          <w:szCs w:val="32"/>
        </w:rPr>
        <w:t>69</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年同月則增</w:t>
      </w:r>
      <w:r w:rsidR="00E942EC" w:rsidRPr="003111E1">
        <w:rPr>
          <w:rFonts w:eastAsia="標楷體"/>
          <w:sz w:val="28"/>
          <w:szCs w:val="32"/>
        </w:rPr>
        <w:t>0.90</w:t>
      </w:r>
      <w:r w:rsidRPr="003111E1">
        <w:rPr>
          <w:rFonts w:eastAsia="標楷體"/>
          <w:sz w:val="28"/>
          <w:szCs w:val="32"/>
        </w:rPr>
        <w:t>％。</w:t>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E942EC" w:rsidRPr="003111E1">
        <w:rPr>
          <w:rFonts w:eastAsia="標楷體"/>
          <w:sz w:val="28"/>
          <w:szCs w:val="32"/>
        </w:rPr>
        <w:t>5</w:t>
      </w:r>
      <w:r w:rsidRPr="003111E1">
        <w:rPr>
          <w:rFonts w:eastAsia="標楷體"/>
          <w:sz w:val="28"/>
          <w:szCs w:val="32"/>
        </w:rPr>
        <w:t>月製造業每人每月平均薪資為</w:t>
      </w:r>
      <w:r w:rsidRPr="003111E1">
        <w:rPr>
          <w:rFonts w:eastAsia="標楷體"/>
          <w:sz w:val="28"/>
          <w:szCs w:val="32"/>
        </w:rPr>
        <w:t>39,</w:t>
      </w:r>
      <w:r w:rsidR="00E942EC" w:rsidRPr="003111E1">
        <w:rPr>
          <w:rFonts w:eastAsia="標楷體"/>
          <w:sz w:val="28"/>
          <w:szCs w:val="32"/>
        </w:rPr>
        <w:t>792</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年同月增加</w:t>
      </w:r>
      <w:r w:rsidR="002C67A6" w:rsidRPr="003111E1">
        <w:rPr>
          <w:rFonts w:eastAsia="標楷體"/>
          <w:sz w:val="28"/>
          <w:szCs w:val="32"/>
        </w:rPr>
        <w:t>2.3</w:t>
      </w:r>
      <w:r w:rsidR="00E942EC" w:rsidRPr="003111E1">
        <w:rPr>
          <w:rFonts w:eastAsia="標楷體"/>
          <w:sz w:val="28"/>
          <w:szCs w:val="32"/>
        </w:rPr>
        <w:t>4</w:t>
      </w:r>
      <w:r w:rsidRPr="003111E1">
        <w:rPr>
          <w:rFonts w:eastAsia="標楷體"/>
          <w:sz w:val="28"/>
          <w:szCs w:val="32"/>
        </w:rPr>
        <w:t>％，電力及燃氣供應業與金融保險業則各為</w:t>
      </w:r>
      <w:r w:rsidRPr="003111E1">
        <w:rPr>
          <w:rFonts w:eastAsia="標楷體"/>
          <w:sz w:val="28"/>
          <w:szCs w:val="32"/>
        </w:rPr>
        <w:t>7</w:t>
      </w:r>
      <w:r w:rsidR="00DC241E" w:rsidRPr="003111E1">
        <w:rPr>
          <w:rFonts w:eastAsia="標楷體"/>
          <w:sz w:val="28"/>
          <w:szCs w:val="32"/>
        </w:rPr>
        <w:t>2</w:t>
      </w:r>
      <w:r w:rsidRPr="003111E1">
        <w:rPr>
          <w:rFonts w:eastAsia="標楷體"/>
          <w:sz w:val="28"/>
          <w:szCs w:val="32"/>
        </w:rPr>
        <w:t>,</w:t>
      </w:r>
      <w:r w:rsidR="00DC241E" w:rsidRPr="003111E1">
        <w:rPr>
          <w:rFonts w:eastAsia="標楷體"/>
          <w:sz w:val="28"/>
          <w:szCs w:val="32"/>
        </w:rPr>
        <w:t>847</w:t>
      </w:r>
      <w:r w:rsidRPr="003111E1">
        <w:rPr>
          <w:rFonts w:eastAsia="標楷體"/>
          <w:sz w:val="28"/>
          <w:szCs w:val="32"/>
        </w:rPr>
        <w:t>元及</w:t>
      </w:r>
      <w:r w:rsidR="00747069" w:rsidRPr="003111E1">
        <w:rPr>
          <w:rFonts w:eastAsia="標楷體"/>
          <w:sz w:val="28"/>
          <w:szCs w:val="32"/>
        </w:rPr>
        <w:t>7</w:t>
      </w:r>
      <w:r w:rsidR="00DC241E" w:rsidRPr="003111E1">
        <w:rPr>
          <w:rFonts w:eastAsia="標楷體"/>
          <w:sz w:val="28"/>
          <w:szCs w:val="32"/>
        </w:rPr>
        <w:t>0</w:t>
      </w:r>
      <w:r w:rsidRPr="003111E1">
        <w:rPr>
          <w:rFonts w:eastAsia="標楷體"/>
          <w:sz w:val="28"/>
          <w:szCs w:val="32"/>
        </w:rPr>
        <w:t>,</w:t>
      </w:r>
      <w:r w:rsidR="00DC241E" w:rsidRPr="003111E1">
        <w:rPr>
          <w:rFonts w:eastAsia="標楷體"/>
          <w:sz w:val="28"/>
          <w:szCs w:val="32"/>
        </w:rPr>
        <w:t>936</w:t>
      </w:r>
      <w:r w:rsidRPr="003111E1">
        <w:rPr>
          <w:rFonts w:eastAsia="標楷體"/>
          <w:sz w:val="28"/>
          <w:szCs w:val="32"/>
        </w:rPr>
        <w:t>元，分別</w:t>
      </w:r>
      <w:r w:rsidR="00DC241E" w:rsidRPr="003111E1">
        <w:rPr>
          <w:rFonts w:eastAsia="標楷體"/>
          <w:sz w:val="28"/>
          <w:szCs w:val="32"/>
        </w:rPr>
        <w:t>減少</w:t>
      </w:r>
      <w:r w:rsidR="00DD20FC" w:rsidRPr="003111E1">
        <w:rPr>
          <w:rFonts w:eastAsia="標楷體"/>
          <w:sz w:val="28"/>
          <w:szCs w:val="32"/>
        </w:rPr>
        <w:t>32.58</w:t>
      </w:r>
      <w:r w:rsidRPr="003111E1">
        <w:rPr>
          <w:rFonts w:eastAsia="標楷體"/>
          <w:sz w:val="28"/>
          <w:szCs w:val="32"/>
        </w:rPr>
        <w:t>％及</w:t>
      </w:r>
      <w:r w:rsidR="00DD20FC" w:rsidRPr="003111E1">
        <w:rPr>
          <w:rFonts w:eastAsia="標楷體"/>
          <w:sz w:val="28"/>
          <w:szCs w:val="32"/>
        </w:rPr>
        <w:t>增加</w:t>
      </w:r>
      <w:r w:rsidR="00DD20FC" w:rsidRPr="003111E1">
        <w:rPr>
          <w:rFonts w:eastAsia="標楷體"/>
          <w:sz w:val="28"/>
          <w:szCs w:val="32"/>
        </w:rPr>
        <w:t>11.59</w:t>
      </w:r>
      <w:r w:rsidRPr="003111E1">
        <w:rPr>
          <w:rFonts w:eastAsia="標楷體"/>
          <w:sz w:val="28"/>
          <w:szCs w:val="32"/>
        </w:rPr>
        <w:t>％。</w:t>
      </w:r>
    </w:p>
    <w:p w:rsidR="007651D7"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E942EC" w:rsidRPr="003111E1">
        <w:rPr>
          <w:rFonts w:eastAsia="標楷體"/>
          <w:sz w:val="28"/>
          <w:szCs w:val="32"/>
        </w:rPr>
        <w:t>5</w:t>
      </w:r>
      <w:r w:rsidRPr="003111E1">
        <w:rPr>
          <w:rFonts w:eastAsia="標楷體"/>
          <w:sz w:val="28"/>
          <w:szCs w:val="32"/>
        </w:rPr>
        <w:t>月製造業勞動生產力指數為</w:t>
      </w:r>
      <w:r w:rsidR="00E942EC" w:rsidRPr="003111E1">
        <w:rPr>
          <w:rFonts w:eastAsia="標楷體"/>
          <w:sz w:val="28"/>
          <w:szCs w:val="32"/>
        </w:rPr>
        <w:t>126.91</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747069" w:rsidRPr="003111E1">
        <w:rPr>
          <w:rFonts w:eastAsia="標楷體"/>
          <w:sz w:val="28"/>
          <w:szCs w:val="32"/>
        </w:rPr>
        <w:t>下降</w:t>
      </w:r>
      <w:r w:rsidR="00E942EC" w:rsidRPr="003111E1">
        <w:rPr>
          <w:rFonts w:eastAsia="標楷體"/>
          <w:sz w:val="28"/>
          <w:szCs w:val="32"/>
        </w:rPr>
        <w:t>1.25</w:t>
      </w:r>
      <w:r w:rsidRPr="003111E1">
        <w:rPr>
          <w:rFonts w:eastAsia="標楷體"/>
          <w:sz w:val="28"/>
          <w:szCs w:val="32"/>
        </w:rPr>
        <w:t>％；單位產出勞動成本指數為</w:t>
      </w:r>
      <w:r w:rsidRPr="003111E1">
        <w:rPr>
          <w:rFonts w:eastAsia="標楷體"/>
          <w:sz w:val="28"/>
          <w:szCs w:val="32"/>
        </w:rPr>
        <w:t>7</w:t>
      </w:r>
      <w:r w:rsidR="00E942EC" w:rsidRPr="003111E1">
        <w:rPr>
          <w:rFonts w:eastAsia="標楷體"/>
          <w:sz w:val="28"/>
          <w:szCs w:val="32"/>
        </w:rPr>
        <w:t>1.50</w:t>
      </w:r>
      <w:r w:rsidRPr="003111E1">
        <w:rPr>
          <w:rFonts w:eastAsia="標楷體"/>
          <w:sz w:val="28"/>
          <w:szCs w:val="32"/>
        </w:rPr>
        <w:t>，較</w:t>
      </w:r>
      <w:r w:rsidR="0010173C">
        <w:rPr>
          <w:rFonts w:eastAsia="標楷體" w:hint="eastAsia"/>
          <w:sz w:val="28"/>
          <w:szCs w:val="32"/>
        </w:rPr>
        <w:t>上</w:t>
      </w:r>
      <w:r w:rsidRPr="003111E1">
        <w:rPr>
          <w:rFonts w:eastAsia="標楷體"/>
          <w:sz w:val="28"/>
          <w:szCs w:val="32"/>
        </w:rPr>
        <w:t>年同月上升</w:t>
      </w:r>
      <w:r w:rsidR="00E942EC" w:rsidRPr="003111E1">
        <w:rPr>
          <w:rFonts w:eastAsia="標楷體"/>
          <w:sz w:val="28"/>
          <w:szCs w:val="32"/>
        </w:rPr>
        <w:t>3</w:t>
      </w:r>
      <w:r w:rsidRPr="003111E1">
        <w:rPr>
          <w:rFonts w:eastAsia="標楷體"/>
          <w:sz w:val="28"/>
          <w:szCs w:val="32"/>
        </w:rPr>
        <w:t>.</w:t>
      </w:r>
      <w:r w:rsidR="00E942EC" w:rsidRPr="003111E1">
        <w:rPr>
          <w:rFonts w:eastAsia="標楷體"/>
          <w:sz w:val="28"/>
          <w:szCs w:val="32"/>
        </w:rPr>
        <w:t>56</w:t>
      </w:r>
      <w:r w:rsidRPr="003111E1">
        <w:rPr>
          <w:rFonts w:eastAsia="標楷體"/>
          <w:sz w:val="28"/>
          <w:szCs w:val="32"/>
        </w:rPr>
        <w:t>％。</w:t>
      </w:r>
    </w:p>
    <w:p w:rsidR="007651D7" w:rsidRPr="003111E1" w:rsidRDefault="007651D7" w:rsidP="007651D7">
      <w:pPr>
        <w:snapToGrid w:val="0"/>
        <w:spacing w:before="120" w:line="300" w:lineRule="auto"/>
        <w:ind w:rightChars="-59" w:right="-142"/>
        <w:jc w:val="both"/>
        <w:rPr>
          <w:rFonts w:eastAsia="標楷體"/>
          <w:color w:val="FF0000"/>
          <w:sz w:val="28"/>
          <w:szCs w:val="32"/>
        </w:rPr>
      </w:pPr>
    </w:p>
    <w:p w:rsidR="007651D7" w:rsidRPr="003111E1" w:rsidRDefault="007651D7" w:rsidP="001508C5">
      <w:pPr>
        <w:snapToGrid w:val="0"/>
        <w:spacing w:beforeLines="50" w:before="180" w:afterLines="50" w:after="180"/>
        <w:ind w:rightChars="-59" w:right="-142"/>
        <w:jc w:val="center"/>
        <w:rPr>
          <w:rFonts w:eastAsia="標楷體"/>
        </w:rPr>
      </w:pPr>
      <w:r w:rsidRPr="003111E1">
        <w:rPr>
          <w:rFonts w:eastAsia="標楷體"/>
          <w:b/>
          <w:bCs/>
          <w:color w:val="FF0000"/>
          <w:sz w:val="28"/>
        </w:rPr>
        <w:br w:type="page"/>
      </w:r>
      <w:r w:rsidRPr="003111E1">
        <w:rPr>
          <w:rFonts w:eastAsia="標楷體"/>
          <w:b/>
          <w:bCs/>
          <w:sz w:val="28"/>
        </w:rPr>
        <w:lastRenderedPageBreak/>
        <w:t>表</w:t>
      </w:r>
      <w:r w:rsidRPr="003111E1">
        <w:rPr>
          <w:rFonts w:eastAsia="標楷體"/>
          <w:b/>
          <w:bCs/>
          <w:sz w:val="28"/>
        </w:rPr>
        <w:t xml:space="preserve"> 2-9-3  </w:t>
      </w:r>
      <w:r w:rsidRPr="003111E1">
        <w:rPr>
          <w:rFonts w:eastAsia="標楷體"/>
          <w:b/>
          <w:bCs/>
          <w:sz w:val="28"/>
        </w:rPr>
        <w:t>受雇員工每人平均薪資之變動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DD20FC" w:rsidRPr="003111E1" w:rsidTr="00972814">
        <w:trPr>
          <w:cantSplit/>
          <w:jc w:val="center"/>
        </w:trPr>
        <w:tc>
          <w:tcPr>
            <w:tcW w:w="1362" w:type="dxa"/>
            <w:vMerge w:val="restart"/>
            <w:vAlign w:val="center"/>
          </w:tcPr>
          <w:p w:rsidR="007651D7" w:rsidRPr="003111E1"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3111E1">
              <w:rPr>
                <w:rFonts w:ascii="Times New Roman" w:eastAsia="標楷體" w:hAnsi="Times New Roman" w:cs="Times New Roman"/>
              </w:rPr>
              <w:t>年</w:t>
            </w:r>
            <w:r w:rsidRPr="003111E1">
              <w:rPr>
                <w:rFonts w:ascii="Times New Roman" w:eastAsia="標楷體" w:hAnsi="Times New Roman" w:cs="Times New Roman"/>
              </w:rPr>
              <w:t>(</w:t>
            </w:r>
            <w:r w:rsidRPr="003111E1">
              <w:rPr>
                <w:rFonts w:ascii="Times New Roman" w:eastAsia="標楷體" w:hAnsi="Times New Roman" w:cs="Times New Roman"/>
              </w:rPr>
              <w:t>月</w:t>
            </w:r>
            <w:r w:rsidRPr="003111E1">
              <w:rPr>
                <w:rFonts w:ascii="Times New Roman" w:eastAsia="標楷體" w:hAnsi="Times New Roman" w:cs="Times New Roman"/>
              </w:rPr>
              <w:t>)</w:t>
            </w:r>
          </w:p>
        </w:tc>
        <w:tc>
          <w:tcPr>
            <w:tcW w:w="8220" w:type="dxa"/>
            <w:gridSpan w:val="8"/>
            <w:tcBorders>
              <w:bottom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工</w:t>
            </w:r>
            <w:r w:rsidRPr="003111E1">
              <w:rPr>
                <w:rFonts w:eastAsia="標楷體"/>
                <w:spacing w:val="-20"/>
                <w:w w:val="98"/>
              </w:rPr>
              <w:t xml:space="preserve"> </w:t>
            </w:r>
            <w:r w:rsidRPr="003111E1">
              <w:rPr>
                <w:rFonts w:eastAsia="標楷體"/>
                <w:spacing w:val="-20"/>
                <w:w w:val="98"/>
              </w:rPr>
              <w:t>業</w:t>
            </w:r>
            <w:r w:rsidRPr="003111E1">
              <w:rPr>
                <w:rFonts w:eastAsia="標楷體"/>
                <w:spacing w:val="-20"/>
                <w:w w:val="98"/>
              </w:rPr>
              <w:t xml:space="preserve"> </w:t>
            </w:r>
            <w:r w:rsidRPr="003111E1">
              <w:rPr>
                <w:rFonts w:eastAsia="標楷體"/>
                <w:spacing w:val="-20"/>
                <w:w w:val="98"/>
              </w:rPr>
              <w:t>及</w:t>
            </w:r>
            <w:r w:rsidRPr="003111E1">
              <w:rPr>
                <w:rFonts w:eastAsia="標楷體"/>
                <w:spacing w:val="-20"/>
                <w:w w:val="98"/>
              </w:rPr>
              <w:t xml:space="preserve"> </w:t>
            </w:r>
            <w:r w:rsidRPr="003111E1">
              <w:rPr>
                <w:rFonts w:eastAsia="標楷體"/>
                <w:spacing w:val="-20"/>
                <w:w w:val="98"/>
              </w:rPr>
              <w:t>服</w:t>
            </w:r>
            <w:r w:rsidRPr="003111E1">
              <w:rPr>
                <w:rFonts w:eastAsia="標楷體"/>
                <w:spacing w:val="-20"/>
                <w:w w:val="98"/>
              </w:rPr>
              <w:t xml:space="preserve"> </w:t>
            </w:r>
            <w:proofErr w:type="gramStart"/>
            <w:r w:rsidRPr="003111E1">
              <w:rPr>
                <w:rFonts w:eastAsia="標楷體"/>
                <w:spacing w:val="-20"/>
                <w:w w:val="98"/>
              </w:rPr>
              <w:t>務</w:t>
            </w:r>
            <w:proofErr w:type="gramEnd"/>
            <w:r w:rsidRPr="003111E1">
              <w:rPr>
                <w:rFonts w:eastAsia="標楷體"/>
                <w:spacing w:val="-20"/>
                <w:w w:val="98"/>
              </w:rPr>
              <w:t xml:space="preserve"> </w:t>
            </w:r>
            <w:r w:rsidRPr="003111E1">
              <w:rPr>
                <w:rFonts w:eastAsia="標楷體"/>
                <w:spacing w:val="-20"/>
                <w:w w:val="98"/>
              </w:rPr>
              <w:t>業</w:t>
            </w:r>
          </w:p>
        </w:tc>
      </w:tr>
      <w:tr w:rsidR="006A5ED9"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val="restart"/>
            <w:tcBorders>
              <w:top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3109"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製造業</w:t>
            </w:r>
          </w:p>
        </w:tc>
        <w:tc>
          <w:tcPr>
            <w:tcW w:w="3180"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電力及燃氣供應業</w:t>
            </w:r>
          </w:p>
        </w:tc>
        <w:tc>
          <w:tcPr>
            <w:tcW w:w="1009" w:type="dxa"/>
            <w:vMerge w:val="restart"/>
            <w:tcBorders>
              <w:top w:val="single" w:sz="4" w:space="0" w:color="auto"/>
            </w:tcBorders>
          </w:tcPr>
          <w:p w:rsidR="007651D7" w:rsidRPr="003111E1"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3111E1">
              <w:rPr>
                <w:rFonts w:eastAsia="標楷體"/>
                <w:spacing w:val="-20"/>
                <w:w w:val="98"/>
                <w:kern w:val="2"/>
                <w:szCs w:val="24"/>
              </w:rPr>
              <w:t>金融及</w:t>
            </w:r>
          </w:p>
          <w:p w:rsidR="007651D7" w:rsidRPr="003111E1" w:rsidRDefault="007651D7" w:rsidP="007651D7">
            <w:pPr>
              <w:snapToGrid w:val="0"/>
              <w:jc w:val="center"/>
              <w:rPr>
                <w:rFonts w:eastAsia="標楷體"/>
                <w:spacing w:val="-20"/>
                <w:w w:val="98"/>
              </w:rPr>
            </w:pPr>
            <w:r w:rsidRPr="003111E1">
              <w:rPr>
                <w:rFonts w:eastAsia="標楷體"/>
                <w:spacing w:val="-20"/>
                <w:w w:val="98"/>
              </w:rPr>
              <w:t>保險業</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r>
      <w:tr w:rsidR="00DD20FC"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tcPr>
          <w:p w:rsidR="007651D7" w:rsidRPr="003111E1" w:rsidRDefault="007651D7" w:rsidP="007651D7">
            <w:pPr>
              <w:snapToGrid w:val="0"/>
              <w:jc w:val="both"/>
              <w:rPr>
                <w:rFonts w:eastAsia="標楷體"/>
                <w:spacing w:val="-20"/>
                <w:w w:val="98"/>
              </w:rPr>
            </w:pPr>
          </w:p>
        </w:tc>
        <w:tc>
          <w:tcPr>
            <w:tcW w:w="949"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20"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09" w:type="dxa"/>
            <w:vMerge/>
          </w:tcPr>
          <w:p w:rsidR="007651D7" w:rsidRPr="003111E1" w:rsidRDefault="007651D7" w:rsidP="007651D7">
            <w:pPr>
              <w:snapToGrid w:val="0"/>
              <w:jc w:val="both"/>
              <w:rPr>
                <w:rFonts w:eastAsia="標楷體"/>
                <w:spacing w:val="-20"/>
                <w:w w:val="98"/>
              </w:rPr>
            </w:pPr>
          </w:p>
        </w:tc>
      </w:tr>
      <w:tr w:rsidR="00DD20FC" w:rsidRPr="003111E1" w:rsidTr="00972814">
        <w:trPr>
          <w:cantSplit/>
          <w:jc w:val="center"/>
        </w:trPr>
        <w:tc>
          <w:tcPr>
            <w:tcW w:w="1362" w:type="dxa"/>
            <w:vMerge/>
            <w:tcBorders>
              <w:bottom w:val="single" w:sz="4" w:space="0" w:color="auto"/>
            </w:tcBorders>
            <w:vAlign w:val="center"/>
          </w:tcPr>
          <w:p w:rsidR="007651D7" w:rsidRPr="003111E1"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20" w:type="dxa"/>
            <w:vMerge/>
            <w:tcBorders>
              <w:bottom w:val="single" w:sz="4" w:space="0" w:color="auto"/>
            </w:tcBorders>
            <w:vAlign w:val="center"/>
          </w:tcPr>
          <w:p w:rsidR="007651D7" w:rsidRPr="00D1224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0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97</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44,424</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43,105</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717C1D">
              <w:rPr>
                <w:rFonts w:eastAsia="標楷體"/>
                <w:b/>
                <w14:cntxtAlts/>
              </w:rPr>
              <w:t>106.02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97.31</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89,296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98.25</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92.89</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14:cntxtAlts/>
              </w:rPr>
            </w:pPr>
            <w:r w:rsidRPr="00717C1D">
              <w:rPr>
                <w:rFonts w:eastAsia="標楷體"/>
                <w:b/>
                <w14:cntxtAlts/>
              </w:rPr>
              <w:t>71,319</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98</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42,275</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39,152</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106.62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90.55</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95,996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93.19</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105.49</w:t>
            </w:r>
          </w:p>
        </w:tc>
        <w:tc>
          <w:tcPr>
            <w:tcW w:w="1009" w:type="dxa"/>
            <w:tcBorders>
              <w:top w:val="nil"/>
              <w:left w:val="nil"/>
              <w:bottom w:val="nil"/>
            </w:tcBorders>
            <w:vAlign w:val="center"/>
          </w:tcPr>
          <w:p w:rsidR="007651D7" w:rsidRPr="00717C1D" w:rsidRDefault="007651D7" w:rsidP="007651D7">
            <w:pPr>
              <w:pStyle w:val="a9"/>
              <w:widowControl/>
              <w:tabs>
                <w:tab w:val="left" w:pos="5220"/>
              </w:tabs>
              <w:snapToGrid w:val="0"/>
              <w:spacing w:line="400" w:lineRule="exact"/>
              <w:ind w:rightChars="11" w:right="26"/>
              <w:rPr>
                <w:rFonts w:eastAsia="標楷體"/>
                <w:b/>
                <w:bCs/>
                <w14:cntxtAlts/>
              </w:rPr>
            </w:pPr>
            <w:r w:rsidRPr="00717C1D">
              <w:rPr>
                <w:rFonts w:eastAsia="標楷體"/>
                <w:b/>
                <w:bCs/>
                <w14:cntxtAlts/>
              </w:rPr>
              <w:t>67,513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99</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44,536</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42,420</w:t>
            </w:r>
          </w:p>
        </w:tc>
        <w:tc>
          <w:tcPr>
            <w:tcW w:w="1080" w:type="dxa"/>
            <w:tcBorders>
              <w:top w:val="nil"/>
              <w:left w:val="nil"/>
              <w:bottom w:val="nil"/>
              <w:right w:val="nil"/>
            </w:tcBorders>
            <w:vAlign w:val="center"/>
          </w:tcPr>
          <w:p w:rsidR="007651D7" w:rsidRPr="00717C1D"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125.00</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79.42</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96,143</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101.38</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73,663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100</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45,749</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43,533</w:t>
            </w:r>
          </w:p>
        </w:tc>
        <w:tc>
          <w:tcPr>
            <w:tcW w:w="1080" w:type="dxa"/>
            <w:tcBorders>
              <w:top w:val="nil"/>
              <w:left w:val="nil"/>
              <w:bottom w:val="nil"/>
              <w:right w:val="nil"/>
            </w:tcBorders>
            <w:vAlign w:val="center"/>
          </w:tcPr>
          <w:p w:rsidR="007651D7" w:rsidRPr="00717C1D" w:rsidRDefault="007651D7" w:rsidP="007651D7">
            <w:pPr>
              <w:tabs>
                <w:tab w:val="left" w:pos="994"/>
                <w:tab w:val="left" w:pos="1080"/>
              </w:tabs>
              <w:snapToGrid w:val="0"/>
              <w:spacing w:line="400" w:lineRule="exact"/>
              <w:ind w:rightChars="100" w:right="240"/>
              <w:jc w:val="right"/>
              <w:rPr>
                <w:rFonts w:eastAsia="標楷體"/>
                <w:b/>
                <w:bCs/>
                <w14:cntxtAlts/>
              </w:rPr>
            </w:pPr>
            <w:r w:rsidRPr="00717C1D">
              <w:rPr>
                <w:rFonts w:eastAsia="標楷體"/>
                <w:b/>
                <w:bCs/>
                <w14:cntxtAlts/>
              </w:rPr>
              <w:t>129.28</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80.30</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94,955</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99.64</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98.56</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75,988</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101</w:t>
            </w:r>
            <w:r w:rsidR="007651D7" w:rsidRPr="00717C1D">
              <w:rPr>
                <w:rFonts w:eastAsia="標楷體"/>
                <w:b/>
                <w:bCs/>
                <w14:cntxtAlts/>
              </w:rPr>
              <w:t>年</w:t>
            </w:r>
          </w:p>
        </w:tc>
        <w:tc>
          <w:tcPr>
            <w:tcW w:w="922" w:type="dxa"/>
            <w:tcBorders>
              <w:top w:val="nil"/>
              <w:bottom w:val="nil"/>
              <w:right w:val="nil"/>
            </w:tcBorders>
            <w:vAlign w:val="bottom"/>
          </w:tcPr>
          <w:p w:rsidR="007651D7" w:rsidRPr="00717C1D" w:rsidRDefault="007651D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5</w:t>
            </w:r>
            <w:r w:rsidRPr="00717C1D">
              <w:rPr>
                <w:rFonts w:eastAsia="標楷體"/>
                <w:b/>
                <w:bCs/>
                <w14:cntxtAlts/>
              </w:rPr>
              <w:t>,</w:t>
            </w:r>
            <w:r w:rsidR="00477C34" w:rsidRPr="00717C1D">
              <w:rPr>
                <w:rFonts w:eastAsia="標楷體"/>
                <w:b/>
                <w:bCs/>
                <w14:cntxtAlts/>
              </w:rPr>
              <w:t>888</w:t>
            </w:r>
          </w:p>
        </w:tc>
        <w:tc>
          <w:tcPr>
            <w:tcW w:w="949" w:type="dxa"/>
            <w:tcBorders>
              <w:top w:val="nil"/>
              <w:left w:val="nil"/>
              <w:bottom w:val="nil"/>
              <w:right w:val="nil"/>
            </w:tcBorders>
            <w:vAlign w:val="center"/>
          </w:tcPr>
          <w:p w:rsidR="007651D7" w:rsidRPr="00717C1D" w:rsidRDefault="006423E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3</w:t>
            </w:r>
            <w:r w:rsidRPr="00717C1D">
              <w:rPr>
                <w:rFonts w:eastAsia="標楷體"/>
                <w:b/>
                <w:bCs/>
                <w14:cntxtAlts/>
              </w:rPr>
              <w:t>,</w:t>
            </w:r>
            <w:r w:rsidR="00477C34" w:rsidRPr="00717C1D">
              <w:rPr>
                <w:rFonts w:eastAsia="標楷體"/>
                <w:b/>
                <w:bCs/>
                <w14:cntxtAlts/>
              </w:rPr>
              <w:t>994</w:t>
            </w:r>
          </w:p>
        </w:tc>
        <w:tc>
          <w:tcPr>
            <w:tcW w:w="1080" w:type="dxa"/>
            <w:tcBorders>
              <w:top w:val="nil"/>
              <w:left w:val="nil"/>
              <w:bottom w:val="nil"/>
              <w:right w:val="nil"/>
            </w:tcBorders>
            <w:vAlign w:val="center"/>
          </w:tcPr>
          <w:p w:rsidR="007651D7" w:rsidRPr="00717C1D" w:rsidRDefault="006423E7" w:rsidP="007651D7">
            <w:pPr>
              <w:snapToGrid w:val="0"/>
              <w:spacing w:line="400" w:lineRule="exact"/>
              <w:ind w:rightChars="100" w:right="240"/>
              <w:jc w:val="right"/>
              <w:rPr>
                <w:b/>
                <w14:cntxtAlts/>
              </w:rPr>
            </w:pPr>
            <w:r w:rsidRPr="00717C1D">
              <w:rPr>
                <w:b/>
                <w14:cntxtAlts/>
              </w:rPr>
              <w:t>128.</w:t>
            </w:r>
            <w:r w:rsidR="00A223C9" w:rsidRPr="00717C1D">
              <w:rPr>
                <w:b/>
                <w14:cntxtAlts/>
              </w:rPr>
              <w:t>34</w:t>
            </w:r>
          </w:p>
        </w:tc>
        <w:tc>
          <w:tcPr>
            <w:tcW w:w="1080" w:type="dxa"/>
            <w:tcBorders>
              <w:top w:val="nil"/>
              <w:left w:val="nil"/>
              <w:bottom w:val="nil"/>
              <w:right w:val="nil"/>
            </w:tcBorders>
            <w:vAlign w:val="bottom"/>
          </w:tcPr>
          <w:p w:rsidR="007651D7" w:rsidRPr="00717C1D" w:rsidRDefault="00A223C9" w:rsidP="00477C34">
            <w:pPr>
              <w:snapToGrid w:val="0"/>
              <w:spacing w:line="400" w:lineRule="exact"/>
              <w:ind w:rightChars="100" w:right="240"/>
              <w:jc w:val="right"/>
              <w:rPr>
                <w:b/>
                <w14:cntxtAlts/>
              </w:rPr>
            </w:pPr>
            <w:r w:rsidRPr="00717C1D">
              <w:rPr>
                <w:b/>
                <w14:cntxtAlts/>
              </w:rPr>
              <w:t>82</w:t>
            </w:r>
            <w:r w:rsidR="006423E7" w:rsidRPr="00717C1D">
              <w:rPr>
                <w:b/>
                <w14:cntxtAlts/>
              </w:rPr>
              <w:t>.</w:t>
            </w:r>
            <w:r w:rsidR="00477C34" w:rsidRPr="00717C1D">
              <w:rPr>
                <w:b/>
                <w14:cntxtAlts/>
              </w:rPr>
              <w:t>28</w:t>
            </w:r>
          </w:p>
        </w:tc>
        <w:tc>
          <w:tcPr>
            <w:tcW w:w="1020" w:type="dxa"/>
            <w:tcBorders>
              <w:top w:val="nil"/>
              <w:left w:val="nil"/>
              <w:bottom w:val="nil"/>
              <w:right w:val="nil"/>
            </w:tcBorders>
            <w:vAlign w:val="center"/>
          </w:tcPr>
          <w:p w:rsidR="007651D7" w:rsidRPr="00717C1D" w:rsidRDefault="006423E7" w:rsidP="007724DC">
            <w:pPr>
              <w:snapToGrid w:val="0"/>
              <w:spacing w:line="400" w:lineRule="exact"/>
              <w:ind w:rightChars="100" w:right="240"/>
              <w:jc w:val="right"/>
              <w:rPr>
                <w:rFonts w:eastAsia="標楷體"/>
                <w:b/>
                <w:bCs/>
                <w14:cntxtAlts/>
              </w:rPr>
            </w:pPr>
            <w:r w:rsidRPr="00717C1D">
              <w:rPr>
                <w:rFonts w:eastAsia="標楷體"/>
                <w:b/>
                <w:bCs/>
                <w14:cntxtAlts/>
              </w:rPr>
              <w:t>9</w:t>
            </w:r>
            <w:r w:rsidR="007724DC" w:rsidRPr="00717C1D">
              <w:rPr>
                <w:rFonts w:eastAsia="標楷體"/>
                <w:b/>
                <w:bCs/>
                <w14:cntxtAlts/>
              </w:rPr>
              <w:t>2</w:t>
            </w:r>
            <w:r w:rsidRPr="00717C1D">
              <w:rPr>
                <w:rFonts w:eastAsia="標楷體"/>
                <w:b/>
                <w:bCs/>
                <w14:cntxtAlts/>
              </w:rPr>
              <w:t>,</w:t>
            </w:r>
            <w:r w:rsidR="007724DC" w:rsidRPr="00717C1D">
              <w:rPr>
                <w:rFonts w:eastAsia="標楷體"/>
                <w:b/>
                <w:bCs/>
                <w14:cntxtAlts/>
              </w:rPr>
              <w:t>457</w:t>
            </w:r>
          </w:p>
        </w:tc>
        <w:tc>
          <w:tcPr>
            <w:tcW w:w="1080" w:type="dxa"/>
            <w:tcBorders>
              <w:top w:val="nil"/>
              <w:left w:val="nil"/>
              <w:bottom w:val="nil"/>
              <w:right w:val="nil"/>
            </w:tcBorders>
            <w:vAlign w:val="center"/>
          </w:tcPr>
          <w:p w:rsidR="007651D7" w:rsidRPr="00717C1D" w:rsidRDefault="00254EAB" w:rsidP="00127327">
            <w:pPr>
              <w:snapToGrid w:val="0"/>
              <w:spacing w:line="400" w:lineRule="exact"/>
              <w:ind w:rightChars="100" w:right="240"/>
              <w:jc w:val="right"/>
              <w:rPr>
                <w:b/>
                <w14:cntxtAlts/>
              </w:rPr>
            </w:pPr>
            <w:r w:rsidRPr="00717C1D">
              <w:rPr>
                <w:b/>
                <w14:cntxtAlts/>
              </w:rPr>
              <w:t>9</w:t>
            </w:r>
            <w:r w:rsidR="00A223C9" w:rsidRPr="00717C1D">
              <w:rPr>
                <w:b/>
                <w14:cntxtAlts/>
              </w:rPr>
              <w:t>5</w:t>
            </w:r>
            <w:r w:rsidRPr="00717C1D">
              <w:rPr>
                <w:b/>
                <w14:cntxtAlts/>
              </w:rPr>
              <w:t>.</w:t>
            </w:r>
            <w:r w:rsidR="00127327" w:rsidRPr="00717C1D">
              <w:rPr>
                <w:b/>
                <w14:cntxtAlts/>
              </w:rPr>
              <w:t>19</w:t>
            </w:r>
          </w:p>
        </w:tc>
        <w:tc>
          <w:tcPr>
            <w:tcW w:w="1080" w:type="dxa"/>
            <w:tcBorders>
              <w:top w:val="nil"/>
              <w:left w:val="nil"/>
              <w:bottom w:val="nil"/>
              <w:right w:val="nil"/>
            </w:tcBorders>
            <w:vAlign w:val="bottom"/>
          </w:tcPr>
          <w:p w:rsidR="007651D7" w:rsidRPr="00717C1D" w:rsidRDefault="00254EAB" w:rsidP="00127327">
            <w:pPr>
              <w:snapToGrid w:val="0"/>
              <w:spacing w:line="400" w:lineRule="exact"/>
              <w:ind w:rightChars="100" w:right="240"/>
              <w:jc w:val="right"/>
              <w:rPr>
                <w:b/>
                <w14:cntxtAlts/>
              </w:rPr>
            </w:pPr>
            <w:r w:rsidRPr="00717C1D">
              <w:rPr>
                <w:b/>
                <w14:cntxtAlts/>
              </w:rPr>
              <w:t>9</w:t>
            </w:r>
            <w:r w:rsidR="00127327" w:rsidRPr="00717C1D">
              <w:rPr>
                <w:b/>
                <w14:cntxtAlts/>
              </w:rPr>
              <w:t>7</w:t>
            </w:r>
            <w:r w:rsidRPr="00717C1D">
              <w:rPr>
                <w:b/>
                <w14:cntxtAlts/>
              </w:rPr>
              <w:t>.</w:t>
            </w:r>
            <w:r w:rsidR="00127327" w:rsidRPr="00717C1D">
              <w:rPr>
                <w:b/>
                <w14:cntxtAlts/>
              </w:rPr>
              <w:t>13</w:t>
            </w:r>
          </w:p>
        </w:tc>
        <w:tc>
          <w:tcPr>
            <w:tcW w:w="1009" w:type="dxa"/>
            <w:tcBorders>
              <w:top w:val="nil"/>
              <w:left w:val="nil"/>
              <w:bottom w:val="nil"/>
            </w:tcBorders>
            <w:vAlign w:val="center"/>
          </w:tcPr>
          <w:p w:rsidR="007651D7" w:rsidRPr="00717C1D" w:rsidRDefault="006423E7" w:rsidP="007724DC">
            <w:pPr>
              <w:snapToGrid w:val="0"/>
              <w:spacing w:line="400" w:lineRule="exact"/>
              <w:ind w:rightChars="11" w:right="26"/>
              <w:jc w:val="right"/>
              <w:rPr>
                <w:rFonts w:eastAsia="標楷體"/>
                <w:b/>
                <w:bCs/>
                <w14:cntxtAlts/>
              </w:rPr>
            </w:pPr>
            <w:r w:rsidRPr="00717C1D">
              <w:rPr>
                <w:rFonts w:eastAsia="標楷體"/>
                <w:b/>
                <w:bCs/>
                <w14:cntxtAlts/>
              </w:rPr>
              <w:t>7</w:t>
            </w:r>
            <w:r w:rsidR="00A223C9" w:rsidRPr="00717C1D">
              <w:rPr>
                <w:rFonts w:eastAsia="標楷體"/>
                <w:b/>
                <w:bCs/>
                <w14:cntxtAlts/>
              </w:rPr>
              <w:t>6</w:t>
            </w:r>
            <w:r w:rsidRPr="00717C1D">
              <w:rPr>
                <w:rFonts w:eastAsia="標楷體"/>
                <w:b/>
                <w:bCs/>
                <w14:cntxtAlts/>
              </w:rPr>
              <w:t>,</w:t>
            </w:r>
            <w:r w:rsidR="007724DC" w:rsidRPr="00717C1D">
              <w:rPr>
                <w:rFonts w:eastAsia="標楷體"/>
                <w:b/>
                <w:bCs/>
                <w14:cntxtAlts/>
              </w:rPr>
              <w:t>932</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5</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41,924</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38,883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128.51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69.04</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108,045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91.55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113.44</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63,568</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6</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42,845</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41,383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127.04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77.95</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75,647</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97.49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77.07</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70,728</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7</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42,511</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40,302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126.74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73.47</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73,362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104.49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67.34</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64,687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8</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41,838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40,340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127.62</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72.54</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75,833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102.14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67,269</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9</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44,028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44,374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130.98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83.37</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109,948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105.65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110.44</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65,455</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10</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40,974</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39,203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127.47</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71.11</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71,854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91.16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75.57</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59,810</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11</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40,043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38,212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70,630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84.81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80.23</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58,647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12</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47,718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44,745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84.98</w:t>
            </w:r>
          </w:p>
        </w:tc>
        <w:tc>
          <w:tcPr>
            <w:tcW w:w="1020" w:type="dxa"/>
            <w:tcBorders>
              <w:top w:val="nil"/>
              <w:left w:val="nil"/>
              <w:bottom w:val="nil"/>
              <w:right w:val="nil"/>
            </w:tcBorders>
            <w:vAlign w:val="center"/>
          </w:tcPr>
          <w:p w:rsidR="00334A38" w:rsidRPr="00717C1D" w:rsidRDefault="00334A38" w:rsidP="002407AA">
            <w:pPr>
              <w:pStyle w:val="a9"/>
              <w:widowControl/>
              <w:tabs>
                <w:tab w:val="left" w:pos="5220"/>
              </w:tabs>
              <w:snapToGrid w:val="0"/>
              <w:spacing w:line="400" w:lineRule="exact"/>
              <w:ind w:rightChars="100" w:right="240"/>
              <w:rPr>
                <w:rFonts w:eastAsia="標楷體"/>
                <w14:cntxtAlts/>
              </w:rPr>
            </w:pPr>
            <w:r w:rsidRPr="00717C1D">
              <w:rPr>
                <w:rFonts w:eastAsia="標楷體"/>
                <w14:cntxtAlts/>
              </w:rPr>
              <w:t>116,683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89.03</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131.05</w:t>
            </w:r>
          </w:p>
        </w:tc>
        <w:tc>
          <w:tcPr>
            <w:tcW w:w="1009" w:type="dxa"/>
            <w:tcBorders>
              <w:top w:val="nil"/>
              <w:left w:val="nil"/>
              <w:bottom w:val="nil"/>
            </w:tcBorders>
            <w:vAlign w:val="center"/>
          </w:tcPr>
          <w:p w:rsidR="00334A38" w:rsidRPr="00717C1D" w:rsidRDefault="00334A38" w:rsidP="002407AA">
            <w:pPr>
              <w:pStyle w:val="a9"/>
              <w:widowControl/>
              <w:tabs>
                <w:tab w:val="left" w:pos="5220"/>
              </w:tabs>
              <w:snapToGrid w:val="0"/>
              <w:spacing w:line="400" w:lineRule="exact"/>
              <w:ind w:rightChars="11" w:right="26"/>
              <w:rPr>
                <w:rFonts w:eastAsia="標楷體"/>
                <w14:cntxtAlts/>
              </w:rPr>
            </w:pPr>
            <w:r w:rsidRPr="00717C1D">
              <w:rPr>
                <w:rFonts w:eastAsia="標楷體"/>
                <w14:cntxtAlts/>
              </w:rPr>
              <w:t>79,930</w:t>
            </w:r>
          </w:p>
        </w:tc>
      </w:tr>
      <w:tr w:rsidR="00DD20FC" w:rsidRPr="003111E1" w:rsidTr="002407AA">
        <w:trPr>
          <w:trHeight w:val="339"/>
          <w:jc w:val="center"/>
        </w:trPr>
        <w:tc>
          <w:tcPr>
            <w:tcW w:w="1362" w:type="dxa"/>
            <w:tcBorders>
              <w:top w:val="nil"/>
              <w:bottom w:val="nil"/>
            </w:tcBorders>
            <w:vAlign w:val="center"/>
          </w:tcPr>
          <w:p w:rsidR="00334A38" w:rsidRPr="00717C1D" w:rsidRDefault="00334A38" w:rsidP="00FD1B90">
            <w:pPr>
              <w:snapToGrid w:val="0"/>
              <w:spacing w:line="400" w:lineRule="exact"/>
              <w:rPr>
                <w:rFonts w:eastAsia="標楷體"/>
                <w:b/>
                <w:bCs/>
                <w14:cntxtAlts/>
              </w:rPr>
            </w:pPr>
            <w:r w:rsidRPr="00717C1D">
              <w:rPr>
                <w:rFonts w:eastAsia="標楷體"/>
                <w:b/>
                <w:bCs/>
                <w14:cntxtAlts/>
              </w:rPr>
              <w:t>102</w:t>
            </w:r>
            <w:r w:rsidRPr="00717C1D">
              <w:rPr>
                <w:rFonts w:eastAsia="標楷體"/>
                <w:b/>
                <w:bCs/>
                <w14:cntxtAlts/>
              </w:rPr>
              <w:t>年</w:t>
            </w:r>
            <w:r w:rsidRPr="00717C1D">
              <w:rPr>
                <w:rFonts w:eastAsia="標楷體"/>
                <w:b/>
                <w:bCs/>
                <w14:cntxtAlts/>
              </w:rPr>
              <w:t>1~</w:t>
            </w:r>
            <w:r w:rsidR="00FD1B90" w:rsidRPr="00717C1D">
              <w:rPr>
                <w:rFonts w:eastAsia="標楷體"/>
                <w:b/>
                <w:bCs/>
                <w14:cntxtAlts/>
              </w:rPr>
              <w:t>5</w:t>
            </w:r>
            <w:r w:rsidRPr="00717C1D">
              <w:rPr>
                <w:rFonts w:eastAsia="標楷體"/>
                <w:b/>
                <w:bCs/>
                <w14:cntxtAlts/>
              </w:rPr>
              <w:t>月</w:t>
            </w:r>
          </w:p>
        </w:tc>
        <w:tc>
          <w:tcPr>
            <w:tcW w:w="922" w:type="dxa"/>
            <w:tcBorders>
              <w:top w:val="nil"/>
              <w:bottom w:val="nil"/>
              <w:right w:val="nil"/>
            </w:tcBorders>
            <w:vAlign w:val="bottom"/>
          </w:tcPr>
          <w:p w:rsidR="00334A38" w:rsidRPr="00717C1D" w:rsidRDefault="00FD1B90" w:rsidP="00D62C5F">
            <w:pPr>
              <w:snapToGrid w:val="0"/>
              <w:spacing w:line="400" w:lineRule="exact"/>
              <w:ind w:rightChars="100" w:right="240"/>
              <w:jc w:val="right"/>
              <w:rPr>
                <w:rFonts w:eastAsia="標楷體"/>
                <w:b/>
                <w14:cntxtAlts/>
              </w:rPr>
            </w:pPr>
            <w:r w:rsidRPr="00717C1D">
              <w:rPr>
                <w:rFonts w:eastAsia="標楷體"/>
                <w:b/>
                <w14:cntxtAlts/>
              </w:rPr>
              <w:t>49,797</w:t>
            </w:r>
          </w:p>
        </w:tc>
        <w:tc>
          <w:tcPr>
            <w:tcW w:w="949" w:type="dxa"/>
            <w:tcBorders>
              <w:top w:val="nil"/>
              <w:left w:val="nil"/>
              <w:bottom w:val="nil"/>
              <w:right w:val="nil"/>
            </w:tcBorders>
            <w:vAlign w:val="center"/>
          </w:tcPr>
          <w:p w:rsidR="00334A38" w:rsidRPr="00717C1D" w:rsidRDefault="00D62C5F" w:rsidP="00FD1B90">
            <w:pPr>
              <w:snapToGrid w:val="0"/>
              <w:spacing w:line="400" w:lineRule="exact"/>
              <w:ind w:rightChars="100" w:right="240"/>
              <w:jc w:val="right"/>
              <w:rPr>
                <w:rFonts w:eastAsia="標楷體"/>
                <w:b/>
                <w14:cntxtAlts/>
              </w:rPr>
            </w:pPr>
            <w:r w:rsidRPr="00717C1D">
              <w:rPr>
                <w:rFonts w:eastAsia="標楷體"/>
                <w:b/>
                <w14:cntxtAlts/>
              </w:rPr>
              <w:t>4</w:t>
            </w:r>
            <w:r w:rsidR="00FD1B90" w:rsidRPr="00717C1D">
              <w:rPr>
                <w:rFonts w:eastAsia="標楷體"/>
                <w:b/>
                <w14:cntxtAlts/>
              </w:rPr>
              <w:t>7</w:t>
            </w:r>
            <w:r w:rsidR="00334A38" w:rsidRPr="00717C1D">
              <w:rPr>
                <w:rFonts w:eastAsia="標楷體"/>
                <w:b/>
                <w14:cntxtAlts/>
              </w:rPr>
              <w:t>,</w:t>
            </w:r>
            <w:r w:rsidR="00FD1B90" w:rsidRPr="00717C1D">
              <w:rPr>
                <w:rFonts w:eastAsia="標楷體"/>
                <w:b/>
                <w14:cntxtAlts/>
              </w:rPr>
              <w:t>578</w:t>
            </w:r>
          </w:p>
        </w:tc>
        <w:tc>
          <w:tcPr>
            <w:tcW w:w="1080" w:type="dxa"/>
            <w:tcBorders>
              <w:top w:val="nil"/>
              <w:left w:val="nil"/>
              <w:bottom w:val="nil"/>
              <w:right w:val="nil"/>
            </w:tcBorders>
            <w:vAlign w:val="center"/>
          </w:tcPr>
          <w:p w:rsidR="00334A38" w:rsidRPr="00717C1D" w:rsidRDefault="00334A38" w:rsidP="00FD1B90">
            <w:pPr>
              <w:snapToGrid w:val="0"/>
              <w:spacing w:line="400" w:lineRule="exact"/>
              <w:ind w:rightChars="100" w:right="240"/>
              <w:jc w:val="right"/>
              <w:rPr>
                <w:b/>
                <w14:cntxtAlts/>
              </w:rPr>
            </w:pPr>
            <w:r w:rsidRPr="00717C1D">
              <w:rPr>
                <w:b/>
                <w14:cntxtAlts/>
              </w:rPr>
              <w:t>13</w:t>
            </w:r>
            <w:r w:rsidR="00D62C5F" w:rsidRPr="00717C1D">
              <w:rPr>
                <w:b/>
                <w14:cntxtAlts/>
              </w:rPr>
              <w:t>0.</w:t>
            </w:r>
            <w:r w:rsidR="00FD1B90" w:rsidRPr="00717C1D">
              <w:rPr>
                <w:b/>
                <w14:cntxtAlts/>
              </w:rPr>
              <w:t>23</w:t>
            </w:r>
          </w:p>
        </w:tc>
        <w:tc>
          <w:tcPr>
            <w:tcW w:w="1080" w:type="dxa"/>
            <w:tcBorders>
              <w:top w:val="nil"/>
              <w:left w:val="nil"/>
              <w:bottom w:val="nil"/>
              <w:right w:val="nil"/>
            </w:tcBorders>
            <w:vAlign w:val="bottom"/>
          </w:tcPr>
          <w:p w:rsidR="00334A38" w:rsidRPr="00717C1D" w:rsidRDefault="00D62C5F" w:rsidP="00FD1B90">
            <w:pPr>
              <w:snapToGrid w:val="0"/>
              <w:spacing w:line="400" w:lineRule="exact"/>
              <w:ind w:rightChars="100" w:right="240"/>
              <w:jc w:val="right"/>
              <w:rPr>
                <w:b/>
                <w14:cntxtAlts/>
              </w:rPr>
            </w:pPr>
            <w:r w:rsidRPr="00717C1D">
              <w:rPr>
                <w:b/>
                <w14:cntxtAlts/>
              </w:rPr>
              <w:t>9</w:t>
            </w:r>
            <w:r w:rsidR="00FD1B90" w:rsidRPr="00717C1D">
              <w:rPr>
                <w:b/>
                <w14:cntxtAlts/>
              </w:rPr>
              <w:t>0</w:t>
            </w:r>
            <w:r w:rsidR="00334A38" w:rsidRPr="00717C1D">
              <w:rPr>
                <w:b/>
                <w14:cntxtAlts/>
              </w:rPr>
              <w:t>.</w:t>
            </w:r>
            <w:r w:rsidR="00FD1B90" w:rsidRPr="00717C1D">
              <w:rPr>
                <w:b/>
                <w14:cntxtAlts/>
              </w:rPr>
              <w:t>77</w:t>
            </w:r>
          </w:p>
        </w:tc>
        <w:tc>
          <w:tcPr>
            <w:tcW w:w="1020" w:type="dxa"/>
            <w:tcBorders>
              <w:top w:val="nil"/>
              <w:left w:val="nil"/>
              <w:bottom w:val="nil"/>
              <w:right w:val="nil"/>
            </w:tcBorders>
            <w:vAlign w:val="center"/>
          </w:tcPr>
          <w:p w:rsidR="00334A38" w:rsidRPr="00717C1D" w:rsidRDefault="00287D9F" w:rsidP="00287D9F">
            <w:pPr>
              <w:snapToGrid w:val="0"/>
              <w:spacing w:line="400" w:lineRule="exact"/>
              <w:ind w:rightChars="100" w:right="240"/>
              <w:jc w:val="right"/>
              <w:rPr>
                <w:rFonts w:eastAsia="標楷體"/>
                <w:b/>
                <w14:cntxtAlts/>
              </w:rPr>
            </w:pPr>
            <w:r w:rsidRPr="00717C1D">
              <w:rPr>
                <w:rFonts w:eastAsia="標楷體"/>
                <w:b/>
                <w14:cntxtAlts/>
              </w:rPr>
              <w:t>86</w:t>
            </w:r>
            <w:r w:rsidR="00334A38" w:rsidRPr="00717C1D">
              <w:rPr>
                <w:rFonts w:eastAsia="標楷體"/>
                <w:b/>
                <w14:cntxtAlts/>
              </w:rPr>
              <w:t>,</w:t>
            </w:r>
            <w:r w:rsidRPr="00717C1D">
              <w:rPr>
                <w:rFonts w:eastAsia="標楷體"/>
                <w:b/>
                <w14:cntxtAlts/>
              </w:rPr>
              <w:t>707</w:t>
            </w:r>
          </w:p>
        </w:tc>
        <w:tc>
          <w:tcPr>
            <w:tcW w:w="1080" w:type="dxa"/>
            <w:tcBorders>
              <w:top w:val="nil"/>
              <w:left w:val="nil"/>
              <w:bottom w:val="nil"/>
              <w:right w:val="nil"/>
            </w:tcBorders>
            <w:vAlign w:val="center"/>
          </w:tcPr>
          <w:p w:rsidR="00334A38" w:rsidRPr="00717C1D" w:rsidRDefault="00334A38" w:rsidP="007F0DC8">
            <w:pPr>
              <w:snapToGrid w:val="0"/>
              <w:spacing w:line="400" w:lineRule="exact"/>
              <w:ind w:rightChars="100" w:right="240"/>
              <w:jc w:val="right"/>
              <w:rPr>
                <w:b/>
                <w14:cntxtAlts/>
              </w:rPr>
            </w:pPr>
            <w:r w:rsidRPr="00717C1D">
              <w:rPr>
                <w:b/>
                <w14:cntxtAlts/>
              </w:rPr>
              <w:t>9</w:t>
            </w:r>
            <w:r w:rsidR="007F0DC8" w:rsidRPr="00717C1D">
              <w:rPr>
                <w:b/>
                <w14:cntxtAlts/>
              </w:rPr>
              <w:t>3</w:t>
            </w:r>
            <w:r w:rsidR="00D62C5F" w:rsidRPr="00717C1D">
              <w:rPr>
                <w:b/>
                <w14:cntxtAlts/>
              </w:rPr>
              <w:t>.</w:t>
            </w:r>
            <w:r w:rsidR="007F0DC8" w:rsidRPr="00717C1D">
              <w:rPr>
                <w:b/>
                <w14:cntxtAlts/>
              </w:rPr>
              <w:t>76</w:t>
            </w:r>
          </w:p>
        </w:tc>
        <w:tc>
          <w:tcPr>
            <w:tcW w:w="1080" w:type="dxa"/>
            <w:tcBorders>
              <w:top w:val="nil"/>
              <w:left w:val="nil"/>
              <w:bottom w:val="nil"/>
              <w:right w:val="nil"/>
            </w:tcBorders>
            <w:vAlign w:val="bottom"/>
          </w:tcPr>
          <w:p w:rsidR="00334A38" w:rsidRPr="00717C1D" w:rsidRDefault="007F0DC8" w:rsidP="007F0DC8">
            <w:pPr>
              <w:snapToGrid w:val="0"/>
              <w:spacing w:line="400" w:lineRule="exact"/>
              <w:ind w:rightChars="100" w:right="240"/>
              <w:jc w:val="right"/>
              <w:rPr>
                <w:b/>
                <w14:cntxtAlts/>
              </w:rPr>
            </w:pPr>
            <w:r w:rsidRPr="00717C1D">
              <w:rPr>
                <w:b/>
                <w14:cntxtAlts/>
              </w:rPr>
              <w:t>96.79</w:t>
            </w:r>
          </w:p>
        </w:tc>
        <w:tc>
          <w:tcPr>
            <w:tcW w:w="1009" w:type="dxa"/>
            <w:tcBorders>
              <w:top w:val="nil"/>
              <w:left w:val="nil"/>
              <w:bottom w:val="nil"/>
            </w:tcBorders>
            <w:vAlign w:val="center"/>
          </w:tcPr>
          <w:p w:rsidR="00334A38" w:rsidRPr="00717C1D" w:rsidRDefault="00D62C5F" w:rsidP="00DC241E">
            <w:pPr>
              <w:snapToGrid w:val="0"/>
              <w:spacing w:line="400" w:lineRule="exact"/>
              <w:ind w:rightChars="11" w:right="26"/>
              <w:jc w:val="right"/>
              <w:rPr>
                <w:rFonts w:eastAsia="標楷體"/>
                <w:b/>
                <w14:cntxtAlts/>
              </w:rPr>
            </w:pPr>
            <w:r w:rsidRPr="00717C1D">
              <w:rPr>
                <w:rFonts w:eastAsia="標楷體"/>
                <w:b/>
                <w14:cntxtAlts/>
              </w:rPr>
              <w:t>9</w:t>
            </w:r>
            <w:r w:rsidR="00DC241E" w:rsidRPr="00717C1D">
              <w:rPr>
                <w:rFonts w:eastAsia="標楷體"/>
                <w:b/>
                <w14:cntxtAlts/>
              </w:rPr>
              <w:t>0</w:t>
            </w:r>
            <w:r w:rsidR="00334A38" w:rsidRPr="00717C1D">
              <w:rPr>
                <w:rFonts w:eastAsia="標楷體"/>
                <w:b/>
                <w14:cntxtAlts/>
              </w:rPr>
              <w:t>,</w:t>
            </w:r>
            <w:r w:rsidR="00DC241E" w:rsidRPr="00717C1D">
              <w:rPr>
                <w:rFonts w:eastAsia="標楷體"/>
                <w:b/>
                <w14:cntxtAlts/>
              </w:rPr>
              <w:t>297</w:t>
            </w:r>
          </w:p>
        </w:tc>
      </w:tr>
      <w:tr w:rsidR="00DD20FC" w:rsidRPr="003111E1" w:rsidTr="00531BC7">
        <w:trPr>
          <w:trHeight w:val="360"/>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1</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60,702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59,739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109.38</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138,515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88.46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150.84</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109,835</w:t>
            </w:r>
          </w:p>
        </w:tc>
      </w:tr>
      <w:tr w:rsidR="00DD20FC" w:rsidRPr="003111E1" w:rsidTr="00B8328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2</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62,343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59,829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141.01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136.71</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76,048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98.38</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131,983</w:t>
            </w:r>
          </w:p>
        </w:tc>
      </w:tr>
      <w:tr w:rsidR="00DD20FC" w:rsidRPr="003111E1" w:rsidTr="008D42C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3</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41,652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39,131</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128.90</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72.09</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71,699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90.19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79.40</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65,350</w:t>
            </w:r>
          </w:p>
        </w:tc>
      </w:tr>
      <w:tr w:rsidR="00DD20FC" w:rsidRPr="003111E1" w:rsidTr="00FD1B90">
        <w:trPr>
          <w:trHeight w:val="339"/>
          <w:jc w:val="center"/>
        </w:trPr>
        <w:tc>
          <w:tcPr>
            <w:tcW w:w="1362" w:type="dxa"/>
            <w:tcBorders>
              <w:top w:val="nil"/>
              <w:bottom w:val="nil"/>
            </w:tcBorders>
            <w:vAlign w:val="center"/>
          </w:tcPr>
          <w:p w:rsidR="008D42CE" w:rsidRPr="00717C1D" w:rsidRDefault="008D42CE" w:rsidP="008D42CE">
            <w:pPr>
              <w:snapToGrid w:val="0"/>
              <w:spacing w:line="400" w:lineRule="exact"/>
              <w:ind w:rightChars="165" w:right="396"/>
              <w:jc w:val="right"/>
              <w:rPr>
                <w:rFonts w:eastAsia="標楷體"/>
                <w14:cntxtAlts/>
              </w:rPr>
            </w:pPr>
            <w:r w:rsidRPr="00717C1D">
              <w:rPr>
                <w:rFonts w:eastAsia="標楷體"/>
                <w14:cntxtAlts/>
              </w:rPr>
              <w:t>4</w:t>
            </w:r>
            <w:r w:rsidRPr="00717C1D">
              <w:rPr>
                <w:rFonts w:eastAsia="標楷體"/>
                <w14:cntxtAlts/>
              </w:rPr>
              <w:t>月</w:t>
            </w:r>
          </w:p>
        </w:tc>
        <w:tc>
          <w:tcPr>
            <w:tcW w:w="922" w:type="dxa"/>
            <w:tcBorders>
              <w:top w:val="nil"/>
              <w:bottom w:val="nil"/>
              <w:right w:val="nil"/>
            </w:tcBorders>
            <w:vAlign w:val="bottom"/>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42,011</w:t>
            </w:r>
          </w:p>
        </w:tc>
        <w:tc>
          <w:tcPr>
            <w:tcW w:w="949"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39,430</w:t>
            </w:r>
          </w:p>
        </w:tc>
        <w:tc>
          <w:tcPr>
            <w:tcW w:w="1080" w:type="dxa"/>
            <w:tcBorders>
              <w:top w:val="nil"/>
              <w:left w:val="nil"/>
              <w:bottom w:val="nil"/>
              <w:right w:val="nil"/>
            </w:tcBorders>
            <w:vAlign w:val="center"/>
          </w:tcPr>
          <w:p w:rsidR="008D42CE" w:rsidRPr="00717C1D" w:rsidRDefault="00D62C5F" w:rsidP="00FD1B90">
            <w:pPr>
              <w:snapToGrid w:val="0"/>
              <w:spacing w:line="400" w:lineRule="exact"/>
              <w:ind w:rightChars="100" w:right="240"/>
              <w:jc w:val="right"/>
              <w:rPr>
                <w14:cntxtAlts/>
              </w:rPr>
            </w:pPr>
            <w:r w:rsidRPr="00717C1D">
              <w:rPr>
                <w14:cntxtAlts/>
              </w:rPr>
              <w:t>13</w:t>
            </w:r>
            <w:r w:rsidR="00FD1B90" w:rsidRPr="00717C1D">
              <w:rPr>
                <w14:cntxtAlts/>
              </w:rPr>
              <w:t>1</w:t>
            </w:r>
            <w:r w:rsidRPr="00717C1D">
              <w:rPr>
                <w14:cntxtAlts/>
              </w:rPr>
              <w:t>.</w:t>
            </w:r>
            <w:r w:rsidR="00FD1B90" w:rsidRPr="00717C1D">
              <w:rPr>
                <w14:cntxtAlts/>
              </w:rPr>
              <w:t>30</w:t>
            </w:r>
          </w:p>
        </w:tc>
        <w:tc>
          <w:tcPr>
            <w:tcW w:w="1080" w:type="dxa"/>
            <w:tcBorders>
              <w:top w:val="nil"/>
              <w:left w:val="nil"/>
              <w:bottom w:val="nil"/>
              <w:right w:val="nil"/>
            </w:tcBorders>
            <w:vAlign w:val="bottom"/>
          </w:tcPr>
          <w:p w:rsidR="008D42CE" w:rsidRPr="00717C1D" w:rsidRDefault="00D62C5F" w:rsidP="00FD1B90">
            <w:pPr>
              <w:snapToGrid w:val="0"/>
              <w:spacing w:line="400" w:lineRule="exact"/>
              <w:ind w:rightChars="100" w:right="240"/>
              <w:jc w:val="right"/>
              <w:rPr>
                <w14:cntxtAlts/>
              </w:rPr>
            </w:pPr>
            <w:r w:rsidRPr="00717C1D">
              <w:rPr>
                <w14:cntxtAlts/>
              </w:rPr>
              <w:t>7</w:t>
            </w:r>
            <w:r w:rsidR="00FD1B90" w:rsidRPr="00717C1D">
              <w:rPr>
                <w14:cntxtAlts/>
              </w:rPr>
              <w:t>3</w:t>
            </w:r>
            <w:r w:rsidRPr="00717C1D">
              <w:rPr>
                <w14:cntxtAlts/>
              </w:rPr>
              <w:t>.</w:t>
            </w:r>
            <w:r w:rsidR="00FD1B90" w:rsidRPr="00717C1D">
              <w:rPr>
                <w14:cntxtAlts/>
              </w:rPr>
              <w:t>40</w:t>
            </w:r>
          </w:p>
        </w:tc>
        <w:tc>
          <w:tcPr>
            <w:tcW w:w="102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74,426</w:t>
            </w:r>
          </w:p>
        </w:tc>
        <w:tc>
          <w:tcPr>
            <w:tcW w:w="108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14:cntxtAlts/>
              </w:rPr>
            </w:pPr>
            <w:r w:rsidRPr="00717C1D">
              <w:rPr>
                <w14:cntxtAlts/>
              </w:rPr>
              <w:t>89.80</w:t>
            </w:r>
          </w:p>
        </w:tc>
        <w:tc>
          <w:tcPr>
            <w:tcW w:w="1080" w:type="dxa"/>
            <w:tcBorders>
              <w:top w:val="nil"/>
              <w:left w:val="nil"/>
              <w:bottom w:val="nil"/>
              <w:right w:val="nil"/>
            </w:tcBorders>
            <w:vAlign w:val="bottom"/>
          </w:tcPr>
          <w:p w:rsidR="008D42CE" w:rsidRPr="00717C1D" w:rsidRDefault="00D62C5F" w:rsidP="00D62C5F">
            <w:pPr>
              <w:snapToGrid w:val="0"/>
              <w:spacing w:line="400" w:lineRule="exact"/>
              <w:ind w:rightChars="100" w:right="240"/>
              <w:jc w:val="right"/>
              <w:rPr>
                <w14:cntxtAlts/>
              </w:rPr>
            </w:pPr>
            <w:r w:rsidRPr="00717C1D">
              <w:rPr>
                <w14:cntxtAlts/>
              </w:rPr>
              <w:t>82.60</w:t>
            </w:r>
          </w:p>
        </w:tc>
        <w:tc>
          <w:tcPr>
            <w:tcW w:w="1009" w:type="dxa"/>
            <w:tcBorders>
              <w:top w:val="nil"/>
              <w:left w:val="nil"/>
              <w:bottom w:val="nil"/>
            </w:tcBorders>
            <w:vAlign w:val="center"/>
          </w:tcPr>
          <w:p w:rsidR="008D42CE" w:rsidRPr="00717C1D" w:rsidRDefault="00D62C5F" w:rsidP="002407AA">
            <w:pPr>
              <w:snapToGrid w:val="0"/>
              <w:spacing w:line="400" w:lineRule="exact"/>
              <w:ind w:rightChars="11" w:right="26"/>
              <w:jc w:val="right"/>
              <w:rPr>
                <w:rFonts w:eastAsia="標楷體"/>
                <w14:cntxtAlts/>
              </w:rPr>
            </w:pPr>
            <w:r w:rsidRPr="00717C1D">
              <w:rPr>
                <w:rFonts w:eastAsia="標楷體"/>
                <w14:cntxtAlts/>
              </w:rPr>
              <w:t>73,383</w:t>
            </w:r>
          </w:p>
        </w:tc>
      </w:tr>
      <w:tr w:rsidR="00DD20FC" w:rsidRPr="003111E1" w:rsidTr="00531BC7">
        <w:trPr>
          <w:trHeight w:val="339"/>
          <w:jc w:val="center"/>
        </w:trPr>
        <w:tc>
          <w:tcPr>
            <w:tcW w:w="1362" w:type="dxa"/>
            <w:tcBorders>
              <w:top w:val="nil"/>
            </w:tcBorders>
            <w:vAlign w:val="center"/>
          </w:tcPr>
          <w:p w:rsidR="00FD1B90" w:rsidRPr="00717C1D" w:rsidRDefault="00FD1B90" w:rsidP="008D42CE">
            <w:pPr>
              <w:snapToGrid w:val="0"/>
              <w:spacing w:line="400" w:lineRule="exact"/>
              <w:ind w:rightChars="165" w:right="396"/>
              <w:jc w:val="right"/>
              <w:rPr>
                <w:rFonts w:eastAsia="標楷體"/>
                <w14:cntxtAlts/>
              </w:rPr>
            </w:pPr>
            <w:r w:rsidRPr="00717C1D">
              <w:rPr>
                <w:rFonts w:eastAsia="標楷體"/>
                <w14:cntxtAlts/>
              </w:rPr>
              <w:t>5</w:t>
            </w:r>
            <w:r w:rsidRPr="00717C1D">
              <w:rPr>
                <w:rFonts w:eastAsia="標楷體"/>
                <w14:cntxtAlts/>
              </w:rPr>
              <w:t>月</w:t>
            </w:r>
          </w:p>
        </w:tc>
        <w:tc>
          <w:tcPr>
            <w:tcW w:w="922" w:type="dxa"/>
            <w:tcBorders>
              <w:top w:val="nil"/>
              <w:right w:val="nil"/>
            </w:tcBorders>
            <w:vAlign w:val="bottom"/>
          </w:tcPr>
          <w:p w:rsidR="00FD1B90" w:rsidRPr="00717C1D" w:rsidRDefault="00FD1B90" w:rsidP="002407AA">
            <w:pPr>
              <w:snapToGrid w:val="0"/>
              <w:spacing w:line="400" w:lineRule="exact"/>
              <w:ind w:rightChars="100" w:right="240"/>
              <w:jc w:val="right"/>
              <w:rPr>
                <w:rFonts w:eastAsia="標楷體"/>
                <w14:cntxtAlts/>
              </w:rPr>
            </w:pPr>
            <w:r w:rsidRPr="00717C1D">
              <w:rPr>
                <w:rFonts w:eastAsia="標楷體"/>
                <w14:cntxtAlts/>
              </w:rPr>
              <w:t>42,302</w:t>
            </w:r>
          </w:p>
        </w:tc>
        <w:tc>
          <w:tcPr>
            <w:tcW w:w="949" w:type="dxa"/>
            <w:tcBorders>
              <w:top w:val="nil"/>
              <w:left w:val="nil"/>
              <w:right w:val="nil"/>
            </w:tcBorders>
            <w:vAlign w:val="center"/>
          </w:tcPr>
          <w:p w:rsidR="00FD1B90" w:rsidRPr="00717C1D" w:rsidRDefault="00FD1B90" w:rsidP="002407AA">
            <w:pPr>
              <w:snapToGrid w:val="0"/>
              <w:spacing w:line="400" w:lineRule="exact"/>
              <w:ind w:rightChars="100" w:right="240"/>
              <w:jc w:val="right"/>
              <w:rPr>
                <w:rFonts w:eastAsia="標楷體"/>
                <w14:cntxtAlts/>
              </w:rPr>
            </w:pPr>
            <w:r w:rsidRPr="00717C1D">
              <w:rPr>
                <w:rFonts w:eastAsia="標楷體"/>
                <w14:cntxtAlts/>
              </w:rPr>
              <w:t>39,792</w:t>
            </w:r>
          </w:p>
        </w:tc>
        <w:tc>
          <w:tcPr>
            <w:tcW w:w="1080" w:type="dxa"/>
            <w:tcBorders>
              <w:top w:val="nil"/>
              <w:left w:val="nil"/>
              <w:right w:val="nil"/>
            </w:tcBorders>
            <w:vAlign w:val="center"/>
          </w:tcPr>
          <w:p w:rsidR="00FD1B90" w:rsidRPr="00717C1D" w:rsidRDefault="00FD1B90" w:rsidP="002407AA">
            <w:pPr>
              <w:snapToGrid w:val="0"/>
              <w:spacing w:line="400" w:lineRule="exact"/>
              <w:ind w:rightChars="100" w:right="240"/>
              <w:jc w:val="right"/>
              <w:rPr>
                <w14:cntxtAlts/>
              </w:rPr>
            </w:pPr>
            <w:r w:rsidRPr="00717C1D">
              <w:rPr>
                <w14:cntxtAlts/>
              </w:rPr>
              <w:t>126.91</w:t>
            </w:r>
          </w:p>
        </w:tc>
        <w:tc>
          <w:tcPr>
            <w:tcW w:w="1080" w:type="dxa"/>
            <w:tcBorders>
              <w:top w:val="nil"/>
              <w:left w:val="nil"/>
              <w:right w:val="nil"/>
            </w:tcBorders>
            <w:vAlign w:val="bottom"/>
          </w:tcPr>
          <w:p w:rsidR="00FD1B90" w:rsidRPr="00717C1D" w:rsidRDefault="00FD1B90" w:rsidP="002407AA">
            <w:pPr>
              <w:snapToGrid w:val="0"/>
              <w:spacing w:line="400" w:lineRule="exact"/>
              <w:ind w:rightChars="100" w:right="240"/>
              <w:jc w:val="right"/>
              <w:rPr>
                <w14:cntxtAlts/>
              </w:rPr>
            </w:pPr>
            <w:r w:rsidRPr="00717C1D">
              <w:rPr>
                <w14:cntxtAlts/>
              </w:rPr>
              <w:t>71.50</w:t>
            </w:r>
          </w:p>
        </w:tc>
        <w:tc>
          <w:tcPr>
            <w:tcW w:w="1020" w:type="dxa"/>
            <w:tcBorders>
              <w:top w:val="nil"/>
              <w:left w:val="nil"/>
              <w:right w:val="nil"/>
            </w:tcBorders>
            <w:vAlign w:val="center"/>
          </w:tcPr>
          <w:p w:rsidR="00FD1B90" w:rsidRPr="00717C1D" w:rsidRDefault="00287D9F" w:rsidP="002407AA">
            <w:pPr>
              <w:snapToGrid w:val="0"/>
              <w:spacing w:line="400" w:lineRule="exact"/>
              <w:ind w:rightChars="100" w:right="240"/>
              <w:jc w:val="right"/>
              <w:rPr>
                <w:rFonts w:eastAsia="標楷體"/>
                <w14:cntxtAlts/>
              </w:rPr>
            </w:pPr>
            <w:r w:rsidRPr="00717C1D">
              <w:rPr>
                <w:rFonts w:eastAsia="標楷體"/>
                <w14:cntxtAlts/>
              </w:rPr>
              <w:t>72,847</w:t>
            </w:r>
          </w:p>
        </w:tc>
        <w:tc>
          <w:tcPr>
            <w:tcW w:w="1080" w:type="dxa"/>
            <w:tcBorders>
              <w:top w:val="nil"/>
              <w:left w:val="nil"/>
              <w:right w:val="nil"/>
            </w:tcBorders>
            <w:vAlign w:val="center"/>
          </w:tcPr>
          <w:p w:rsidR="00FD1B90" w:rsidRPr="00717C1D" w:rsidRDefault="007F0DC8" w:rsidP="002407AA">
            <w:pPr>
              <w:snapToGrid w:val="0"/>
              <w:spacing w:line="400" w:lineRule="exact"/>
              <w:ind w:rightChars="100" w:right="240"/>
              <w:jc w:val="right"/>
              <w:rPr>
                <w14:cntxtAlts/>
              </w:rPr>
            </w:pPr>
            <w:r w:rsidRPr="00717C1D">
              <w:rPr>
                <w14:cntxtAlts/>
              </w:rPr>
              <w:t>95.17</w:t>
            </w:r>
          </w:p>
        </w:tc>
        <w:tc>
          <w:tcPr>
            <w:tcW w:w="1080" w:type="dxa"/>
            <w:tcBorders>
              <w:top w:val="nil"/>
              <w:left w:val="nil"/>
              <w:right w:val="nil"/>
            </w:tcBorders>
            <w:vAlign w:val="bottom"/>
          </w:tcPr>
          <w:p w:rsidR="00FD1B90" w:rsidRPr="00717C1D" w:rsidRDefault="007F0DC8" w:rsidP="00D62C5F">
            <w:pPr>
              <w:snapToGrid w:val="0"/>
              <w:spacing w:line="400" w:lineRule="exact"/>
              <w:ind w:rightChars="100" w:right="240"/>
              <w:jc w:val="right"/>
              <w:rPr>
                <w14:cntxtAlts/>
              </w:rPr>
            </w:pPr>
            <w:r w:rsidRPr="00717C1D">
              <w:rPr>
                <w14:cntxtAlts/>
              </w:rPr>
              <w:t>72.74</w:t>
            </w:r>
          </w:p>
        </w:tc>
        <w:tc>
          <w:tcPr>
            <w:tcW w:w="1009" w:type="dxa"/>
            <w:tcBorders>
              <w:top w:val="nil"/>
              <w:left w:val="nil"/>
            </w:tcBorders>
            <w:vAlign w:val="center"/>
          </w:tcPr>
          <w:p w:rsidR="00FD1B90" w:rsidRPr="00717C1D" w:rsidRDefault="00DC241E" w:rsidP="00DC241E">
            <w:pPr>
              <w:snapToGrid w:val="0"/>
              <w:spacing w:line="400" w:lineRule="exact"/>
              <w:ind w:rightChars="11" w:right="26"/>
              <w:jc w:val="right"/>
              <w:rPr>
                <w:rFonts w:eastAsia="標楷體"/>
                <w14:cntxtAlts/>
              </w:rPr>
            </w:pPr>
            <w:r w:rsidRPr="00717C1D">
              <w:rPr>
                <w:rFonts w:eastAsia="標楷體"/>
                <w14:cntxtAlts/>
              </w:rPr>
              <w:t>70,936</w:t>
            </w:r>
          </w:p>
        </w:tc>
      </w:tr>
      <w:tr w:rsidR="00DD20FC" w:rsidRPr="003111E1" w:rsidTr="00972814">
        <w:trPr>
          <w:trHeight w:val="702"/>
          <w:jc w:val="center"/>
        </w:trPr>
        <w:tc>
          <w:tcPr>
            <w:tcW w:w="1362" w:type="dxa"/>
            <w:vAlign w:val="center"/>
          </w:tcPr>
          <w:p w:rsidR="00334A38" w:rsidRPr="00717C1D" w:rsidRDefault="00334A38" w:rsidP="00CE7968">
            <w:pPr>
              <w:snapToGrid w:val="0"/>
              <w:spacing w:line="320" w:lineRule="exact"/>
              <w:jc w:val="center"/>
              <w:rPr>
                <w:rFonts w:eastAsia="標楷體"/>
                <w:b/>
                <w:w w:val="98"/>
                <w14:cntxtAlts/>
              </w:rPr>
            </w:pPr>
            <w:r w:rsidRPr="00717C1D">
              <w:rPr>
                <w:rFonts w:eastAsia="標楷體"/>
                <w:b/>
                <w:w w:val="98"/>
                <w14:cntxtAlts/>
              </w:rPr>
              <w:t>較</w:t>
            </w:r>
            <w:r w:rsidRPr="00717C1D">
              <w:rPr>
                <w:rFonts w:eastAsia="標楷體"/>
                <w:b/>
                <w:w w:val="98"/>
                <w14:cntxtAlts/>
              </w:rPr>
              <w:t>101</w:t>
            </w:r>
            <w:r w:rsidRPr="00717C1D">
              <w:rPr>
                <w:rFonts w:eastAsia="標楷體"/>
                <w:b/>
                <w:w w:val="98"/>
                <w14:cntxtAlts/>
              </w:rPr>
              <w:t>年同月變動</w:t>
            </w:r>
            <w:r w:rsidRPr="00717C1D">
              <w:rPr>
                <w:rFonts w:eastAsia="標楷體"/>
                <w:b/>
                <w:w w:val="98"/>
                <w14:cntxtAlts/>
              </w:rPr>
              <w:t>(</w:t>
            </w:r>
            <w:r w:rsidR="00CE7968" w:rsidRPr="00717C1D">
              <w:rPr>
                <w:rFonts w:eastAsia="標楷體"/>
                <w:b/>
                <w:w w:val="98"/>
                <w14:cntxtAlts/>
              </w:rPr>
              <w:t>％</w:t>
            </w:r>
            <w:r w:rsidRPr="00717C1D">
              <w:rPr>
                <w:rFonts w:eastAsia="標楷體"/>
                <w:b/>
                <w:w w:val="98"/>
                <w14:cntxtAlts/>
              </w:rPr>
              <w:t>)</w:t>
            </w:r>
          </w:p>
        </w:tc>
        <w:tc>
          <w:tcPr>
            <w:tcW w:w="922" w:type="dxa"/>
            <w:tcBorders>
              <w:right w:val="nil"/>
            </w:tcBorders>
            <w:vAlign w:val="center"/>
          </w:tcPr>
          <w:p w:rsidR="00334A38" w:rsidRPr="00717C1D" w:rsidRDefault="00FD1B90" w:rsidP="00FD1B90">
            <w:pPr>
              <w:snapToGrid w:val="0"/>
              <w:spacing w:line="400" w:lineRule="exact"/>
              <w:ind w:rightChars="100" w:right="240"/>
              <w:jc w:val="right"/>
              <w:rPr>
                <w:rFonts w:eastAsia="標楷體"/>
                <w:b/>
                <w14:cntxtAlts/>
              </w:rPr>
            </w:pPr>
            <w:r w:rsidRPr="00717C1D">
              <w:rPr>
                <w:rFonts w:eastAsia="標楷體"/>
                <w:b/>
                <w14:cntxtAlts/>
              </w:rPr>
              <w:t>0.90</w:t>
            </w:r>
          </w:p>
        </w:tc>
        <w:tc>
          <w:tcPr>
            <w:tcW w:w="949" w:type="dxa"/>
            <w:tcBorders>
              <w:left w:val="nil"/>
              <w:right w:val="nil"/>
            </w:tcBorders>
            <w:vAlign w:val="center"/>
          </w:tcPr>
          <w:p w:rsidR="00334A38" w:rsidRPr="00717C1D" w:rsidRDefault="00FD1B90" w:rsidP="002C67A6">
            <w:pPr>
              <w:snapToGrid w:val="0"/>
              <w:spacing w:line="400" w:lineRule="exact"/>
              <w:ind w:rightChars="100" w:right="240"/>
              <w:jc w:val="right"/>
              <w:rPr>
                <w:rFonts w:eastAsia="標楷體"/>
                <w:b/>
                <w14:cntxtAlts/>
              </w:rPr>
            </w:pPr>
            <w:r w:rsidRPr="00717C1D">
              <w:rPr>
                <w:rFonts w:eastAsia="標楷體"/>
                <w:b/>
                <w14:cntxtAlts/>
              </w:rPr>
              <w:t>2.34</w:t>
            </w:r>
          </w:p>
        </w:tc>
        <w:tc>
          <w:tcPr>
            <w:tcW w:w="1080" w:type="dxa"/>
            <w:tcBorders>
              <w:left w:val="nil"/>
              <w:right w:val="nil"/>
            </w:tcBorders>
            <w:vAlign w:val="center"/>
          </w:tcPr>
          <w:p w:rsidR="00334A38" w:rsidRPr="00717C1D" w:rsidRDefault="002C67A6" w:rsidP="00FD1B90">
            <w:pPr>
              <w:tabs>
                <w:tab w:val="left" w:pos="1080"/>
              </w:tabs>
              <w:snapToGrid w:val="0"/>
              <w:spacing w:line="400" w:lineRule="exact"/>
              <w:ind w:rightChars="100" w:right="240"/>
              <w:jc w:val="right"/>
              <w:rPr>
                <w:rFonts w:eastAsia="標楷體"/>
                <w:b/>
                <w14:cntxtAlts/>
              </w:rPr>
            </w:pPr>
            <w:r w:rsidRPr="00717C1D">
              <w:rPr>
                <w:rFonts w:eastAsia="標楷體"/>
                <w:b/>
                <w14:cntxtAlts/>
              </w:rPr>
              <w:t>-</w:t>
            </w:r>
            <w:r w:rsidR="00FD1B90" w:rsidRPr="00717C1D">
              <w:rPr>
                <w:rFonts w:eastAsia="標楷體"/>
                <w:b/>
                <w14:cntxtAlts/>
              </w:rPr>
              <w:t>1</w:t>
            </w:r>
            <w:r w:rsidRPr="00717C1D">
              <w:rPr>
                <w:rFonts w:eastAsia="標楷體"/>
                <w:b/>
                <w14:cntxtAlts/>
              </w:rPr>
              <w:t>.</w:t>
            </w:r>
            <w:r w:rsidR="00FD1B90" w:rsidRPr="00717C1D">
              <w:rPr>
                <w:rFonts w:eastAsia="標楷體"/>
                <w:b/>
                <w14:cntxtAlts/>
              </w:rPr>
              <w:t>25</w:t>
            </w:r>
          </w:p>
        </w:tc>
        <w:tc>
          <w:tcPr>
            <w:tcW w:w="1080" w:type="dxa"/>
            <w:tcBorders>
              <w:left w:val="nil"/>
              <w:right w:val="nil"/>
            </w:tcBorders>
            <w:vAlign w:val="center"/>
          </w:tcPr>
          <w:p w:rsidR="00334A38" w:rsidRPr="00717C1D" w:rsidRDefault="00FD1B90" w:rsidP="00FD1B90">
            <w:pPr>
              <w:snapToGrid w:val="0"/>
              <w:spacing w:line="400" w:lineRule="exact"/>
              <w:ind w:rightChars="100" w:right="240"/>
              <w:jc w:val="right"/>
              <w:rPr>
                <w:rFonts w:eastAsia="標楷體"/>
                <w:b/>
                <w14:cntxtAlts/>
              </w:rPr>
            </w:pPr>
            <w:r w:rsidRPr="00717C1D">
              <w:rPr>
                <w:rFonts w:eastAsia="標楷體"/>
                <w:b/>
                <w14:cntxtAlts/>
              </w:rPr>
              <w:t>3.56</w:t>
            </w:r>
          </w:p>
        </w:tc>
        <w:tc>
          <w:tcPr>
            <w:tcW w:w="1020" w:type="dxa"/>
            <w:tcBorders>
              <w:left w:val="nil"/>
              <w:right w:val="nil"/>
            </w:tcBorders>
            <w:vAlign w:val="center"/>
          </w:tcPr>
          <w:p w:rsidR="00334A38" w:rsidRPr="00717C1D" w:rsidRDefault="006A5ED9" w:rsidP="006A5ED9">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-32.58</w:t>
            </w:r>
          </w:p>
        </w:tc>
        <w:tc>
          <w:tcPr>
            <w:tcW w:w="1080" w:type="dxa"/>
            <w:tcBorders>
              <w:left w:val="nil"/>
              <w:right w:val="nil"/>
            </w:tcBorders>
            <w:vAlign w:val="center"/>
          </w:tcPr>
          <w:p w:rsidR="00334A38" w:rsidRPr="00717C1D" w:rsidRDefault="00DD20FC" w:rsidP="002C67A6">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3.95</w:t>
            </w:r>
          </w:p>
        </w:tc>
        <w:tc>
          <w:tcPr>
            <w:tcW w:w="1080" w:type="dxa"/>
            <w:tcBorders>
              <w:left w:val="nil"/>
              <w:right w:val="nil"/>
            </w:tcBorders>
            <w:vAlign w:val="center"/>
          </w:tcPr>
          <w:p w:rsidR="00334A38" w:rsidRPr="00717C1D" w:rsidRDefault="00DD20FC" w:rsidP="00DD20FC">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-35.88</w:t>
            </w:r>
          </w:p>
        </w:tc>
        <w:tc>
          <w:tcPr>
            <w:tcW w:w="1009" w:type="dxa"/>
            <w:tcBorders>
              <w:left w:val="nil"/>
            </w:tcBorders>
            <w:vAlign w:val="center"/>
          </w:tcPr>
          <w:p w:rsidR="00334A38" w:rsidRPr="00717C1D" w:rsidRDefault="00B425AD" w:rsidP="002C67A6">
            <w:pPr>
              <w:pStyle w:val="a9"/>
              <w:widowControl/>
              <w:tabs>
                <w:tab w:val="left" w:pos="5220"/>
              </w:tabs>
              <w:snapToGrid w:val="0"/>
              <w:spacing w:line="400" w:lineRule="exact"/>
              <w:rPr>
                <w:rFonts w:eastAsia="標楷體"/>
                <w:b/>
                <w14:cntxtAlts/>
              </w:rPr>
            </w:pPr>
            <w:r w:rsidRPr="00717C1D">
              <w:rPr>
                <w:rFonts w:eastAsia="標楷體"/>
                <w:b/>
                <w14:cntxtAlts/>
              </w:rPr>
              <w:t>11.59</w:t>
            </w:r>
          </w:p>
        </w:tc>
      </w:tr>
      <w:tr w:rsidR="00DD20FC" w:rsidRPr="003111E1" w:rsidTr="00972814">
        <w:trPr>
          <w:trHeight w:val="702"/>
          <w:jc w:val="center"/>
        </w:trPr>
        <w:tc>
          <w:tcPr>
            <w:tcW w:w="1362" w:type="dxa"/>
            <w:vAlign w:val="center"/>
          </w:tcPr>
          <w:p w:rsidR="00334A38" w:rsidRPr="00717C1D" w:rsidRDefault="00334A38" w:rsidP="00CE7968">
            <w:pPr>
              <w:snapToGrid w:val="0"/>
              <w:spacing w:line="320" w:lineRule="exact"/>
              <w:jc w:val="center"/>
              <w:rPr>
                <w:rFonts w:eastAsia="標楷體"/>
                <w:b/>
                <w:w w:val="98"/>
                <w14:cntxtAlts/>
              </w:rPr>
            </w:pPr>
            <w:r w:rsidRPr="00717C1D">
              <w:rPr>
                <w:rFonts w:eastAsia="標楷體"/>
                <w:b/>
                <w:w w:val="95"/>
              </w:rPr>
              <w:t>累計較</w:t>
            </w:r>
            <w:r w:rsidRPr="00717C1D">
              <w:rPr>
                <w:rFonts w:eastAsia="標楷體"/>
                <w:b/>
                <w:w w:val="95"/>
              </w:rPr>
              <w:t>101</w:t>
            </w:r>
            <w:r w:rsidRPr="00717C1D">
              <w:rPr>
                <w:rFonts w:eastAsia="標楷體"/>
                <w:b/>
                <w:w w:val="95"/>
              </w:rPr>
              <w:t>年同期變動</w:t>
            </w:r>
            <w:r w:rsidRPr="00717C1D">
              <w:rPr>
                <w:rFonts w:eastAsia="標楷體"/>
                <w:b/>
                <w:w w:val="95"/>
              </w:rPr>
              <w:t>(</w:t>
            </w:r>
            <w:r w:rsidR="00CE7968" w:rsidRPr="00717C1D">
              <w:rPr>
                <w:rFonts w:eastAsia="標楷體"/>
                <w:b/>
                <w:w w:val="95"/>
              </w:rPr>
              <w:t>％</w:t>
            </w:r>
            <w:r w:rsidRPr="00717C1D">
              <w:rPr>
                <w:rFonts w:eastAsia="標楷體"/>
                <w:b/>
                <w:w w:val="95"/>
              </w:rPr>
              <w:t>)</w:t>
            </w:r>
          </w:p>
        </w:tc>
        <w:tc>
          <w:tcPr>
            <w:tcW w:w="922" w:type="dxa"/>
            <w:tcBorders>
              <w:right w:val="nil"/>
            </w:tcBorders>
            <w:vAlign w:val="center"/>
          </w:tcPr>
          <w:p w:rsidR="00334A38" w:rsidRPr="00717C1D" w:rsidRDefault="00D76676" w:rsidP="00D35CC8">
            <w:pPr>
              <w:snapToGrid w:val="0"/>
              <w:spacing w:line="400" w:lineRule="exact"/>
              <w:ind w:rightChars="100" w:right="240"/>
              <w:jc w:val="right"/>
              <w:rPr>
                <w:rFonts w:eastAsia="標楷體"/>
                <w:b/>
                <w14:cntxtAlts/>
              </w:rPr>
            </w:pPr>
            <w:r w:rsidRPr="00717C1D">
              <w:rPr>
                <w:rFonts w:eastAsia="標楷體"/>
                <w:b/>
                <w14:cntxtAlts/>
              </w:rPr>
              <w:t>-</w:t>
            </w:r>
            <w:r w:rsidR="00FD1B90" w:rsidRPr="00717C1D">
              <w:rPr>
                <w:rFonts w:eastAsia="標楷體"/>
                <w:b/>
                <w14:cntxtAlts/>
              </w:rPr>
              <w:t>0.7</w:t>
            </w:r>
            <w:r w:rsidR="00D35CC8" w:rsidRPr="00717C1D">
              <w:rPr>
                <w:rFonts w:eastAsia="標楷體"/>
                <w:b/>
                <w14:cntxtAlts/>
              </w:rPr>
              <w:t>6</w:t>
            </w:r>
          </w:p>
        </w:tc>
        <w:tc>
          <w:tcPr>
            <w:tcW w:w="949" w:type="dxa"/>
            <w:tcBorders>
              <w:left w:val="nil"/>
              <w:right w:val="nil"/>
            </w:tcBorders>
            <w:vAlign w:val="center"/>
          </w:tcPr>
          <w:p w:rsidR="00334A38" w:rsidRPr="00717C1D" w:rsidRDefault="00334A38" w:rsidP="00FD1B90">
            <w:pPr>
              <w:snapToGrid w:val="0"/>
              <w:spacing w:line="400" w:lineRule="exact"/>
              <w:ind w:rightChars="100" w:right="240"/>
              <w:jc w:val="right"/>
              <w:rPr>
                <w:rFonts w:eastAsia="標楷體"/>
                <w:b/>
                <w14:cntxtAlts/>
              </w:rPr>
            </w:pPr>
            <w:r w:rsidRPr="00717C1D">
              <w:rPr>
                <w:rFonts w:eastAsia="標楷體"/>
                <w:b/>
                <w14:cntxtAlts/>
              </w:rPr>
              <w:t>-</w:t>
            </w:r>
            <w:r w:rsidR="00FD1B90" w:rsidRPr="00717C1D">
              <w:rPr>
                <w:rFonts w:eastAsia="標楷體"/>
                <w:b/>
                <w14:cntxtAlts/>
              </w:rPr>
              <w:t>0.68</w:t>
            </w:r>
          </w:p>
        </w:tc>
        <w:tc>
          <w:tcPr>
            <w:tcW w:w="1080" w:type="dxa"/>
            <w:tcBorders>
              <w:left w:val="nil"/>
              <w:right w:val="nil"/>
            </w:tcBorders>
            <w:vAlign w:val="center"/>
          </w:tcPr>
          <w:p w:rsidR="00334A38" w:rsidRPr="00717C1D" w:rsidRDefault="00FD1B90" w:rsidP="00FD1B90">
            <w:pPr>
              <w:tabs>
                <w:tab w:val="left" w:pos="1080"/>
              </w:tabs>
              <w:snapToGrid w:val="0"/>
              <w:spacing w:line="400" w:lineRule="exact"/>
              <w:ind w:rightChars="100" w:right="240"/>
              <w:jc w:val="right"/>
              <w:rPr>
                <w:rFonts w:eastAsia="標楷體"/>
                <w:b/>
                <w14:cntxtAlts/>
              </w:rPr>
            </w:pPr>
            <w:r w:rsidRPr="00717C1D">
              <w:rPr>
                <w:rFonts w:eastAsia="標楷體"/>
                <w:b/>
                <w14:cntxtAlts/>
              </w:rPr>
              <w:t>0.59</w:t>
            </w:r>
          </w:p>
        </w:tc>
        <w:tc>
          <w:tcPr>
            <w:tcW w:w="1080" w:type="dxa"/>
            <w:tcBorders>
              <w:left w:val="nil"/>
              <w:right w:val="nil"/>
            </w:tcBorders>
            <w:vAlign w:val="center"/>
          </w:tcPr>
          <w:p w:rsidR="00334A38" w:rsidRPr="00717C1D" w:rsidRDefault="00334A38" w:rsidP="00FD1B90">
            <w:pPr>
              <w:snapToGrid w:val="0"/>
              <w:spacing w:line="400" w:lineRule="exact"/>
              <w:ind w:rightChars="100" w:right="240"/>
              <w:jc w:val="right"/>
              <w:rPr>
                <w:rFonts w:eastAsia="標楷體"/>
                <w:b/>
                <w14:cntxtAlts/>
              </w:rPr>
            </w:pPr>
            <w:r w:rsidRPr="00717C1D">
              <w:rPr>
                <w:rFonts w:eastAsia="標楷體"/>
                <w:b/>
                <w14:cntxtAlts/>
              </w:rPr>
              <w:t>-</w:t>
            </w:r>
            <w:r w:rsidR="00FD1B90" w:rsidRPr="00717C1D">
              <w:rPr>
                <w:rFonts w:eastAsia="標楷體"/>
                <w:b/>
                <w14:cntxtAlts/>
              </w:rPr>
              <w:t>0.27</w:t>
            </w:r>
          </w:p>
        </w:tc>
        <w:tc>
          <w:tcPr>
            <w:tcW w:w="1020" w:type="dxa"/>
            <w:tcBorders>
              <w:left w:val="nil"/>
              <w:right w:val="nil"/>
            </w:tcBorders>
            <w:vAlign w:val="center"/>
          </w:tcPr>
          <w:p w:rsidR="00334A38" w:rsidRPr="00717C1D" w:rsidRDefault="00334A38" w:rsidP="006A5ED9">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-1</w:t>
            </w:r>
            <w:r w:rsidR="006A5ED9" w:rsidRPr="00717C1D">
              <w:rPr>
                <w:rFonts w:eastAsia="標楷體"/>
                <w:b/>
                <w14:cntxtAlts/>
              </w:rPr>
              <w:t>5.91</w:t>
            </w:r>
          </w:p>
        </w:tc>
        <w:tc>
          <w:tcPr>
            <w:tcW w:w="1080" w:type="dxa"/>
            <w:tcBorders>
              <w:left w:val="nil"/>
              <w:right w:val="nil"/>
            </w:tcBorders>
            <w:vAlign w:val="center"/>
          </w:tcPr>
          <w:p w:rsidR="00334A38" w:rsidRPr="00717C1D" w:rsidRDefault="00DD20FC" w:rsidP="002C67A6">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-0.53</w:t>
            </w:r>
          </w:p>
        </w:tc>
        <w:tc>
          <w:tcPr>
            <w:tcW w:w="1080" w:type="dxa"/>
            <w:tcBorders>
              <w:left w:val="nil"/>
              <w:right w:val="nil"/>
            </w:tcBorders>
            <w:vAlign w:val="center"/>
          </w:tcPr>
          <w:p w:rsidR="00334A38" w:rsidRPr="00717C1D" w:rsidRDefault="00334A38" w:rsidP="00DD20FC">
            <w:pPr>
              <w:pStyle w:val="a9"/>
              <w:widowControl/>
              <w:tabs>
                <w:tab w:val="left" w:pos="5220"/>
              </w:tabs>
              <w:snapToGrid w:val="0"/>
              <w:spacing w:line="400" w:lineRule="exact"/>
              <w:ind w:rightChars="100" w:right="240"/>
              <w:rPr>
                <w:rFonts w:eastAsia="標楷體"/>
                <w:b/>
                <w14:cntxtAlts/>
              </w:rPr>
            </w:pPr>
            <w:r w:rsidRPr="00717C1D">
              <w:rPr>
                <w:rFonts w:eastAsia="標楷體"/>
                <w:b/>
                <w14:cntxtAlts/>
              </w:rPr>
              <w:t>-</w:t>
            </w:r>
            <w:r w:rsidR="00DD20FC" w:rsidRPr="00717C1D">
              <w:rPr>
                <w:rFonts w:eastAsia="標楷體"/>
                <w:b/>
                <w14:cntxtAlts/>
              </w:rPr>
              <w:t>14.56</w:t>
            </w:r>
          </w:p>
        </w:tc>
        <w:tc>
          <w:tcPr>
            <w:tcW w:w="1009" w:type="dxa"/>
            <w:tcBorders>
              <w:left w:val="nil"/>
            </w:tcBorders>
            <w:vAlign w:val="center"/>
          </w:tcPr>
          <w:p w:rsidR="00334A38" w:rsidRPr="00717C1D" w:rsidRDefault="00334A38" w:rsidP="00B425AD">
            <w:pPr>
              <w:pStyle w:val="a9"/>
              <w:widowControl/>
              <w:tabs>
                <w:tab w:val="left" w:pos="5220"/>
              </w:tabs>
              <w:snapToGrid w:val="0"/>
              <w:spacing w:line="400" w:lineRule="exact"/>
              <w:rPr>
                <w:rFonts w:eastAsia="標楷體"/>
                <w:b/>
                <w14:cntxtAlts/>
              </w:rPr>
            </w:pPr>
            <w:r w:rsidRPr="00717C1D">
              <w:rPr>
                <w:rFonts w:eastAsia="標楷體"/>
                <w:b/>
                <w14:cntxtAlts/>
              </w:rPr>
              <w:t>-</w:t>
            </w:r>
            <w:r w:rsidR="00B425AD" w:rsidRPr="00717C1D">
              <w:rPr>
                <w:rFonts w:eastAsia="標楷體"/>
                <w:b/>
                <w14:cntxtAlts/>
              </w:rPr>
              <w:t>1</w:t>
            </w:r>
            <w:r w:rsidRPr="00717C1D">
              <w:rPr>
                <w:rFonts w:eastAsia="標楷體"/>
                <w:b/>
                <w14:cntxtAlts/>
              </w:rPr>
              <w:t>.</w:t>
            </w:r>
            <w:r w:rsidR="00B425AD" w:rsidRPr="00717C1D">
              <w:rPr>
                <w:rFonts w:eastAsia="標楷體"/>
                <w:b/>
                <w14:cntxtAlts/>
              </w:rPr>
              <w:t>13</w:t>
            </w:r>
          </w:p>
        </w:tc>
      </w:tr>
    </w:tbl>
    <w:p w:rsidR="00D35CC8" w:rsidRDefault="00D35CC8" w:rsidP="007A2A85">
      <w:pPr>
        <w:spacing w:line="360" w:lineRule="exact"/>
        <w:rPr>
          <w:rFonts w:eastAsia="標楷體"/>
          <w:sz w:val="22"/>
          <w:szCs w:val="22"/>
        </w:rPr>
      </w:pPr>
      <w:proofErr w:type="gramStart"/>
      <w:r w:rsidRPr="00D35CC8">
        <w:rPr>
          <w:rFonts w:eastAsia="標楷體" w:hint="eastAsia"/>
          <w:sz w:val="22"/>
          <w:szCs w:val="22"/>
        </w:rPr>
        <w:t>註</w:t>
      </w:r>
      <w:proofErr w:type="gramEnd"/>
      <w:r w:rsidRPr="00D35CC8">
        <w:rPr>
          <w:rFonts w:eastAsia="標楷體" w:hint="eastAsia"/>
          <w:sz w:val="22"/>
          <w:szCs w:val="22"/>
        </w:rPr>
        <w:t>：表內薪資為名目數據。</w:t>
      </w:r>
    </w:p>
    <w:p w:rsidR="007651D7" w:rsidRPr="003111E1" w:rsidRDefault="007651D7" w:rsidP="007A2A85">
      <w:pPr>
        <w:spacing w:line="360" w:lineRule="exact"/>
        <w:rPr>
          <w:rFonts w:eastAsia="標楷體"/>
          <w:sz w:val="22"/>
          <w:szCs w:val="22"/>
        </w:rPr>
      </w:pPr>
      <w:r w:rsidRPr="003111E1">
        <w:rPr>
          <w:rFonts w:eastAsia="標楷體"/>
          <w:sz w:val="22"/>
          <w:szCs w:val="22"/>
        </w:rPr>
        <w:t>資料來源：行政院主計總處。</w:t>
      </w:r>
    </w:p>
    <w:p w:rsidR="007651D7" w:rsidRPr="003111E1" w:rsidRDefault="007651D7" w:rsidP="007651D7">
      <w:pPr>
        <w:widowControl/>
        <w:rPr>
          <w:rFonts w:eastAsia="標楷體"/>
          <w:b/>
          <w:bCs/>
          <w:color w:val="FF0000"/>
          <w:sz w:val="40"/>
          <w:szCs w:val="36"/>
        </w:rPr>
      </w:pPr>
    </w:p>
    <w:p w:rsidR="00EF5A0E" w:rsidRPr="003111E1" w:rsidRDefault="00576223" w:rsidP="00276BD8">
      <w:pPr>
        <w:snapToGrid w:val="0"/>
        <w:spacing w:beforeLines="50" w:before="180" w:afterLines="50" w:after="180"/>
        <w:ind w:rightChars="-59" w:right="-142"/>
        <w:jc w:val="both"/>
        <w:rPr>
          <w:rFonts w:eastAsia="標楷體"/>
          <w:b/>
          <w:bCs/>
          <w:color w:val="FF0000"/>
          <w:sz w:val="40"/>
          <w:szCs w:val="36"/>
        </w:rPr>
      </w:pPr>
      <w:r w:rsidRPr="003111E1">
        <w:rPr>
          <w:rFonts w:eastAsia="標楷體"/>
          <w:b/>
          <w:bCs/>
          <w:color w:val="FF0000"/>
          <w:sz w:val="28"/>
        </w:rPr>
        <w:br w:type="page"/>
      </w:r>
    </w:p>
    <w:p w:rsidR="00975512" w:rsidRPr="003111E1" w:rsidRDefault="00975512" w:rsidP="003F11AE">
      <w:pPr>
        <w:pStyle w:val="t-2"/>
        <w:rPr>
          <w:rFonts w:hAnsi="Times New Roman"/>
        </w:rPr>
      </w:pPr>
      <w:bookmarkStart w:id="105" w:name="_Toc337122138"/>
      <w:bookmarkStart w:id="106" w:name="_Toc349916590"/>
      <w:bookmarkStart w:id="107" w:name="_Toc358042585"/>
      <w:r w:rsidRPr="003111E1">
        <w:rPr>
          <w:rFonts w:hAnsi="Times New Roman"/>
        </w:rPr>
        <w:lastRenderedPageBreak/>
        <w:t>三、中國大陸經濟</w:t>
      </w:r>
      <w:bookmarkEnd w:id="105"/>
      <w:bookmarkEnd w:id="106"/>
      <w:bookmarkEnd w:id="107"/>
    </w:p>
    <w:p w:rsidR="003D2281" w:rsidRPr="00076456" w:rsidRDefault="003D2281" w:rsidP="003C71AB">
      <w:pPr>
        <w:pStyle w:val="t-3"/>
        <w:snapToGrid w:val="0"/>
        <w:spacing w:beforeLines="50" w:before="180" w:line="300" w:lineRule="auto"/>
        <w:ind w:right="-60"/>
      </w:pPr>
      <w:bookmarkStart w:id="108" w:name="_Toc358042586"/>
      <w:bookmarkStart w:id="109" w:name="_Toc349916591"/>
      <w:bookmarkStart w:id="110" w:name="_Toc337122140"/>
      <w:r w:rsidRPr="00076456">
        <w:t>（一）固定資產投資</w:t>
      </w:r>
      <w:bookmarkEnd w:id="108"/>
    </w:p>
    <w:p w:rsidR="003D2281" w:rsidRPr="003111E1" w:rsidRDefault="003D2281" w:rsidP="001508C5">
      <w:pPr>
        <w:pStyle w:val="a7"/>
        <w:widowControl/>
        <w:snapToGrid w:val="0"/>
        <w:spacing w:line="300" w:lineRule="auto"/>
        <w:ind w:leftChars="119" w:left="569" w:right="-142" w:hangingChars="101" w:hanging="283"/>
        <w:jc w:val="both"/>
        <w:rPr>
          <w:rFonts w:ascii="Times New Roman" w:eastAsia="標楷體"/>
          <w:color w:val="FF0000"/>
          <w:sz w:val="28"/>
        </w:rPr>
      </w:pPr>
      <w:r w:rsidRPr="00076456">
        <w:rPr>
          <w:rFonts w:ascii="Times New Roman" w:eastAsia="標楷體"/>
          <w:sz w:val="28"/>
        </w:rPr>
        <w:t>－</w:t>
      </w:r>
      <w:r w:rsidR="00076456" w:rsidRPr="00076456">
        <w:rPr>
          <w:rFonts w:ascii="Times New Roman" w:eastAsia="標楷體" w:hint="eastAsia"/>
          <w:sz w:val="28"/>
        </w:rPr>
        <w:t>2013</w:t>
      </w:r>
      <w:r w:rsidR="00076456" w:rsidRPr="00076456">
        <w:rPr>
          <w:rFonts w:ascii="Times New Roman" w:eastAsia="標楷體" w:hint="eastAsia"/>
          <w:sz w:val="28"/>
        </w:rPr>
        <w:t>年</w:t>
      </w:r>
      <w:r w:rsidR="00076456" w:rsidRPr="00076456">
        <w:rPr>
          <w:rFonts w:ascii="Times New Roman" w:eastAsia="標楷體" w:hint="eastAsia"/>
          <w:sz w:val="28"/>
        </w:rPr>
        <w:t>1</w:t>
      </w:r>
      <w:r w:rsidR="00076456" w:rsidRPr="00076456">
        <w:rPr>
          <w:rFonts w:ascii="Times New Roman" w:eastAsia="標楷體" w:hint="eastAsia"/>
          <w:sz w:val="28"/>
        </w:rPr>
        <w:t>至</w:t>
      </w:r>
      <w:r w:rsidR="00076456" w:rsidRPr="00076456">
        <w:rPr>
          <w:rFonts w:ascii="Times New Roman" w:eastAsia="標楷體" w:hint="eastAsia"/>
          <w:sz w:val="28"/>
        </w:rPr>
        <w:t>6</w:t>
      </w:r>
      <w:r w:rsidR="00076456" w:rsidRPr="00076456">
        <w:rPr>
          <w:rFonts w:ascii="Times New Roman" w:eastAsia="標楷體" w:hint="eastAsia"/>
          <w:sz w:val="28"/>
        </w:rPr>
        <w:t>月固定資產投資</w:t>
      </w:r>
      <w:r w:rsidR="008833E1">
        <w:rPr>
          <w:rFonts w:ascii="Times New Roman" w:eastAsia="標楷體" w:hint="eastAsia"/>
          <w:sz w:val="28"/>
        </w:rPr>
        <w:t>（</w:t>
      </w:r>
      <w:r w:rsidR="00076456" w:rsidRPr="00076456">
        <w:rPr>
          <w:rFonts w:ascii="Times New Roman" w:eastAsia="標楷體" w:hint="eastAsia"/>
          <w:sz w:val="28"/>
        </w:rPr>
        <w:t>不含農戶</w:t>
      </w:r>
      <w:r w:rsidR="008833E1">
        <w:rPr>
          <w:rFonts w:ascii="Times New Roman" w:eastAsia="標楷體" w:hint="eastAsia"/>
          <w:sz w:val="28"/>
        </w:rPr>
        <w:t>）</w:t>
      </w:r>
      <w:r w:rsidR="00076456" w:rsidRPr="00076456">
        <w:rPr>
          <w:rFonts w:ascii="Times New Roman" w:eastAsia="標楷體" w:hint="eastAsia"/>
          <w:sz w:val="28"/>
        </w:rPr>
        <w:t>金額為</w:t>
      </w:r>
      <w:r w:rsidR="00076456" w:rsidRPr="00076456">
        <w:rPr>
          <w:rFonts w:ascii="Times New Roman" w:eastAsia="標楷體" w:hint="eastAsia"/>
          <w:sz w:val="28"/>
        </w:rPr>
        <w:t>181,318</w:t>
      </w:r>
      <w:r w:rsidR="00076456" w:rsidRPr="00076456">
        <w:rPr>
          <w:rFonts w:ascii="Times New Roman" w:eastAsia="標楷體" w:hint="eastAsia"/>
          <w:sz w:val="28"/>
        </w:rPr>
        <w:t>億人民幣，</w:t>
      </w:r>
      <w:r w:rsidR="00076456" w:rsidRPr="00DA59A0">
        <w:rPr>
          <w:rFonts w:ascii="Times New Roman" w:eastAsia="標楷體" w:hint="eastAsia"/>
          <w:sz w:val="28"/>
        </w:rPr>
        <w:t>較</w:t>
      </w:r>
      <w:r w:rsidR="002D6620">
        <w:rPr>
          <w:rFonts w:ascii="Times New Roman" w:eastAsia="標楷體" w:hint="eastAsia"/>
          <w:sz w:val="28"/>
        </w:rPr>
        <w:t>上</w:t>
      </w:r>
      <w:r w:rsidR="00076456" w:rsidRPr="00DA59A0">
        <w:rPr>
          <w:rFonts w:ascii="Times New Roman" w:eastAsia="標楷體" w:hint="eastAsia"/>
          <w:sz w:val="28"/>
        </w:rPr>
        <w:t>年同期成長</w:t>
      </w:r>
      <w:r w:rsidR="00076456" w:rsidRPr="00DA59A0">
        <w:rPr>
          <w:rFonts w:ascii="Times New Roman" w:eastAsia="標楷體" w:hint="eastAsia"/>
          <w:sz w:val="28"/>
        </w:rPr>
        <w:t>20.</w:t>
      </w:r>
      <w:r w:rsidR="00076456">
        <w:rPr>
          <w:rFonts w:ascii="Times New Roman" w:eastAsia="標楷體" w:hint="eastAsia"/>
          <w:sz w:val="28"/>
        </w:rPr>
        <w:t>1</w:t>
      </w:r>
      <w:r w:rsidR="00076456">
        <w:rPr>
          <w:rFonts w:ascii="Times New Roman" w:eastAsia="標楷體" w:hint="eastAsia"/>
          <w:sz w:val="28"/>
        </w:rPr>
        <w:t>％</w:t>
      </w:r>
      <w:r w:rsidR="00076456" w:rsidRPr="00DA59A0">
        <w:rPr>
          <w:rFonts w:ascii="Times New Roman" w:eastAsia="標楷體" w:hint="eastAsia"/>
          <w:sz w:val="28"/>
        </w:rPr>
        <w:t>，其中中央投資金額成長</w:t>
      </w:r>
      <w:r w:rsidR="00076456">
        <w:rPr>
          <w:rFonts w:ascii="Times New Roman" w:eastAsia="標楷體" w:hint="eastAsia"/>
          <w:sz w:val="28"/>
        </w:rPr>
        <w:t>9.7</w:t>
      </w:r>
      <w:r w:rsidR="00076456">
        <w:rPr>
          <w:rFonts w:ascii="Times New Roman" w:eastAsia="標楷體" w:hint="eastAsia"/>
          <w:sz w:val="28"/>
        </w:rPr>
        <w:t>％</w:t>
      </w:r>
      <w:r w:rsidR="00076456" w:rsidRPr="00DA59A0">
        <w:rPr>
          <w:rFonts w:ascii="Times New Roman" w:eastAsia="標楷體" w:hint="eastAsia"/>
          <w:sz w:val="28"/>
        </w:rPr>
        <w:t>，比重為</w:t>
      </w:r>
      <w:r w:rsidR="00076456" w:rsidRPr="00DA59A0">
        <w:rPr>
          <w:rFonts w:ascii="Times New Roman" w:eastAsia="標楷體" w:hint="eastAsia"/>
          <w:sz w:val="28"/>
        </w:rPr>
        <w:t>4.</w:t>
      </w:r>
      <w:r w:rsidR="00076456">
        <w:rPr>
          <w:rFonts w:ascii="Times New Roman" w:eastAsia="標楷體" w:hint="eastAsia"/>
          <w:sz w:val="28"/>
        </w:rPr>
        <w:t>6</w:t>
      </w:r>
      <w:r w:rsidR="00076456">
        <w:rPr>
          <w:rFonts w:ascii="Times New Roman" w:eastAsia="標楷體" w:hint="eastAsia"/>
          <w:sz w:val="28"/>
        </w:rPr>
        <w:t>％</w:t>
      </w:r>
      <w:r w:rsidR="00076456" w:rsidRPr="00DA59A0">
        <w:rPr>
          <w:rFonts w:ascii="Times New Roman" w:eastAsia="標楷體" w:hint="eastAsia"/>
          <w:sz w:val="28"/>
        </w:rPr>
        <w:t>；地方投資金額成長</w:t>
      </w:r>
      <w:r w:rsidR="00076456">
        <w:rPr>
          <w:rFonts w:ascii="Times New Roman" w:eastAsia="標楷體" w:hint="eastAsia"/>
          <w:sz w:val="28"/>
        </w:rPr>
        <w:t>20.7</w:t>
      </w:r>
      <w:r w:rsidR="00076456">
        <w:rPr>
          <w:rFonts w:ascii="Times New Roman" w:eastAsia="標楷體" w:hint="eastAsia"/>
          <w:sz w:val="28"/>
        </w:rPr>
        <w:t>％</w:t>
      </w:r>
      <w:r w:rsidR="00076456" w:rsidRPr="00DA59A0">
        <w:rPr>
          <w:rFonts w:ascii="Times New Roman" w:eastAsia="標楷體" w:hint="eastAsia"/>
          <w:sz w:val="28"/>
        </w:rPr>
        <w:t>，比重為</w:t>
      </w:r>
      <w:r w:rsidR="00076456" w:rsidRPr="00DA59A0">
        <w:rPr>
          <w:rFonts w:ascii="Times New Roman" w:eastAsia="標楷體" w:hint="eastAsia"/>
          <w:sz w:val="28"/>
        </w:rPr>
        <w:t>95.</w:t>
      </w:r>
      <w:r w:rsidR="00076456">
        <w:rPr>
          <w:rFonts w:ascii="Times New Roman" w:eastAsia="標楷體" w:hint="eastAsia"/>
          <w:sz w:val="28"/>
        </w:rPr>
        <w:t>4</w:t>
      </w:r>
      <w:r w:rsidR="00076456">
        <w:rPr>
          <w:rFonts w:ascii="Times New Roman" w:eastAsia="標楷體" w:hint="eastAsia"/>
          <w:sz w:val="28"/>
        </w:rPr>
        <w:t>％</w:t>
      </w:r>
      <w:r w:rsidR="00076456" w:rsidRPr="00A23E15">
        <w:rPr>
          <w:rFonts w:ascii="Times New Roman" w:eastAsia="標楷體" w:hint="eastAsia"/>
          <w:sz w:val="28"/>
        </w:rPr>
        <w:t>。</w:t>
      </w:r>
    </w:p>
    <w:p w:rsidR="00DF38B1" w:rsidRPr="00076456" w:rsidRDefault="00726736" w:rsidP="00076456">
      <w:pPr>
        <w:autoSpaceDE w:val="0"/>
        <w:autoSpaceDN w:val="0"/>
        <w:adjustRightInd w:val="0"/>
        <w:snapToGrid w:val="0"/>
        <w:spacing w:beforeLines="50" w:before="180" w:line="240" w:lineRule="exact"/>
        <w:jc w:val="center"/>
      </w:pPr>
      <w:r w:rsidRPr="001E01DE">
        <w:rPr>
          <w:noProof/>
        </w:rPr>
        <w:drawing>
          <wp:anchor distT="0" distB="0" distL="114300" distR="114300" simplePos="0" relativeHeight="251745792" behindDoc="1" locked="0" layoutInCell="1" allowOverlap="1" wp14:anchorId="10279CAA" wp14:editId="5AB1EB4A">
            <wp:simplePos x="0" y="0"/>
            <wp:positionH relativeFrom="column">
              <wp:posOffset>-384175</wp:posOffset>
            </wp:positionH>
            <wp:positionV relativeFrom="paragraph">
              <wp:posOffset>400050</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DF38B1" w:rsidRPr="00076456">
        <w:rPr>
          <w:rFonts w:eastAsia="標楷體"/>
          <w:b/>
          <w:bCs/>
          <w:sz w:val="28"/>
        </w:rPr>
        <w:t>圖</w:t>
      </w:r>
      <w:r w:rsidR="00DF38B1" w:rsidRPr="00076456">
        <w:rPr>
          <w:rFonts w:eastAsia="標楷體"/>
          <w:b/>
          <w:bCs/>
          <w:sz w:val="28"/>
        </w:rPr>
        <w:t xml:space="preserve">3-1 </w:t>
      </w:r>
      <w:r w:rsidR="00DF38B1" w:rsidRPr="00076456">
        <w:rPr>
          <w:rFonts w:eastAsia="標楷體"/>
          <w:b/>
          <w:bCs/>
          <w:sz w:val="28"/>
        </w:rPr>
        <w:t>中國大陸固定資產投資</w:t>
      </w:r>
    </w:p>
    <w:p w:rsidR="003D2281" w:rsidRPr="003111E1" w:rsidRDefault="003D2281" w:rsidP="00942D67">
      <w:pPr>
        <w:autoSpaceDE w:val="0"/>
        <w:autoSpaceDN w:val="0"/>
        <w:adjustRightInd w:val="0"/>
        <w:snapToGrid w:val="0"/>
        <w:spacing w:beforeLines="50" w:before="180" w:line="300" w:lineRule="auto"/>
        <w:rPr>
          <w:rFonts w:eastAsia="標楷體"/>
          <w:b/>
          <w:bCs/>
          <w:color w:val="FF0000"/>
          <w:sz w:val="28"/>
        </w:rPr>
      </w:pPr>
    </w:p>
    <w:p w:rsidR="003D2281" w:rsidRPr="00076456" w:rsidRDefault="003D2281" w:rsidP="00276BD8">
      <w:pPr>
        <w:autoSpaceDE w:val="0"/>
        <w:autoSpaceDN w:val="0"/>
        <w:adjustRightInd w:val="0"/>
        <w:snapToGrid w:val="0"/>
        <w:spacing w:beforeLines="50" w:before="180" w:line="300" w:lineRule="auto"/>
        <w:jc w:val="center"/>
        <w:rPr>
          <w:rFonts w:eastAsia="標楷體"/>
        </w:rPr>
      </w:pPr>
      <w:r w:rsidRPr="00076456">
        <w:rPr>
          <w:rFonts w:eastAsia="標楷體"/>
          <w:b/>
          <w:bCs/>
          <w:sz w:val="28"/>
        </w:rPr>
        <w:t>表</w:t>
      </w:r>
      <w:r w:rsidRPr="00076456">
        <w:rPr>
          <w:rFonts w:eastAsia="標楷體"/>
          <w:b/>
          <w:bCs/>
          <w:sz w:val="28"/>
        </w:rPr>
        <w:t xml:space="preserve">3-1  </w:t>
      </w:r>
      <w:r w:rsidRPr="00076456">
        <w:rPr>
          <w:rFonts w:eastAsia="標楷體"/>
          <w:b/>
          <w:bCs/>
          <w:sz w:val="28"/>
        </w:rPr>
        <w:t>中國大陸固定資產投資概況</w:t>
      </w:r>
    </w:p>
    <w:p w:rsidR="003D2281" w:rsidRPr="00076456" w:rsidRDefault="003D2281" w:rsidP="003D2281">
      <w:pPr>
        <w:autoSpaceDE w:val="0"/>
        <w:autoSpaceDN w:val="0"/>
        <w:adjustRightInd w:val="0"/>
        <w:snapToGrid w:val="0"/>
        <w:ind w:right="250"/>
        <w:jc w:val="right"/>
        <w:rPr>
          <w:rFonts w:eastAsia="標楷體"/>
          <w:b/>
          <w:bCs/>
          <w:sz w:val="28"/>
        </w:rPr>
      </w:pPr>
      <w:r w:rsidRPr="00076456">
        <w:rPr>
          <w:rFonts w:eastAsia="標楷體"/>
        </w:rPr>
        <w:t>單位：億人民幣；</w:t>
      </w:r>
      <w:r w:rsidR="00076456">
        <w:rPr>
          <w:rFonts w:eastAsia="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076456" w:rsidRPr="00A23E15" w:rsidTr="00FF4D71">
        <w:trPr>
          <w:cantSplit/>
          <w:jc w:val="center"/>
        </w:trPr>
        <w:tc>
          <w:tcPr>
            <w:tcW w:w="1612" w:type="dxa"/>
            <w:vMerge w:val="restart"/>
            <w:tcBorders>
              <w:left w:val="nil"/>
              <w:right w:val="single" w:sz="4" w:space="0" w:color="auto"/>
            </w:tcBorders>
            <w:vAlign w:val="center"/>
          </w:tcPr>
          <w:p w:rsidR="00076456" w:rsidRPr="00A23E15" w:rsidRDefault="00076456" w:rsidP="00FF4D71">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076456" w:rsidRPr="00A23E15" w:rsidTr="00FF4D71">
        <w:trPr>
          <w:cantSplit/>
          <w:trHeight w:val="240"/>
          <w:jc w:val="center"/>
        </w:trPr>
        <w:tc>
          <w:tcPr>
            <w:tcW w:w="1612" w:type="dxa"/>
            <w:vMerge/>
            <w:tcBorders>
              <w:left w:val="nil"/>
              <w:right w:val="single" w:sz="4" w:space="0" w:color="auto"/>
            </w:tcBorders>
            <w:vAlign w:val="center"/>
          </w:tcPr>
          <w:p w:rsidR="00076456" w:rsidRPr="00A23E15" w:rsidRDefault="00076456" w:rsidP="00FF4D71">
            <w:pPr>
              <w:pStyle w:val="a7"/>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076456" w:rsidRPr="00A23E15" w:rsidTr="00FF4D71">
        <w:trPr>
          <w:cantSplit/>
          <w:trHeight w:val="240"/>
          <w:jc w:val="center"/>
        </w:trPr>
        <w:tc>
          <w:tcPr>
            <w:tcW w:w="1612" w:type="dxa"/>
            <w:vMerge/>
            <w:tcBorders>
              <w:left w:val="nil"/>
              <w:bottom w:val="single" w:sz="4" w:space="0" w:color="auto"/>
              <w:right w:val="single" w:sz="4" w:space="0" w:color="auto"/>
            </w:tcBorders>
            <w:vAlign w:val="center"/>
          </w:tcPr>
          <w:p w:rsidR="00076456" w:rsidRPr="00A23E15" w:rsidRDefault="00076456" w:rsidP="00FF4D71">
            <w:pPr>
              <w:pStyle w:val="a7"/>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076456" w:rsidRPr="00A23E15" w:rsidRDefault="00076456" w:rsidP="00FF4D7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076456" w:rsidRPr="003D2281" w:rsidRDefault="00076456" w:rsidP="00FF4D71">
            <w:pPr>
              <w:pStyle w:val="af0"/>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076456" w:rsidRPr="00A23E15" w:rsidRDefault="00076456" w:rsidP="00FF4D71">
            <w:pPr>
              <w:pStyle w:val="af0"/>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076456" w:rsidRPr="00A23E15" w:rsidRDefault="00076456" w:rsidP="00FF4D71">
            <w:pPr>
              <w:pStyle w:val="af0"/>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rPr>
              <w:t>28.1</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標楷體"/>
              </w:rPr>
            </w:pPr>
            <w:r w:rsidRPr="00A23E15">
              <w:rPr>
                <w:rFonts w:eastAsia="標楷體" w:hint="eastAsia"/>
              </w:rPr>
              <w:t>26.6</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hint="eastAsia"/>
              </w:rPr>
              <w:t>25.7</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hint="eastAsia"/>
              </w:rPr>
              <w:t>32.0</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hint="eastAsia"/>
              </w:rPr>
              <w:t>26.3</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hint="eastAsia"/>
              </w:rPr>
              <w:t>27.2</w:t>
            </w:r>
          </w:p>
        </w:tc>
      </w:tr>
      <w:tr w:rsidR="00076456" w:rsidRPr="00A23E15" w:rsidTr="00FF4D71">
        <w:trPr>
          <w:cantSplit/>
          <w:trHeight w:val="360"/>
          <w:jc w:val="center"/>
        </w:trPr>
        <w:tc>
          <w:tcPr>
            <w:tcW w:w="1612" w:type="dxa"/>
            <w:tcBorders>
              <w:top w:val="nil"/>
              <w:left w:val="nil"/>
              <w:bottom w:val="nil"/>
              <w:right w:val="single" w:sz="4" w:space="0" w:color="auto"/>
            </w:tcBorders>
            <w:vAlign w:val="center"/>
          </w:tcPr>
          <w:p w:rsidR="00076456" w:rsidRPr="00A23E15" w:rsidRDefault="00076456" w:rsidP="00FF4D71">
            <w:pPr>
              <w:pStyle w:val="af0"/>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076456" w:rsidRPr="00A23E15"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076456" w:rsidRPr="00A23E15" w:rsidRDefault="00076456" w:rsidP="00FF4D71">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076456" w:rsidRPr="00A23E15" w:rsidRDefault="00076456" w:rsidP="00FF4D71">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076456" w:rsidRPr="00A23E15" w:rsidRDefault="00076456" w:rsidP="00FF4D71">
            <w:pPr>
              <w:ind w:right="-142"/>
              <w:jc w:val="center"/>
              <w:rPr>
                <w:rFonts w:eastAsia="華康楷書體W5"/>
              </w:rPr>
            </w:pPr>
            <w:r w:rsidRPr="00A23E15">
              <w:rPr>
                <w:rFonts w:eastAsia="華康楷書體W5" w:hint="eastAsia"/>
              </w:rPr>
              <w:t>21.7</w:t>
            </w:r>
          </w:p>
        </w:tc>
      </w:tr>
      <w:tr w:rsidR="00076456" w:rsidRPr="00A23E15" w:rsidTr="00FF4D71">
        <w:trPr>
          <w:cantSplit/>
          <w:trHeight w:val="360"/>
          <w:jc w:val="center"/>
        </w:trPr>
        <w:tc>
          <w:tcPr>
            <w:tcW w:w="1612" w:type="dxa"/>
            <w:tcBorders>
              <w:top w:val="nil"/>
              <w:left w:val="nil"/>
              <w:bottom w:val="single" w:sz="4" w:space="0" w:color="auto"/>
              <w:right w:val="single" w:sz="4" w:space="0" w:color="auto"/>
            </w:tcBorders>
            <w:vAlign w:val="center"/>
          </w:tcPr>
          <w:p w:rsidR="00076456" w:rsidRPr="009052D2" w:rsidRDefault="00076456" w:rsidP="00FF4D71">
            <w:pPr>
              <w:pStyle w:val="af0"/>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6</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076456" w:rsidRPr="009052D2"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181</w:t>
            </w:r>
            <w:r w:rsidRPr="009052D2">
              <w:rPr>
                <w:rFonts w:eastAsia="新細明體" w:hint="eastAsia"/>
                <w:spacing w:val="0"/>
                <w:szCs w:val="24"/>
              </w:rPr>
              <w:t>,</w:t>
            </w:r>
            <w:r>
              <w:rPr>
                <w:rFonts w:eastAsia="新細明體" w:hint="eastAsia"/>
                <w:spacing w:val="0"/>
                <w:szCs w:val="24"/>
              </w:rPr>
              <w:t>318</w:t>
            </w:r>
          </w:p>
        </w:tc>
        <w:tc>
          <w:tcPr>
            <w:tcW w:w="1293" w:type="dxa"/>
            <w:tcBorders>
              <w:top w:val="nil"/>
              <w:left w:val="single" w:sz="4" w:space="0" w:color="auto"/>
              <w:bottom w:val="single" w:sz="4" w:space="0" w:color="auto"/>
              <w:right w:val="double" w:sz="4" w:space="0" w:color="auto"/>
            </w:tcBorders>
            <w:vAlign w:val="center"/>
          </w:tcPr>
          <w:p w:rsidR="00076456" w:rsidRPr="009052D2" w:rsidRDefault="00076456" w:rsidP="00FF4D7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052D2">
              <w:rPr>
                <w:rFonts w:eastAsia="新細明體" w:hint="eastAsia"/>
                <w:spacing w:val="0"/>
                <w:szCs w:val="24"/>
              </w:rPr>
              <w:t>20.</w:t>
            </w:r>
            <w:r>
              <w:rPr>
                <w:rFonts w:eastAsia="新細明體" w:hint="eastAsia"/>
                <w:spacing w:val="0"/>
                <w:szCs w:val="24"/>
              </w:rPr>
              <w:t>1</w:t>
            </w:r>
          </w:p>
        </w:tc>
        <w:tc>
          <w:tcPr>
            <w:tcW w:w="937" w:type="dxa"/>
            <w:tcBorders>
              <w:top w:val="nil"/>
              <w:bottom w:val="single" w:sz="4" w:space="0" w:color="auto"/>
              <w:right w:val="single" w:sz="4" w:space="0" w:color="auto"/>
            </w:tcBorders>
            <w:vAlign w:val="center"/>
          </w:tcPr>
          <w:p w:rsidR="00076456" w:rsidRPr="009052D2" w:rsidRDefault="00076456" w:rsidP="00FF4D71">
            <w:pPr>
              <w:ind w:right="-142"/>
              <w:jc w:val="center"/>
              <w:rPr>
                <w:rFonts w:eastAsia="華康楷書體W5"/>
              </w:rPr>
            </w:pPr>
            <w:r>
              <w:rPr>
                <w:rFonts w:eastAsia="華康楷書體W5" w:hint="eastAsia"/>
              </w:rPr>
              <w:t>8</w:t>
            </w:r>
            <w:r w:rsidRPr="009052D2">
              <w:rPr>
                <w:rFonts w:eastAsia="華康楷書體W5" w:hint="eastAsia"/>
              </w:rPr>
              <w:t>,</w:t>
            </w:r>
            <w:r>
              <w:rPr>
                <w:rFonts w:eastAsia="華康楷書體W5" w:hint="eastAsia"/>
              </w:rPr>
              <w:t>338</w:t>
            </w:r>
          </w:p>
        </w:tc>
        <w:tc>
          <w:tcPr>
            <w:tcW w:w="1038" w:type="dxa"/>
            <w:tcBorders>
              <w:top w:val="nil"/>
              <w:bottom w:val="single" w:sz="4" w:space="0" w:color="auto"/>
              <w:right w:val="single" w:sz="4" w:space="0" w:color="auto"/>
            </w:tcBorders>
            <w:vAlign w:val="center"/>
          </w:tcPr>
          <w:p w:rsidR="00076456" w:rsidRPr="009052D2" w:rsidRDefault="00076456" w:rsidP="00FF4D71">
            <w:pPr>
              <w:ind w:right="-142"/>
              <w:jc w:val="center"/>
              <w:rPr>
                <w:rFonts w:eastAsia="華康楷書體W5"/>
              </w:rPr>
            </w:pPr>
            <w:r>
              <w:rPr>
                <w:rFonts w:eastAsia="華康楷書體W5" w:hint="eastAsia"/>
              </w:rPr>
              <w:t>9.7</w:t>
            </w:r>
          </w:p>
        </w:tc>
        <w:tc>
          <w:tcPr>
            <w:tcW w:w="929" w:type="dxa"/>
            <w:tcBorders>
              <w:top w:val="nil"/>
              <w:left w:val="single" w:sz="4" w:space="0" w:color="auto"/>
              <w:bottom w:val="single" w:sz="4" w:space="0" w:color="auto"/>
              <w:right w:val="single" w:sz="4" w:space="0" w:color="auto"/>
            </w:tcBorders>
            <w:vAlign w:val="center"/>
          </w:tcPr>
          <w:p w:rsidR="00076456" w:rsidRPr="009052D2" w:rsidRDefault="00076456" w:rsidP="00FF4D71">
            <w:pPr>
              <w:ind w:right="-142"/>
              <w:rPr>
                <w:rFonts w:eastAsia="華康楷書體W5"/>
              </w:rPr>
            </w:pPr>
            <w:r>
              <w:rPr>
                <w:rFonts w:eastAsia="華康楷書體W5" w:hint="eastAsia"/>
              </w:rPr>
              <w:t>172</w:t>
            </w:r>
            <w:r w:rsidRPr="009052D2">
              <w:rPr>
                <w:rFonts w:eastAsia="華康楷書體W5" w:hint="eastAsia"/>
              </w:rPr>
              <w:t>,</w:t>
            </w:r>
            <w:r>
              <w:rPr>
                <w:rFonts w:eastAsia="華康楷書體W5" w:hint="eastAsia"/>
              </w:rPr>
              <w:t>980</w:t>
            </w:r>
          </w:p>
        </w:tc>
        <w:tc>
          <w:tcPr>
            <w:tcW w:w="948" w:type="dxa"/>
            <w:tcBorders>
              <w:top w:val="nil"/>
              <w:left w:val="single" w:sz="4" w:space="0" w:color="auto"/>
              <w:bottom w:val="single" w:sz="4" w:space="0" w:color="auto"/>
              <w:right w:val="nil"/>
            </w:tcBorders>
            <w:vAlign w:val="center"/>
          </w:tcPr>
          <w:p w:rsidR="00076456" w:rsidRPr="009052D2" w:rsidRDefault="00076456" w:rsidP="00FF4D71">
            <w:pPr>
              <w:ind w:right="-142"/>
              <w:jc w:val="center"/>
              <w:rPr>
                <w:rFonts w:eastAsia="華康楷書體W5"/>
              </w:rPr>
            </w:pPr>
            <w:r>
              <w:rPr>
                <w:rFonts w:eastAsia="華康楷書體W5" w:hint="eastAsia"/>
              </w:rPr>
              <w:t>20.7</w:t>
            </w:r>
          </w:p>
        </w:tc>
      </w:tr>
    </w:tbl>
    <w:p w:rsidR="003D2281" w:rsidRPr="00076456" w:rsidRDefault="00076456" w:rsidP="003D2281">
      <w:pPr>
        <w:pStyle w:val="a7"/>
        <w:widowControl/>
        <w:snapToGrid w:val="0"/>
        <w:spacing w:line="240" w:lineRule="atLeast"/>
        <w:ind w:right="-142"/>
        <w:jc w:val="both"/>
        <w:rPr>
          <w:rFonts w:ascii="Times New Roman" w:eastAsia="標楷體"/>
          <w:sz w:val="22"/>
        </w:rPr>
      </w:pPr>
      <w:proofErr w:type="gramStart"/>
      <w:r w:rsidRPr="00076456">
        <w:rPr>
          <w:rFonts w:ascii="Times New Roman" w:eastAsia="標楷體" w:hint="eastAsia"/>
          <w:sz w:val="22"/>
        </w:rPr>
        <w:t>註</w:t>
      </w:r>
      <w:proofErr w:type="gramEnd"/>
      <w:r w:rsidRPr="00076456">
        <w:rPr>
          <w:rFonts w:ascii="Times New Roman" w:eastAsia="標楷體" w:hint="eastAsia"/>
          <w:sz w:val="22"/>
        </w:rPr>
        <w:t>：中國大陸國家統計局自</w:t>
      </w:r>
      <w:r w:rsidRPr="00076456">
        <w:rPr>
          <w:rFonts w:ascii="Times New Roman" w:eastAsia="標楷體" w:hint="eastAsia"/>
          <w:sz w:val="22"/>
        </w:rPr>
        <w:t>2011</w:t>
      </w:r>
      <w:r w:rsidRPr="00076456">
        <w:rPr>
          <w:rFonts w:ascii="Times New Roman" w:eastAsia="標楷體" w:hint="eastAsia"/>
          <w:sz w:val="22"/>
        </w:rPr>
        <w:t>年</w:t>
      </w:r>
      <w:r w:rsidRPr="00076456">
        <w:rPr>
          <w:rFonts w:ascii="Times New Roman" w:eastAsia="標楷體" w:hint="eastAsia"/>
          <w:sz w:val="22"/>
        </w:rPr>
        <w:t>4</w:t>
      </w:r>
      <w:r w:rsidRPr="00076456">
        <w:rPr>
          <w:rFonts w:ascii="Times New Roman" w:eastAsia="標楷體" w:hint="eastAsia"/>
          <w:sz w:val="22"/>
        </w:rPr>
        <w:t>月起，公布之固定資產投資數據不含農戶。</w:t>
      </w:r>
    </w:p>
    <w:p w:rsidR="003D2281" w:rsidRPr="00076456" w:rsidRDefault="00076456" w:rsidP="003D2281">
      <w:pPr>
        <w:pStyle w:val="a7"/>
        <w:widowControl/>
        <w:snapToGrid w:val="0"/>
        <w:spacing w:line="240" w:lineRule="atLeast"/>
        <w:ind w:right="-142"/>
        <w:jc w:val="both"/>
        <w:rPr>
          <w:rFonts w:ascii="Times New Roman" w:eastAsia="標楷體"/>
          <w:sz w:val="22"/>
        </w:rPr>
      </w:pPr>
      <w:r w:rsidRPr="00076456">
        <w:rPr>
          <w:rFonts w:ascii="Times New Roman" w:eastAsia="標楷體" w:hint="eastAsia"/>
          <w:sz w:val="22"/>
        </w:rPr>
        <w:t>資料來源：中國大陸統計年鑑</w:t>
      </w:r>
      <w:r w:rsidR="00827576">
        <w:rPr>
          <w:rFonts w:ascii="Times New Roman" w:eastAsia="標楷體" w:hint="eastAsia"/>
          <w:sz w:val="22"/>
        </w:rPr>
        <w:t>（</w:t>
      </w:r>
      <w:r w:rsidRPr="00076456">
        <w:rPr>
          <w:rFonts w:ascii="Times New Roman" w:eastAsia="標楷體" w:hint="eastAsia"/>
          <w:sz w:val="22"/>
        </w:rPr>
        <w:t>各年份</w:t>
      </w:r>
      <w:r w:rsidR="00827576">
        <w:rPr>
          <w:rFonts w:ascii="Times New Roman" w:eastAsia="標楷體" w:hint="eastAsia"/>
          <w:sz w:val="22"/>
        </w:rPr>
        <w:t>）</w:t>
      </w:r>
      <w:r w:rsidRPr="00076456">
        <w:rPr>
          <w:rFonts w:ascii="Times New Roman" w:eastAsia="標楷體" w:hint="eastAsia"/>
          <w:sz w:val="22"/>
        </w:rPr>
        <w:t>；中國大陸國家統計局。</w:t>
      </w:r>
    </w:p>
    <w:p w:rsidR="003D2281" w:rsidRPr="004B466C" w:rsidRDefault="003D2281" w:rsidP="002C6CB3">
      <w:pPr>
        <w:pStyle w:val="t-3"/>
        <w:snapToGrid w:val="0"/>
        <w:spacing w:line="300" w:lineRule="auto"/>
        <w:ind w:right="-60"/>
        <w:rPr>
          <w:b w:val="0"/>
          <w:bCs w:val="0"/>
        </w:rPr>
      </w:pPr>
      <w:r w:rsidRPr="003111E1">
        <w:rPr>
          <w:color w:val="FF0000"/>
        </w:rPr>
        <w:br w:type="page"/>
      </w:r>
      <w:bookmarkStart w:id="111" w:name="_Toc358042587"/>
      <w:r w:rsidRPr="004B466C">
        <w:lastRenderedPageBreak/>
        <w:t>（二）吸引外資</w:t>
      </w:r>
      <w:bookmarkEnd w:id="111"/>
    </w:p>
    <w:p w:rsidR="00D0404E" w:rsidRPr="00FF4D71" w:rsidRDefault="00D0404E" w:rsidP="001508C5">
      <w:pPr>
        <w:pStyle w:val="a7"/>
        <w:widowControl/>
        <w:snapToGrid w:val="0"/>
        <w:spacing w:beforeLines="50" w:before="180" w:line="276" w:lineRule="auto"/>
        <w:ind w:leftChars="119" w:left="569" w:right="-142" w:hangingChars="101" w:hanging="283"/>
        <w:jc w:val="both"/>
        <w:rPr>
          <w:rFonts w:ascii="Times New Roman" w:eastAsia="標楷體"/>
          <w:sz w:val="28"/>
        </w:rPr>
      </w:pPr>
      <w:r w:rsidRPr="00FF4D71">
        <w:rPr>
          <w:rFonts w:ascii="Times New Roman" w:eastAsia="標楷體"/>
          <w:sz w:val="28"/>
        </w:rPr>
        <w:t>－</w:t>
      </w:r>
      <w:r w:rsidR="00FF4D71" w:rsidRPr="00FF4D71">
        <w:rPr>
          <w:rFonts w:ascii="Times New Roman" w:eastAsia="標楷體" w:hint="eastAsia"/>
          <w:sz w:val="28"/>
        </w:rPr>
        <w:t>2013</w:t>
      </w:r>
      <w:r w:rsidR="00FF4D71" w:rsidRPr="00FF4D71">
        <w:rPr>
          <w:rFonts w:ascii="Times New Roman" w:eastAsia="標楷體" w:hint="eastAsia"/>
          <w:sz w:val="28"/>
        </w:rPr>
        <w:t>年</w:t>
      </w:r>
      <w:r w:rsidR="00FF4D71" w:rsidRPr="00FF4D71">
        <w:rPr>
          <w:rFonts w:ascii="Times New Roman" w:eastAsia="標楷體" w:hint="eastAsia"/>
          <w:sz w:val="28"/>
        </w:rPr>
        <w:t>1</w:t>
      </w:r>
      <w:r w:rsidR="00FF4D71" w:rsidRPr="00FF4D71">
        <w:rPr>
          <w:rFonts w:ascii="Times New Roman" w:eastAsia="標楷體" w:hint="eastAsia"/>
          <w:sz w:val="28"/>
        </w:rPr>
        <w:t>至</w:t>
      </w:r>
      <w:r w:rsidR="00FF4D71" w:rsidRPr="00FF4D71">
        <w:rPr>
          <w:rFonts w:ascii="Times New Roman" w:eastAsia="標楷體" w:hint="eastAsia"/>
          <w:sz w:val="28"/>
        </w:rPr>
        <w:t>6</w:t>
      </w:r>
      <w:r w:rsidR="00FF4D71" w:rsidRPr="00FF4D71">
        <w:rPr>
          <w:rFonts w:ascii="Times New Roman" w:eastAsia="標楷體" w:hint="eastAsia"/>
          <w:sz w:val="28"/>
        </w:rPr>
        <w:t>月中國大陸非金融領域新批設立外商投資企業</w:t>
      </w:r>
      <w:r w:rsidR="00FF4D71" w:rsidRPr="00FF4D71">
        <w:rPr>
          <w:rFonts w:ascii="Times New Roman" w:eastAsia="標楷體" w:hint="eastAsia"/>
          <w:sz w:val="28"/>
        </w:rPr>
        <w:t>10,630</w:t>
      </w:r>
      <w:r w:rsidR="00FF4D71" w:rsidRPr="00FF4D71">
        <w:rPr>
          <w:rFonts w:ascii="Times New Roman" w:eastAsia="標楷體" w:hint="eastAsia"/>
          <w:sz w:val="28"/>
        </w:rPr>
        <w:t>家，較</w:t>
      </w:r>
      <w:r w:rsidR="002D6620">
        <w:rPr>
          <w:rFonts w:ascii="Times New Roman" w:eastAsia="標楷體" w:hint="eastAsia"/>
          <w:sz w:val="28"/>
        </w:rPr>
        <w:t>上</w:t>
      </w:r>
      <w:r w:rsidR="00FF4D71" w:rsidRPr="00FF4D71">
        <w:rPr>
          <w:rFonts w:ascii="Times New Roman" w:eastAsia="標楷體" w:hint="eastAsia"/>
          <w:sz w:val="28"/>
        </w:rPr>
        <w:t>年同期</w:t>
      </w:r>
      <w:r w:rsidR="002D6620">
        <w:rPr>
          <w:rFonts w:ascii="Times New Roman" w:eastAsia="標楷體" w:hint="eastAsia"/>
          <w:sz w:val="28"/>
        </w:rPr>
        <w:t>減少</w:t>
      </w:r>
      <w:r w:rsidR="00FF4D71" w:rsidRPr="00FF4D71">
        <w:rPr>
          <w:rFonts w:ascii="Times New Roman" w:eastAsia="標楷體" w:hint="eastAsia"/>
          <w:sz w:val="28"/>
        </w:rPr>
        <w:t>9.18</w:t>
      </w:r>
      <w:r w:rsidR="00FF4D71" w:rsidRPr="00FF4D71">
        <w:rPr>
          <w:rFonts w:ascii="Times New Roman" w:eastAsia="標楷體" w:hint="eastAsia"/>
          <w:sz w:val="28"/>
        </w:rPr>
        <w:t>％；實際利用外資金額為</w:t>
      </w:r>
      <w:r w:rsidR="00FF4D71" w:rsidRPr="00FF4D71">
        <w:rPr>
          <w:rFonts w:ascii="Times New Roman" w:eastAsia="標楷體" w:hint="eastAsia"/>
          <w:sz w:val="28"/>
        </w:rPr>
        <w:t>619.84</w:t>
      </w:r>
      <w:r w:rsidR="00FF4D71" w:rsidRPr="00FF4D71">
        <w:rPr>
          <w:rFonts w:ascii="Times New Roman" w:eastAsia="標楷體" w:hint="eastAsia"/>
          <w:sz w:val="28"/>
        </w:rPr>
        <w:t>億美元，較</w:t>
      </w:r>
      <w:r w:rsidR="002D6620">
        <w:rPr>
          <w:rFonts w:ascii="Times New Roman" w:eastAsia="標楷體" w:hint="eastAsia"/>
          <w:sz w:val="28"/>
        </w:rPr>
        <w:t>上</w:t>
      </w:r>
      <w:r w:rsidR="00FF4D71" w:rsidRPr="00FF4D71">
        <w:rPr>
          <w:rFonts w:ascii="Times New Roman" w:eastAsia="標楷體" w:hint="eastAsia"/>
          <w:sz w:val="28"/>
        </w:rPr>
        <w:t>年同期</w:t>
      </w:r>
      <w:r w:rsidR="00AC4AF7">
        <w:rPr>
          <w:rFonts w:ascii="Times New Roman" w:eastAsia="標楷體" w:hint="eastAsia"/>
          <w:sz w:val="28"/>
        </w:rPr>
        <w:t>成長</w:t>
      </w:r>
      <w:r w:rsidR="00FF4D71" w:rsidRPr="00FF4D71">
        <w:rPr>
          <w:rFonts w:ascii="Times New Roman" w:eastAsia="標楷體" w:hint="eastAsia"/>
          <w:sz w:val="28"/>
        </w:rPr>
        <w:t>4.9</w:t>
      </w:r>
      <w:r w:rsidR="00FF4D71" w:rsidRPr="00FF4D71">
        <w:rPr>
          <w:rFonts w:ascii="Times New Roman" w:eastAsia="標楷體" w:hint="eastAsia"/>
          <w:sz w:val="28"/>
        </w:rPr>
        <w:t>％。</w:t>
      </w:r>
    </w:p>
    <w:p w:rsidR="00A206A9" w:rsidRPr="00FF4D71" w:rsidRDefault="00D0404E" w:rsidP="001508C5">
      <w:pPr>
        <w:pStyle w:val="a7"/>
        <w:widowControl/>
        <w:snapToGrid w:val="0"/>
        <w:spacing w:line="276" w:lineRule="auto"/>
        <w:ind w:leftChars="119" w:left="569" w:right="-142" w:hangingChars="101" w:hanging="283"/>
        <w:jc w:val="both"/>
        <w:rPr>
          <w:rFonts w:ascii="Times New Roman" w:eastAsia="標楷體"/>
          <w:sz w:val="28"/>
        </w:rPr>
      </w:pPr>
      <w:proofErr w:type="gramStart"/>
      <w:r w:rsidRPr="00FF4D71">
        <w:rPr>
          <w:rFonts w:ascii="Times New Roman" w:eastAsia="標楷體"/>
          <w:sz w:val="28"/>
        </w:rPr>
        <w:t>－</w:t>
      </w:r>
      <w:r w:rsidR="00FF4D71" w:rsidRPr="00FF4D71">
        <w:rPr>
          <w:rFonts w:ascii="Times New Roman" w:eastAsia="標楷體" w:hint="eastAsia"/>
          <w:spacing w:val="-2"/>
          <w:sz w:val="28"/>
        </w:rPr>
        <w:t>同期間</w:t>
      </w:r>
      <w:proofErr w:type="gramEnd"/>
      <w:r w:rsidR="00FF4D71" w:rsidRPr="00FF4D71">
        <w:rPr>
          <w:rFonts w:ascii="Times New Roman" w:eastAsia="標楷體" w:hint="eastAsia"/>
          <w:spacing w:val="-2"/>
          <w:sz w:val="28"/>
        </w:rPr>
        <w:t>外資企業進出口總額為</w:t>
      </w:r>
      <w:r w:rsidR="00FF4D71" w:rsidRPr="00FF4D71">
        <w:rPr>
          <w:rFonts w:ascii="Times New Roman" w:eastAsia="標楷體" w:hint="eastAsia"/>
          <w:spacing w:val="-2"/>
          <w:sz w:val="28"/>
        </w:rPr>
        <w:t>9,058.4</w:t>
      </w:r>
      <w:r w:rsidR="00FF4D71" w:rsidRPr="00FF4D71">
        <w:rPr>
          <w:rFonts w:ascii="Times New Roman" w:eastAsia="標楷體" w:hint="eastAsia"/>
          <w:spacing w:val="-2"/>
          <w:sz w:val="28"/>
        </w:rPr>
        <w:t>億美元，</w:t>
      </w:r>
      <w:r w:rsidR="002D6620">
        <w:rPr>
          <w:rFonts w:ascii="Times New Roman" w:eastAsia="標楷體" w:hint="eastAsia"/>
          <w:spacing w:val="-2"/>
          <w:sz w:val="28"/>
        </w:rPr>
        <w:t>減少</w:t>
      </w:r>
      <w:r w:rsidR="00FF4D71" w:rsidRPr="00FF4D71">
        <w:rPr>
          <w:rFonts w:ascii="Times New Roman" w:eastAsia="標楷體" w:hint="eastAsia"/>
          <w:spacing w:val="-2"/>
          <w:sz w:val="28"/>
        </w:rPr>
        <w:t>0.45</w:t>
      </w:r>
      <w:r w:rsidR="00FF4D71">
        <w:rPr>
          <w:rFonts w:ascii="Times New Roman" w:eastAsia="標楷體" w:hint="eastAsia"/>
          <w:spacing w:val="-2"/>
          <w:sz w:val="28"/>
        </w:rPr>
        <w:t>％</w:t>
      </w:r>
      <w:r w:rsidR="00FF4D71" w:rsidRPr="00FF4D71">
        <w:rPr>
          <w:rFonts w:ascii="Times New Roman" w:eastAsia="標楷體" w:hint="eastAsia"/>
          <w:spacing w:val="-2"/>
          <w:sz w:val="28"/>
        </w:rPr>
        <w:t>。其中，出口額為</w:t>
      </w:r>
      <w:r w:rsidR="00FF4D71" w:rsidRPr="00FF4D71">
        <w:rPr>
          <w:rFonts w:ascii="Times New Roman" w:eastAsia="標楷體" w:hint="eastAsia"/>
          <w:spacing w:val="-2"/>
          <w:sz w:val="28"/>
        </w:rPr>
        <w:t>4,940.6</w:t>
      </w:r>
      <w:r w:rsidR="00FF4D71" w:rsidRPr="00FF4D71">
        <w:rPr>
          <w:rFonts w:ascii="Times New Roman" w:eastAsia="標楷體" w:hint="eastAsia"/>
          <w:spacing w:val="-2"/>
          <w:sz w:val="28"/>
        </w:rPr>
        <w:t>億美元，</w:t>
      </w:r>
      <w:r w:rsidR="002D6620">
        <w:rPr>
          <w:rFonts w:ascii="Times New Roman" w:eastAsia="標楷體" w:hint="eastAsia"/>
          <w:spacing w:val="-2"/>
          <w:sz w:val="28"/>
        </w:rPr>
        <w:t>增加</w:t>
      </w:r>
      <w:r w:rsidR="00FF4D71" w:rsidRPr="00FF4D71">
        <w:rPr>
          <w:rFonts w:ascii="Times New Roman" w:eastAsia="標楷體" w:hint="eastAsia"/>
          <w:spacing w:val="-2"/>
          <w:sz w:val="28"/>
        </w:rPr>
        <w:t>0.7</w:t>
      </w:r>
      <w:r w:rsidR="00FF4D71">
        <w:rPr>
          <w:rFonts w:ascii="Times New Roman" w:eastAsia="標楷體" w:hint="eastAsia"/>
          <w:spacing w:val="-2"/>
          <w:sz w:val="28"/>
        </w:rPr>
        <w:t>％</w:t>
      </w:r>
      <w:r w:rsidR="00FF4D71" w:rsidRPr="00FF4D71">
        <w:rPr>
          <w:rFonts w:ascii="Times New Roman" w:eastAsia="標楷體" w:hint="eastAsia"/>
          <w:spacing w:val="-2"/>
          <w:sz w:val="28"/>
        </w:rPr>
        <w:t>，占整體出口比重為</w:t>
      </w:r>
      <w:r w:rsidR="00FF4D71" w:rsidRPr="00FF4D71">
        <w:rPr>
          <w:rFonts w:ascii="Times New Roman" w:eastAsia="標楷體" w:hint="eastAsia"/>
          <w:spacing w:val="-2"/>
          <w:sz w:val="28"/>
        </w:rPr>
        <w:t>46.93</w:t>
      </w:r>
      <w:r w:rsidR="00FF4D71">
        <w:rPr>
          <w:rFonts w:ascii="Times New Roman" w:eastAsia="標楷體" w:hint="eastAsia"/>
          <w:spacing w:val="-2"/>
          <w:sz w:val="28"/>
        </w:rPr>
        <w:t>％</w:t>
      </w:r>
      <w:r w:rsidR="00FF4D71" w:rsidRPr="00FF4D71">
        <w:rPr>
          <w:rFonts w:ascii="Times New Roman" w:eastAsia="標楷體" w:hint="eastAsia"/>
          <w:spacing w:val="-2"/>
          <w:sz w:val="28"/>
        </w:rPr>
        <w:t>；進口額</w:t>
      </w:r>
      <w:r w:rsidR="00FF4D71" w:rsidRPr="00FF4D71">
        <w:rPr>
          <w:rFonts w:ascii="Times New Roman" w:eastAsia="標楷體" w:hint="eastAsia"/>
          <w:spacing w:val="-2"/>
          <w:sz w:val="28"/>
        </w:rPr>
        <w:t>4,117.8</w:t>
      </w:r>
      <w:r w:rsidR="00FF4D71" w:rsidRPr="00FF4D71">
        <w:rPr>
          <w:rFonts w:ascii="Times New Roman" w:eastAsia="標楷體" w:hint="eastAsia"/>
          <w:spacing w:val="-2"/>
          <w:sz w:val="28"/>
        </w:rPr>
        <w:t>億美元，</w:t>
      </w:r>
      <w:r w:rsidR="002D6620">
        <w:rPr>
          <w:rFonts w:ascii="Times New Roman" w:eastAsia="標楷體" w:hint="eastAsia"/>
          <w:spacing w:val="-2"/>
          <w:sz w:val="28"/>
        </w:rPr>
        <w:t>減少</w:t>
      </w:r>
      <w:r w:rsidR="00FF4D71" w:rsidRPr="00FF4D71">
        <w:rPr>
          <w:rFonts w:ascii="Times New Roman" w:eastAsia="標楷體" w:hint="eastAsia"/>
          <w:spacing w:val="-2"/>
          <w:sz w:val="28"/>
        </w:rPr>
        <w:t>1.7</w:t>
      </w:r>
      <w:r w:rsidR="00FF4D71">
        <w:rPr>
          <w:rFonts w:ascii="Times New Roman" w:eastAsia="標楷體" w:hint="eastAsia"/>
          <w:spacing w:val="-2"/>
          <w:sz w:val="28"/>
        </w:rPr>
        <w:t>％</w:t>
      </w:r>
      <w:r w:rsidR="00FF4D71" w:rsidRPr="00FF4D71">
        <w:rPr>
          <w:rFonts w:ascii="Times New Roman" w:eastAsia="標楷體" w:hint="eastAsia"/>
          <w:spacing w:val="-2"/>
          <w:sz w:val="28"/>
        </w:rPr>
        <w:t>，比重為</w:t>
      </w:r>
      <w:r w:rsidR="00FF4D71" w:rsidRPr="00FF4D71">
        <w:rPr>
          <w:rFonts w:ascii="Times New Roman" w:eastAsia="標楷體" w:hint="eastAsia"/>
          <w:spacing w:val="-2"/>
          <w:sz w:val="28"/>
        </w:rPr>
        <w:t>43.58</w:t>
      </w:r>
      <w:r w:rsidR="00FF4D71">
        <w:rPr>
          <w:rFonts w:ascii="Times New Roman" w:eastAsia="標楷體" w:hint="eastAsia"/>
          <w:spacing w:val="-2"/>
          <w:sz w:val="28"/>
        </w:rPr>
        <w:t>％</w:t>
      </w:r>
      <w:r w:rsidR="00FF4D71" w:rsidRPr="00FF4D71">
        <w:rPr>
          <w:rFonts w:ascii="Times New Roman" w:eastAsia="標楷體" w:hint="eastAsia"/>
          <w:spacing w:val="-2"/>
          <w:sz w:val="28"/>
        </w:rPr>
        <w:t>。</w:t>
      </w:r>
    </w:p>
    <w:p w:rsidR="00D0404E" w:rsidRPr="0019308D" w:rsidRDefault="00FF4D71" w:rsidP="00A206A9">
      <w:pPr>
        <w:pStyle w:val="a7"/>
        <w:widowControl/>
        <w:snapToGrid w:val="0"/>
        <w:spacing w:line="276" w:lineRule="auto"/>
        <w:ind w:right="-142"/>
        <w:jc w:val="both"/>
        <w:rPr>
          <w:rFonts w:ascii="Times New Roman" w:eastAsia="標楷體"/>
          <w:sz w:val="28"/>
        </w:rPr>
      </w:pPr>
      <w:r w:rsidRPr="0019308D">
        <w:rPr>
          <w:noProof/>
        </w:rPr>
        <w:drawing>
          <wp:inline distT="0" distB="0" distL="0" distR="0" wp14:anchorId="769C654C" wp14:editId="68E718A1">
            <wp:extent cx="5773479" cy="1722475"/>
            <wp:effectExtent l="0" t="0" r="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04E" w:rsidRPr="0019308D" w:rsidRDefault="00D0404E" w:rsidP="008833E1">
      <w:pPr>
        <w:pStyle w:val="a7"/>
        <w:widowControl/>
        <w:snapToGrid w:val="0"/>
        <w:spacing w:line="240" w:lineRule="atLeast"/>
        <w:ind w:left="425" w:rightChars="-80" w:right="-192" w:hangingChars="193" w:hanging="425"/>
        <w:jc w:val="both"/>
        <w:rPr>
          <w:rFonts w:ascii="Times New Roman" w:eastAsia="標楷體"/>
          <w:sz w:val="22"/>
        </w:rPr>
      </w:pPr>
      <w:proofErr w:type="gramStart"/>
      <w:r w:rsidRPr="0019308D">
        <w:rPr>
          <w:rFonts w:ascii="Times New Roman" w:eastAsia="標楷體"/>
          <w:sz w:val="22"/>
        </w:rPr>
        <w:t>註</w:t>
      </w:r>
      <w:proofErr w:type="gramEnd"/>
      <w:r w:rsidRPr="0019308D">
        <w:rPr>
          <w:rFonts w:ascii="Times New Roman" w:eastAsia="標楷體"/>
          <w:sz w:val="22"/>
        </w:rPr>
        <w:t>：上述國家對中國大陸投資金額包括透過維京群島、開</w:t>
      </w:r>
      <w:proofErr w:type="gramStart"/>
      <w:r w:rsidRPr="0019308D">
        <w:rPr>
          <w:rFonts w:ascii="Times New Roman" w:eastAsia="標楷體"/>
          <w:sz w:val="22"/>
        </w:rPr>
        <w:t>曼</w:t>
      </w:r>
      <w:proofErr w:type="gramEnd"/>
      <w:r w:rsidRPr="0019308D">
        <w:rPr>
          <w:rFonts w:ascii="Times New Roman" w:eastAsia="標楷體"/>
          <w:sz w:val="22"/>
        </w:rPr>
        <w:t>群島、</w:t>
      </w:r>
      <w:proofErr w:type="gramStart"/>
      <w:r w:rsidRPr="0019308D">
        <w:rPr>
          <w:rFonts w:ascii="Times New Roman" w:eastAsia="標楷體"/>
          <w:sz w:val="22"/>
        </w:rPr>
        <w:t>薩</w:t>
      </w:r>
      <w:proofErr w:type="gramEnd"/>
      <w:r w:rsidRPr="0019308D">
        <w:rPr>
          <w:rFonts w:ascii="Times New Roman" w:eastAsia="標楷體"/>
          <w:sz w:val="22"/>
        </w:rPr>
        <w:t>摩亞及模里西斯等地對中國大陸投資之金額。</w:t>
      </w:r>
      <w:r w:rsidR="00827576">
        <w:rPr>
          <w:rFonts w:ascii="Times New Roman" w:eastAsia="標楷體" w:hint="eastAsia"/>
          <w:sz w:val="22"/>
        </w:rPr>
        <w:t>（</w:t>
      </w:r>
      <w:r w:rsidRPr="0019308D">
        <w:rPr>
          <w:rFonts w:ascii="Times New Roman" w:eastAsia="標楷體"/>
          <w:sz w:val="22"/>
        </w:rPr>
        <w:t>2013</w:t>
      </w:r>
      <w:r w:rsidRPr="0019308D">
        <w:rPr>
          <w:rFonts w:ascii="Times New Roman" w:eastAsia="標楷體"/>
          <w:sz w:val="22"/>
        </w:rPr>
        <w:t>年</w:t>
      </w:r>
      <w:r w:rsidR="00B732BB" w:rsidRPr="0019308D">
        <w:rPr>
          <w:rFonts w:ascii="Times New Roman" w:eastAsia="標楷體"/>
          <w:sz w:val="22"/>
        </w:rPr>
        <w:t>5</w:t>
      </w:r>
      <w:r w:rsidRPr="0019308D">
        <w:rPr>
          <w:rFonts w:ascii="Times New Roman" w:eastAsia="標楷體"/>
          <w:sz w:val="22"/>
        </w:rPr>
        <w:t>月資料尚未公布</w:t>
      </w:r>
      <w:r w:rsidR="00827576">
        <w:rPr>
          <w:rFonts w:ascii="Times New Roman" w:eastAsia="標楷體" w:hint="eastAsia"/>
          <w:sz w:val="22"/>
        </w:rPr>
        <w:t>）</w:t>
      </w:r>
    </w:p>
    <w:p w:rsidR="00D0404E" w:rsidRPr="0019308D" w:rsidRDefault="00D0404E" w:rsidP="0019308D">
      <w:pPr>
        <w:pStyle w:val="a7"/>
        <w:widowControl/>
        <w:snapToGrid w:val="0"/>
        <w:spacing w:before="240" w:line="180" w:lineRule="auto"/>
        <w:ind w:right="-284"/>
        <w:jc w:val="right"/>
        <w:rPr>
          <w:rFonts w:ascii="Times New Roman" w:eastAsia="標楷體"/>
        </w:rPr>
      </w:pPr>
      <w:r w:rsidRPr="0019308D">
        <w:rPr>
          <w:rFonts w:ascii="Times New Roman" w:eastAsia="標楷體"/>
          <w:b/>
          <w:bCs/>
          <w:sz w:val="28"/>
        </w:rPr>
        <w:t>表</w:t>
      </w:r>
      <w:r w:rsidRPr="0019308D">
        <w:rPr>
          <w:rFonts w:ascii="Times New Roman" w:eastAsia="標楷體"/>
          <w:b/>
          <w:bCs/>
          <w:sz w:val="28"/>
        </w:rPr>
        <w:t xml:space="preserve">3-2  </w:t>
      </w:r>
      <w:r w:rsidRPr="0019308D">
        <w:rPr>
          <w:rFonts w:ascii="Times New Roman" w:eastAsia="標楷體"/>
          <w:b/>
          <w:bCs/>
          <w:sz w:val="28"/>
        </w:rPr>
        <w:t>中國大陸外資統計表</w:t>
      </w:r>
      <w:r w:rsidRPr="0019308D">
        <w:rPr>
          <w:rFonts w:ascii="Times New Roman" w:eastAsia="標楷體"/>
          <w:b/>
          <w:bCs/>
          <w:sz w:val="28"/>
        </w:rPr>
        <w:t xml:space="preserve">         </w:t>
      </w:r>
      <w:r w:rsidRPr="0019308D">
        <w:rPr>
          <w:rFonts w:ascii="Times New Roman" w:eastAsia="標楷體"/>
        </w:rPr>
        <w:t xml:space="preserve"> </w:t>
      </w:r>
      <w:r w:rsidRPr="0019308D">
        <w:rPr>
          <w:rFonts w:ascii="Times New Roman" w:eastAsia="標楷體"/>
        </w:rPr>
        <w:t>單位：億美元；</w:t>
      </w:r>
      <w:r w:rsidR="00CE7968">
        <w:rPr>
          <w:rFonts w:ascii="Times New Roman" w:eastAsia="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19308D" w:rsidRPr="00A23E15" w:rsidTr="008917A1">
        <w:trPr>
          <w:cantSplit/>
          <w:trHeight w:val="234"/>
        </w:trPr>
        <w:tc>
          <w:tcPr>
            <w:tcW w:w="1676" w:type="dxa"/>
            <w:vMerge w:val="restart"/>
            <w:tcBorders>
              <w:left w:val="nil"/>
            </w:tcBorders>
          </w:tcPr>
          <w:p w:rsidR="0019308D" w:rsidRPr="00A23E15" w:rsidRDefault="0019308D" w:rsidP="0019308D">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新批設</w:t>
            </w:r>
          </w:p>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外資企業</w:t>
            </w:r>
          </w:p>
        </w:tc>
      </w:tr>
      <w:tr w:rsidR="0019308D" w:rsidRPr="00A23E15" w:rsidTr="008917A1">
        <w:trPr>
          <w:cantSplit/>
          <w:trHeight w:val="170"/>
        </w:trPr>
        <w:tc>
          <w:tcPr>
            <w:tcW w:w="1676" w:type="dxa"/>
            <w:vMerge/>
            <w:tcBorders>
              <w:left w:val="nil"/>
              <w:bottom w:val="single" w:sz="4" w:space="0" w:color="auto"/>
            </w:tcBorders>
          </w:tcPr>
          <w:p w:rsidR="0019308D" w:rsidRPr="00A23E15" w:rsidRDefault="0019308D" w:rsidP="008917A1">
            <w:pPr>
              <w:snapToGrid w:val="0"/>
              <w:spacing w:line="240" w:lineRule="atLeast"/>
              <w:ind w:left="-28"/>
              <w:jc w:val="center"/>
              <w:rPr>
                <w:rFonts w:eastAsia="標楷體"/>
                <w:sz w:val="22"/>
              </w:rPr>
            </w:pPr>
          </w:p>
        </w:tc>
        <w:tc>
          <w:tcPr>
            <w:tcW w:w="1009" w:type="dxa"/>
            <w:vMerge/>
            <w:tcBorders>
              <w:bottom w:val="single" w:sz="4" w:space="0" w:color="auto"/>
            </w:tcBorders>
          </w:tcPr>
          <w:p w:rsidR="0019308D" w:rsidRPr="00A23E15" w:rsidRDefault="0019308D" w:rsidP="008917A1">
            <w:pPr>
              <w:snapToGrid w:val="0"/>
              <w:spacing w:line="240" w:lineRule="atLeast"/>
              <w:jc w:val="center"/>
              <w:rPr>
                <w:rFonts w:eastAsia="標楷體"/>
                <w:sz w:val="22"/>
              </w:rPr>
            </w:pPr>
          </w:p>
        </w:tc>
        <w:tc>
          <w:tcPr>
            <w:tcW w:w="1132" w:type="dxa"/>
            <w:tcBorders>
              <w:bottom w:val="single" w:sz="4" w:space="0" w:color="auto"/>
            </w:tcBorders>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19308D" w:rsidRPr="00A23E15" w:rsidRDefault="00AC4AF7" w:rsidP="008917A1">
            <w:pPr>
              <w:snapToGrid w:val="0"/>
              <w:spacing w:line="240" w:lineRule="atLeast"/>
              <w:jc w:val="center"/>
              <w:rPr>
                <w:rFonts w:eastAsia="標楷體"/>
                <w:sz w:val="22"/>
              </w:rPr>
            </w:pPr>
            <w:r>
              <w:rPr>
                <w:rFonts w:eastAsia="標楷體" w:hAnsi="標楷體" w:hint="eastAsia"/>
                <w:sz w:val="22"/>
              </w:rPr>
              <w:t>成長</w:t>
            </w:r>
            <w:r w:rsidR="0019308D" w:rsidRPr="00A23E15">
              <w:rPr>
                <w:rFonts w:eastAsia="標楷體" w:hAnsi="標楷體" w:hint="eastAsia"/>
                <w:sz w:val="22"/>
              </w:rPr>
              <w:t>率</w:t>
            </w:r>
          </w:p>
        </w:tc>
        <w:tc>
          <w:tcPr>
            <w:tcW w:w="1236" w:type="dxa"/>
            <w:tcBorders>
              <w:bottom w:val="single" w:sz="4" w:space="0" w:color="auto"/>
            </w:tcBorders>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19308D" w:rsidRPr="00A23E15" w:rsidRDefault="002D6620" w:rsidP="008917A1">
            <w:pPr>
              <w:snapToGrid w:val="0"/>
              <w:spacing w:line="240" w:lineRule="atLeast"/>
              <w:jc w:val="center"/>
              <w:rPr>
                <w:rFonts w:eastAsia="標楷體"/>
                <w:sz w:val="22"/>
              </w:rPr>
            </w:pPr>
            <w:r>
              <w:rPr>
                <w:rFonts w:eastAsia="標楷體" w:hAnsi="標楷體" w:hint="eastAsia"/>
                <w:sz w:val="22"/>
              </w:rPr>
              <w:t>年增</w:t>
            </w:r>
            <w:r w:rsidR="0019308D" w:rsidRPr="00A23E15">
              <w:rPr>
                <w:rFonts w:eastAsia="標楷體" w:hAnsi="標楷體" w:hint="eastAsia"/>
                <w:sz w:val="22"/>
              </w:rPr>
              <w:t>率</w:t>
            </w:r>
          </w:p>
        </w:tc>
        <w:tc>
          <w:tcPr>
            <w:tcW w:w="1333" w:type="dxa"/>
            <w:tcBorders>
              <w:bottom w:val="single" w:sz="4" w:space="0" w:color="auto"/>
            </w:tcBorders>
          </w:tcPr>
          <w:p w:rsidR="0019308D" w:rsidRPr="00A23E15" w:rsidRDefault="0019308D" w:rsidP="008917A1">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19308D" w:rsidRPr="00A23E15" w:rsidRDefault="002D6620" w:rsidP="008917A1">
            <w:pPr>
              <w:snapToGrid w:val="0"/>
              <w:spacing w:line="240" w:lineRule="atLeast"/>
              <w:jc w:val="center"/>
              <w:rPr>
                <w:rFonts w:eastAsia="標楷體"/>
                <w:sz w:val="22"/>
              </w:rPr>
            </w:pPr>
            <w:r>
              <w:rPr>
                <w:rFonts w:eastAsia="標楷體" w:hAnsi="標楷體" w:hint="eastAsia"/>
                <w:sz w:val="22"/>
              </w:rPr>
              <w:t>年增</w:t>
            </w:r>
            <w:r w:rsidR="0019308D" w:rsidRPr="00A23E15">
              <w:rPr>
                <w:rFonts w:eastAsia="標楷體" w:hAnsi="標楷體" w:hint="eastAsia"/>
                <w:sz w:val="22"/>
              </w:rPr>
              <w:t>率</w:t>
            </w:r>
          </w:p>
        </w:tc>
      </w:tr>
      <w:tr w:rsidR="0019308D" w:rsidRPr="00A23E15" w:rsidTr="008917A1">
        <w:trPr>
          <w:trHeight w:val="198"/>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-12.06</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35.26</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17.18</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0.74</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0.98</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1.79</w:t>
            </w:r>
          </w:p>
        </w:tc>
      </w:tr>
      <w:tr w:rsidR="0019308D" w:rsidRPr="00A23E15" w:rsidTr="008917A1">
        <w:trPr>
          <w:trHeight w:val="327"/>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3.07</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2.45</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1.83</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3.13</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A23E15" w:rsidRDefault="0019308D" w:rsidP="008917A1">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19308D" w:rsidRPr="00A23E15" w:rsidRDefault="0019308D" w:rsidP="008917A1">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19308D" w:rsidRPr="00A23E15" w:rsidRDefault="0019308D" w:rsidP="008917A1">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19308D" w:rsidRPr="00A23E15" w:rsidRDefault="0019308D" w:rsidP="008917A1">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19308D" w:rsidRPr="00A23E15" w:rsidRDefault="0019308D" w:rsidP="008917A1">
            <w:pPr>
              <w:snapToGrid w:val="0"/>
              <w:spacing w:line="280" w:lineRule="exact"/>
              <w:ind w:rightChars="110" w:right="264"/>
              <w:jc w:val="right"/>
              <w:rPr>
                <w:rFonts w:eastAsia="標楷體"/>
                <w:sz w:val="22"/>
              </w:rPr>
            </w:pPr>
            <w:r w:rsidRPr="00A23E15">
              <w:rPr>
                <w:rFonts w:eastAsia="標楷體" w:hint="eastAsia"/>
                <w:sz w:val="22"/>
              </w:rPr>
              <w:t>0.94</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6</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Pr>
                <w:rFonts w:eastAsia="標楷體" w:hint="eastAsia"/>
                <w:sz w:val="22"/>
              </w:rPr>
              <w:t>10</w:t>
            </w:r>
            <w:r w:rsidRPr="009052D2">
              <w:rPr>
                <w:rFonts w:eastAsia="標楷體" w:hint="eastAsia"/>
                <w:sz w:val="22"/>
              </w:rPr>
              <w:t>,</w:t>
            </w:r>
            <w:r>
              <w:rPr>
                <w:rFonts w:eastAsia="標楷體" w:hint="eastAsia"/>
                <w:sz w:val="22"/>
              </w:rPr>
              <w:t>630</w:t>
            </w:r>
          </w:p>
        </w:tc>
        <w:tc>
          <w:tcPr>
            <w:tcW w:w="1132" w:type="dxa"/>
            <w:tcBorders>
              <w:top w:val="nil"/>
              <w:left w:val="single" w:sz="4" w:space="0" w:color="auto"/>
              <w:bottom w:val="nil"/>
              <w:right w:val="nil"/>
            </w:tcBorders>
          </w:tcPr>
          <w:p w:rsidR="0019308D" w:rsidRPr="009052D2" w:rsidRDefault="0019308D" w:rsidP="008917A1">
            <w:pPr>
              <w:snapToGrid w:val="0"/>
              <w:spacing w:line="280" w:lineRule="exact"/>
              <w:ind w:left="-28" w:rightChars="67" w:right="161"/>
              <w:jc w:val="right"/>
              <w:rPr>
                <w:rFonts w:eastAsia="標楷體"/>
                <w:sz w:val="22"/>
              </w:rPr>
            </w:pPr>
            <w:r>
              <w:rPr>
                <w:rFonts w:eastAsia="標楷體" w:hint="eastAsia"/>
                <w:sz w:val="22"/>
              </w:rPr>
              <w:t>619.84</w:t>
            </w:r>
          </w:p>
        </w:tc>
        <w:tc>
          <w:tcPr>
            <w:tcW w:w="1132" w:type="dxa"/>
            <w:tcBorders>
              <w:top w:val="nil"/>
              <w:left w:val="nil"/>
              <w:bottom w:val="nil"/>
              <w:right w:val="single" w:sz="4" w:space="0" w:color="auto"/>
            </w:tcBorders>
          </w:tcPr>
          <w:p w:rsidR="0019308D" w:rsidRPr="009052D2" w:rsidRDefault="0019308D" w:rsidP="008917A1">
            <w:pPr>
              <w:snapToGrid w:val="0"/>
              <w:spacing w:line="280" w:lineRule="exact"/>
              <w:ind w:left="-28" w:rightChars="110" w:right="264"/>
              <w:jc w:val="right"/>
              <w:rPr>
                <w:rFonts w:eastAsia="標楷體"/>
                <w:sz w:val="22"/>
              </w:rPr>
            </w:pPr>
            <w:r>
              <w:rPr>
                <w:rFonts w:eastAsia="標楷體" w:hint="eastAsia"/>
                <w:sz w:val="22"/>
              </w:rPr>
              <w:t>4.9</w:t>
            </w:r>
          </w:p>
        </w:tc>
        <w:tc>
          <w:tcPr>
            <w:tcW w:w="1236" w:type="dxa"/>
            <w:tcBorders>
              <w:top w:val="nil"/>
              <w:left w:val="single" w:sz="4" w:space="0" w:color="auto"/>
              <w:bottom w:val="nil"/>
              <w:right w:val="nil"/>
            </w:tcBorders>
          </w:tcPr>
          <w:p w:rsidR="0019308D" w:rsidRPr="00F74A40" w:rsidRDefault="0019308D" w:rsidP="008917A1">
            <w:pPr>
              <w:snapToGrid w:val="0"/>
              <w:spacing w:line="280" w:lineRule="exact"/>
              <w:ind w:left="-28" w:rightChars="57" w:right="137"/>
              <w:jc w:val="right"/>
              <w:rPr>
                <w:rFonts w:eastAsia="標楷體"/>
                <w:sz w:val="22"/>
              </w:rPr>
            </w:pPr>
            <w:r w:rsidRPr="00F74A40">
              <w:rPr>
                <w:rFonts w:eastAsia="標楷體" w:hint="eastAsia"/>
                <w:sz w:val="22"/>
              </w:rPr>
              <w:t>4,</w:t>
            </w:r>
            <w:r>
              <w:rPr>
                <w:rFonts w:eastAsia="標楷體" w:hint="eastAsia"/>
                <w:sz w:val="22"/>
              </w:rPr>
              <w:t>940.6</w:t>
            </w:r>
          </w:p>
        </w:tc>
        <w:tc>
          <w:tcPr>
            <w:tcW w:w="1273" w:type="dxa"/>
            <w:tcBorders>
              <w:top w:val="nil"/>
              <w:left w:val="nil"/>
              <w:bottom w:val="nil"/>
              <w:right w:val="single" w:sz="4" w:space="0" w:color="auto"/>
            </w:tcBorders>
          </w:tcPr>
          <w:p w:rsidR="0019308D" w:rsidRPr="00F74A40" w:rsidRDefault="0019308D" w:rsidP="008917A1">
            <w:pPr>
              <w:snapToGrid w:val="0"/>
              <w:spacing w:line="280" w:lineRule="exact"/>
              <w:ind w:rightChars="110" w:right="264"/>
              <w:jc w:val="right"/>
              <w:rPr>
                <w:rFonts w:eastAsia="標楷體"/>
                <w:sz w:val="22"/>
              </w:rPr>
            </w:pPr>
            <w:r>
              <w:rPr>
                <w:rFonts w:eastAsia="標楷體" w:hint="eastAsia"/>
                <w:sz w:val="22"/>
              </w:rPr>
              <w:t>0.7</w:t>
            </w:r>
          </w:p>
        </w:tc>
        <w:tc>
          <w:tcPr>
            <w:tcW w:w="1333" w:type="dxa"/>
            <w:tcBorders>
              <w:top w:val="nil"/>
              <w:left w:val="single" w:sz="4" w:space="0" w:color="auto"/>
              <w:bottom w:val="nil"/>
              <w:right w:val="nil"/>
            </w:tcBorders>
          </w:tcPr>
          <w:p w:rsidR="0019308D" w:rsidRPr="00F74A40" w:rsidRDefault="0019308D" w:rsidP="008917A1">
            <w:pPr>
              <w:snapToGrid w:val="0"/>
              <w:spacing w:line="280" w:lineRule="exact"/>
              <w:ind w:left="-28" w:rightChars="110" w:right="264"/>
              <w:jc w:val="right"/>
              <w:rPr>
                <w:rFonts w:eastAsia="標楷體"/>
                <w:sz w:val="22"/>
              </w:rPr>
            </w:pPr>
            <w:r>
              <w:rPr>
                <w:rFonts w:eastAsia="標楷體" w:hint="eastAsia"/>
                <w:sz w:val="22"/>
              </w:rPr>
              <w:t>4</w:t>
            </w:r>
            <w:r w:rsidRPr="00F74A40">
              <w:rPr>
                <w:rFonts w:eastAsia="標楷體" w:hint="eastAsia"/>
                <w:sz w:val="22"/>
              </w:rPr>
              <w:t>,</w:t>
            </w:r>
            <w:r>
              <w:rPr>
                <w:rFonts w:eastAsia="標楷體" w:hint="eastAsia"/>
                <w:sz w:val="22"/>
              </w:rPr>
              <w:t>117.8</w:t>
            </w:r>
          </w:p>
        </w:tc>
        <w:tc>
          <w:tcPr>
            <w:tcW w:w="1108" w:type="dxa"/>
            <w:tcBorders>
              <w:top w:val="nil"/>
              <w:left w:val="nil"/>
              <w:bottom w:val="nil"/>
              <w:right w:val="nil"/>
            </w:tcBorders>
          </w:tcPr>
          <w:p w:rsidR="0019308D" w:rsidRPr="00F74A40" w:rsidRDefault="0019308D" w:rsidP="008917A1">
            <w:pPr>
              <w:snapToGrid w:val="0"/>
              <w:spacing w:line="280" w:lineRule="exact"/>
              <w:ind w:rightChars="110" w:right="264"/>
              <w:jc w:val="right"/>
              <w:rPr>
                <w:rFonts w:eastAsia="標楷體"/>
                <w:sz w:val="22"/>
              </w:rPr>
            </w:pPr>
            <w:r w:rsidRPr="00F74A40">
              <w:rPr>
                <w:rFonts w:eastAsia="標楷體" w:hint="eastAsia"/>
                <w:sz w:val="22"/>
              </w:rPr>
              <w:t>-</w:t>
            </w:r>
            <w:r>
              <w:rPr>
                <w:rFonts w:eastAsia="標楷體" w:hint="eastAsia"/>
                <w:sz w:val="22"/>
              </w:rPr>
              <w:t>1.7</w:t>
            </w:r>
          </w:p>
        </w:tc>
      </w:tr>
      <w:tr w:rsidR="0019308D" w:rsidRPr="00A23E15" w:rsidTr="008917A1">
        <w:trPr>
          <w:trHeight w:val="320"/>
        </w:trPr>
        <w:tc>
          <w:tcPr>
            <w:tcW w:w="1676"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1,883</w:t>
            </w:r>
          </w:p>
        </w:tc>
        <w:tc>
          <w:tcPr>
            <w:tcW w:w="1132" w:type="dxa"/>
            <w:tcBorders>
              <w:top w:val="nil"/>
              <w:left w:val="single" w:sz="4" w:space="0" w:color="auto"/>
              <w:bottom w:val="nil"/>
              <w:right w:val="nil"/>
            </w:tcBorders>
          </w:tcPr>
          <w:p w:rsidR="0019308D" w:rsidRPr="009052D2" w:rsidRDefault="0019308D" w:rsidP="008917A1">
            <w:pPr>
              <w:snapToGrid w:val="0"/>
              <w:spacing w:line="280" w:lineRule="exact"/>
              <w:ind w:left="-28" w:rightChars="67" w:right="161"/>
              <w:jc w:val="right"/>
              <w:rPr>
                <w:rFonts w:eastAsia="標楷體"/>
                <w:sz w:val="22"/>
              </w:rPr>
            </w:pPr>
            <w:r w:rsidRPr="009052D2">
              <w:rPr>
                <w:rFonts w:eastAsia="標楷體" w:hint="eastAsia"/>
                <w:sz w:val="22"/>
              </w:rPr>
              <w:t>92.7</w:t>
            </w:r>
          </w:p>
        </w:tc>
        <w:tc>
          <w:tcPr>
            <w:tcW w:w="1132" w:type="dxa"/>
            <w:tcBorders>
              <w:top w:val="nil"/>
              <w:left w:val="nil"/>
              <w:bottom w:val="nil"/>
              <w:right w:val="single" w:sz="4" w:space="0" w:color="auto"/>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-7.27</w:t>
            </w:r>
          </w:p>
        </w:tc>
        <w:tc>
          <w:tcPr>
            <w:tcW w:w="1236" w:type="dxa"/>
            <w:tcBorders>
              <w:top w:val="nil"/>
              <w:left w:val="single" w:sz="4" w:space="0" w:color="auto"/>
              <w:bottom w:val="nil"/>
              <w:right w:val="nil"/>
            </w:tcBorders>
          </w:tcPr>
          <w:p w:rsidR="0019308D" w:rsidRPr="009052D2" w:rsidRDefault="0019308D" w:rsidP="008917A1">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24.99</w:t>
            </w:r>
          </w:p>
        </w:tc>
      </w:tr>
      <w:tr w:rsidR="0019308D" w:rsidRPr="00A23E15" w:rsidTr="008917A1">
        <w:trPr>
          <w:trHeight w:val="68"/>
        </w:trPr>
        <w:tc>
          <w:tcPr>
            <w:tcW w:w="1676"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1,032</w:t>
            </w:r>
          </w:p>
        </w:tc>
        <w:tc>
          <w:tcPr>
            <w:tcW w:w="1132" w:type="dxa"/>
            <w:tcBorders>
              <w:top w:val="nil"/>
              <w:left w:val="single" w:sz="4" w:space="0" w:color="auto"/>
              <w:bottom w:val="nil"/>
              <w:right w:val="nil"/>
            </w:tcBorders>
          </w:tcPr>
          <w:p w:rsidR="0019308D" w:rsidRPr="009052D2" w:rsidRDefault="0019308D" w:rsidP="008917A1">
            <w:pPr>
              <w:snapToGrid w:val="0"/>
              <w:spacing w:line="280" w:lineRule="exact"/>
              <w:ind w:left="-28" w:rightChars="67" w:right="161"/>
              <w:jc w:val="right"/>
              <w:rPr>
                <w:rFonts w:eastAsia="標楷體"/>
                <w:sz w:val="22"/>
              </w:rPr>
            </w:pPr>
            <w:r w:rsidRPr="009052D2">
              <w:rPr>
                <w:rFonts w:eastAsia="標楷體" w:hint="eastAsia"/>
                <w:sz w:val="22"/>
              </w:rPr>
              <w:t>82.14</w:t>
            </w:r>
          </w:p>
        </w:tc>
        <w:tc>
          <w:tcPr>
            <w:tcW w:w="1132" w:type="dxa"/>
            <w:tcBorders>
              <w:top w:val="nil"/>
              <w:left w:val="nil"/>
              <w:bottom w:val="nil"/>
              <w:right w:val="single" w:sz="4" w:space="0" w:color="auto"/>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6.32</w:t>
            </w:r>
          </w:p>
        </w:tc>
        <w:tc>
          <w:tcPr>
            <w:tcW w:w="1236" w:type="dxa"/>
            <w:tcBorders>
              <w:top w:val="nil"/>
              <w:left w:val="single" w:sz="4" w:space="0" w:color="auto"/>
              <w:bottom w:val="nil"/>
              <w:right w:val="nil"/>
            </w:tcBorders>
          </w:tcPr>
          <w:p w:rsidR="0019308D" w:rsidRPr="009052D2" w:rsidRDefault="0019308D" w:rsidP="008917A1">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-23.38</w:t>
            </w:r>
          </w:p>
        </w:tc>
      </w:tr>
      <w:tr w:rsidR="0019308D" w:rsidRPr="00A23E15" w:rsidTr="008917A1">
        <w:trPr>
          <w:trHeight w:val="68"/>
        </w:trPr>
        <w:tc>
          <w:tcPr>
            <w:tcW w:w="1676"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sidRPr="009052D2">
              <w:rPr>
                <w:rFonts w:eastAsia="標楷體" w:hint="eastAsia"/>
                <w:sz w:val="22"/>
              </w:rPr>
              <w:t>1,907</w:t>
            </w:r>
          </w:p>
        </w:tc>
        <w:tc>
          <w:tcPr>
            <w:tcW w:w="1132" w:type="dxa"/>
            <w:tcBorders>
              <w:top w:val="nil"/>
              <w:left w:val="single" w:sz="4" w:space="0" w:color="auto"/>
              <w:bottom w:val="nil"/>
              <w:right w:val="nil"/>
            </w:tcBorders>
          </w:tcPr>
          <w:p w:rsidR="0019308D" w:rsidRPr="009052D2" w:rsidRDefault="0019308D" w:rsidP="008917A1">
            <w:pPr>
              <w:snapToGrid w:val="0"/>
              <w:spacing w:line="280" w:lineRule="exact"/>
              <w:ind w:left="-28" w:rightChars="67" w:right="161"/>
              <w:jc w:val="right"/>
              <w:rPr>
                <w:rFonts w:eastAsia="標楷體"/>
                <w:sz w:val="22"/>
              </w:rPr>
            </w:pPr>
            <w:r w:rsidRPr="009052D2">
              <w:rPr>
                <w:rFonts w:eastAsia="標楷體" w:hint="eastAsia"/>
                <w:sz w:val="22"/>
              </w:rPr>
              <w:t>124.21</w:t>
            </w:r>
          </w:p>
        </w:tc>
        <w:tc>
          <w:tcPr>
            <w:tcW w:w="1132" w:type="dxa"/>
            <w:tcBorders>
              <w:top w:val="nil"/>
              <w:left w:val="nil"/>
              <w:bottom w:val="nil"/>
              <w:right w:val="single" w:sz="4" w:space="0" w:color="auto"/>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5.65</w:t>
            </w:r>
          </w:p>
        </w:tc>
        <w:tc>
          <w:tcPr>
            <w:tcW w:w="1236" w:type="dxa"/>
            <w:tcBorders>
              <w:top w:val="nil"/>
              <w:left w:val="single" w:sz="4" w:space="0" w:color="auto"/>
              <w:bottom w:val="nil"/>
              <w:right w:val="nil"/>
            </w:tcBorders>
          </w:tcPr>
          <w:p w:rsidR="0019308D" w:rsidRPr="009052D2" w:rsidRDefault="0019308D" w:rsidP="008917A1">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19308D" w:rsidRPr="009052D2" w:rsidRDefault="0019308D" w:rsidP="008917A1">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19308D" w:rsidRPr="009052D2" w:rsidRDefault="0019308D" w:rsidP="008917A1">
            <w:pPr>
              <w:snapToGrid w:val="0"/>
              <w:spacing w:line="280" w:lineRule="exact"/>
              <w:ind w:rightChars="110" w:right="264"/>
              <w:jc w:val="right"/>
              <w:rPr>
                <w:rFonts w:eastAsia="標楷體"/>
                <w:sz w:val="22"/>
              </w:rPr>
            </w:pPr>
            <w:r w:rsidRPr="009052D2">
              <w:rPr>
                <w:rFonts w:eastAsia="標楷體" w:hint="eastAsia"/>
                <w:sz w:val="22"/>
              </w:rPr>
              <w:t>-4.24</w:t>
            </w:r>
          </w:p>
        </w:tc>
      </w:tr>
      <w:tr w:rsidR="0019308D" w:rsidRPr="00A23E15" w:rsidTr="008917A1">
        <w:trPr>
          <w:trHeight w:val="265"/>
        </w:trPr>
        <w:tc>
          <w:tcPr>
            <w:tcW w:w="1676"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Pr="009052D2" w:rsidRDefault="0019308D" w:rsidP="008917A1">
            <w:pPr>
              <w:snapToGrid w:val="0"/>
              <w:spacing w:line="280" w:lineRule="exact"/>
              <w:ind w:left="-28"/>
              <w:jc w:val="center"/>
              <w:rPr>
                <w:rFonts w:eastAsia="標楷體"/>
                <w:sz w:val="22"/>
              </w:rPr>
            </w:pPr>
            <w:r>
              <w:rPr>
                <w:rFonts w:eastAsia="標楷體" w:hint="eastAsia"/>
                <w:sz w:val="22"/>
              </w:rPr>
              <w:t>1,865</w:t>
            </w:r>
          </w:p>
        </w:tc>
        <w:tc>
          <w:tcPr>
            <w:tcW w:w="1132" w:type="dxa"/>
            <w:tcBorders>
              <w:top w:val="nil"/>
              <w:left w:val="single" w:sz="4" w:space="0" w:color="auto"/>
              <w:bottom w:val="nil"/>
              <w:right w:val="nil"/>
            </w:tcBorders>
          </w:tcPr>
          <w:p w:rsidR="0019308D" w:rsidRPr="009052D2" w:rsidRDefault="0019308D" w:rsidP="008917A1">
            <w:pPr>
              <w:snapToGrid w:val="0"/>
              <w:spacing w:line="280" w:lineRule="exact"/>
              <w:ind w:left="-28" w:rightChars="67" w:right="161"/>
              <w:jc w:val="right"/>
              <w:rPr>
                <w:rFonts w:eastAsia="標楷體"/>
                <w:sz w:val="22"/>
              </w:rPr>
            </w:pPr>
            <w:r>
              <w:rPr>
                <w:rFonts w:eastAsia="標楷體" w:hint="eastAsia"/>
                <w:sz w:val="22"/>
              </w:rPr>
              <w:t>84.35</w:t>
            </w:r>
          </w:p>
        </w:tc>
        <w:tc>
          <w:tcPr>
            <w:tcW w:w="1132" w:type="dxa"/>
            <w:tcBorders>
              <w:top w:val="nil"/>
              <w:left w:val="nil"/>
              <w:bottom w:val="nil"/>
              <w:right w:val="single" w:sz="4" w:space="0" w:color="auto"/>
            </w:tcBorders>
          </w:tcPr>
          <w:p w:rsidR="0019308D" w:rsidRPr="009052D2" w:rsidRDefault="0019308D" w:rsidP="008917A1">
            <w:pPr>
              <w:snapToGrid w:val="0"/>
              <w:spacing w:line="280" w:lineRule="exact"/>
              <w:ind w:left="-28" w:rightChars="110" w:right="264"/>
              <w:jc w:val="right"/>
              <w:rPr>
                <w:rFonts w:eastAsia="標楷體"/>
                <w:sz w:val="22"/>
              </w:rPr>
            </w:pPr>
            <w:r>
              <w:rPr>
                <w:rFonts w:eastAsia="標楷體" w:hint="eastAsia"/>
                <w:sz w:val="22"/>
              </w:rPr>
              <w:t>0.4</w:t>
            </w:r>
          </w:p>
        </w:tc>
        <w:tc>
          <w:tcPr>
            <w:tcW w:w="1236" w:type="dxa"/>
            <w:tcBorders>
              <w:top w:val="nil"/>
              <w:left w:val="single" w:sz="4" w:space="0" w:color="auto"/>
              <w:bottom w:val="nil"/>
              <w:right w:val="nil"/>
            </w:tcBorders>
          </w:tcPr>
          <w:p w:rsidR="0019308D" w:rsidRPr="009052D2" w:rsidRDefault="0019308D" w:rsidP="008917A1">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19308D" w:rsidRPr="009052D2" w:rsidRDefault="0019308D" w:rsidP="008917A1">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19308D" w:rsidRPr="009052D2" w:rsidRDefault="0019308D" w:rsidP="008917A1">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19308D" w:rsidRPr="009052D2" w:rsidRDefault="0019308D" w:rsidP="008917A1">
            <w:pPr>
              <w:snapToGrid w:val="0"/>
              <w:spacing w:line="280" w:lineRule="exact"/>
              <w:ind w:rightChars="110" w:right="264"/>
              <w:jc w:val="right"/>
              <w:rPr>
                <w:rFonts w:eastAsia="標楷體"/>
                <w:sz w:val="22"/>
              </w:rPr>
            </w:pPr>
            <w:r>
              <w:rPr>
                <w:rFonts w:eastAsia="標楷體" w:hint="eastAsia"/>
                <w:sz w:val="22"/>
              </w:rPr>
              <w:t>5.9</w:t>
            </w:r>
          </w:p>
        </w:tc>
      </w:tr>
      <w:tr w:rsidR="0019308D" w:rsidRPr="00A23E15" w:rsidTr="008917A1">
        <w:trPr>
          <w:trHeight w:val="265"/>
        </w:trPr>
        <w:tc>
          <w:tcPr>
            <w:tcW w:w="1676" w:type="dxa"/>
            <w:tcBorders>
              <w:top w:val="nil"/>
              <w:left w:val="nil"/>
              <w:bottom w:val="nil"/>
              <w:right w:val="single" w:sz="4" w:space="0" w:color="auto"/>
            </w:tcBorders>
            <w:vAlign w:val="center"/>
          </w:tcPr>
          <w:p w:rsidR="0019308D" w:rsidRDefault="0019308D" w:rsidP="008917A1">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9308D" w:rsidRDefault="0019308D" w:rsidP="008917A1">
            <w:pPr>
              <w:snapToGrid w:val="0"/>
              <w:spacing w:line="280" w:lineRule="exact"/>
              <w:ind w:left="-28"/>
              <w:jc w:val="center"/>
              <w:rPr>
                <w:rFonts w:eastAsia="標楷體"/>
                <w:sz w:val="22"/>
              </w:rPr>
            </w:pPr>
            <w:r>
              <w:rPr>
                <w:rFonts w:eastAsia="標楷體" w:hint="eastAsia"/>
                <w:sz w:val="22"/>
              </w:rPr>
              <w:t>1,922</w:t>
            </w:r>
          </w:p>
        </w:tc>
        <w:tc>
          <w:tcPr>
            <w:tcW w:w="1132" w:type="dxa"/>
            <w:tcBorders>
              <w:top w:val="nil"/>
              <w:left w:val="single" w:sz="4" w:space="0" w:color="auto"/>
              <w:bottom w:val="nil"/>
              <w:right w:val="nil"/>
            </w:tcBorders>
          </w:tcPr>
          <w:p w:rsidR="0019308D" w:rsidRDefault="0019308D" w:rsidP="008917A1">
            <w:pPr>
              <w:snapToGrid w:val="0"/>
              <w:spacing w:line="280" w:lineRule="exact"/>
              <w:ind w:left="-28" w:rightChars="67" w:right="161"/>
              <w:jc w:val="right"/>
              <w:rPr>
                <w:rFonts w:eastAsia="標楷體"/>
                <w:sz w:val="22"/>
              </w:rPr>
            </w:pPr>
            <w:r>
              <w:rPr>
                <w:rFonts w:eastAsia="標楷體" w:hint="eastAsia"/>
                <w:sz w:val="22"/>
              </w:rPr>
              <w:t>92.56</w:t>
            </w:r>
          </w:p>
        </w:tc>
        <w:tc>
          <w:tcPr>
            <w:tcW w:w="1132" w:type="dxa"/>
            <w:tcBorders>
              <w:top w:val="nil"/>
              <w:left w:val="nil"/>
              <w:bottom w:val="nil"/>
              <w:right w:val="single" w:sz="4" w:space="0" w:color="auto"/>
            </w:tcBorders>
          </w:tcPr>
          <w:p w:rsidR="0019308D" w:rsidRDefault="0019308D" w:rsidP="008917A1">
            <w:pPr>
              <w:snapToGrid w:val="0"/>
              <w:spacing w:line="280" w:lineRule="exact"/>
              <w:ind w:left="-28" w:rightChars="110" w:right="264"/>
              <w:jc w:val="right"/>
              <w:rPr>
                <w:rFonts w:eastAsia="標楷體"/>
                <w:sz w:val="22"/>
              </w:rPr>
            </w:pPr>
            <w:r>
              <w:rPr>
                <w:rFonts w:eastAsia="標楷體" w:hint="eastAsia"/>
                <w:sz w:val="22"/>
              </w:rPr>
              <w:t>0.29</w:t>
            </w:r>
          </w:p>
        </w:tc>
        <w:tc>
          <w:tcPr>
            <w:tcW w:w="1236" w:type="dxa"/>
            <w:tcBorders>
              <w:top w:val="nil"/>
              <w:left w:val="single" w:sz="4" w:space="0" w:color="auto"/>
              <w:bottom w:val="nil"/>
              <w:right w:val="nil"/>
            </w:tcBorders>
          </w:tcPr>
          <w:p w:rsidR="0019308D" w:rsidRDefault="0019308D" w:rsidP="008917A1">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19308D" w:rsidRDefault="0019308D" w:rsidP="008917A1">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19308D" w:rsidRDefault="0019308D" w:rsidP="008917A1">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19308D" w:rsidRDefault="0019308D" w:rsidP="008917A1">
            <w:pPr>
              <w:snapToGrid w:val="0"/>
              <w:spacing w:line="280" w:lineRule="exact"/>
              <w:ind w:rightChars="110" w:right="264"/>
              <w:jc w:val="right"/>
              <w:rPr>
                <w:rFonts w:eastAsia="標楷體"/>
                <w:sz w:val="22"/>
              </w:rPr>
            </w:pPr>
            <w:r>
              <w:rPr>
                <w:rFonts w:eastAsia="標楷體" w:hint="eastAsia"/>
                <w:sz w:val="22"/>
              </w:rPr>
              <w:t>-2.1</w:t>
            </w:r>
          </w:p>
        </w:tc>
      </w:tr>
      <w:tr w:rsidR="0019308D" w:rsidRPr="00A23E15" w:rsidTr="008917A1">
        <w:trPr>
          <w:trHeight w:val="265"/>
        </w:trPr>
        <w:tc>
          <w:tcPr>
            <w:tcW w:w="1676" w:type="dxa"/>
            <w:tcBorders>
              <w:top w:val="nil"/>
              <w:left w:val="nil"/>
              <w:bottom w:val="single" w:sz="4" w:space="0" w:color="auto"/>
              <w:right w:val="single" w:sz="4" w:space="0" w:color="auto"/>
            </w:tcBorders>
            <w:vAlign w:val="center"/>
          </w:tcPr>
          <w:p w:rsidR="0019308D" w:rsidRPr="00FA322E" w:rsidRDefault="0019308D" w:rsidP="008917A1">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19308D" w:rsidRDefault="0019308D" w:rsidP="008917A1">
            <w:pPr>
              <w:snapToGrid w:val="0"/>
              <w:spacing w:line="280" w:lineRule="exact"/>
              <w:ind w:left="-28"/>
              <w:jc w:val="center"/>
              <w:rPr>
                <w:rFonts w:eastAsia="標楷體"/>
                <w:sz w:val="22"/>
              </w:rPr>
            </w:pPr>
            <w:r>
              <w:rPr>
                <w:rFonts w:eastAsia="標楷體" w:hint="eastAsia"/>
                <w:sz w:val="22"/>
              </w:rPr>
              <w:t>2,021</w:t>
            </w:r>
          </w:p>
        </w:tc>
        <w:tc>
          <w:tcPr>
            <w:tcW w:w="1132" w:type="dxa"/>
            <w:tcBorders>
              <w:top w:val="nil"/>
              <w:left w:val="single" w:sz="4" w:space="0" w:color="auto"/>
              <w:bottom w:val="single" w:sz="4" w:space="0" w:color="auto"/>
              <w:right w:val="nil"/>
            </w:tcBorders>
          </w:tcPr>
          <w:p w:rsidR="0019308D" w:rsidRDefault="0019308D" w:rsidP="008917A1">
            <w:pPr>
              <w:snapToGrid w:val="0"/>
              <w:spacing w:line="280" w:lineRule="exact"/>
              <w:ind w:left="-28" w:rightChars="67" w:right="161"/>
              <w:jc w:val="right"/>
              <w:rPr>
                <w:rFonts w:eastAsia="標楷體"/>
                <w:sz w:val="22"/>
              </w:rPr>
            </w:pPr>
            <w:r>
              <w:rPr>
                <w:rFonts w:eastAsia="標楷體" w:hint="eastAsia"/>
                <w:sz w:val="22"/>
              </w:rPr>
              <w:t>143.89</w:t>
            </w:r>
          </w:p>
        </w:tc>
        <w:tc>
          <w:tcPr>
            <w:tcW w:w="1132" w:type="dxa"/>
            <w:tcBorders>
              <w:top w:val="nil"/>
              <w:left w:val="nil"/>
              <w:bottom w:val="single" w:sz="4" w:space="0" w:color="auto"/>
              <w:right w:val="single" w:sz="4" w:space="0" w:color="auto"/>
            </w:tcBorders>
          </w:tcPr>
          <w:p w:rsidR="0019308D" w:rsidRDefault="0019308D" w:rsidP="008917A1">
            <w:pPr>
              <w:snapToGrid w:val="0"/>
              <w:spacing w:line="280" w:lineRule="exact"/>
              <w:ind w:left="-28" w:rightChars="110" w:right="264"/>
              <w:jc w:val="right"/>
              <w:rPr>
                <w:rFonts w:eastAsia="標楷體"/>
                <w:sz w:val="22"/>
              </w:rPr>
            </w:pPr>
            <w:r>
              <w:rPr>
                <w:rFonts w:eastAsia="標楷體" w:hint="eastAsia"/>
                <w:sz w:val="22"/>
              </w:rPr>
              <w:t>20.12</w:t>
            </w:r>
          </w:p>
        </w:tc>
        <w:tc>
          <w:tcPr>
            <w:tcW w:w="1236" w:type="dxa"/>
            <w:tcBorders>
              <w:top w:val="nil"/>
              <w:left w:val="single" w:sz="4" w:space="0" w:color="auto"/>
              <w:bottom w:val="single" w:sz="4" w:space="0" w:color="auto"/>
              <w:right w:val="nil"/>
            </w:tcBorders>
          </w:tcPr>
          <w:p w:rsidR="0019308D" w:rsidRDefault="0019308D" w:rsidP="008917A1">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single" w:sz="4" w:space="0" w:color="auto"/>
              <w:right w:val="single" w:sz="4" w:space="0" w:color="auto"/>
            </w:tcBorders>
          </w:tcPr>
          <w:p w:rsidR="0019308D" w:rsidRDefault="0019308D" w:rsidP="008917A1">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single" w:sz="4" w:space="0" w:color="auto"/>
              <w:right w:val="nil"/>
            </w:tcBorders>
          </w:tcPr>
          <w:p w:rsidR="0019308D" w:rsidRDefault="0019308D" w:rsidP="008917A1">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single" w:sz="4" w:space="0" w:color="auto"/>
              <w:right w:val="nil"/>
            </w:tcBorders>
          </w:tcPr>
          <w:p w:rsidR="0019308D" w:rsidRDefault="0019308D" w:rsidP="008917A1">
            <w:pPr>
              <w:snapToGrid w:val="0"/>
              <w:spacing w:line="280" w:lineRule="exact"/>
              <w:ind w:rightChars="110" w:right="264"/>
              <w:jc w:val="right"/>
              <w:rPr>
                <w:rFonts w:eastAsia="標楷體"/>
                <w:sz w:val="22"/>
              </w:rPr>
            </w:pPr>
            <w:r>
              <w:rPr>
                <w:rFonts w:eastAsia="標楷體" w:hint="eastAsia"/>
                <w:sz w:val="22"/>
              </w:rPr>
              <w:t>-5.5</w:t>
            </w:r>
          </w:p>
        </w:tc>
      </w:tr>
    </w:tbl>
    <w:p w:rsidR="00D0404E" w:rsidRPr="0019308D" w:rsidRDefault="00D0404E" w:rsidP="00D0404E">
      <w:pPr>
        <w:snapToGrid w:val="0"/>
        <w:spacing w:line="200" w:lineRule="atLeast"/>
        <w:ind w:right="-539"/>
        <w:jc w:val="both"/>
        <w:rPr>
          <w:rFonts w:eastAsia="標楷體"/>
          <w:sz w:val="22"/>
        </w:rPr>
      </w:pPr>
      <w:proofErr w:type="gramStart"/>
      <w:r w:rsidRPr="0019308D">
        <w:rPr>
          <w:rFonts w:eastAsia="標楷體"/>
          <w:sz w:val="22"/>
        </w:rPr>
        <w:t>註</w:t>
      </w:r>
      <w:proofErr w:type="gramEnd"/>
      <w:r w:rsidRPr="0019308D">
        <w:rPr>
          <w:rFonts w:eastAsia="標楷體"/>
          <w:sz w:val="22"/>
        </w:rPr>
        <w:t>：</w:t>
      </w:r>
      <w:r w:rsidRPr="0019308D">
        <w:rPr>
          <w:rFonts w:eastAsia="標楷體"/>
          <w:sz w:val="22"/>
        </w:rPr>
        <w:t>2007</w:t>
      </w:r>
      <w:r w:rsidRPr="0019308D">
        <w:rPr>
          <w:rFonts w:eastAsia="標楷體"/>
          <w:sz w:val="22"/>
        </w:rPr>
        <w:t>年起實際利用外資為非金融領域金額。</w:t>
      </w:r>
    </w:p>
    <w:p w:rsidR="00D0404E" w:rsidRPr="0019308D" w:rsidRDefault="00D0404E" w:rsidP="00D0404E">
      <w:pPr>
        <w:snapToGrid w:val="0"/>
        <w:spacing w:line="200" w:lineRule="atLeast"/>
        <w:ind w:right="-539"/>
        <w:jc w:val="both"/>
        <w:rPr>
          <w:rFonts w:eastAsia="標楷體"/>
          <w:sz w:val="22"/>
        </w:rPr>
      </w:pPr>
      <w:r w:rsidRPr="0019308D">
        <w:rPr>
          <w:rFonts w:eastAsia="標楷體"/>
          <w:sz w:val="22"/>
        </w:rPr>
        <w:t>資料來源：中國大陸商務部。</w:t>
      </w:r>
    </w:p>
    <w:p w:rsidR="00D0404E" w:rsidRPr="002D7AEC" w:rsidRDefault="003D2281" w:rsidP="002C6CB3">
      <w:pPr>
        <w:pStyle w:val="t-3"/>
        <w:snapToGrid w:val="0"/>
        <w:spacing w:line="300" w:lineRule="auto"/>
        <w:ind w:right="-60"/>
        <w:rPr>
          <w:b w:val="0"/>
          <w:bCs w:val="0"/>
        </w:rPr>
      </w:pPr>
      <w:r w:rsidRPr="0019308D">
        <w:br w:type="page"/>
      </w:r>
      <w:bookmarkStart w:id="112" w:name="_Toc358042588"/>
      <w:r w:rsidRPr="002D7AEC">
        <w:lastRenderedPageBreak/>
        <w:t>（三）</w:t>
      </w:r>
      <w:r w:rsidR="00D0404E" w:rsidRPr="002D7AEC">
        <w:t>對外貿易</w:t>
      </w:r>
      <w:bookmarkEnd w:id="112"/>
    </w:p>
    <w:p w:rsidR="00D0404E" w:rsidRPr="0019308D" w:rsidRDefault="00C7141C" w:rsidP="00C7141C">
      <w:pPr>
        <w:tabs>
          <w:tab w:val="left" w:pos="567"/>
        </w:tabs>
        <w:snapToGrid w:val="0"/>
        <w:spacing w:before="120"/>
        <w:ind w:leftChars="118" w:left="624" w:hangingChars="142" w:hanging="341"/>
        <w:jc w:val="both"/>
        <w:rPr>
          <w:rFonts w:eastAsia="標楷體"/>
          <w:sz w:val="28"/>
          <w:szCs w:val="16"/>
        </w:rPr>
      </w:pPr>
      <w:r>
        <w:rPr>
          <w:noProof/>
        </w:rPr>
        <mc:AlternateContent>
          <mc:Choice Requires="wps">
            <w:drawing>
              <wp:anchor distT="0" distB="0" distL="114300" distR="114300" simplePos="0" relativeHeight="251760128" behindDoc="0" locked="0" layoutInCell="1" allowOverlap="1" wp14:anchorId="04A8DAA5" wp14:editId="5CD88C9C">
                <wp:simplePos x="0" y="0"/>
                <wp:positionH relativeFrom="column">
                  <wp:posOffset>3628730</wp:posOffset>
                </wp:positionH>
                <wp:positionV relativeFrom="paragraph">
                  <wp:posOffset>-329137</wp:posOffset>
                </wp:positionV>
                <wp:extent cx="2264735" cy="329609"/>
                <wp:effectExtent l="0" t="0" r="2540" b="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329609"/>
                        </a:xfrm>
                        <a:prstGeom prst="rect">
                          <a:avLst/>
                        </a:prstGeom>
                        <a:solidFill>
                          <a:srgbClr val="FFFFFF"/>
                        </a:solidFill>
                        <a:ln w="9525">
                          <a:noFill/>
                          <a:miter lim="800000"/>
                          <a:headEnd/>
                          <a:tailEnd/>
                        </a:ln>
                      </wps:spPr>
                      <wps:txbx>
                        <w:txbxContent>
                          <w:p w:rsidR="003D7EBE" w:rsidRPr="00C7141C" w:rsidRDefault="003D7EBE">
                            <w:pPr>
                              <w:rPr>
                                <w:rFonts w:ascii="標楷體" w:eastAsia="標楷體" w:hAnsi="標楷體"/>
                                <w:b/>
                                <w:sz w:val="22"/>
                                <w:szCs w:val="22"/>
                              </w:rPr>
                            </w:pPr>
                            <w:r w:rsidRPr="00C7141C">
                              <w:rPr>
                                <w:rFonts w:ascii="標楷體" w:eastAsia="標楷體" w:hAnsi="標楷體" w:hint="eastAsia"/>
                                <w:b/>
                                <w:sz w:val="22"/>
                                <w:szCs w:val="22"/>
                              </w:rPr>
                              <w:t>圖3-3 中國大陸進出口變動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5.75pt;margin-top:-25.9pt;width:178.35pt;height:25.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" stroked="f">
                <v:textbox>
                  <w:txbxContent>
                    <w:p w:rsidR="003D7EBE" w:rsidRPr="00C7141C" w:rsidRDefault="003D7EBE">
                      <w:pPr>
                        <w:rPr>
                          <w:rFonts w:ascii="標楷體" w:eastAsia="標楷體" w:hAnsi="標楷體"/>
                          <w:b/>
                          <w:sz w:val="22"/>
                          <w:szCs w:val="22"/>
                        </w:rPr>
                      </w:pPr>
                      <w:r w:rsidRPr="00C7141C">
                        <w:rPr>
                          <w:rFonts w:ascii="標楷體" w:eastAsia="標楷體" w:hAnsi="標楷體" w:hint="eastAsia"/>
                          <w:b/>
                          <w:sz w:val="22"/>
                          <w:szCs w:val="22"/>
                        </w:rPr>
                        <w:t>圖3-3 中國大陸進出口變動</w:t>
                      </w:r>
                    </w:p>
                  </w:txbxContent>
                </v:textbox>
              </v:shape>
            </w:pict>
          </mc:Fallback>
        </mc:AlternateContent>
      </w:r>
      <w:r w:rsidR="0019308D" w:rsidRPr="009052D2">
        <w:rPr>
          <w:b/>
          <w:bCs/>
          <w:noProof/>
          <w:sz w:val="20"/>
        </w:rPr>
        <w:drawing>
          <wp:anchor distT="0" distB="0" distL="114300" distR="114300" simplePos="0" relativeHeight="251747840" behindDoc="1" locked="0" layoutInCell="1" allowOverlap="1" wp14:anchorId="7A971E00" wp14:editId="1266E455">
            <wp:simplePos x="0" y="0"/>
            <wp:positionH relativeFrom="column">
              <wp:posOffset>2630805</wp:posOffset>
            </wp:positionH>
            <wp:positionV relativeFrom="paragraph">
              <wp:posOffset>-173990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D0404E" w:rsidRPr="0019308D">
        <w:rPr>
          <w:rFonts w:eastAsia="標楷體"/>
          <w:sz w:val="28"/>
          <w:szCs w:val="16"/>
        </w:rPr>
        <w:t>－</w:t>
      </w:r>
      <w:r w:rsidR="0019308D" w:rsidRPr="0019308D">
        <w:rPr>
          <w:rFonts w:eastAsia="標楷體" w:hint="eastAsia"/>
          <w:sz w:val="28"/>
          <w:szCs w:val="16"/>
        </w:rPr>
        <w:t>2013</w:t>
      </w:r>
      <w:r w:rsidR="0019308D" w:rsidRPr="0019308D">
        <w:rPr>
          <w:rFonts w:eastAsia="標楷體" w:hint="eastAsia"/>
          <w:sz w:val="28"/>
          <w:szCs w:val="16"/>
        </w:rPr>
        <w:t>年</w:t>
      </w:r>
      <w:r w:rsidR="0019308D" w:rsidRPr="0019308D">
        <w:rPr>
          <w:rFonts w:eastAsia="標楷體" w:hint="eastAsia"/>
          <w:sz w:val="28"/>
          <w:szCs w:val="16"/>
        </w:rPr>
        <w:t>1</w:t>
      </w:r>
      <w:r w:rsidR="0019308D" w:rsidRPr="0019308D">
        <w:rPr>
          <w:rFonts w:eastAsia="標楷體" w:hint="eastAsia"/>
          <w:sz w:val="28"/>
          <w:szCs w:val="16"/>
        </w:rPr>
        <w:t>至</w:t>
      </w:r>
      <w:r w:rsidR="0019308D" w:rsidRPr="0019308D">
        <w:rPr>
          <w:rFonts w:eastAsia="標楷體" w:hint="eastAsia"/>
          <w:sz w:val="28"/>
          <w:szCs w:val="16"/>
        </w:rPr>
        <w:t>6</w:t>
      </w:r>
      <w:r w:rsidR="0019308D" w:rsidRPr="0019308D">
        <w:rPr>
          <w:rFonts w:eastAsia="標楷體" w:hint="eastAsia"/>
          <w:sz w:val="28"/>
          <w:szCs w:val="16"/>
        </w:rPr>
        <w:t>月中國大陸進出口總值為</w:t>
      </w:r>
      <w:r w:rsidR="0019308D" w:rsidRPr="0019308D">
        <w:rPr>
          <w:rFonts w:eastAsia="標楷體" w:hint="eastAsia"/>
          <w:sz w:val="28"/>
          <w:szCs w:val="16"/>
        </w:rPr>
        <w:t>19,976.9</w:t>
      </w:r>
      <w:r w:rsidR="0019308D" w:rsidRPr="0019308D">
        <w:rPr>
          <w:rFonts w:eastAsia="標楷體" w:hint="eastAsia"/>
          <w:sz w:val="28"/>
          <w:szCs w:val="16"/>
        </w:rPr>
        <w:t>億美元，較</w:t>
      </w:r>
      <w:r w:rsidR="002D6620">
        <w:rPr>
          <w:rFonts w:eastAsia="標楷體" w:hint="eastAsia"/>
          <w:sz w:val="28"/>
          <w:szCs w:val="16"/>
        </w:rPr>
        <w:t>上</w:t>
      </w:r>
      <w:r w:rsidR="0019308D" w:rsidRPr="0019308D">
        <w:rPr>
          <w:rFonts w:eastAsia="標楷體" w:hint="eastAsia"/>
          <w:sz w:val="28"/>
          <w:szCs w:val="16"/>
        </w:rPr>
        <w:t>年同期</w:t>
      </w:r>
      <w:r>
        <w:rPr>
          <w:rFonts w:eastAsia="標楷體" w:hint="eastAsia"/>
          <w:sz w:val="28"/>
          <w:szCs w:val="16"/>
        </w:rPr>
        <w:t>增加</w:t>
      </w:r>
      <w:r w:rsidR="0019308D" w:rsidRPr="0019308D">
        <w:rPr>
          <w:rFonts w:eastAsia="標楷體" w:hint="eastAsia"/>
          <w:sz w:val="28"/>
          <w:szCs w:val="16"/>
        </w:rPr>
        <w:t>8.6</w:t>
      </w:r>
      <w:r w:rsidR="0019308D">
        <w:rPr>
          <w:rFonts w:eastAsia="標楷體" w:hint="eastAsia"/>
          <w:sz w:val="28"/>
          <w:szCs w:val="16"/>
        </w:rPr>
        <w:t>％</w:t>
      </w:r>
      <w:r w:rsidR="0019308D" w:rsidRPr="0019308D">
        <w:rPr>
          <w:rFonts w:eastAsia="標楷體" w:hint="eastAsia"/>
          <w:sz w:val="28"/>
          <w:szCs w:val="16"/>
        </w:rPr>
        <w:t>。其中，出口額為</w:t>
      </w:r>
      <w:r w:rsidR="0019308D" w:rsidRPr="0019308D">
        <w:rPr>
          <w:rFonts w:eastAsia="標楷體" w:hint="eastAsia"/>
          <w:sz w:val="28"/>
          <w:szCs w:val="16"/>
        </w:rPr>
        <w:t>10,528.2</w:t>
      </w:r>
      <w:r w:rsidR="0019308D" w:rsidRPr="0019308D">
        <w:rPr>
          <w:rFonts w:eastAsia="標楷體" w:hint="eastAsia"/>
          <w:sz w:val="28"/>
          <w:szCs w:val="16"/>
        </w:rPr>
        <w:t>億美元，進口額為</w:t>
      </w:r>
      <w:r w:rsidR="0019308D" w:rsidRPr="0019308D">
        <w:rPr>
          <w:rFonts w:eastAsia="標楷體" w:hint="eastAsia"/>
          <w:sz w:val="28"/>
          <w:szCs w:val="16"/>
        </w:rPr>
        <w:t>9,448.7</w:t>
      </w:r>
      <w:r w:rsidR="0019308D" w:rsidRPr="0019308D">
        <w:rPr>
          <w:rFonts w:eastAsia="標楷體" w:hint="eastAsia"/>
          <w:sz w:val="28"/>
          <w:szCs w:val="16"/>
        </w:rPr>
        <w:t>億美元，分別</w:t>
      </w:r>
      <w:r>
        <w:rPr>
          <w:rFonts w:eastAsia="標楷體" w:hint="eastAsia"/>
          <w:sz w:val="28"/>
          <w:szCs w:val="16"/>
        </w:rPr>
        <w:t>增加</w:t>
      </w:r>
      <w:r w:rsidR="0019308D" w:rsidRPr="0019308D">
        <w:rPr>
          <w:rFonts w:eastAsia="標楷體" w:hint="eastAsia"/>
          <w:sz w:val="28"/>
          <w:szCs w:val="16"/>
        </w:rPr>
        <w:t>10.4</w:t>
      </w:r>
      <w:r w:rsidR="0019308D">
        <w:rPr>
          <w:rFonts w:eastAsia="標楷體" w:hint="eastAsia"/>
          <w:sz w:val="28"/>
          <w:szCs w:val="16"/>
        </w:rPr>
        <w:t>％</w:t>
      </w:r>
      <w:r w:rsidR="0019308D" w:rsidRPr="0019308D">
        <w:rPr>
          <w:rFonts w:eastAsia="標楷體" w:hint="eastAsia"/>
          <w:sz w:val="28"/>
          <w:szCs w:val="16"/>
        </w:rPr>
        <w:t>和</w:t>
      </w:r>
      <w:r w:rsidR="0019308D" w:rsidRPr="0019308D">
        <w:rPr>
          <w:rFonts w:eastAsia="標楷體" w:hint="eastAsia"/>
          <w:sz w:val="28"/>
          <w:szCs w:val="16"/>
        </w:rPr>
        <w:t>6.7</w:t>
      </w:r>
      <w:r w:rsidR="0019308D">
        <w:rPr>
          <w:rFonts w:eastAsia="標楷體" w:hint="eastAsia"/>
          <w:sz w:val="28"/>
          <w:szCs w:val="16"/>
        </w:rPr>
        <w:t>％</w:t>
      </w:r>
      <w:r w:rsidR="0019308D" w:rsidRPr="0019308D">
        <w:rPr>
          <w:rFonts w:eastAsia="標楷體" w:hint="eastAsia"/>
          <w:sz w:val="28"/>
          <w:szCs w:val="16"/>
        </w:rPr>
        <w:t>，</w:t>
      </w:r>
      <w:r>
        <w:rPr>
          <w:rFonts w:eastAsia="標楷體" w:hint="eastAsia"/>
          <w:sz w:val="28"/>
          <w:szCs w:val="16"/>
        </w:rPr>
        <w:t>出超</w:t>
      </w:r>
      <w:r w:rsidR="0019308D" w:rsidRPr="0019308D">
        <w:rPr>
          <w:rFonts w:eastAsia="標楷體" w:hint="eastAsia"/>
          <w:sz w:val="28"/>
          <w:szCs w:val="16"/>
        </w:rPr>
        <w:t>1,079.5</w:t>
      </w:r>
      <w:r w:rsidR="0019308D" w:rsidRPr="0019308D">
        <w:rPr>
          <w:rFonts w:eastAsia="標楷體" w:hint="eastAsia"/>
          <w:sz w:val="28"/>
          <w:szCs w:val="16"/>
        </w:rPr>
        <w:t>億美元。</w:t>
      </w:r>
    </w:p>
    <w:p w:rsidR="00D0404E" w:rsidRPr="0019308D" w:rsidRDefault="00D0404E" w:rsidP="0019308D">
      <w:pPr>
        <w:tabs>
          <w:tab w:val="left" w:pos="567"/>
        </w:tabs>
        <w:snapToGrid w:val="0"/>
        <w:spacing w:before="120"/>
        <w:ind w:leftChars="117" w:left="564" w:hangingChars="101" w:hanging="283"/>
        <w:jc w:val="both"/>
        <w:rPr>
          <w:rFonts w:eastAsia="標楷體"/>
          <w:sz w:val="28"/>
          <w:szCs w:val="16"/>
        </w:rPr>
      </w:pPr>
      <w:r w:rsidRPr="0019308D">
        <w:rPr>
          <w:rFonts w:eastAsia="標楷體"/>
          <w:sz w:val="28"/>
          <w:szCs w:val="16"/>
        </w:rPr>
        <w:t>－</w:t>
      </w:r>
      <w:r w:rsidR="0019308D" w:rsidRPr="0019308D">
        <w:rPr>
          <w:rFonts w:eastAsia="標楷體" w:hint="eastAsia"/>
          <w:sz w:val="28"/>
          <w:szCs w:val="16"/>
        </w:rPr>
        <w:t>2013</w:t>
      </w:r>
      <w:r w:rsidR="0019308D" w:rsidRPr="0019308D">
        <w:rPr>
          <w:rFonts w:eastAsia="標楷體" w:hint="eastAsia"/>
          <w:sz w:val="28"/>
          <w:szCs w:val="16"/>
        </w:rPr>
        <w:t>年</w:t>
      </w:r>
      <w:r w:rsidR="0019308D" w:rsidRPr="0019308D">
        <w:rPr>
          <w:rFonts w:eastAsia="標楷體" w:hint="eastAsia"/>
          <w:sz w:val="28"/>
          <w:szCs w:val="16"/>
        </w:rPr>
        <w:t>1</w:t>
      </w:r>
      <w:r w:rsidR="0019308D" w:rsidRPr="0019308D">
        <w:rPr>
          <w:rFonts w:eastAsia="標楷體" w:hint="eastAsia"/>
          <w:sz w:val="28"/>
          <w:szCs w:val="16"/>
        </w:rPr>
        <w:t>至</w:t>
      </w:r>
      <w:r w:rsidR="0019308D" w:rsidRPr="0019308D">
        <w:rPr>
          <w:rFonts w:eastAsia="標楷體" w:hint="eastAsia"/>
          <w:sz w:val="28"/>
          <w:szCs w:val="16"/>
        </w:rPr>
        <w:t>6</w:t>
      </w:r>
      <w:r w:rsidR="0019308D" w:rsidRPr="0019308D">
        <w:rPr>
          <w:rFonts w:eastAsia="標楷體" w:hint="eastAsia"/>
          <w:sz w:val="28"/>
          <w:szCs w:val="16"/>
        </w:rPr>
        <w:t>月與歐盟、美國、東協及日本之貿易總額，分別為</w:t>
      </w:r>
      <w:r w:rsidR="0019308D" w:rsidRPr="0019308D">
        <w:rPr>
          <w:rFonts w:eastAsia="標楷體" w:hint="eastAsia"/>
          <w:sz w:val="28"/>
          <w:szCs w:val="16"/>
        </w:rPr>
        <w:t>2,592.1</w:t>
      </w:r>
      <w:r w:rsidR="0019308D" w:rsidRPr="0019308D">
        <w:rPr>
          <w:rFonts w:eastAsia="標楷體" w:hint="eastAsia"/>
          <w:sz w:val="28"/>
          <w:szCs w:val="16"/>
        </w:rPr>
        <w:t>億美元、</w:t>
      </w:r>
      <w:r w:rsidR="0019308D" w:rsidRPr="0019308D">
        <w:rPr>
          <w:rFonts w:eastAsia="標楷體" w:hint="eastAsia"/>
          <w:sz w:val="28"/>
          <w:szCs w:val="16"/>
        </w:rPr>
        <w:t>2,440.1</w:t>
      </w:r>
      <w:r w:rsidR="0019308D" w:rsidRPr="0019308D">
        <w:rPr>
          <w:rFonts w:eastAsia="標楷體" w:hint="eastAsia"/>
          <w:sz w:val="28"/>
          <w:szCs w:val="16"/>
        </w:rPr>
        <w:t>億美元、</w:t>
      </w:r>
      <w:r w:rsidR="0019308D" w:rsidRPr="0019308D">
        <w:rPr>
          <w:rFonts w:eastAsia="標楷體" w:hint="eastAsia"/>
          <w:sz w:val="28"/>
          <w:szCs w:val="16"/>
        </w:rPr>
        <w:t>2,105.6</w:t>
      </w:r>
      <w:r w:rsidR="0019308D" w:rsidRPr="0019308D">
        <w:rPr>
          <w:rFonts w:eastAsia="標楷體" w:hint="eastAsia"/>
          <w:sz w:val="28"/>
          <w:szCs w:val="16"/>
        </w:rPr>
        <w:t>億美元及</w:t>
      </w:r>
      <w:r w:rsidR="0019308D" w:rsidRPr="0019308D">
        <w:rPr>
          <w:rFonts w:eastAsia="標楷體" w:hint="eastAsia"/>
          <w:sz w:val="28"/>
          <w:szCs w:val="16"/>
        </w:rPr>
        <w:t>1,469.2</w:t>
      </w:r>
      <w:r w:rsidR="0019308D" w:rsidRPr="0019308D">
        <w:rPr>
          <w:rFonts w:eastAsia="標楷體" w:hint="eastAsia"/>
          <w:sz w:val="28"/>
          <w:szCs w:val="16"/>
        </w:rPr>
        <w:t>億美元，分別成長</w:t>
      </w:r>
      <w:r w:rsidR="0019308D" w:rsidRPr="0019308D">
        <w:rPr>
          <w:rFonts w:eastAsia="標楷體" w:hint="eastAsia"/>
          <w:sz w:val="28"/>
          <w:szCs w:val="16"/>
        </w:rPr>
        <w:t>-3.1</w:t>
      </w:r>
      <w:r w:rsidR="0019308D" w:rsidRPr="0019308D">
        <w:rPr>
          <w:rFonts w:eastAsia="標楷體" w:hint="eastAsia"/>
          <w:sz w:val="28"/>
          <w:szCs w:val="16"/>
        </w:rPr>
        <w:t>％、</w:t>
      </w:r>
      <w:r w:rsidR="0019308D" w:rsidRPr="0019308D">
        <w:rPr>
          <w:rFonts w:eastAsia="標楷體" w:hint="eastAsia"/>
          <w:sz w:val="28"/>
          <w:szCs w:val="16"/>
        </w:rPr>
        <w:t>5.6</w:t>
      </w:r>
      <w:r w:rsidR="0019308D" w:rsidRPr="0019308D">
        <w:rPr>
          <w:rFonts w:eastAsia="標楷體" w:hint="eastAsia"/>
          <w:sz w:val="28"/>
          <w:szCs w:val="16"/>
        </w:rPr>
        <w:t>％、</w:t>
      </w:r>
      <w:r w:rsidR="0019308D" w:rsidRPr="0019308D">
        <w:rPr>
          <w:rFonts w:eastAsia="標楷體" w:hint="eastAsia"/>
          <w:sz w:val="28"/>
          <w:szCs w:val="16"/>
        </w:rPr>
        <w:t>12.2</w:t>
      </w:r>
      <w:r w:rsidR="0019308D" w:rsidRPr="0019308D">
        <w:rPr>
          <w:rFonts w:eastAsia="標楷體" w:hint="eastAsia"/>
          <w:sz w:val="28"/>
          <w:szCs w:val="16"/>
        </w:rPr>
        <w:t>％及</w:t>
      </w:r>
      <w:r w:rsidR="0019308D" w:rsidRPr="0019308D">
        <w:rPr>
          <w:rFonts w:eastAsia="標楷體" w:hint="eastAsia"/>
          <w:sz w:val="28"/>
          <w:szCs w:val="16"/>
        </w:rPr>
        <w:t>-9.3</w:t>
      </w:r>
      <w:r w:rsidR="0019308D" w:rsidRPr="0019308D">
        <w:rPr>
          <w:rFonts w:eastAsia="標楷體" w:hint="eastAsia"/>
          <w:sz w:val="28"/>
          <w:szCs w:val="16"/>
        </w:rPr>
        <w:t>％。</w:t>
      </w:r>
    </w:p>
    <w:p w:rsidR="00D0404E" w:rsidRPr="0019308D" w:rsidRDefault="00D0404E" w:rsidP="00D0404E">
      <w:pPr>
        <w:pStyle w:val="a7"/>
        <w:widowControl/>
        <w:snapToGrid w:val="0"/>
        <w:spacing w:before="120" w:line="0" w:lineRule="atLeast"/>
        <w:ind w:right="-1559"/>
        <w:jc w:val="center"/>
        <w:rPr>
          <w:rFonts w:ascii="Times New Roman" w:eastAsia="標楷體"/>
        </w:rPr>
      </w:pPr>
      <w:r w:rsidRPr="0019308D">
        <w:rPr>
          <w:rFonts w:ascii="Times New Roman" w:eastAsia="標楷體"/>
          <w:b/>
          <w:bCs/>
          <w:sz w:val="28"/>
        </w:rPr>
        <w:t xml:space="preserve">       </w:t>
      </w:r>
      <w:r w:rsidRPr="0019308D">
        <w:rPr>
          <w:rFonts w:ascii="Times New Roman" w:eastAsia="標楷體"/>
          <w:b/>
          <w:bCs/>
          <w:sz w:val="28"/>
        </w:rPr>
        <w:t>表</w:t>
      </w:r>
      <w:r w:rsidRPr="0019308D">
        <w:rPr>
          <w:rFonts w:ascii="Times New Roman" w:eastAsia="標楷體"/>
          <w:b/>
          <w:bCs/>
          <w:sz w:val="28"/>
        </w:rPr>
        <w:t xml:space="preserve">3-3   </w:t>
      </w:r>
      <w:r w:rsidRPr="0019308D">
        <w:rPr>
          <w:rFonts w:ascii="Times New Roman" w:eastAsia="標楷體"/>
          <w:b/>
          <w:bCs/>
          <w:sz w:val="28"/>
        </w:rPr>
        <w:t>中國大陸進出口貿易統計</w:t>
      </w:r>
      <w:r w:rsidRPr="0019308D">
        <w:rPr>
          <w:rFonts w:ascii="Times New Roman" w:eastAsia="標楷體"/>
          <w:b/>
          <w:bCs/>
          <w:sz w:val="28"/>
        </w:rPr>
        <w:t xml:space="preserve">     </w:t>
      </w:r>
      <w:r w:rsidRPr="0019308D">
        <w:rPr>
          <w:rFonts w:ascii="Times New Roman" w:eastAsia="標楷體"/>
        </w:rPr>
        <w:t>單位：億美元；</w:t>
      </w:r>
      <w:r w:rsidR="00CE7968">
        <w:rPr>
          <w:rFonts w:ascii="Times New Roman" w:eastAsia="標楷體" w:hint="eastAsia"/>
        </w:rPr>
        <w:t>％</w:t>
      </w:r>
    </w:p>
    <w:tbl>
      <w:tblPr>
        <w:tblW w:w="8521"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21"/>
        <w:gridCol w:w="6"/>
        <w:gridCol w:w="837"/>
        <w:gridCol w:w="6"/>
        <w:gridCol w:w="928"/>
        <w:gridCol w:w="6"/>
        <w:gridCol w:w="775"/>
        <w:gridCol w:w="6"/>
        <w:gridCol w:w="928"/>
        <w:gridCol w:w="6"/>
        <w:gridCol w:w="775"/>
        <w:gridCol w:w="6"/>
        <w:gridCol w:w="753"/>
        <w:gridCol w:w="6"/>
        <w:gridCol w:w="1656"/>
        <w:gridCol w:w="6"/>
      </w:tblGrid>
      <w:tr w:rsidR="0019308D" w:rsidRPr="00A23E15" w:rsidTr="0019308D">
        <w:trPr>
          <w:cantSplit/>
          <w:trHeight w:val="315"/>
        </w:trPr>
        <w:tc>
          <w:tcPr>
            <w:tcW w:w="1827" w:type="dxa"/>
            <w:gridSpan w:val="2"/>
            <w:vMerge w:val="restart"/>
            <w:tcBorders>
              <w:left w:val="nil"/>
            </w:tcBorders>
            <w:vAlign w:val="center"/>
          </w:tcPr>
          <w:p w:rsidR="0019308D" w:rsidRPr="00A23E15" w:rsidRDefault="0019308D" w:rsidP="008917A1">
            <w:pPr>
              <w:snapToGrid w:val="0"/>
              <w:spacing w:line="0" w:lineRule="atLeast"/>
              <w:jc w:val="center"/>
              <w:rPr>
                <w:rFonts w:eastAsia="標楷體"/>
              </w:rPr>
            </w:pPr>
            <w:r w:rsidRPr="00A23E15">
              <w:rPr>
                <w:rFonts w:eastAsia="標楷體" w:hAnsi="標楷體" w:hint="eastAsia"/>
              </w:rPr>
              <w:t>年（月）別</w:t>
            </w:r>
          </w:p>
        </w:tc>
        <w:tc>
          <w:tcPr>
            <w:tcW w:w="1777" w:type="dxa"/>
            <w:gridSpan w:val="4"/>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4"/>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4"/>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gridSpan w:val="2"/>
            <w:tcBorders>
              <w:bottom w:val="single" w:sz="4" w:space="0" w:color="auto"/>
              <w:right w:val="nil"/>
            </w:tcBorders>
            <w:vAlign w:val="center"/>
          </w:tcPr>
          <w:p w:rsidR="0019308D" w:rsidRPr="00A23E15" w:rsidRDefault="0019308D" w:rsidP="00C7141C">
            <w:pPr>
              <w:snapToGrid w:val="0"/>
              <w:spacing w:line="0" w:lineRule="atLeast"/>
              <w:ind w:left="-113" w:right="-113"/>
              <w:jc w:val="center"/>
              <w:rPr>
                <w:rFonts w:eastAsia="標楷體"/>
              </w:rPr>
            </w:pPr>
            <w:r>
              <w:rPr>
                <w:rFonts w:eastAsia="標楷體" w:hAnsi="標楷體" w:hint="eastAsia"/>
              </w:rPr>
              <w:t>出入超</w:t>
            </w:r>
          </w:p>
        </w:tc>
      </w:tr>
      <w:tr w:rsidR="0019308D" w:rsidRPr="00A23E15" w:rsidTr="0019308D">
        <w:trPr>
          <w:cantSplit/>
          <w:trHeight w:val="146"/>
        </w:trPr>
        <w:tc>
          <w:tcPr>
            <w:tcW w:w="1827" w:type="dxa"/>
            <w:gridSpan w:val="2"/>
            <w:vMerge/>
            <w:tcBorders>
              <w:left w:val="nil"/>
              <w:bottom w:val="single" w:sz="4" w:space="0" w:color="auto"/>
            </w:tcBorders>
          </w:tcPr>
          <w:p w:rsidR="0019308D" w:rsidRPr="00A23E15" w:rsidRDefault="0019308D" w:rsidP="008917A1">
            <w:pPr>
              <w:snapToGrid w:val="0"/>
              <w:spacing w:line="0" w:lineRule="atLeast"/>
              <w:jc w:val="center"/>
              <w:rPr>
                <w:rFonts w:eastAsia="標楷體"/>
              </w:rPr>
            </w:pPr>
          </w:p>
        </w:tc>
        <w:tc>
          <w:tcPr>
            <w:tcW w:w="843" w:type="dxa"/>
            <w:gridSpan w:val="2"/>
            <w:tcBorders>
              <w:bottom w:val="single" w:sz="4" w:space="0" w:color="auto"/>
            </w:tcBorders>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金額</w:t>
            </w:r>
          </w:p>
        </w:tc>
        <w:tc>
          <w:tcPr>
            <w:tcW w:w="934" w:type="dxa"/>
            <w:gridSpan w:val="2"/>
            <w:tcBorders>
              <w:bottom w:val="single" w:sz="4" w:space="0" w:color="auto"/>
            </w:tcBorders>
            <w:vAlign w:val="center"/>
          </w:tcPr>
          <w:p w:rsidR="0019308D" w:rsidRPr="00A23E15" w:rsidRDefault="00C7141C" w:rsidP="008917A1">
            <w:pPr>
              <w:snapToGrid w:val="0"/>
              <w:spacing w:line="0" w:lineRule="atLeast"/>
              <w:ind w:left="-113" w:right="-113"/>
              <w:jc w:val="center"/>
              <w:rPr>
                <w:rFonts w:eastAsia="標楷體"/>
              </w:rPr>
            </w:pPr>
            <w:r>
              <w:rPr>
                <w:rFonts w:eastAsia="標楷體" w:hAnsi="標楷體" w:hint="eastAsia"/>
              </w:rPr>
              <w:t>年增</w:t>
            </w:r>
            <w:r w:rsidR="0019308D" w:rsidRPr="00A23E15">
              <w:rPr>
                <w:rFonts w:eastAsia="標楷體" w:hAnsi="標楷體" w:hint="eastAsia"/>
              </w:rPr>
              <w:t>率</w:t>
            </w:r>
          </w:p>
        </w:tc>
        <w:tc>
          <w:tcPr>
            <w:tcW w:w="781" w:type="dxa"/>
            <w:gridSpan w:val="2"/>
            <w:tcBorders>
              <w:bottom w:val="single" w:sz="4" w:space="0" w:color="auto"/>
            </w:tcBorders>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金額</w:t>
            </w:r>
          </w:p>
        </w:tc>
        <w:tc>
          <w:tcPr>
            <w:tcW w:w="934" w:type="dxa"/>
            <w:gridSpan w:val="2"/>
            <w:tcBorders>
              <w:bottom w:val="single" w:sz="4" w:space="0" w:color="auto"/>
            </w:tcBorders>
            <w:vAlign w:val="center"/>
          </w:tcPr>
          <w:p w:rsidR="0019308D" w:rsidRPr="00A23E15" w:rsidRDefault="00C7141C" w:rsidP="008917A1">
            <w:pPr>
              <w:snapToGrid w:val="0"/>
              <w:spacing w:line="0" w:lineRule="atLeast"/>
              <w:ind w:left="-113" w:right="-113"/>
              <w:jc w:val="center"/>
              <w:rPr>
                <w:rFonts w:eastAsia="標楷體"/>
              </w:rPr>
            </w:pPr>
            <w:r>
              <w:rPr>
                <w:rFonts w:eastAsia="標楷體" w:hAnsi="標楷體" w:hint="eastAsia"/>
              </w:rPr>
              <w:t>年增</w:t>
            </w:r>
            <w:r w:rsidR="0019308D" w:rsidRPr="00A23E15">
              <w:rPr>
                <w:rFonts w:eastAsia="標楷體" w:hAnsi="標楷體" w:hint="eastAsia"/>
              </w:rPr>
              <w:t>率</w:t>
            </w:r>
          </w:p>
        </w:tc>
        <w:tc>
          <w:tcPr>
            <w:tcW w:w="781" w:type="dxa"/>
            <w:gridSpan w:val="2"/>
            <w:tcBorders>
              <w:bottom w:val="single" w:sz="4" w:space="0" w:color="auto"/>
            </w:tcBorders>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金額</w:t>
            </w:r>
          </w:p>
        </w:tc>
        <w:tc>
          <w:tcPr>
            <w:tcW w:w="759" w:type="dxa"/>
            <w:gridSpan w:val="2"/>
            <w:tcBorders>
              <w:bottom w:val="single" w:sz="4" w:space="0" w:color="auto"/>
            </w:tcBorders>
            <w:vAlign w:val="center"/>
          </w:tcPr>
          <w:p w:rsidR="0019308D" w:rsidRPr="00A23E15" w:rsidRDefault="00C7141C" w:rsidP="008917A1">
            <w:pPr>
              <w:snapToGrid w:val="0"/>
              <w:spacing w:line="0" w:lineRule="atLeast"/>
              <w:ind w:left="-113" w:right="-113"/>
              <w:jc w:val="center"/>
              <w:rPr>
                <w:rFonts w:eastAsia="標楷體"/>
              </w:rPr>
            </w:pPr>
            <w:r>
              <w:rPr>
                <w:rFonts w:eastAsia="標楷體" w:hAnsi="標楷體" w:hint="eastAsia"/>
              </w:rPr>
              <w:t>年增</w:t>
            </w:r>
            <w:r w:rsidR="0019308D" w:rsidRPr="00A23E15">
              <w:rPr>
                <w:rFonts w:eastAsia="標楷體" w:hAnsi="標楷體" w:hint="eastAsia"/>
              </w:rPr>
              <w:t>率</w:t>
            </w:r>
          </w:p>
        </w:tc>
        <w:tc>
          <w:tcPr>
            <w:tcW w:w="1662" w:type="dxa"/>
            <w:gridSpan w:val="2"/>
            <w:tcBorders>
              <w:bottom w:val="single" w:sz="4" w:space="0" w:color="auto"/>
              <w:right w:val="nil"/>
            </w:tcBorders>
            <w:vAlign w:val="center"/>
          </w:tcPr>
          <w:p w:rsidR="0019308D" w:rsidRPr="00A23E15" w:rsidRDefault="0019308D" w:rsidP="008917A1">
            <w:pPr>
              <w:snapToGrid w:val="0"/>
              <w:spacing w:line="0" w:lineRule="atLeast"/>
              <w:ind w:left="-113" w:right="-113"/>
              <w:jc w:val="center"/>
              <w:rPr>
                <w:rFonts w:eastAsia="標楷體"/>
              </w:rPr>
            </w:pPr>
            <w:r w:rsidRPr="00A23E15">
              <w:rPr>
                <w:rFonts w:eastAsia="標楷體" w:hAnsi="標楷體" w:hint="eastAsia"/>
              </w:rPr>
              <w:t>金額</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gridSpan w:val="2"/>
            <w:tcBorders>
              <w:top w:val="nil"/>
              <w:left w:val="nil"/>
              <w:bottom w:val="nil"/>
              <w:right w:val="nil"/>
            </w:tcBorders>
            <w:vAlign w:val="center"/>
          </w:tcPr>
          <w:p w:rsidR="0019308D" w:rsidRPr="00A23E15" w:rsidRDefault="0019308D" w:rsidP="008917A1">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A23E15" w:rsidRDefault="0019308D" w:rsidP="008917A1">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gridSpan w:val="2"/>
            <w:tcBorders>
              <w:top w:val="nil"/>
              <w:left w:val="nil"/>
              <w:bottom w:val="nil"/>
              <w:right w:val="nil"/>
            </w:tcBorders>
            <w:vAlign w:val="center"/>
          </w:tcPr>
          <w:p w:rsidR="0019308D" w:rsidRPr="00A23E15" w:rsidRDefault="0019308D" w:rsidP="008917A1">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6</w:t>
            </w:r>
            <w:r w:rsidRPr="009052D2">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976.9</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8.6</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10</w:t>
            </w:r>
            <w:r w:rsidRPr="009052D2">
              <w:rPr>
                <w:rFonts w:eastAsia="標楷體" w:hint="eastAsia"/>
                <w:sz w:val="22"/>
                <w:szCs w:val="22"/>
              </w:rPr>
              <w:t>,</w:t>
            </w:r>
            <w:r>
              <w:rPr>
                <w:rFonts w:eastAsia="標楷體" w:hint="eastAsia"/>
                <w:sz w:val="22"/>
                <w:szCs w:val="22"/>
              </w:rPr>
              <w:t>528.2</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10.4</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9</w:t>
            </w:r>
            <w:r w:rsidRPr="009052D2">
              <w:rPr>
                <w:rFonts w:eastAsia="標楷體" w:hint="eastAsia"/>
                <w:sz w:val="22"/>
                <w:szCs w:val="22"/>
              </w:rPr>
              <w:t>,</w:t>
            </w:r>
            <w:r>
              <w:rPr>
                <w:rFonts w:eastAsia="標楷體" w:hint="eastAsia"/>
                <w:sz w:val="22"/>
                <w:szCs w:val="22"/>
              </w:rPr>
              <w:t>448.7</w:t>
            </w:r>
          </w:p>
        </w:tc>
        <w:tc>
          <w:tcPr>
            <w:tcW w:w="759"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6.7</w:t>
            </w:r>
          </w:p>
        </w:tc>
        <w:tc>
          <w:tcPr>
            <w:tcW w:w="1662"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1,079.5</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Pr="009052D2" w:rsidRDefault="0019308D" w:rsidP="008917A1">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gridSpan w:val="2"/>
            <w:tcBorders>
              <w:top w:val="nil"/>
              <w:left w:val="nil"/>
              <w:bottom w:val="nil"/>
              <w:right w:val="nil"/>
            </w:tcBorders>
            <w:vAlign w:val="center"/>
          </w:tcPr>
          <w:p w:rsidR="0019308D" w:rsidRPr="009052D2"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181.6</w:t>
            </w:r>
          </w:p>
        </w:tc>
      </w:tr>
      <w:tr w:rsidR="0019308D" w:rsidRPr="00A23E15" w:rsidTr="0019308D">
        <w:trPr>
          <w:gridAfter w:val="1"/>
          <w:wAfter w:w="6" w:type="dxa"/>
          <w:cantSplit/>
          <w:trHeight w:hRule="exact" w:val="401"/>
        </w:trPr>
        <w:tc>
          <w:tcPr>
            <w:tcW w:w="1821" w:type="dxa"/>
            <w:tcBorders>
              <w:top w:val="nil"/>
              <w:left w:val="nil"/>
              <w:bottom w:val="nil"/>
              <w:right w:val="single" w:sz="4" w:space="0" w:color="auto"/>
            </w:tcBorders>
            <w:vAlign w:val="center"/>
          </w:tcPr>
          <w:p w:rsidR="0019308D" w:rsidRDefault="0019308D" w:rsidP="008917A1">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gridSpan w:val="2"/>
            <w:tcBorders>
              <w:top w:val="nil"/>
              <w:left w:val="single" w:sz="4" w:space="0" w:color="auto"/>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gridSpan w:val="2"/>
            <w:tcBorders>
              <w:top w:val="nil"/>
              <w:left w:val="nil"/>
              <w:bottom w:val="nil"/>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204.3</w:t>
            </w:r>
          </w:p>
        </w:tc>
      </w:tr>
      <w:tr w:rsidR="0019308D" w:rsidRPr="00A23E15" w:rsidTr="0019308D">
        <w:trPr>
          <w:gridAfter w:val="1"/>
          <w:wAfter w:w="6" w:type="dxa"/>
          <w:cantSplit/>
          <w:trHeight w:hRule="exact" w:val="401"/>
        </w:trPr>
        <w:tc>
          <w:tcPr>
            <w:tcW w:w="1821" w:type="dxa"/>
            <w:tcBorders>
              <w:top w:val="nil"/>
              <w:left w:val="nil"/>
              <w:bottom w:val="single" w:sz="4" w:space="0" w:color="auto"/>
              <w:right w:val="single" w:sz="4" w:space="0" w:color="auto"/>
            </w:tcBorders>
            <w:vAlign w:val="center"/>
          </w:tcPr>
          <w:p w:rsidR="0019308D" w:rsidRDefault="0019308D" w:rsidP="008917A1">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gridSpan w:val="2"/>
            <w:tcBorders>
              <w:top w:val="nil"/>
              <w:left w:val="single" w:sz="4" w:space="0" w:color="auto"/>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gridSpan w:val="2"/>
            <w:tcBorders>
              <w:top w:val="nil"/>
              <w:left w:val="nil"/>
              <w:bottom w:val="single" w:sz="4" w:space="0" w:color="auto"/>
              <w:right w:val="nil"/>
            </w:tcBorders>
            <w:vAlign w:val="center"/>
          </w:tcPr>
          <w:p w:rsidR="0019308D" w:rsidRDefault="0019308D" w:rsidP="008917A1">
            <w:pPr>
              <w:snapToGrid w:val="0"/>
              <w:spacing w:line="280" w:lineRule="exact"/>
              <w:ind w:left="-113" w:right="-113"/>
              <w:jc w:val="center"/>
              <w:rPr>
                <w:rFonts w:eastAsia="標楷體"/>
                <w:sz w:val="22"/>
                <w:szCs w:val="22"/>
              </w:rPr>
            </w:pPr>
            <w:r>
              <w:rPr>
                <w:rFonts w:eastAsia="標楷體" w:hint="eastAsia"/>
                <w:sz w:val="22"/>
                <w:szCs w:val="22"/>
              </w:rPr>
              <w:t>271.2</w:t>
            </w:r>
          </w:p>
        </w:tc>
      </w:tr>
    </w:tbl>
    <w:p w:rsidR="003D2281" w:rsidRPr="0019308D" w:rsidRDefault="00D0404E" w:rsidP="00B732BB">
      <w:pPr>
        <w:pStyle w:val="k3a"/>
        <w:spacing w:beforeLines="20" w:before="72"/>
        <w:ind w:leftChars="0" w:left="0" w:firstLineChars="0" w:firstLine="0"/>
        <w:rPr>
          <w:sz w:val="22"/>
        </w:rPr>
      </w:pPr>
      <w:r w:rsidRPr="0019308D">
        <w:rPr>
          <w:sz w:val="22"/>
        </w:rPr>
        <w:t>資料來源：中國大陸海關統計、中國大陸商務部。</w:t>
      </w:r>
    </w:p>
    <w:p w:rsidR="003E39A4" w:rsidRPr="003111E1" w:rsidRDefault="007E4EBE" w:rsidP="003F11AE">
      <w:pPr>
        <w:pStyle w:val="t-2"/>
        <w:rPr>
          <w:rFonts w:hAnsi="Times New Roman"/>
        </w:rPr>
      </w:pPr>
      <w:bookmarkStart w:id="113" w:name="_Toc358042589"/>
      <w:r w:rsidRPr="0001130E">
        <w:rPr>
          <w:noProof/>
        </w:rPr>
        <w:lastRenderedPageBreak/>
        <w:drawing>
          <wp:anchor distT="0" distB="0" distL="114300" distR="114300" simplePos="0" relativeHeight="251762176" behindDoc="1" locked="0" layoutInCell="1" allowOverlap="1" wp14:anchorId="7070858B" wp14:editId="27C022EE">
            <wp:simplePos x="0" y="0"/>
            <wp:positionH relativeFrom="column">
              <wp:posOffset>2437765</wp:posOffset>
            </wp:positionH>
            <wp:positionV relativeFrom="paragraph">
              <wp:posOffset>323215</wp:posOffset>
            </wp:positionV>
            <wp:extent cx="3977640" cy="2962275"/>
            <wp:effectExtent l="0" t="0" r="0" b="0"/>
            <wp:wrapTight wrapText="bothSides">
              <wp:wrapPolygon edited="0">
                <wp:start x="7862" y="1667"/>
                <wp:lineTo x="5379" y="1945"/>
                <wp:lineTo x="5483" y="2917"/>
                <wp:lineTo x="10759" y="4167"/>
                <wp:lineTo x="724" y="4167"/>
                <wp:lineTo x="310" y="5973"/>
                <wp:lineTo x="1448" y="6390"/>
                <wp:lineTo x="414" y="7223"/>
                <wp:lineTo x="414" y="7918"/>
                <wp:lineTo x="1448" y="8612"/>
                <wp:lineTo x="414" y="9029"/>
                <wp:lineTo x="517" y="14307"/>
                <wp:lineTo x="931" y="15280"/>
                <wp:lineTo x="1448" y="15280"/>
                <wp:lineTo x="621" y="16113"/>
                <wp:lineTo x="621" y="16530"/>
                <wp:lineTo x="1448" y="17502"/>
                <wp:lineTo x="828" y="17919"/>
                <wp:lineTo x="828" y="18475"/>
                <wp:lineTo x="2069" y="19030"/>
                <wp:lineTo x="19552" y="19030"/>
                <wp:lineTo x="19862" y="18058"/>
                <wp:lineTo x="19448" y="17502"/>
                <wp:lineTo x="19655" y="6112"/>
                <wp:lineTo x="10759" y="4167"/>
                <wp:lineTo x="14379" y="2917"/>
                <wp:lineTo x="14586" y="1945"/>
                <wp:lineTo x="13448" y="1667"/>
                <wp:lineTo x="7862" y="1667"/>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764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3111E1">
        <w:rPr>
          <w:rFonts w:hAnsi="Times New Roman"/>
        </w:rPr>
        <w:t>四、兩岸經貿統計</w:t>
      </w:r>
      <w:bookmarkEnd w:id="109"/>
      <w:bookmarkEnd w:id="113"/>
    </w:p>
    <w:bookmarkStart w:id="114" w:name="_Toc358042590"/>
    <w:p w:rsidR="006C1440" w:rsidRPr="002D7AEC" w:rsidRDefault="007E4EBE" w:rsidP="002C6CB3">
      <w:pPr>
        <w:pStyle w:val="3"/>
        <w:spacing w:line="240" w:lineRule="auto"/>
        <w:rPr>
          <w:rFonts w:ascii="Times New Roman" w:eastAsia="標楷體" w:hAnsi="Times New Roman"/>
          <w:b w:val="0"/>
          <w:bCs w:val="0"/>
          <w:sz w:val="32"/>
        </w:rPr>
      </w:pPr>
      <w:r>
        <w:rPr>
          <w:noProof/>
        </w:rPr>
        <mc:AlternateContent>
          <mc:Choice Requires="wps">
            <w:drawing>
              <wp:anchor distT="0" distB="0" distL="114300" distR="114300" simplePos="0" relativeHeight="251764224" behindDoc="0" locked="0" layoutInCell="1" allowOverlap="1" wp14:anchorId="08ED2B0D" wp14:editId="0D993491">
                <wp:simplePos x="0" y="0"/>
                <wp:positionH relativeFrom="column">
                  <wp:posOffset>3399790</wp:posOffset>
                </wp:positionH>
                <wp:positionV relativeFrom="paragraph">
                  <wp:posOffset>86360</wp:posOffset>
                </wp:positionV>
                <wp:extent cx="2264410" cy="329565"/>
                <wp:effectExtent l="0" t="0" r="2540" b="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29565"/>
                        </a:xfrm>
                        <a:prstGeom prst="rect">
                          <a:avLst/>
                        </a:prstGeom>
                        <a:solidFill>
                          <a:srgbClr val="FFFFFF"/>
                        </a:solidFill>
                        <a:ln w="9525">
                          <a:noFill/>
                          <a:miter lim="800000"/>
                          <a:headEnd/>
                          <a:tailEnd/>
                        </a:ln>
                      </wps:spPr>
                      <wps:txb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我國對中國大陸投資變動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67.7pt;margin-top:6.8pt;width:178.3pt;height:25.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" stroked="f">
                <v:textbo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我國對中國大陸投資變動</w:t>
                      </w:r>
                    </w:p>
                  </w:txbxContent>
                </v:textbox>
              </v:shape>
            </w:pict>
          </mc:Fallback>
        </mc:AlternateContent>
      </w:r>
      <w:r w:rsidR="006C1440" w:rsidRPr="002D7AEC">
        <w:rPr>
          <w:rFonts w:ascii="Times New Roman" w:eastAsia="標楷體" w:hAnsi="Times New Roman"/>
          <w:sz w:val="32"/>
        </w:rPr>
        <w:t>（一）兩岸投資</w:t>
      </w:r>
      <w:bookmarkEnd w:id="114"/>
    </w:p>
    <w:p w:rsidR="006C1440" w:rsidRPr="00BC2D14" w:rsidRDefault="006C1440" w:rsidP="006C1440">
      <w:pPr>
        <w:pStyle w:val="k3a"/>
        <w:spacing w:beforeLines="0" w:before="0" w:line="440" w:lineRule="exact"/>
        <w:ind w:leftChars="0" w:left="0" w:firstLineChars="0" w:firstLine="0"/>
        <w:rPr>
          <w:b/>
          <w:bCs/>
          <w:sz w:val="32"/>
        </w:rPr>
      </w:pPr>
      <w:r w:rsidRPr="002D7AEC">
        <w:rPr>
          <w:b/>
          <w:bCs/>
          <w:sz w:val="32"/>
        </w:rPr>
        <w:t>１、我對中國大陸投資</w:t>
      </w:r>
    </w:p>
    <w:p w:rsidR="006C1440" w:rsidRDefault="001D6741" w:rsidP="001508C5">
      <w:pPr>
        <w:snapToGrid w:val="0"/>
        <w:spacing w:before="120"/>
        <w:ind w:leftChars="119" w:left="569" w:hangingChars="101" w:hanging="283"/>
        <w:jc w:val="both"/>
        <w:rPr>
          <w:rFonts w:eastAsia="標楷體"/>
          <w:sz w:val="28"/>
          <w:szCs w:val="16"/>
        </w:rPr>
      </w:pPr>
      <w:r w:rsidRPr="002D7AEC">
        <w:rPr>
          <w:rFonts w:eastAsia="標楷體"/>
          <w:sz w:val="28"/>
          <w:szCs w:val="16"/>
        </w:rPr>
        <w:t>－</w:t>
      </w:r>
      <w:r w:rsidR="002D7AEC" w:rsidRPr="002D7AEC">
        <w:rPr>
          <w:rFonts w:eastAsia="標楷體" w:hint="eastAsia"/>
          <w:sz w:val="28"/>
          <w:szCs w:val="16"/>
        </w:rPr>
        <w:t>2013</w:t>
      </w:r>
      <w:r w:rsidR="002D7AEC" w:rsidRPr="002D7AEC">
        <w:rPr>
          <w:rFonts w:eastAsia="標楷體" w:hint="eastAsia"/>
          <w:sz w:val="28"/>
          <w:szCs w:val="16"/>
        </w:rPr>
        <w:t>年</w:t>
      </w:r>
      <w:r w:rsidR="002D7AEC" w:rsidRPr="002D7AEC">
        <w:rPr>
          <w:rFonts w:eastAsia="標楷體" w:hint="eastAsia"/>
          <w:sz w:val="28"/>
          <w:szCs w:val="16"/>
        </w:rPr>
        <w:t>1</w:t>
      </w:r>
      <w:r w:rsidR="002D7AEC" w:rsidRPr="002D7AEC">
        <w:rPr>
          <w:rFonts w:eastAsia="標楷體" w:hint="eastAsia"/>
          <w:sz w:val="28"/>
          <w:szCs w:val="16"/>
        </w:rPr>
        <w:t>至</w:t>
      </w:r>
      <w:r w:rsidR="002D7AEC" w:rsidRPr="002D7AEC">
        <w:rPr>
          <w:rFonts w:eastAsia="標楷體" w:hint="eastAsia"/>
          <w:sz w:val="28"/>
          <w:szCs w:val="16"/>
        </w:rPr>
        <w:t>6</w:t>
      </w:r>
      <w:r w:rsidR="002D7AEC" w:rsidRPr="002D7AEC">
        <w:rPr>
          <w:rFonts w:eastAsia="標楷體" w:hint="eastAsia"/>
          <w:sz w:val="28"/>
          <w:szCs w:val="16"/>
        </w:rPr>
        <w:t>月我對中國大陸投資件數為</w:t>
      </w:r>
      <w:r w:rsidR="002D7AEC" w:rsidRPr="002D7AEC">
        <w:rPr>
          <w:rFonts w:eastAsia="標楷體" w:hint="eastAsia"/>
          <w:sz w:val="28"/>
          <w:szCs w:val="16"/>
        </w:rPr>
        <w:t>278</w:t>
      </w:r>
      <w:r w:rsidR="002D7AEC" w:rsidRPr="002D7AEC">
        <w:rPr>
          <w:rFonts w:eastAsia="標楷體" w:hint="eastAsia"/>
          <w:sz w:val="28"/>
          <w:szCs w:val="16"/>
        </w:rPr>
        <w:t>件，金額為</w:t>
      </w:r>
      <w:r w:rsidR="002D7AEC" w:rsidRPr="002D7AEC">
        <w:rPr>
          <w:rFonts w:eastAsia="標楷體" w:hint="eastAsia"/>
          <w:sz w:val="28"/>
          <w:szCs w:val="16"/>
        </w:rPr>
        <w:t>50.8</w:t>
      </w:r>
      <w:r w:rsidR="002D7AEC" w:rsidRPr="002D7AEC">
        <w:rPr>
          <w:rFonts w:eastAsia="標楷體" w:hint="eastAsia"/>
          <w:sz w:val="28"/>
          <w:szCs w:val="16"/>
        </w:rPr>
        <w:t>億美元。累計</w:t>
      </w:r>
      <w:r w:rsidR="002D7AEC" w:rsidRPr="002D7AEC">
        <w:rPr>
          <w:rFonts w:eastAsia="標楷體" w:hint="eastAsia"/>
          <w:sz w:val="28"/>
          <w:szCs w:val="16"/>
        </w:rPr>
        <w:t>1991</w:t>
      </w:r>
      <w:r w:rsidR="002D7AEC" w:rsidRPr="002D7AEC">
        <w:rPr>
          <w:rFonts w:eastAsia="標楷體" w:hint="eastAsia"/>
          <w:sz w:val="28"/>
          <w:szCs w:val="16"/>
        </w:rPr>
        <w:t>年至</w:t>
      </w:r>
      <w:r w:rsidR="002D7AEC" w:rsidRPr="002D7AEC">
        <w:rPr>
          <w:rFonts w:eastAsia="標楷體" w:hint="eastAsia"/>
          <w:sz w:val="28"/>
          <w:szCs w:val="16"/>
        </w:rPr>
        <w:t>2013</w:t>
      </w:r>
      <w:r w:rsidR="002D7AEC" w:rsidRPr="002D7AEC">
        <w:rPr>
          <w:rFonts w:eastAsia="標楷體" w:hint="eastAsia"/>
          <w:sz w:val="28"/>
          <w:szCs w:val="16"/>
        </w:rPr>
        <w:t>年</w:t>
      </w:r>
      <w:r w:rsidR="002D7AEC" w:rsidRPr="002D7AEC">
        <w:rPr>
          <w:rFonts w:eastAsia="標楷體" w:hint="eastAsia"/>
          <w:sz w:val="28"/>
          <w:szCs w:val="16"/>
        </w:rPr>
        <w:t>6</w:t>
      </w:r>
      <w:r w:rsidR="002D7AEC" w:rsidRPr="002D7AEC">
        <w:rPr>
          <w:rFonts w:eastAsia="標楷體" w:hint="eastAsia"/>
          <w:sz w:val="28"/>
          <w:szCs w:val="16"/>
        </w:rPr>
        <w:t>月，台商赴中國大陸投資共計</w:t>
      </w:r>
      <w:r w:rsidR="002D7AEC" w:rsidRPr="002D7AEC">
        <w:rPr>
          <w:rFonts w:eastAsia="標楷體" w:hint="eastAsia"/>
          <w:sz w:val="28"/>
          <w:szCs w:val="16"/>
        </w:rPr>
        <w:t>1,295.6</w:t>
      </w:r>
      <w:r w:rsidR="002D7AEC" w:rsidRPr="002D7AEC">
        <w:rPr>
          <w:rFonts w:eastAsia="標楷體" w:hint="eastAsia"/>
          <w:sz w:val="28"/>
          <w:szCs w:val="16"/>
        </w:rPr>
        <w:t>億美元。</w:t>
      </w:r>
      <w:r w:rsidR="008833E1">
        <w:rPr>
          <w:rFonts w:eastAsia="標楷體" w:hint="eastAsia"/>
          <w:sz w:val="28"/>
          <w:szCs w:val="16"/>
        </w:rPr>
        <w:t>（</w:t>
      </w:r>
      <w:r w:rsidR="002D7AEC" w:rsidRPr="002D7AEC">
        <w:rPr>
          <w:rFonts w:eastAsia="標楷體" w:hint="eastAsia"/>
          <w:sz w:val="28"/>
          <w:szCs w:val="16"/>
        </w:rPr>
        <w:t>以上單年、累計之件數及金額均含經核准補辦案件</w:t>
      </w:r>
      <w:r w:rsidR="008833E1">
        <w:rPr>
          <w:rFonts w:eastAsia="標楷體" w:hint="eastAsia"/>
          <w:sz w:val="28"/>
          <w:szCs w:val="16"/>
        </w:rPr>
        <w:t>）</w:t>
      </w:r>
    </w:p>
    <w:p w:rsidR="006C1440" w:rsidRPr="002D7AEC" w:rsidRDefault="006C1440" w:rsidP="002D7AEC">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2D7AEC" w:rsidRPr="00896C1C" w:rsidTr="008917A1">
        <w:trPr>
          <w:cantSplit/>
        </w:trPr>
        <w:tc>
          <w:tcPr>
            <w:tcW w:w="1648" w:type="dxa"/>
            <w:vMerge w:val="restart"/>
            <w:tcBorders>
              <w:left w:val="nil"/>
            </w:tcBorders>
          </w:tcPr>
          <w:p w:rsidR="002D7AEC" w:rsidRPr="00896C1C" w:rsidRDefault="002D7AEC" w:rsidP="008917A1">
            <w:pPr>
              <w:adjustRightInd w:val="0"/>
              <w:snapToGrid w:val="0"/>
              <w:jc w:val="center"/>
              <w:rPr>
                <w:rFonts w:eastAsia="標楷體"/>
              </w:rPr>
            </w:pPr>
            <w:r w:rsidRPr="00896C1C">
              <w:rPr>
                <w:rFonts w:eastAsia="標楷體" w:hint="eastAsia"/>
              </w:rPr>
              <w:t>年</w:t>
            </w:r>
            <w:r w:rsidR="00CE5399">
              <w:rPr>
                <w:rFonts w:eastAsia="標楷體" w:hint="eastAsia"/>
              </w:rPr>
              <w:t>(</w:t>
            </w:r>
            <w:r w:rsidRPr="00896C1C">
              <w:rPr>
                <w:rFonts w:eastAsia="標楷體" w:hint="eastAsia"/>
              </w:rPr>
              <w:t>月</w:t>
            </w:r>
            <w:r w:rsidR="00CE5399">
              <w:rPr>
                <w:rFonts w:eastAsia="標楷體" w:hint="eastAsia"/>
              </w:rPr>
              <w:t>)</w:t>
            </w:r>
            <w:r w:rsidRPr="00896C1C">
              <w:rPr>
                <w:rFonts w:eastAsia="標楷體" w:hint="eastAsia"/>
              </w:rPr>
              <w:t>別</w:t>
            </w:r>
          </w:p>
        </w:tc>
        <w:tc>
          <w:tcPr>
            <w:tcW w:w="4436" w:type="dxa"/>
            <w:gridSpan w:val="3"/>
          </w:tcPr>
          <w:p w:rsidR="002D7AEC" w:rsidRPr="00896C1C" w:rsidRDefault="002D7AEC" w:rsidP="008917A1">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2D7AEC" w:rsidRPr="00896C1C" w:rsidRDefault="002D7AEC" w:rsidP="008917A1">
            <w:pPr>
              <w:adjustRightInd w:val="0"/>
              <w:snapToGrid w:val="0"/>
              <w:jc w:val="center"/>
              <w:rPr>
                <w:rFonts w:eastAsia="標楷體"/>
                <w:b/>
                <w:bCs/>
                <w:sz w:val="28"/>
              </w:rPr>
            </w:pPr>
            <w:r w:rsidRPr="00896C1C">
              <w:rPr>
                <w:rFonts w:eastAsia="標楷體" w:hint="eastAsia"/>
              </w:rPr>
              <w:t>中國大陸對外宣布</w:t>
            </w:r>
          </w:p>
        </w:tc>
      </w:tr>
      <w:tr w:rsidR="002D7AEC" w:rsidRPr="00896C1C" w:rsidTr="008917A1">
        <w:trPr>
          <w:cantSplit/>
        </w:trPr>
        <w:tc>
          <w:tcPr>
            <w:tcW w:w="1648" w:type="dxa"/>
            <w:vMerge/>
            <w:tcBorders>
              <w:left w:val="nil"/>
            </w:tcBorders>
          </w:tcPr>
          <w:p w:rsidR="002D7AEC" w:rsidRPr="00896C1C" w:rsidRDefault="002D7AEC" w:rsidP="008917A1">
            <w:pPr>
              <w:adjustRightInd w:val="0"/>
              <w:snapToGrid w:val="0"/>
              <w:jc w:val="center"/>
              <w:rPr>
                <w:rFonts w:eastAsia="標楷體"/>
                <w:b/>
                <w:bCs/>
                <w:sz w:val="28"/>
              </w:rPr>
            </w:pPr>
          </w:p>
        </w:tc>
        <w:tc>
          <w:tcPr>
            <w:tcW w:w="1394" w:type="dxa"/>
            <w:vMerge w:val="restart"/>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2D7AEC" w:rsidRPr="00896C1C" w:rsidRDefault="002D7AEC" w:rsidP="002D7AEC">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2D7AEC" w:rsidRPr="00896C1C" w:rsidRDefault="002D7AEC" w:rsidP="002D7AEC">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2D7AEC" w:rsidRPr="00896C1C" w:rsidTr="008917A1">
        <w:trPr>
          <w:cantSplit/>
          <w:trHeight w:hRule="exact" w:val="318"/>
        </w:trPr>
        <w:tc>
          <w:tcPr>
            <w:tcW w:w="1648" w:type="dxa"/>
            <w:vMerge/>
            <w:tcBorders>
              <w:left w:val="nil"/>
              <w:bottom w:val="single" w:sz="4" w:space="0" w:color="auto"/>
            </w:tcBorders>
          </w:tcPr>
          <w:p w:rsidR="002D7AEC" w:rsidRPr="00896C1C" w:rsidRDefault="002D7AEC" w:rsidP="008917A1">
            <w:pPr>
              <w:adjustRightInd w:val="0"/>
              <w:snapToGrid w:val="0"/>
              <w:jc w:val="center"/>
              <w:rPr>
                <w:rFonts w:eastAsia="標楷體"/>
                <w:b/>
                <w:bCs/>
                <w:sz w:val="28"/>
              </w:rPr>
            </w:pPr>
          </w:p>
        </w:tc>
        <w:tc>
          <w:tcPr>
            <w:tcW w:w="1394" w:type="dxa"/>
            <w:vMerge/>
            <w:tcBorders>
              <w:bottom w:val="single" w:sz="4" w:space="0" w:color="auto"/>
            </w:tcBorders>
          </w:tcPr>
          <w:p w:rsidR="002D7AEC" w:rsidRPr="00896C1C" w:rsidRDefault="002D7AEC" w:rsidP="002D7AE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D7AEC" w:rsidRPr="00896C1C" w:rsidRDefault="002D7AEC" w:rsidP="002D7AE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D7AEC" w:rsidRPr="00896C1C" w:rsidRDefault="002D7AEC" w:rsidP="002D7AEC">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2D7AEC" w:rsidRPr="00896C1C" w:rsidRDefault="002D7AEC" w:rsidP="002D7AEC">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2D7AEC" w:rsidRPr="00896C1C" w:rsidTr="002D7AEC">
        <w:trPr>
          <w:trHeight w:val="360"/>
        </w:trPr>
        <w:tc>
          <w:tcPr>
            <w:tcW w:w="1648" w:type="dxa"/>
            <w:tcBorders>
              <w:top w:val="nil"/>
              <w:left w:val="nil"/>
              <w:bottom w:val="nil"/>
            </w:tcBorders>
            <w:vAlign w:val="center"/>
          </w:tcPr>
          <w:p w:rsidR="002D7AEC" w:rsidRPr="00896C1C" w:rsidRDefault="002D7AEC" w:rsidP="002D7AEC">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2.3</w:t>
            </w:r>
          </w:p>
        </w:tc>
      </w:tr>
      <w:tr w:rsidR="002D7AEC" w:rsidRPr="00896C1C" w:rsidTr="002D7AEC">
        <w:trPr>
          <w:trHeight w:val="360"/>
        </w:trPr>
        <w:tc>
          <w:tcPr>
            <w:tcW w:w="1648" w:type="dxa"/>
            <w:tcBorders>
              <w:top w:val="nil"/>
              <w:left w:val="nil"/>
              <w:bottom w:val="nil"/>
            </w:tcBorders>
            <w:vAlign w:val="center"/>
          </w:tcPr>
          <w:p w:rsidR="002D7AEC" w:rsidRPr="00896C1C" w:rsidRDefault="002D7AEC" w:rsidP="002D7AEC">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2D7AEC" w:rsidRPr="00896C1C" w:rsidRDefault="002D7AEC" w:rsidP="002D7AEC">
            <w:pPr>
              <w:adjustRightInd w:val="0"/>
              <w:snapToGrid w:val="0"/>
              <w:spacing w:line="240" w:lineRule="exact"/>
              <w:jc w:val="center"/>
              <w:rPr>
                <w:rFonts w:eastAsia="標楷體"/>
                <w:sz w:val="22"/>
              </w:rPr>
            </w:pPr>
            <w:r w:rsidRPr="00896C1C">
              <w:rPr>
                <w:rFonts w:eastAsia="標楷體" w:hint="eastAsia"/>
                <w:sz w:val="22"/>
              </w:rPr>
              <w:t>1.9</w:t>
            </w:r>
          </w:p>
        </w:tc>
      </w:tr>
      <w:tr w:rsidR="002D7AEC" w:rsidRPr="003806A6" w:rsidTr="002D7AEC">
        <w:trPr>
          <w:trHeight w:val="360"/>
        </w:trPr>
        <w:tc>
          <w:tcPr>
            <w:tcW w:w="1648" w:type="dxa"/>
            <w:tcBorders>
              <w:top w:val="nil"/>
              <w:left w:val="nil"/>
              <w:bottom w:val="nil"/>
            </w:tcBorders>
            <w:vAlign w:val="center"/>
          </w:tcPr>
          <w:p w:rsidR="002D7AEC" w:rsidRPr="00CD3778" w:rsidRDefault="002D7AEC" w:rsidP="002D7AEC">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2D7AEC" w:rsidRPr="00CD3778"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2D7AEC" w:rsidRPr="00CD3778"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2D7AEC" w:rsidRPr="00CD3778"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2D7AEC" w:rsidRPr="003806A6"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2D7AEC" w:rsidRPr="003806A6"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2D7AEC" w:rsidRPr="003806A6"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10.2</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2,833.3</w:t>
            </w:r>
          </w:p>
        </w:tc>
        <w:tc>
          <w:tcPr>
            <w:tcW w:w="1521" w:type="dxa"/>
            <w:tcBorders>
              <w:top w:val="nil"/>
              <w:left w:val="nil"/>
              <w:bottom w:val="nil"/>
              <w:right w:val="nil"/>
            </w:tcBorders>
            <w:vAlign w:val="center"/>
          </w:tcPr>
          <w:p w:rsidR="002D7AEC" w:rsidRPr="003806A6"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3.1</w:t>
            </w:r>
          </w:p>
        </w:tc>
        <w:tc>
          <w:tcPr>
            <w:tcW w:w="1783" w:type="dxa"/>
            <w:tcBorders>
              <w:top w:val="nil"/>
              <w:left w:val="nil"/>
              <w:bottom w:val="nil"/>
              <w:right w:val="nil"/>
            </w:tcBorders>
            <w:vAlign w:val="center"/>
          </w:tcPr>
          <w:p w:rsidR="002D7AEC" w:rsidRPr="003806A6"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16.6</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4,666.6</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3.2</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1~6</w:t>
            </w:r>
            <w:r>
              <w:rPr>
                <w:rFonts w:eastAsia="標楷體" w:hint="eastAsia"/>
                <w:color w:val="000000"/>
              </w:rPr>
              <w:t>月</w:t>
            </w:r>
          </w:p>
        </w:tc>
        <w:tc>
          <w:tcPr>
            <w:tcW w:w="1394" w:type="dxa"/>
            <w:tcBorders>
              <w:top w:val="nil"/>
              <w:bottom w:val="nil"/>
              <w:right w:val="nil"/>
            </w:tcBorders>
            <w:vAlign w:val="center"/>
          </w:tcPr>
          <w:p w:rsidR="002D7AEC" w:rsidRPr="00171471" w:rsidRDefault="002D7AEC" w:rsidP="002D7AEC">
            <w:pPr>
              <w:adjustRightInd w:val="0"/>
              <w:snapToGrid w:val="0"/>
              <w:spacing w:line="240" w:lineRule="exact"/>
              <w:jc w:val="center"/>
              <w:rPr>
                <w:rFonts w:eastAsia="標楷體"/>
                <w:sz w:val="22"/>
              </w:rPr>
            </w:pPr>
            <w:r w:rsidRPr="00171471">
              <w:rPr>
                <w:rFonts w:eastAsia="標楷體" w:hint="eastAsia"/>
                <w:sz w:val="22"/>
              </w:rPr>
              <w:t>278</w:t>
            </w:r>
          </w:p>
        </w:tc>
        <w:tc>
          <w:tcPr>
            <w:tcW w:w="1521" w:type="dxa"/>
            <w:tcBorders>
              <w:top w:val="nil"/>
              <w:left w:val="nil"/>
              <w:bottom w:val="nil"/>
              <w:right w:val="nil"/>
            </w:tcBorders>
            <w:vAlign w:val="center"/>
          </w:tcPr>
          <w:p w:rsidR="002D7AEC" w:rsidRPr="00171471" w:rsidRDefault="002D7AEC" w:rsidP="002D7AEC">
            <w:pPr>
              <w:adjustRightInd w:val="0"/>
              <w:snapToGrid w:val="0"/>
              <w:spacing w:line="240" w:lineRule="exact"/>
              <w:jc w:val="center"/>
              <w:rPr>
                <w:rFonts w:eastAsia="標楷體"/>
                <w:sz w:val="22"/>
              </w:rPr>
            </w:pPr>
            <w:r w:rsidRPr="00171471">
              <w:rPr>
                <w:rFonts w:eastAsia="標楷體" w:hint="eastAsia"/>
                <w:sz w:val="22"/>
              </w:rPr>
              <w:t>50.8</w:t>
            </w:r>
          </w:p>
        </w:tc>
        <w:tc>
          <w:tcPr>
            <w:tcW w:w="1521" w:type="dxa"/>
            <w:tcBorders>
              <w:top w:val="nil"/>
              <w:left w:val="nil"/>
              <w:bottom w:val="nil"/>
              <w:right w:val="nil"/>
            </w:tcBorders>
            <w:vAlign w:val="center"/>
          </w:tcPr>
          <w:p w:rsidR="002D7AEC" w:rsidRPr="00171471" w:rsidRDefault="002D7AEC" w:rsidP="002D7AEC">
            <w:pPr>
              <w:adjustRightInd w:val="0"/>
              <w:snapToGrid w:val="0"/>
              <w:spacing w:line="240" w:lineRule="exact"/>
              <w:jc w:val="center"/>
              <w:rPr>
                <w:rFonts w:eastAsia="標楷體"/>
                <w:sz w:val="22"/>
                <w:szCs w:val="22"/>
              </w:rPr>
            </w:pPr>
            <w:r w:rsidRPr="00171471">
              <w:rPr>
                <w:rFonts w:eastAsia="標楷體" w:hint="eastAsia"/>
                <w:sz w:val="22"/>
                <w:szCs w:val="22"/>
              </w:rPr>
              <w:t>1,825.6</w:t>
            </w:r>
          </w:p>
        </w:tc>
        <w:tc>
          <w:tcPr>
            <w:tcW w:w="1521" w:type="dxa"/>
            <w:tcBorders>
              <w:top w:val="nil"/>
              <w:left w:val="nil"/>
              <w:bottom w:val="nil"/>
              <w:right w:val="nil"/>
            </w:tcBorders>
            <w:vAlign w:val="center"/>
          </w:tcPr>
          <w:p w:rsidR="002D7AEC" w:rsidRPr="0072552C" w:rsidRDefault="00FF7939" w:rsidP="002D7AEC">
            <w:pPr>
              <w:adjustRightInd w:val="0"/>
              <w:snapToGrid w:val="0"/>
              <w:spacing w:line="240" w:lineRule="exact"/>
              <w:jc w:val="center"/>
              <w:rPr>
                <w:rFonts w:eastAsia="標楷體"/>
                <w:sz w:val="22"/>
              </w:rPr>
            </w:pPr>
            <w:r>
              <w:rPr>
                <w:rFonts w:eastAsia="標楷體" w:hint="eastAsia"/>
                <w:sz w:val="22"/>
              </w:rPr>
              <w:t>12.6</w:t>
            </w:r>
          </w:p>
        </w:tc>
        <w:tc>
          <w:tcPr>
            <w:tcW w:w="1783" w:type="dxa"/>
            <w:tcBorders>
              <w:top w:val="nil"/>
              <w:left w:val="nil"/>
              <w:bottom w:val="nil"/>
              <w:right w:val="nil"/>
            </w:tcBorders>
            <w:vAlign w:val="center"/>
          </w:tcPr>
          <w:p w:rsidR="002D7AEC" w:rsidRPr="0072552C" w:rsidRDefault="00FF7939" w:rsidP="002D7AEC">
            <w:pPr>
              <w:adjustRightInd w:val="0"/>
              <w:snapToGrid w:val="0"/>
              <w:spacing w:line="240" w:lineRule="exact"/>
              <w:jc w:val="center"/>
              <w:rPr>
                <w:rFonts w:eastAsia="標楷體"/>
                <w:sz w:val="22"/>
              </w:rPr>
            </w:pPr>
            <w:r>
              <w:rPr>
                <w:rFonts w:eastAsia="標楷體" w:hint="eastAsia"/>
                <w:sz w:val="22"/>
              </w:rPr>
              <w:t>2.0</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2D7AEC" w:rsidRPr="00BE52A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2D7AE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2D7AE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2D7AEC" w:rsidTr="002D7AEC">
        <w:trPr>
          <w:trHeight w:val="360"/>
        </w:trPr>
        <w:tc>
          <w:tcPr>
            <w:tcW w:w="1648" w:type="dxa"/>
            <w:tcBorders>
              <w:top w:val="nil"/>
              <w:left w:val="nil"/>
              <w:bottom w:val="nil"/>
            </w:tcBorders>
            <w:vAlign w:val="center"/>
          </w:tcPr>
          <w:p w:rsidR="002D7AEC" w:rsidRDefault="002D7AEC" w:rsidP="002D7AE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D7AEC" w:rsidRDefault="002D7AEC" w:rsidP="002D7A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2D7AE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2D7AEC" w:rsidRDefault="00FF7939" w:rsidP="002D7AEC">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2D7AEC" w:rsidRPr="003806A6" w:rsidTr="002D7AEC">
        <w:trPr>
          <w:trHeight w:val="360"/>
        </w:trPr>
        <w:tc>
          <w:tcPr>
            <w:tcW w:w="1648" w:type="dxa"/>
            <w:tcBorders>
              <w:top w:val="nil"/>
              <w:left w:val="nil"/>
            </w:tcBorders>
            <w:vAlign w:val="center"/>
          </w:tcPr>
          <w:p w:rsidR="002D7AEC" w:rsidRPr="00CD3778" w:rsidRDefault="002D7AEC" w:rsidP="002D7AEC">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2D7AEC" w:rsidRPr="00AB7ED8" w:rsidRDefault="002D7AEC" w:rsidP="002D7AEC">
            <w:pPr>
              <w:adjustRightInd w:val="0"/>
              <w:snapToGrid w:val="0"/>
              <w:spacing w:line="240" w:lineRule="exact"/>
              <w:jc w:val="center"/>
              <w:rPr>
                <w:rFonts w:eastAsia="標楷體"/>
                <w:color w:val="FF0000"/>
                <w:sz w:val="22"/>
              </w:rPr>
            </w:pPr>
            <w:r w:rsidRPr="00951DCB">
              <w:rPr>
                <w:rFonts w:eastAsia="標楷體" w:hint="eastAsia"/>
                <w:sz w:val="22"/>
              </w:rPr>
              <w:t>40,486</w:t>
            </w:r>
          </w:p>
        </w:tc>
        <w:tc>
          <w:tcPr>
            <w:tcW w:w="1521" w:type="dxa"/>
            <w:tcBorders>
              <w:top w:val="nil"/>
              <w:left w:val="nil"/>
              <w:right w:val="nil"/>
            </w:tcBorders>
            <w:vAlign w:val="center"/>
          </w:tcPr>
          <w:p w:rsidR="002D7AEC" w:rsidRPr="00AB7ED8" w:rsidRDefault="002D7AEC" w:rsidP="002D7AEC">
            <w:pPr>
              <w:adjustRightInd w:val="0"/>
              <w:snapToGrid w:val="0"/>
              <w:spacing w:line="240" w:lineRule="exact"/>
              <w:jc w:val="center"/>
              <w:rPr>
                <w:rFonts w:eastAsia="標楷體"/>
                <w:color w:val="FF0000"/>
                <w:sz w:val="22"/>
              </w:rPr>
            </w:pPr>
            <w:r w:rsidRPr="00951DCB">
              <w:rPr>
                <w:rFonts w:eastAsia="標楷體" w:hint="eastAsia"/>
                <w:sz w:val="22"/>
              </w:rPr>
              <w:t>1,295.6</w:t>
            </w:r>
          </w:p>
        </w:tc>
        <w:tc>
          <w:tcPr>
            <w:tcW w:w="1521" w:type="dxa"/>
            <w:tcBorders>
              <w:top w:val="nil"/>
              <w:left w:val="nil"/>
              <w:right w:val="nil"/>
            </w:tcBorders>
            <w:vAlign w:val="center"/>
          </w:tcPr>
          <w:p w:rsidR="002D7AEC" w:rsidRPr="00AB7ED8" w:rsidRDefault="002D7AEC" w:rsidP="002D7AEC">
            <w:pPr>
              <w:adjustRightInd w:val="0"/>
              <w:snapToGrid w:val="0"/>
              <w:spacing w:line="240" w:lineRule="exact"/>
              <w:jc w:val="center"/>
              <w:rPr>
                <w:rFonts w:eastAsia="標楷體"/>
                <w:color w:val="FF0000"/>
                <w:sz w:val="22"/>
                <w:highlight w:val="yellow"/>
              </w:rPr>
            </w:pPr>
            <w:r w:rsidRPr="00951DCB">
              <w:rPr>
                <w:rFonts w:eastAsia="標楷體" w:hint="eastAsia"/>
                <w:sz w:val="22"/>
                <w:szCs w:val="22"/>
              </w:rPr>
              <w:t>320.0*</w:t>
            </w:r>
          </w:p>
        </w:tc>
        <w:tc>
          <w:tcPr>
            <w:tcW w:w="1521" w:type="dxa"/>
            <w:tcBorders>
              <w:top w:val="nil"/>
              <w:left w:val="nil"/>
              <w:right w:val="nil"/>
            </w:tcBorders>
            <w:vAlign w:val="center"/>
          </w:tcPr>
          <w:p w:rsidR="002D7AEC" w:rsidRPr="00FF7939" w:rsidRDefault="00FF7939" w:rsidP="002D7AEC">
            <w:pPr>
              <w:adjustRightInd w:val="0"/>
              <w:snapToGrid w:val="0"/>
              <w:spacing w:line="240" w:lineRule="exact"/>
              <w:jc w:val="center"/>
              <w:rPr>
                <w:rFonts w:eastAsia="標楷體"/>
                <w:color w:val="000000"/>
                <w:sz w:val="22"/>
              </w:rPr>
            </w:pPr>
            <w:r w:rsidRPr="00FF7939">
              <w:rPr>
                <w:rFonts w:eastAsia="標楷體" w:hint="eastAsia"/>
                <w:color w:val="000000"/>
                <w:sz w:val="22"/>
              </w:rPr>
              <w:t>583.1</w:t>
            </w:r>
            <w:r w:rsidRPr="00FF79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2D7AEC" w:rsidRPr="00FF7939" w:rsidRDefault="00FF7939" w:rsidP="00FF7939">
            <w:pPr>
              <w:adjustRightInd w:val="0"/>
              <w:snapToGrid w:val="0"/>
              <w:spacing w:line="240" w:lineRule="exact"/>
              <w:jc w:val="center"/>
              <w:rPr>
                <w:rFonts w:eastAsia="標楷體"/>
                <w:color w:val="000000"/>
                <w:sz w:val="22"/>
              </w:rPr>
            </w:pPr>
            <w:r>
              <w:rPr>
                <w:rFonts w:eastAsia="標楷體" w:hint="eastAsia"/>
                <w:color w:val="000000"/>
                <w:sz w:val="22"/>
              </w:rPr>
              <w:t>4.4</w:t>
            </w:r>
          </w:p>
        </w:tc>
      </w:tr>
    </w:tbl>
    <w:p w:rsidR="00942227" w:rsidRPr="002D7AEC" w:rsidRDefault="006C1440" w:rsidP="002D7AEC">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6C1440" w:rsidRPr="002D7AEC" w:rsidRDefault="002D7AEC" w:rsidP="002D7AEC">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006C1440" w:rsidRPr="002D7AEC">
        <w:rPr>
          <w:rFonts w:eastAsia="標楷體"/>
          <w:sz w:val="22"/>
          <w:szCs w:val="22"/>
        </w:rPr>
        <w:t>2.</w:t>
      </w:r>
      <w:proofErr w:type="gramStart"/>
      <w:r w:rsidR="006C1440" w:rsidRPr="002D7AEC">
        <w:rPr>
          <w:rFonts w:eastAsia="標楷體"/>
          <w:sz w:val="22"/>
          <w:szCs w:val="22"/>
        </w:rPr>
        <w:t>＊＊</w:t>
      </w:r>
      <w:proofErr w:type="gramEnd"/>
      <w:r w:rsidR="006C1440" w:rsidRPr="002D7AEC">
        <w:rPr>
          <w:rFonts w:eastAsia="標楷體"/>
          <w:sz w:val="22"/>
          <w:szCs w:val="22"/>
        </w:rPr>
        <w:t>及我國對中國大陸投資趨勢</w:t>
      </w:r>
      <w:proofErr w:type="gramStart"/>
      <w:r w:rsidR="006C1440" w:rsidRPr="002D7AEC">
        <w:rPr>
          <w:rFonts w:eastAsia="標楷體"/>
          <w:sz w:val="22"/>
          <w:szCs w:val="22"/>
        </w:rPr>
        <w:t>圖不含補</w:t>
      </w:r>
      <w:proofErr w:type="gramEnd"/>
      <w:r w:rsidR="006C1440" w:rsidRPr="002D7AEC">
        <w:rPr>
          <w:rFonts w:eastAsia="標楷體"/>
          <w:sz w:val="22"/>
          <w:szCs w:val="22"/>
        </w:rPr>
        <w:t>辦許可部分。</w:t>
      </w:r>
    </w:p>
    <w:p w:rsidR="006C1440" w:rsidRPr="002D7AEC" w:rsidRDefault="006C1440" w:rsidP="002D7AEC">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6C1440" w:rsidRPr="002D7AEC" w:rsidRDefault="006C1440" w:rsidP="002D7AEC">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002D7AEC" w:rsidRPr="002D7AEC">
        <w:rPr>
          <w:rFonts w:eastAsia="標楷體" w:hint="eastAsia"/>
          <w:sz w:val="22"/>
          <w:szCs w:val="22"/>
        </w:rPr>
        <w:t>中國大陸對外宣布數據不包括台灣透過維京、開</w:t>
      </w:r>
      <w:proofErr w:type="gramStart"/>
      <w:r w:rsidR="002D7AEC" w:rsidRPr="002D7AEC">
        <w:rPr>
          <w:rFonts w:eastAsia="標楷體" w:hint="eastAsia"/>
          <w:sz w:val="22"/>
          <w:szCs w:val="22"/>
        </w:rPr>
        <w:t>曼</w:t>
      </w:r>
      <w:proofErr w:type="gramEnd"/>
      <w:r w:rsidR="002D7AEC" w:rsidRPr="002D7AEC">
        <w:rPr>
          <w:rFonts w:eastAsia="標楷體" w:hint="eastAsia"/>
          <w:sz w:val="22"/>
          <w:szCs w:val="22"/>
        </w:rPr>
        <w:t>群島、薩摩亞、模里西斯等自由港對</w:t>
      </w:r>
      <w:r w:rsidR="002D7AEC" w:rsidRPr="002D7AEC">
        <w:rPr>
          <w:rFonts w:eastAsia="標楷體" w:hint="eastAsia"/>
          <w:sz w:val="22"/>
          <w:szCs w:val="22"/>
        </w:rPr>
        <w:t xml:space="preserve"> </w:t>
      </w:r>
      <w:r w:rsidR="002D7AEC" w:rsidRPr="002D7AEC">
        <w:rPr>
          <w:rFonts w:eastAsia="標楷體" w:hint="eastAsia"/>
          <w:sz w:val="22"/>
          <w:szCs w:val="22"/>
        </w:rPr>
        <w:t>中國大陸投資之金額。</w:t>
      </w:r>
    </w:p>
    <w:p w:rsidR="006C1440" w:rsidRPr="002D7AEC" w:rsidRDefault="006C1440" w:rsidP="002D7AEC">
      <w:pPr>
        <w:snapToGrid w:val="0"/>
        <w:spacing w:line="240" w:lineRule="exact"/>
        <w:ind w:right="-777"/>
        <w:jc w:val="both"/>
        <w:rPr>
          <w:rFonts w:eastAsia="標楷體"/>
          <w:b/>
          <w:bCs/>
          <w:sz w:val="22"/>
          <w:szCs w:val="22"/>
        </w:rPr>
      </w:pPr>
      <w:r w:rsidRPr="002D7AEC">
        <w:rPr>
          <w:rFonts w:eastAsia="標楷體"/>
          <w:sz w:val="22"/>
          <w:szCs w:val="22"/>
        </w:rPr>
        <w:t>資料來源：經濟部投審會、中國大陸「商務部」。</w:t>
      </w:r>
    </w:p>
    <w:p w:rsidR="006C1440" w:rsidRPr="002D7AEC" w:rsidRDefault="006C1440" w:rsidP="006C1440">
      <w:pPr>
        <w:pStyle w:val="k3a"/>
        <w:spacing w:beforeLines="0" w:before="120" w:line="300" w:lineRule="auto"/>
        <w:ind w:leftChars="0" w:left="0" w:firstLineChars="0" w:firstLine="0"/>
        <w:rPr>
          <w:b/>
          <w:bCs/>
          <w:sz w:val="32"/>
        </w:rPr>
      </w:pPr>
      <w:r w:rsidRPr="003111E1">
        <w:rPr>
          <w:b/>
          <w:bCs/>
          <w:color w:val="FF0000"/>
          <w:sz w:val="32"/>
        </w:rPr>
        <w:br w:type="page"/>
      </w:r>
      <w:r w:rsidR="003D7EBE">
        <w:rPr>
          <w:noProof/>
        </w:rPr>
        <w:lastRenderedPageBreak/>
        <mc:AlternateContent>
          <mc:Choice Requires="wps">
            <w:drawing>
              <wp:anchor distT="0" distB="0" distL="114300" distR="114300" simplePos="0" relativeHeight="251774464" behindDoc="0" locked="0" layoutInCell="1" allowOverlap="1" wp14:anchorId="294D17D5" wp14:editId="0D982072">
                <wp:simplePos x="0" y="0"/>
                <wp:positionH relativeFrom="column">
                  <wp:posOffset>3295015</wp:posOffset>
                </wp:positionH>
                <wp:positionV relativeFrom="paragraph">
                  <wp:posOffset>334645</wp:posOffset>
                </wp:positionV>
                <wp:extent cx="2264410" cy="329565"/>
                <wp:effectExtent l="0" t="0" r="2540" b="0"/>
                <wp:wrapNone/>
                <wp:docPr id="4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29565"/>
                        </a:xfrm>
                        <a:prstGeom prst="rect">
                          <a:avLst/>
                        </a:prstGeom>
                        <a:solidFill>
                          <a:srgbClr val="FFFFFF"/>
                        </a:solidFill>
                        <a:ln w="9525">
                          <a:noFill/>
                          <a:miter lim="800000"/>
                          <a:headEnd/>
                          <a:tailEnd/>
                        </a:ln>
                      </wps:spPr>
                      <wps:txb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陸資來台投資變動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9.45pt;margin-top:26.35pt;width:178.3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" stroked="f">
                <v:textbo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陸資來台投資變動</w:t>
                      </w:r>
                    </w:p>
                  </w:txbxContent>
                </v:textbox>
              </v:shape>
            </w:pict>
          </mc:Fallback>
        </mc:AlternateContent>
      </w:r>
      <w:r w:rsidRPr="002D7AEC">
        <w:rPr>
          <w:b/>
          <w:bCs/>
          <w:sz w:val="32"/>
        </w:rPr>
        <w:t>２、中國大陸對我投資</w:t>
      </w:r>
    </w:p>
    <w:p w:rsidR="00844E15" w:rsidRPr="002D7AEC" w:rsidRDefault="003D7EBE" w:rsidP="001508C5">
      <w:pPr>
        <w:pStyle w:val="k3a"/>
        <w:spacing w:beforeLines="0" w:before="120"/>
        <w:ind w:leftChars="119" w:left="569" w:right="4298" w:hangingChars="101" w:hanging="283"/>
        <w:jc w:val="left"/>
        <w:rPr>
          <w:szCs w:val="16"/>
        </w:rPr>
      </w:pPr>
      <w:r>
        <w:rPr>
          <w:rFonts w:hint="eastAsia"/>
          <w:noProof/>
          <w:szCs w:val="16"/>
        </w:rPr>
        <w:drawing>
          <wp:anchor distT="0" distB="0" distL="114300" distR="114300" simplePos="0" relativeHeight="251773440" behindDoc="0" locked="0" layoutInCell="1" allowOverlap="1" wp14:anchorId="3166D8C6" wp14:editId="519702A3">
            <wp:simplePos x="0" y="0"/>
            <wp:positionH relativeFrom="margin">
              <wp:posOffset>2649855</wp:posOffset>
            </wp:positionH>
            <wp:positionV relativeFrom="margin">
              <wp:posOffset>485775</wp:posOffset>
            </wp:positionV>
            <wp:extent cx="3434715" cy="2486025"/>
            <wp:effectExtent l="0" t="0" r="0" b="9525"/>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471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E15" w:rsidRPr="002D7AEC">
        <w:rPr>
          <w:szCs w:val="16"/>
        </w:rPr>
        <w:t>－</w:t>
      </w:r>
      <w:r w:rsidR="002D7AEC" w:rsidRPr="002D7AEC">
        <w:rPr>
          <w:rFonts w:hint="eastAsia"/>
          <w:szCs w:val="16"/>
        </w:rPr>
        <w:t>2013</w:t>
      </w:r>
      <w:r w:rsidR="002D7AEC" w:rsidRPr="002D7AEC">
        <w:rPr>
          <w:rFonts w:hint="eastAsia"/>
          <w:szCs w:val="16"/>
        </w:rPr>
        <w:t>年</w:t>
      </w:r>
      <w:r w:rsidR="002D7AEC" w:rsidRPr="002D7AEC">
        <w:rPr>
          <w:rFonts w:hint="eastAsia"/>
          <w:szCs w:val="16"/>
        </w:rPr>
        <w:t>1</w:t>
      </w:r>
      <w:r w:rsidR="002D7AEC" w:rsidRPr="002D7AEC">
        <w:rPr>
          <w:rFonts w:hint="eastAsia"/>
          <w:szCs w:val="16"/>
        </w:rPr>
        <w:t>至</w:t>
      </w:r>
      <w:r w:rsidR="002D7AEC" w:rsidRPr="002D7AEC">
        <w:rPr>
          <w:rFonts w:hint="eastAsia"/>
          <w:szCs w:val="16"/>
        </w:rPr>
        <w:t>6</w:t>
      </w:r>
      <w:r w:rsidR="002D7AEC" w:rsidRPr="002D7AEC">
        <w:rPr>
          <w:rFonts w:hint="eastAsia"/>
          <w:szCs w:val="16"/>
        </w:rPr>
        <w:t>月陸資來台投資件數為</w:t>
      </w:r>
      <w:r w:rsidR="002D7AEC" w:rsidRPr="002D7AEC">
        <w:rPr>
          <w:rFonts w:hint="eastAsia"/>
          <w:szCs w:val="16"/>
        </w:rPr>
        <w:t>71</w:t>
      </w:r>
      <w:r w:rsidR="002D7AEC" w:rsidRPr="002D7AEC">
        <w:rPr>
          <w:rFonts w:hint="eastAsia"/>
          <w:szCs w:val="16"/>
        </w:rPr>
        <w:t>件，金額為</w:t>
      </w:r>
      <w:r w:rsidR="002D7AEC" w:rsidRPr="002D7AEC">
        <w:rPr>
          <w:rFonts w:hint="eastAsia"/>
          <w:szCs w:val="16"/>
        </w:rPr>
        <w:t>2.17</w:t>
      </w:r>
      <w:r w:rsidR="002D7AEC" w:rsidRPr="002D7AEC">
        <w:rPr>
          <w:rFonts w:hint="eastAsia"/>
          <w:szCs w:val="16"/>
        </w:rPr>
        <w:t>億美元。累計</w:t>
      </w:r>
      <w:r w:rsidR="002D7AEC" w:rsidRPr="002D7AEC">
        <w:rPr>
          <w:rFonts w:hint="eastAsia"/>
          <w:szCs w:val="16"/>
        </w:rPr>
        <w:t>2009</w:t>
      </w:r>
      <w:r w:rsidR="002D7AEC" w:rsidRPr="002D7AEC">
        <w:rPr>
          <w:rFonts w:hint="eastAsia"/>
          <w:szCs w:val="16"/>
        </w:rPr>
        <w:t>年</w:t>
      </w:r>
      <w:r w:rsidR="002D7AEC" w:rsidRPr="002D7AEC">
        <w:rPr>
          <w:rFonts w:hint="eastAsia"/>
          <w:szCs w:val="16"/>
        </w:rPr>
        <w:t>6</w:t>
      </w:r>
      <w:r w:rsidR="002D7AEC" w:rsidRPr="002D7AEC">
        <w:rPr>
          <w:rFonts w:hint="eastAsia"/>
          <w:szCs w:val="16"/>
        </w:rPr>
        <w:t>月</w:t>
      </w:r>
      <w:r w:rsidR="002D7AEC" w:rsidRPr="002D7AEC">
        <w:rPr>
          <w:rFonts w:hint="eastAsia"/>
          <w:szCs w:val="16"/>
        </w:rPr>
        <w:t>30</w:t>
      </w:r>
      <w:r w:rsidR="002D7AEC" w:rsidRPr="002D7AEC">
        <w:rPr>
          <w:rFonts w:hint="eastAsia"/>
          <w:szCs w:val="16"/>
        </w:rPr>
        <w:t>日至</w:t>
      </w:r>
      <w:r w:rsidR="002D7AEC" w:rsidRPr="002D7AEC">
        <w:rPr>
          <w:rFonts w:hint="eastAsia"/>
          <w:szCs w:val="16"/>
        </w:rPr>
        <w:t>2013</w:t>
      </w:r>
      <w:r w:rsidR="002D7AEC" w:rsidRPr="002D7AEC">
        <w:rPr>
          <w:rFonts w:hint="eastAsia"/>
          <w:szCs w:val="16"/>
        </w:rPr>
        <w:t>年</w:t>
      </w:r>
      <w:r w:rsidR="002D7AEC" w:rsidRPr="002D7AEC">
        <w:rPr>
          <w:rFonts w:hint="eastAsia"/>
          <w:szCs w:val="16"/>
        </w:rPr>
        <w:t>6</w:t>
      </w:r>
      <w:r w:rsidR="002D7AEC" w:rsidRPr="002D7AEC">
        <w:rPr>
          <w:rFonts w:hint="eastAsia"/>
          <w:szCs w:val="16"/>
        </w:rPr>
        <w:t>月，陸資來台投資共計</w:t>
      </w:r>
      <w:r w:rsidR="002D7AEC" w:rsidRPr="002D7AEC">
        <w:rPr>
          <w:rFonts w:hint="eastAsia"/>
          <w:szCs w:val="16"/>
        </w:rPr>
        <w:t>7.20</w:t>
      </w:r>
      <w:r w:rsidR="002D7AEC" w:rsidRPr="002D7AEC">
        <w:rPr>
          <w:rFonts w:hint="eastAsia"/>
          <w:szCs w:val="16"/>
        </w:rPr>
        <w:t>億美元。</w:t>
      </w:r>
    </w:p>
    <w:p w:rsidR="006C1440" w:rsidRPr="002D7AEC" w:rsidRDefault="00844E15" w:rsidP="001508C5">
      <w:pPr>
        <w:pStyle w:val="k3a"/>
        <w:spacing w:beforeLines="0" w:before="120" w:afterLines="50" w:after="180"/>
        <w:ind w:leftChars="119" w:left="569" w:right="4298" w:hangingChars="101" w:hanging="283"/>
        <w:jc w:val="left"/>
        <w:rPr>
          <w:b/>
          <w:bCs/>
          <w:sz w:val="32"/>
        </w:rPr>
      </w:pPr>
      <w:r w:rsidRPr="002D7AEC">
        <w:rPr>
          <w:szCs w:val="16"/>
        </w:rPr>
        <w:t>－</w:t>
      </w:r>
      <w:r w:rsidR="002D7AEC" w:rsidRPr="002D7AEC">
        <w:rPr>
          <w:rFonts w:hint="eastAsia"/>
          <w:szCs w:val="16"/>
        </w:rPr>
        <w:t>2009</w:t>
      </w:r>
      <w:r w:rsidR="002D7AEC" w:rsidRPr="002D7AEC">
        <w:rPr>
          <w:rFonts w:hint="eastAsia"/>
          <w:szCs w:val="16"/>
        </w:rPr>
        <w:t>年</w:t>
      </w:r>
      <w:r w:rsidR="002D7AEC" w:rsidRPr="002D7AEC">
        <w:rPr>
          <w:rFonts w:hint="eastAsia"/>
          <w:szCs w:val="16"/>
        </w:rPr>
        <w:t>6</w:t>
      </w:r>
      <w:r w:rsidR="002D7AEC" w:rsidRPr="002D7AEC">
        <w:rPr>
          <w:rFonts w:hint="eastAsia"/>
          <w:szCs w:val="16"/>
        </w:rPr>
        <w:t>月</w:t>
      </w:r>
      <w:r w:rsidR="002D7AEC" w:rsidRPr="002D7AEC">
        <w:rPr>
          <w:rFonts w:hint="eastAsia"/>
          <w:szCs w:val="16"/>
        </w:rPr>
        <w:t>30</w:t>
      </w:r>
      <w:r w:rsidR="002D7AEC" w:rsidRPr="002D7AEC">
        <w:rPr>
          <w:rFonts w:hint="eastAsia"/>
          <w:szCs w:val="16"/>
        </w:rPr>
        <w:t>日至</w:t>
      </w:r>
      <w:r w:rsidR="002D7AEC" w:rsidRPr="002D7AEC">
        <w:rPr>
          <w:rFonts w:hint="eastAsia"/>
          <w:szCs w:val="16"/>
        </w:rPr>
        <w:t>2013</w:t>
      </w:r>
      <w:r w:rsidR="002D7AEC" w:rsidRPr="002D7AEC">
        <w:rPr>
          <w:rFonts w:hint="eastAsia"/>
          <w:szCs w:val="16"/>
        </w:rPr>
        <w:t>年</w:t>
      </w:r>
      <w:r w:rsidR="002D7AEC" w:rsidRPr="002D7AEC">
        <w:rPr>
          <w:rFonts w:hint="eastAsia"/>
          <w:szCs w:val="16"/>
        </w:rPr>
        <w:t>6</w:t>
      </w:r>
      <w:r w:rsidR="002D7AEC" w:rsidRPr="002D7AEC">
        <w:rPr>
          <w:rFonts w:hint="eastAsia"/>
          <w:szCs w:val="16"/>
        </w:rPr>
        <w:t>月，核准陸資來台投資案件，前</w:t>
      </w:r>
      <w:r w:rsidR="002D7AEC" w:rsidRPr="002D7AEC">
        <w:rPr>
          <w:rFonts w:hint="eastAsia"/>
          <w:szCs w:val="16"/>
        </w:rPr>
        <w:t>3</w:t>
      </w:r>
      <w:r w:rsidR="002D7AEC" w:rsidRPr="002D7AEC">
        <w:rPr>
          <w:rFonts w:hint="eastAsia"/>
          <w:szCs w:val="16"/>
        </w:rPr>
        <w:t>名業別分別為港埠業</w:t>
      </w:r>
      <w:r w:rsidR="002D7AEC" w:rsidRPr="002D7AEC">
        <w:rPr>
          <w:rFonts w:hint="eastAsia"/>
          <w:szCs w:val="16"/>
        </w:rPr>
        <w:t>1.39</w:t>
      </w:r>
      <w:r w:rsidR="002D7AEC" w:rsidRPr="002D7AEC">
        <w:rPr>
          <w:rFonts w:hint="eastAsia"/>
          <w:szCs w:val="16"/>
        </w:rPr>
        <w:t>億美元</w:t>
      </w:r>
      <w:r w:rsidR="008833E1">
        <w:rPr>
          <w:rFonts w:hint="eastAsia"/>
          <w:szCs w:val="16"/>
        </w:rPr>
        <w:t>（</w:t>
      </w:r>
      <w:r w:rsidR="002D7AEC" w:rsidRPr="002D7AEC">
        <w:rPr>
          <w:rFonts w:hint="eastAsia"/>
          <w:szCs w:val="16"/>
        </w:rPr>
        <w:t>19.31</w:t>
      </w:r>
      <w:r w:rsidR="002D7AEC" w:rsidRPr="002D7AEC">
        <w:rPr>
          <w:rFonts w:hint="eastAsia"/>
          <w:szCs w:val="16"/>
        </w:rPr>
        <w:t>％</w:t>
      </w:r>
      <w:r w:rsidR="008833E1">
        <w:rPr>
          <w:rFonts w:hint="eastAsia"/>
          <w:szCs w:val="16"/>
        </w:rPr>
        <w:t>）</w:t>
      </w:r>
      <w:r w:rsidR="002D7AEC" w:rsidRPr="002D7AEC">
        <w:rPr>
          <w:rFonts w:hint="eastAsia"/>
          <w:szCs w:val="16"/>
        </w:rPr>
        <w:t>、銀行業</w:t>
      </w:r>
      <w:r w:rsidR="002D7AEC" w:rsidRPr="002D7AEC">
        <w:rPr>
          <w:rFonts w:hint="eastAsia"/>
          <w:szCs w:val="16"/>
        </w:rPr>
        <w:t>1.38</w:t>
      </w:r>
      <w:r w:rsidR="002D7AEC" w:rsidRPr="002D7AEC">
        <w:rPr>
          <w:rFonts w:hint="eastAsia"/>
          <w:szCs w:val="16"/>
        </w:rPr>
        <w:t>億美元（</w:t>
      </w:r>
      <w:r w:rsidR="002D7AEC" w:rsidRPr="002D7AEC">
        <w:rPr>
          <w:rFonts w:hint="eastAsia"/>
          <w:szCs w:val="16"/>
        </w:rPr>
        <w:t>19.21</w:t>
      </w:r>
      <w:r w:rsidR="002D7AEC" w:rsidRPr="002D7AEC">
        <w:rPr>
          <w:rFonts w:hint="eastAsia"/>
          <w:szCs w:val="16"/>
        </w:rPr>
        <w:t>％）及批發及零售業</w:t>
      </w:r>
      <w:r w:rsidR="002D7AEC" w:rsidRPr="002D7AEC">
        <w:rPr>
          <w:rFonts w:hint="eastAsia"/>
          <w:szCs w:val="16"/>
        </w:rPr>
        <w:t>1.07</w:t>
      </w:r>
      <w:r w:rsidR="002D7AEC" w:rsidRPr="002D7AEC">
        <w:rPr>
          <w:rFonts w:hint="eastAsia"/>
          <w:szCs w:val="16"/>
        </w:rPr>
        <w:t>億美元（</w:t>
      </w:r>
      <w:r w:rsidR="002D7AEC" w:rsidRPr="002D7AEC">
        <w:rPr>
          <w:rFonts w:hint="eastAsia"/>
          <w:szCs w:val="16"/>
        </w:rPr>
        <w:t>14.89</w:t>
      </w:r>
      <w:r w:rsidR="002D7AEC" w:rsidRPr="002D7AEC">
        <w:rPr>
          <w:rFonts w:hint="eastAsia"/>
          <w:szCs w:val="16"/>
        </w:rPr>
        <w:t>％）。</w:t>
      </w:r>
    </w:p>
    <w:p w:rsidR="006C1440" w:rsidRPr="002D7AEC" w:rsidRDefault="006C1440" w:rsidP="002D7AEC">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2D7AEC" w:rsidRPr="00896C1C" w:rsidTr="002D7AEC">
        <w:trPr>
          <w:cantSplit/>
          <w:trHeight w:val="373"/>
        </w:trPr>
        <w:tc>
          <w:tcPr>
            <w:tcW w:w="1648" w:type="dxa"/>
            <w:tcBorders>
              <w:left w:val="nil"/>
            </w:tcBorders>
          </w:tcPr>
          <w:p w:rsidR="002D7AEC" w:rsidRPr="00896C1C" w:rsidRDefault="002D7AEC" w:rsidP="002D7AEC">
            <w:pPr>
              <w:adjustRightInd w:val="0"/>
              <w:snapToGrid w:val="0"/>
              <w:spacing w:line="380" w:lineRule="exact"/>
              <w:jc w:val="center"/>
              <w:rPr>
                <w:rFonts w:eastAsia="標楷體"/>
                <w:b/>
                <w:bCs/>
                <w:sz w:val="28"/>
              </w:rPr>
            </w:pPr>
            <w:r w:rsidRPr="00896C1C">
              <w:rPr>
                <w:rFonts w:eastAsia="標楷體" w:hint="eastAsia"/>
              </w:rPr>
              <w:t>年</w:t>
            </w:r>
            <w:r w:rsidR="00CE5399">
              <w:rPr>
                <w:rFonts w:eastAsia="標楷體" w:hint="eastAsia"/>
              </w:rPr>
              <w:t>(</w:t>
            </w:r>
            <w:r w:rsidRPr="00896C1C">
              <w:rPr>
                <w:rFonts w:eastAsia="標楷體" w:hint="eastAsia"/>
              </w:rPr>
              <w:t>月</w:t>
            </w:r>
            <w:r w:rsidR="00CE5399">
              <w:rPr>
                <w:rFonts w:eastAsia="標楷體" w:hint="eastAsia"/>
              </w:rPr>
              <w:t>)</w:t>
            </w:r>
            <w:r w:rsidRPr="00896C1C">
              <w:rPr>
                <w:rFonts w:eastAsia="標楷體" w:hint="eastAsia"/>
              </w:rPr>
              <w:t>別</w:t>
            </w:r>
          </w:p>
        </w:tc>
        <w:tc>
          <w:tcPr>
            <w:tcW w:w="3200" w:type="dxa"/>
          </w:tcPr>
          <w:p w:rsidR="002D7AEC" w:rsidRPr="00896C1C" w:rsidRDefault="002D7AEC" w:rsidP="002D7AEC">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2D7AEC" w:rsidRPr="00896C1C" w:rsidRDefault="002D7AEC" w:rsidP="003D7EBE">
            <w:pPr>
              <w:adjustRightInd w:val="0"/>
              <w:snapToGrid w:val="0"/>
              <w:spacing w:line="380" w:lineRule="exact"/>
              <w:jc w:val="center"/>
              <w:rPr>
                <w:rFonts w:eastAsia="標楷體"/>
                <w:b/>
                <w:bCs/>
                <w:sz w:val="28"/>
              </w:rPr>
            </w:pPr>
            <w:r w:rsidRPr="00896C1C">
              <w:rPr>
                <w:rFonts w:eastAsia="標楷體" w:hint="eastAsia"/>
                <w:sz w:val="22"/>
              </w:rPr>
              <w:t>金額</w:t>
            </w:r>
            <w:r w:rsidR="003D7EBE">
              <w:rPr>
                <w:rFonts w:eastAsia="標楷體" w:hint="eastAsia"/>
                <w:sz w:val="22"/>
              </w:rPr>
              <w:t>（</w:t>
            </w:r>
            <w:r w:rsidRPr="00896C1C">
              <w:rPr>
                <w:rFonts w:eastAsia="標楷體" w:hint="eastAsia"/>
                <w:sz w:val="22"/>
              </w:rPr>
              <w:t>億美元</w:t>
            </w:r>
            <w:r w:rsidR="003D7EBE">
              <w:rPr>
                <w:rFonts w:eastAsia="標楷體" w:hint="eastAsia"/>
                <w:sz w:val="22"/>
              </w:rPr>
              <w:t>）</w:t>
            </w:r>
          </w:p>
        </w:tc>
      </w:tr>
      <w:tr w:rsidR="002D7AEC" w:rsidRPr="00896C1C" w:rsidTr="002D7AEC">
        <w:trPr>
          <w:trHeight w:hRule="exact" w:val="397"/>
        </w:trPr>
        <w:tc>
          <w:tcPr>
            <w:tcW w:w="1648" w:type="dxa"/>
            <w:tcBorders>
              <w:top w:val="nil"/>
              <w:left w:val="nil"/>
              <w:bottom w:val="nil"/>
            </w:tcBorders>
            <w:vAlign w:val="center"/>
          </w:tcPr>
          <w:p w:rsidR="002D7AEC" w:rsidRPr="00896C1C" w:rsidRDefault="002D7AEC" w:rsidP="002D7AEC">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2D7AEC" w:rsidRPr="00443FFA" w:rsidRDefault="002D7AEC" w:rsidP="002D7AEC">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2D7AEC" w:rsidRPr="00443FFA" w:rsidRDefault="002D7AEC" w:rsidP="002D7AEC">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2D7AEC" w:rsidRPr="00896C1C" w:rsidTr="002D7AEC">
        <w:trPr>
          <w:trHeight w:hRule="exact" w:val="397"/>
        </w:trPr>
        <w:tc>
          <w:tcPr>
            <w:tcW w:w="1648" w:type="dxa"/>
            <w:tcBorders>
              <w:top w:val="nil"/>
              <w:left w:val="nil"/>
              <w:bottom w:val="nil"/>
            </w:tcBorders>
            <w:vAlign w:val="center"/>
          </w:tcPr>
          <w:p w:rsidR="002D7AEC" w:rsidRPr="00896C1C" w:rsidRDefault="002D7AEC" w:rsidP="002D7AEC">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2D7AEC" w:rsidRPr="00443FFA" w:rsidRDefault="002D7AEC" w:rsidP="002D7AEC">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2D7AEC" w:rsidRPr="00443FFA" w:rsidRDefault="002D7AEC" w:rsidP="002D7AEC">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2D7AEC" w:rsidRPr="00896C1C" w:rsidTr="002D7AEC">
        <w:trPr>
          <w:trHeight w:hRule="exact" w:val="397"/>
        </w:trPr>
        <w:tc>
          <w:tcPr>
            <w:tcW w:w="1648" w:type="dxa"/>
            <w:tcBorders>
              <w:top w:val="nil"/>
              <w:left w:val="nil"/>
              <w:bottom w:val="nil"/>
            </w:tcBorders>
            <w:vAlign w:val="center"/>
          </w:tcPr>
          <w:p w:rsidR="002D7AEC" w:rsidRPr="00CD3778" w:rsidRDefault="002D7AEC" w:rsidP="002D7AEC">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2D7AEC" w:rsidRPr="00CD3778"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2D7AEC" w:rsidRPr="00CD3778"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1~6</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71</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2.17</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2D7AEC" w:rsidRPr="00896C1C" w:rsidTr="002D7AEC">
        <w:trPr>
          <w:trHeight w:hRule="exact" w:val="397"/>
        </w:trPr>
        <w:tc>
          <w:tcPr>
            <w:tcW w:w="1648" w:type="dxa"/>
            <w:tcBorders>
              <w:top w:val="nil"/>
              <w:left w:val="nil"/>
              <w:bottom w:val="nil"/>
            </w:tcBorders>
            <w:vAlign w:val="center"/>
          </w:tcPr>
          <w:p w:rsidR="002D7AEC" w:rsidRDefault="002D7AEC" w:rsidP="002D7AE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D7AEC"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2D7AEC" w:rsidRPr="00896C1C" w:rsidTr="002D7AEC">
        <w:trPr>
          <w:trHeight w:hRule="exact" w:val="397"/>
        </w:trPr>
        <w:tc>
          <w:tcPr>
            <w:tcW w:w="1648" w:type="dxa"/>
            <w:tcBorders>
              <w:top w:val="nil"/>
              <w:left w:val="nil"/>
            </w:tcBorders>
            <w:vAlign w:val="center"/>
          </w:tcPr>
          <w:p w:rsidR="002D7AEC" w:rsidRPr="00CD3778" w:rsidRDefault="002D7AEC" w:rsidP="002D7AEC">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2D7AEC" w:rsidRPr="00CD3778"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413</w:t>
            </w:r>
          </w:p>
        </w:tc>
        <w:tc>
          <w:tcPr>
            <w:tcW w:w="3118" w:type="dxa"/>
            <w:tcBorders>
              <w:top w:val="nil"/>
              <w:left w:val="nil"/>
              <w:right w:val="nil"/>
            </w:tcBorders>
            <w:vAlign w:val="center"/>
          </w:tcPr>
          <w:p w:rsidR="002D7AEC" w:rsidRPr="00CD3778" w:rsidRDefault="002D7AEC" w:rsidP="002D7AEC">
            <w:pPr>
              <w:adjustRightInd w:val="0"/>
              <w:snapToGrid w:val="0"/>
              <w:spacing w:line="380" w:lineRule="exact"/>
              <w:jc w:val="center"/>
              <w:rPr>
                <w:rFonts w:eastAsia="標楷體"/>
                <w:color w:val="000000"/>
                <w:sz w:val="22"/>
              </w:rPr>
            </w:pPr>
            <w:r>
              <w:rPr>
                <w:rFonts w:eastAsia="標楷體" w:hint="eastAsia"/>
                <w:color w:val="000000"/>
                <w:sz w:val="22"/>
              </w:rPr>
              <w:t>7.20</w:t>
            </w:r>
          </w:p>
        </w:tc>
      </w:tr>
    </w:tbl>
    <w:p w:rsidR="00C61A67" w:rsidRPr="0042351C" w:rsidRDefault="006C1440" w:rsidP="00A206A9">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683A3E" w:rsidRPr="00403EF1" w:rsidRDefault="00194A6B" w:rsidP="00C61A67">
      <w:pPr>
        <w:pStyle w:val="k3a"/>
        <w:spacing w:beforeLines="0" w:before="0" w:line="300" w:lineRule="auto"/>
        <w:ind w:leftChars="0" w:left="0" w:firstLineChars="0" w:firstLine="0"/>
        <w:outlineLvl w:val="2"/>
        <w:rPr>
          <w:b/>
          <w:bCs/>
          <w:sz w:val="32"/>
        </w:rPr>
      </w:pPr>
      <w:bookmarkStart w:id="115" w:name="_Toc358042591"/>
      <w:r>
        <w:rPr>
          <w:rFonts w:hint="eastAsia"/>
          <w:noProof/>
          <w:kern w:val="2"/>
          <w:szCs w:val="16"/>
        </w:rPr>
        <w:lastRenderedPageBreak/>
        <w:drawing>
          <wp:anchor distT="0" distB="0" distL="114300" distR="114300" simplePos="0" relativeHeight="251771392" behindDoc="0" locked="0" layoutInCell="1" allowOverlap="1" wp14:anchorId="46DC290B" wp14:editId="071F5F85">
            <wp:simplePos x="0" y="0"/>
            <wp:positionH relativeFrom="margin">
              <wp:posOffset>2150745</wp:posOffset>
            </wp:positionH>
            <wp:positionV relativeFrom="margin">
              <wp:posOffset>304800</wp:posOffset>
            </wp:positionV>
            <wp:extent cx="3693795" cy="2425700"/>
            <wp:effectExtent l="0" t="0" r="1905" b="0"/>
            <wp:wrapSquare wrapText="bothSides"/>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379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2416" behindDoc="0" locked="0" layoutInCell="1" allowOverlap="1" wp14:anchorId="3A98DF1F" wp14:editId="15B4743E">
                <wp:simplePos x="0" y="0"/>
                <wp:positionH relativeFrom="column">
                  <wp:posOffset>2873375</wp:posOffset>
                </wp:positionH>
                <wp:positionV relativeFrom="paragraph">
                  <wp:posOffset>123190</wp:posOffset>
                </wp:positionV>
                <wp:extent cx="2264410" cy="329565"/>
                <wp:effectExtent l="0" t="0" r="2540" b="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329565"/>
                        </a:xfrm>
                        <a:prstGeom prst="rect">
                          <a:avLst/>
                        </a:prstGeom>
                        <a:solidFill>
                          <a:schemeClr val="bg1"/>
                        </a:solidFill>
                        <a:ln w="9525">
                          <a:noFill/>
                          <a:miter lim="800000"/>
                          <a:headEnd/>
                          <a:tailEnd/>
                        </a:ln>
                      </wps:spPr>
                      <wps:txb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我國對中國大陸出進口變動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26.25pt;margin-top:9.7pt;width:178.3pt;height:25.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" fillcolor="white [3212]" stroked="f">
                <v:textbox>
                  <w:txbxContent>
                    <w:p w:rsidR="003D7EBE" w:rsidRPr="00C7141C" w:rsidRDefault="003D7EBE" w:rsidP="00852091">
                      <w:pPr>
                        <w:jc w:val="center"/>
                        <w:rPr>
                          <w:rFonts w:ascii="標楷體" w:eastAsia="標楷體" w:hAnsi="標楷體"/>
                          <w:b/>
                          <w:sz w:val="22"/>
                          <w:szCs w:val="22"/>
                        </w:rPr>
                      </w:pPr>
                      <w:r>
                        <w:rPr>
                          <w:rFonts w:ascii="標楷體" w:eastAsia="標楷體" w:hAnsi="標楷體" w:hint="eastAsia"/>
                          <w:b/>
                          <w:sz w:val="22"/>
                          <w:szCs w:val="22"/>
                        </w:rPr>
                        <w:t>我國對中國大陸出進口變動</w:t>
                      </w:r>
                    </w:p>
                  </w:txbxContent>
                </v:textbox>
              </v:shape>
            </w:pict>
          </mc:Fallback>
        </mc:AlternateContent>
      </w:r>
      <w:r w:rsidR="006C1440" w:rsidRPr="00403EF1">
        <w:rPr>
          <w:b/>
          <w:bCs/>
          <w:sz w:val="32"/>
        </w:rPr>
        <w:t>（二）</w:t>
      </w:r>
      <w:r w:rsidR="00683A3E" w:rsidRPr="00403EF1">
        <w:rPr>
          <w:b/>
          <w:bCs/>
          <w:sz w:val="32"/>
        </w:rPr>
        <w:t>兩岸貿易</w:t>
      </w:r>
      <w:bookmarkEnd w:id="115"/>
    </w:p>
    <w:p w:rsidR="00683A3E" w:rsidRPr="00403EF1" w:rsidRDefault="00844E15" w:rsidP="001508C5">
      <w:pPr>
        <w:pStyle w:val="af1"/>
        <w:widowControl w:val="0"/>
        <w:tabs>
          <w:tab w:val="left" w:pos="567"/>
        </w:tabs>
        <w:ind w:leftChars="118" w:left="566" w:rightChars="2217" w:right="5321" w:hangingChars="101" w:hanging="283"/>
        <w:jc w:val="both"/>
        <w:rPr>
          <w:sz w:val="28"/>
          <w:szCs w:val="16"/>
          <w:u w:val="single"/>
        </w:rPr>
      </w:pPr>
      <w:r w:rsidRPr="00403EF1">
        <w:rPr>
          <w:sz w:val="28"/>
          <w:szCs w:val="16"/>
        </w:rPr>
        <w:t>－</w:t>
      </w:r>
      <w:r w:rsidR="00403EF1" w:rsidRPr="00403EF1">
        <w:rPr>
          <w:rFonts w:hint="eastAsia"/>
          <w:noProof w:val="0"/>
          <w:kern w:val="2"/>
          <w:sz w:val="28"/>
          <w:szCs w:val="16"/>
          <w:lang w:bidi="ar-SA"/>
        </w:rPr>
        <w:t>2013</w:t>
      </w:r>
      <w:r w:rsidR="00403EF1" w:rsidRPr="00403EF1">
        <w:rPr>
          <w:rFonts w:hint="eastAsia"/>
          <w:noProof w:val="0"/>
          <w:kern w:val="2"/>
          <w:sz w:val="28"/>
          <w:szCs w:val="16"/>
          <w:lang w:bidi="ar-SA"/>
        </w:rPr>
        <w:t>年</w:t>
      </w:r>
      <w:r w:rsidR="00403EF1" w:rsidRPr="00403EF1">
        <w:rPr>
          <w:rFonts w:hint="eastAsia"/>
          <w:noProof w:val="0"/>
          <w:kern w:val="2"/>
          <w:sz w:val="28"/>
          <w:szCs w:val="16"/>
          <w:lang w:bidi="ar-SA"/>
        </w:rPr>
        <w:t>1</w:t>
      </w:r>
      <w:r w:rsidR="00403EF1" w:rsidRPr="00403EF1">
        <w:rPr>
          <w:rFonts w:hint="eastAsia"/>
          <w:noProof w:val="0"/>
          <w:kern w:val="2"/>
          <w:sz w:val="28"/>
          <w:szCs w:val="16"/>
          <w:lang w:bidi="ar-SA"/>
        </w:rPr>
        <w:t>至</w:t>
      </w:r>
      <w:r w:rsidR="00403EF1" w:rsidRPr="00403EF1">
        <w:rPr>
          <w:rFonts w:hint="eastAsia"/>
          <w:noProof w:val="0"/>
          <w:kern w:val="2"/>
          <w:sz w:val="28"/>
          <w:szCs w:val="16"/>
          <w:lang w:bidi="ar-SA"/>
        </w:rPr>
        <w:t>6</w:t>
      </w:r>
      <w:r w:rsidR="00403EF1" w:rsidRPr="00403EF1">
        <w:rPr>
          <w:rFonts w:hint="eastAsia"/>
          <w:noProof w:val="0"/>
          <w:kern w:val="2"/>
          <w:sz w:val="28"/>
          <w:szCs w:val="16"/>
          <w:lang w:bidi="ar-SA"/>
        </w:rPr>
        <w:t>月我對中國大陸</w:t>
      </w:r>
      <w:r w:rsidR="008833E1">
        <w:rPr>
          <w:rFonts w:hint="eastAsia"/>
          <w:noProof w:val="0"/>
          <w:kern w:val="2"/>
          <w:sz w:val="28"/>
          <w:szCs w:val="16"/>
          <w:lang w:bidi="ar-SA"/>
        </w:rPr>
        <w:t>（</w:t>
      </w:r>
      <w:r w:rsidR="00403EF1" w:rsidRPr="00403EF1">
        <w:rPr>
          <w:rFonts w:hint="eastAsia"/>
          <w:noProof w:val="0"/>
          <w:kern w:val="2"/>
          <w:sz w:val="28"/>
          <w:szCs w:val="16"/>
          <w:lang w:bidi="ar-SA"/>
        </w:rPr>
        <w:t>含香港</w:t>
      </w:r>
      <w:r w:rsidR="008833E1">
        <w:rPr>
          <w:rFonts w:hint="eastAsia"/>
          <w:noProof w:val="0"/>
          <w:kern w:val="2"/>
          <w:sz w:val="28"/>
          <w:szCs w:val="16"/>
          <w:lang w:bidi="ar-SA"/>
        </w:rPr>
        <w:t>）</w:t>
      </w:r>
      <w:r w:rsidR="00403EF1" w:rsidRPr="00403EF1">
        <w:rPr>
          <w:rFonts w:hint="eastAsia"/>
          <w:noProof w:val="0"/>
          <w:kern w:val="2"/>
          <w:sz w:val="28"/>
          <w:szCs w:val="16"/>
          <w:lang w:bidi="ar-SA"/>
        </w:rPr>
        <w:t>貿易總額為</w:t>
      </w:r>
      <w:r w:rsidR="00403EF1" w:rsidRPr="00403EF1">
        <w:rPr>
          <w:rFonts w:hint="eastAsia"/>
          <w:noProof w:val="0"/>
          <w:kern w:val="2"/>
          <w:sz w:val="28"/>
          <w:szCs w:val="16"/>
          <w:lang w:bidi="ar-SA"/>
        </w:rPr>
        <w:t>807</w:t>
      </w:r>
      <w:r w:rsidR="00403EF1" w:rsidRPr="00403EF1">
        <w:rPr>
          <w:rFonts w:hint="eastAsia"/>
          <w:noProof w:val="0"/>
          <w:kern w:val="2"/>
          <w:sz w:val="28"/>
          <w:szCs w:val="16"/>
          <w:lang w:bidi="ar-SA"/>
        </w:rPr>
        <w:t>億美元，較上年增加</w:t>
      </w:r>
      <w:r w:rsidR="00403EF1" w:rsidRPr="00403EF1">
        <w:rPr>
          <w:rFonts w:hint="eastAsia"/>
          <w:noProof w:val="0"/>
          <w:kern w:val="2"/>
          <w:sz w:val="28"/>
          <w:szCs w:val="16"/>
          <w:lang w:bidi="ar-SA"/>
        </w:rPr>
        <w:t>3.1</w:t>
      </w:r>
      <w:r w:rsidR="00403EF1" w:rsidRPr="00403EF1">
        <w:rPr>
          <w:rFonts w:hint="eastAsia"/>
          <w:noProof w:val="0"/>
          <w:kern w:val="2"/>
          <w:sz w:val="28"/>
          <w:szCs w:val="16"/>
          <w:lang w:bidi="ar-SA"/>
        </w:rPr>
        <w:t>％；其中出口額為</w:t>
      </w:r>
      <w:r w:rsidR="00403EF1" w:rsidRPr="00403EF1">
        <w:rPr>
          <w:rFonts w:hint="eastAsia"/>
          <w:noProof w:val="0"/>
          <w:kern w:val="2"/>
          <w:sz w:val="28"/>
          <w:szCs w:val="16"/>
          <w:lang w:bidi="ar-SA"/>
        </w:rPr>
        <w:t>590.7</w:t>
      </w:r>
      <w:r w:rsidR="00403EF1" w:rsidRPr="00403EF1">
        <w:rPr>
          <w:rFonts w:hint="eastAsia"/>
          <w:noProof w:val="0"/>
          <w:kern w:val="2"/>
          <w:sz w:val="28"/>
          <w:szCs w:val="16"/>
          <w:lang w:bidi="ar-SA"/>
        </w:rPr>
        <w:t>億美元，增加</w:t>
      </w:r>
      <w:r w:rsidR="00403EF1" w:rsidRPr="00403EF1">
        <w:rPr>
          <w:rFonts w:hint="eastAsia"/>
          <w:noProof w:val="0"/>
          <w:kern w:val="2"/>
          <w:sz w:val="28"/>
          <w:szCs w:val="16"/>
          <w:lang w:bidi="ar-SA"/>
        </w:rPr>
        <w:t>3.8</w:t>
      </w:r>
      <w:r w:rsidR="00403EF1" w:rsidRPr="00403EF1">
        <w:rPr>
          <w:rFonts w:hint="eastAsia"/>
          <w:noProof w:val="0"/>
          <w:kern w:val="2"/>
          <w:sz w:val="28"/>
          <w:szCs w:val="16"/>
          <w:lang w:bidi="ar-SA"/>
        </w:rPr>
        <w:t>％；進口額為</w:t>
      </w:r>
      <w:r w:rsidR="00403EF1" w:rsidRPr="00403EF1">
        <w:rPr>
          <w:rFonts w:hint="eastAsia"/>
          <w:noProof w:val="0"/>
          <w:kern w:val="2"/>
          <w:sz w:val="28"/>
          <w:szCs w:val="16"/>
          <w:lang w:bidi="ar-SA"/>
        </w:rPr>
        <w:t>216.3</w:t>
      </w:r>
      <w:r w:rsidR="00403EF1" w:rsidRPr="00403EF1">
        <w:rPr>
          <w:rFonts w:hint="eastAsia"/>
          <w:noProof w:val="0"/>
          <w:kern w:val="2"/>
          <w:sz w:val="28"/>
          <w:szCs w:val="16"/>
          <w:lang w:bidi="ar-SA"/>
        </w:rPr>
        <w:t>億美元，增加</w:t>
      </w:r>
      <w:r w:rsidR="00403EF1" w:rsidRPr="00403EF1">
        <w:rPr>
          <w:rFonts w:hint="eastAsia"/>
          <w:noProof w:val="0"/>
          <w:kern w:val="2"/>
          <w:sz w:val="28"/>
          <w:szCs w:val="16"/>
          <w:lang w:bidi="ar-SA"/>
        </w:rPr>
        <w:t>1.1</w:t>
      </w:r>
      <w:r w:rsidR="00403EF1" w:rsidRPr="00403EF1">
        <w:rPr>
          <w:rFonts w:hint="eastAsia"/>
          <w:noProof w:val="0"/>
          <w:kern w:val="2"/>
          <w:sz w:val="28"/>
          <w:szCs w:val="16"/>
          <w:lang w:bidi="ar-SA"/>
        </w:rPr>
        <w:t>％；貿易</w:t>
      </w:r>
      <w:r w:rsidR="004F137B">
        <w:rPr>
          <w:rFonts w:hint="eastAsia"/>
          <w:noProof w:val="0"/>
          <w:kern w:val="2"/>
          <w:sz w:val="28"/>
          <w:szCs w:val="16"/>
          <w:lang w:bidi="ar-SA"/>
        </w:rPr>
        <w:t>出超</w:t>
      </w:r>
      <w:r w:rsidR="00403EF1" w:rsidRPr="00403EF1">
        <w:rPr>
          <w:rFonts w:hint="eastAsia"/>
          <w:noProof w:val="0"/>
          <w:kern w:val="2"/>
          <w:sz w:val="28"/>
          <w:szCs w:val="16"/>
          <w:lang w:bidi="ar-SA"/>
        </w:rPr>
        <w:t>為</w:t>
      </w:r>
      <w:r w:rsidR="00403EF1" w:rsidRPr="00403EF1">
        <w:rPr>
          <w:rFonts w:hint="eastAsia"/>
          <w:noProof w:val="0"/>
          <w:kern w:val="2"/>
          <w:sz w:val="28"/>
          <w:szCs w:val="16"/>
          <w:lang w:bidi="ar-SA"/>
        </w:rPr>
        <w:t>374.5</w:t>
      </w:r>
      <w:r w:rsidR="00403EF1" w:rsidRPr="00403EF1">
        <w:rPr>
          <w:rFonts w:hint="eastAsia"/>
          <w:noProof w:val="0"/>
          <w:kern w:val="2"/>
          <w:sz w:val="28"/>
          <w:szCs w:val="16"/>
          <w:lang w:bidi="ar-SA"/>
        </w:rPr>
        <w:t>億美元，增加</w:t>
      </w:r>
      <w:r w:rsidR="00403EF1" w:rsidRPr="00403EF1">
        <w:rPr>
          <w:rFonts w:hint="eastAsia"/>
          <w:noProof w:val="0"/>
          <w:kern w:val="2"/>
          <w:sz w:val="28"/>
          <w:szCs w:val="16"/>
          <w:lang w:bidi="ar-SA"/>
        </w:rPr>
        <w:t>5.5</w:t>
      </w:r>
      <w:r w:rsidR="00403EF1" w:rsidRPr="00403EF1">
        <w:rPr>
          <w:rFonts w:hint="eastAsia"/>
          <w:noProof w:val="0"/>
          <w:kern w:val="2"/>
          <w:sz w:val="28"/>
          <w:szCs w:val="16"/>
          <w:lang w:bidi="ar-SA"/>
        </w:rPr>
        <w:t>％。</w:t>
      </w:r>
    </w:p>
    <w:p w:rsidR="006C1440" w:rsidRPr="00403EF1" w:rsidRDefault="006C1440" w:rsidP="00683A3E">
      <w:pPr>
        <w:pStyle w:val="k3a"/>
        <w:spacing w:beforeLines="0" w:before="0" w:line="300" w:lineRule="auto"/>
        <w:ind w:leftChars="0" w:left="0" w:firstLineChars="0" w:firstLine="0"/>
        <w:rPr>
          <w:vanish/>
        </w:rPr>
      </w:pPr>
    </w:p>
    <w:p w:rsidR="006C1440" w:rsidRPr="00403EF1" w:rsidRDefault="006C1440" w:rsidP="006C1440">
      <w:pPr>
        <w:rPr>
          <w:rFonts w:eastAsia="標楷體"/>
          <w:vanish/>
          <w:sz w:val="28"/>
        </w:rPr>
      </w:pPr>
    </w:p>
    <w:p w:rsidR="006C1440" w:rsidRPr="00403EF1" w:rsidRDefault="006C1440" w:rsidP="006C1440">
      <w:pPr>
        <w:rPr>
          <w:rFonts w:eastAsia="標楷體"/>
          <w:vanish/>
          <w:sz w:val="28"/>
        </w:rPr>
      </w:pPr>
    </w:p>
    <w:p w:rsidR="006C1440" w:rsidRPr="00403EF1" w:rsidRDefault="006C1440" w:rsidP="006C1440">
      <w:pPr>
        <w:rPr>
          <w:rFonts w:eastAsia="標楷體"/>
          <w:vanish/>
          <w:sz w:val="28"/>
        </w:rPr>
      </w:pPr>
    </w:p>
    <w:p w:rsidR="006C1440" w:rsidRPr="00403EF1" w:rsidRDefault="006C1440" w:rsidP="006C1440">
      <w:pPr>
        <w:rPr>
          <w:rFonts w:eastAsia="標楷體"/>
          <w:vanish/>
          <w:sz w:val="28"/>
        </w:rPr>
      </w:pPr>
    </w:p>
    <w:p w:rsidR="006C1440" w:rsidRPr="00403EF1" w:rsidRDefault="006C1440" w:rsidP="006C1440">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6C1440" w:rsidRPr="00403EF1" w:rsidRDefault="006C1440" w:rsidP="006C1440">
      <w:pPr>
        <w:rPr>
          <w:rFonts w:eastAsia="標楷體"/>
          <w:vanish/>
          <w:sz w:val="28"/>
        </w:rPr>
      </w:pPr>
    </w:p>
    <w:p w:rsidR="006C1440" w:rsidRPr="00403EF1" w:rsidRDefault="006C1440" w:rsidP="006C1440">
      <w:pPr>
        <w:rPr>
          <w:rFonts w:eastAsia="標楷體"/>
          <w:vanish/>
          <w:sz w:val="28"/>
        </w:rPr>
      </w:pPr>
    </w:p>
    <w:p w:rsidR="006C1440" w:rsidRPr="00403EF1" w:rsidRDefault="006C1440" w:rsidP="006C1440">
      <w:pPr>
        <w:rPr>
          <w:rFonts w:eastAsia="標楷體"/>
          <w:vanish/>
          <w:sz w:val="28"/>
        </w:rPr>
      </w:pPr>
    </w:p>
    <w:p w:rsidR="006C1440" w:rsidRPr="00403EF1" w:rsidRDefault="006C1440" w:rsidP="006C1440">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6C1440" w:rsidRPr="00403EF1" w:rsidRDefault="006C1440" w:rsidP="00276BD8">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658752" behindDoc="0" locked="0" layoutInCell="1" allowOverlap="1" wp14:anchorId="1FF4A37A" wp14:editId="073044A2">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EBE" w:rsidRDefault="003D7EBE" w:rsidP="006C1440">
                              <w:pPr>
                                <w:spacing w:line="200" w:lineRule="exact"/>
                                <w:rPr>
                                  <w:b/>
                                  <w:bCs/>
                                  <w:color w:val="000000"/>
                                  <w:sz w:val="16"/>
                                </w:rPr>
                              </w:pPr>
                              <w:r>
                                <w:rPr>
                                  <w:rFonts w:hint="eastAsia"/>
                                  <w:b/>
                                  <w:bCs/>
                                  <w:color w:val="000000"/>
                                  <w:sz w:val="16"/>
                                </w:rPr>
                                <w:t>進口成長率</w:t>
                              </w:r>
                            </w:p>
                            <w:p w:rsidR="003D7EBE" w:rsidRDefault="003D7EBE" w:rsidP="006C144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42" style="position:absolute;left:0;text-align:left;margin-left:-226.8pt;margin-top:43.5pt;width:45pt;height:27pt;z-index:251658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gGX1L5cDAADt&#10;CAAADgAAAAAAAAAAAAAAAAAuAgAAZHJzL2Uyb0RvYy54bWxQSwECLQAUAAYACAAAACEA5YrKmOEA&#10;AAAMAQAADwAAAAAAAAAAAAAAAADxBQAAZHJzL2Rvd25yZXYueG1sUEsFBgAAAAAEAAQA8wAAAP8G&#10;AAAAAA==&#10;">
                <v:shape id="Text Box 3" o:spid="_x0000_s1043"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3D7EBE" w:rsidRDefault="003D7EBE" w:rsidP="006C1440">
                        <w:pPr>
                          <w:spacing w:line="200" w:lineRule="exact"/>
                          <w:rPr>
                            <w:b/>
                            <w:bCs/>
                            <w:color w:val="000000"/>
                            <w:sz w:val="16"/>
                          </w:rPr>
                        </w:pPr>
                        <w:r>
                          <w:rPr>
                            <w:rFonts w:hint="eastAsia"/>
                            <w:b/>
                            <w:bCs/>
                            <w:color w:val="000000"/>
                            <w:sz w:val="16"/>
                          </w:rPr>
                          <w:t>進口成長率</w:t>
                        </w:r>
                      </w:p>
                      <w:p w:rsidR="003D7EBE" w:rsidRDefault="003D7EBE" w:rsidP="006C1440">
                        <w:pPr>
                          <w:spacing w:line="200" w:lineRule="exact"/>
                          <w:rPr>
                            <w:sz w:val="14"/>
                          </w:rPr>
                        </w:pPr>
                      </w:p>
                    </w:txbxContent>
                  </v:textbox>
                </v:shape>
                <v:line id="Line 4" o:spid="_x0000_s1044"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003028AD" w:rsidRPr="00403EF1">
        <w:rPr>
          <w:rFonts w:eastAsia="標楷體"/>
          <w:b/>
          <w:bCs/>
          <w:sz w:val="28"/>
        </w:rPr>
        <w:t xml:space="preserve">        </w:t>
      </w:r>
      <w:r w:rsidR="00CA4FA9" w:rsidRPr="00403EF1">
        <w:rPr>
          <w:rFonts w:eastAsia="標楷體"/>
          <w:b/>
          <w:bCs/>
          <w:sz w:val="28"/>
        </w:rPr>
        <w:t>表</w:t>
      </w:r>
      <w:r w:rsidR="00CA4FA9" w:rsidRPr="00403EF1">
        <w:rPr>
          <w:rFonts w:eastAsia="標楷體"/>
          <w:b/>
          <w:bCs/>
          <w:sz w:val="28"/>
        </w:rPr>
        <w:t>4-3</w:t>
      </w:r>
      <w:r w:rsidR="003028AD" w:rsidRPr="00403EF1">
        <w:rPr>
          <w:rFonts w:eastAsia="標楷體"/>
          <w:b/>
          <w:bCs/>
          <w:sz w:val="28"/>
        </w:rPr>
        <w:t xml:space="preserve">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403EF1" w:rsidRPr="00896C1C" w:rsidTr="008917A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03EF1" w:rsidRPr="00896C1C" w:rsidRDefault="00403EF1" w:rsidP="008917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sidR="00406C89">
              <w:rPr>
                <w:rFonts w:ascii="標楷體" w:eastAsia="標楷體" w:hAnsi="標楷體" w:hint="eastAsia"/>
                <w:spacing w:val="0"/>
                <w:szCs w:val="24"/>
              </w:rPr>
              <w:t>(</w:t>
            </w:r>
            <w:r w:rsidRPr="00896C1C">
              <w:rPr>
                <w:rFonts w:ascii="標楷體" w:eastAsia="標楷體" w:hAnsi="標楷體" w:hint="eastAsia"/>
                <w:spacing w:val="0"/>
                <w:szCs w:val="24"/>
              </w:rPr>
              <w:t>月</w:t>
            </w:r>
            <w:r w:rsidR="00406C89">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403EF1" w:rsidRPr="00896C1C" w:rsidRDefault="00403EF1" w:rsidP="008917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403EF1" w:rsidRPr="00896C1C" w:rsidRDefault="00406C89" w:rsidP="00406C89">
            <w:pPr>
              <w:jc w:val="center"/>
              <w:rPr>
                <w:rFonts w:ascii="標楷體" w:eastAsia="標楷體" w:hAnsi="標楷體" w:cs="Arial Unicode MS"/>
              </w:rPr>
            </w:pPr>
            <w:r>
              <w:rPr>
                <w:rFonts w:ascii="標楷體" w:eastAsia="標楷體" w:hAnsi="標楷體" w:hint="eastAsia"/>
              </w:rPr>
              <w:t>出入</w:t>
            </w:r>
            <w:r w:rsidR="00AC4AF7">
              <w:rPr>
                <w:rFonts w:ascii="標楷體" w:eastAsia="標楷體" w:hAnsi="標楷體" w:hint="eastAsia"/>
              </w:rPr>
              <w:t>超</w:t>
            </w:r>
          </w:p>
        </w:tc>
      </w:tr>
      <w:tr w:rsidR="00403EF1" w:rsidRPr="00896C1C" w:rsidTr="008917A1">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403EF1" w:rsidRPr="00896C1C" w:rsidRDefault="00403EF1" w:rsidP="008917A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6C89" w:rsidP="008917A1">
            <w:pPr>
              <w:jc w:val="center"/>
              <w:rPr>
                <w:rFonts w:ascii="標楷體" w:eastAsia="標楷體" w:hAnsi="標楷體" w:cs="Arial Unicode MS"/>
              </w:rPr>
            </w:pPr>
            <w:r>
              <w:rPr>
                <w:rFonts w:ascii="標楷體" w:eastAsia="標楷體" w:hAnsi="標楷體" w:hint="eastAsia"/>
              </w:rPr>
              <w:t>年增</w:t>
            </w:r>
            <w:r w:rsidR="00403EF1"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6C89" w:rsidP="008917A1">
            <w:pPr>
              <w:jc w:val="center"/>
              <w:rPr>
                <w:rFonts w:ascii="標楷體" w:eastAsia="標楷體" w:hAnsi="標楷體" w:cs="Arial Unicode MS"/>
              </w:rPr>
            </w:pPr>
            <w:r>
              <w:rPr>
                <w:rFonts w:ascii="標楷體" w:eastAsia="標楷體" w:hAnsi="標楷體" w:hint="eastAsia"/>
              </w:rPr>
              <w:t>年增</w:t>
            </w:r>
            <w:r w:rsidR="00403EF1"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6C89" w:rsidP="008917A1">
            <w:pPr>
              <w:jc w:val="center"/>
              <w:rPr>
                <w:rFonts w:ascii="標楷體" w:eastAsia="標楷體" w:hAnsi="標楷體" w:cs="Arial Unicode MS"/>
              </w:rPr>
            </w:pPr>
            <w:r>
              <w:rPr>
                <w:rFonts w:ascii="標楷體" w:eastAsia="標楷體" w:hAnsi="標楷體" w:hint="eastAsia"/>
              </w:rPr>
              <w:t>年增</w:t>
            </w:r>
            <w:r w:rsidR="00403EF1"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03EF1" w:rsidRPr="00896C1C" w:rsidRDefault="00403EF1" w:rsidP="008917A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403EF1" w:rsidRPr="00896C1C" w:rsidRDefault="00406C89" w:rsidP="008917A1">
            <w:pPr>
              <w:jc w:val="center"/>
              <w:rPr>
                <w:rFonts w:ascii="標楷體" w:eastAsia="標楷體" w:hAnsi="標楷體" w:cs="Arial Unicode MS"/>
              </w:rPr>
            </w:pPr>
            <w:r>
              <w:rPr>
                <w:rFonts w:ascii="標楷體" w:eastAsia="標楷體" w:hAnsi="標楷體" w:hint="eastAsia"/>
              </w:rPr>
              <w:t>年增</w:t>
            </w:r>
            <w:r w:rsidR="00403EF1" w:rsidRPr="00896C1C">
              <w:rPr>
                <w:rFonts w:ascii="標楷體" w:eastAsia="標楷體" w:hAnsi="標楷體" w:hint="eastAsia"/>
              </w:rPr>
              <w:t>率</w:t>
            </w:r>
          </w:p>
        </w:tc>
      </w:tr>
      <w:tr w:rsidR="00403EF1" w:rsidRPr="00896C1C" w:rsidTr="008917A1">
        <w:trPr>
          <w:trHeight w:val="360"/>
        </w:trPr>
        <w:tc>
          <w:tcPr>
            <w:tcW w:w="1800" w:type="dxa"/>
            <w:tcBorders>
              <w:right w:val="single" w:sz="4" w:space="0" w:color="auto"/>
            </w:tcBorders>
            <w:tcMar>
              <w:top w:w="15" w:type="dxa"/>
              <w:left w:w="15" w:type="dxa"/>
              <w:bottom w:w="0" w:type="dxa"/>
              <w:right w:w="15" w:type="dxa"/>
            </w:tcMar>
          </w:tcPr>
          <w:p w:rsidR="00403EF1" w:rsidRPr="00896C1C" w:rsidRDefault="00403EF1" w:rsidP="008917A1">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-12.9</w:t>
            </w:r>
          </w:p>
        </w:tc>
      </w:tr>
      <w:tr w:rsidR="00403EF1" w:rsidRPr="00896C1C" w:rsidTr="008917A1">
        <w:trPr>
          <w:trHeight w:val="360"/>
        </w:trPr>
        <w:tc>
          <w:tcPr>
            <w:tcW w:w="1800" w:type="dxa"/>
            <w:tcBorders>
              <w:right w:val="single" w:sz="4" w:space="0" w:color="auto"/>
            </w:tcBorders>
            <w:tcMar>
              <w:top w:w="15" w:type="dxa"/>
              <w:left w:w="15" w:type="dxa"/>
              <w:bottom w:w="0" w:type="dxa"/>
              <w:right w:w="15" w:type="dxa"/>
            </w:tcMar>
          </w:tcPr>
          <w:p w:rsidR="00403EF1" w:rsidRPr="00896C1C" w:rsidRDefault="00403EF1" w:rsidP="008917A1">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32.7</w:t>
            </w:r>
          </w:p>
        </w:tc>
      </w:tr>
      <w:tr w:rsidR="00403EF1" w:rsidRPr="00896C1C" w:rsidTr="008917A1">
        <w:trPr>
          <w:trHeight w:val="360"/>
        </w:trPr>
        <w:tc>
          <w:tcPr>
            <w:tcW w:w="1800" w:type="dxa"/>
            <w:tcBorders>
              <w:right w:val="single" w:sz="4" w:space="0" w:color="auto"/>
            </w:tcBorders>
            <w:tcMar>
              <w:top w:w="15" w:type="dxa"/>
              <w:left w:w="15" w:type="dxa"/>
              <w:bottom w:w="0" w:type="dxa"/>
              <w:right w:w="15" w:type="dxa"/>
            </w:tcMar>
          </w:tcPr>
          <w:p w:rsidR="00403EF1" w:rsidRPr="00896C1C" w:rsidRDefault="00403EF1" w:rsidP="008917A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403EF1" w:rsidRPr="00896C1C" w:rsidRDefault="00403EF1" w:rsidP="008917A1">
            <w:pPr>
              <w:jc w:val="center"/>
            </w:pPr>
            <w:r w:rsidRPr="00896C1C">
              <w:rPr>
                <w:rFonts w:hint="eastAsia"/>
              </w:rPr>
              <w:t>2.1</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Pr="00CD3778" w:rsidRDefault="00403EF1" w:rsidP="008917A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403EF1" w:rsidRPr="00CD3778" w:rsidRDefault="00403EF1" w:rsidP="008917A1">
            <w:pPr>
              <w:jc w:val="center"/>
              <w:rPr>
                <w:color w:val="000000"/>
              </w:rPr>
            </w:pPr>
            <w:r>
              <w:rPr>
                <w:rFonts w:hint="eastAsia"/>
                <w:color w:val="000000"/>
              </w:rPr>
              <w:t>-4.7</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62.8</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3.4</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-13.9</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10.4</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-2.0</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4.2</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8.4</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807.0</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30.1</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590.7</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3.8</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216.3</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1.1</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15.9</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374.5</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5.5</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34.3</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-23.7</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10.2</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3.3</w:t>
            </w:r>
          </w:p>
        </w:tc>
      </w:tr>
      <w:tr w:rsidR="00403EF1" w:rsidRPr="00896C1C" w:rsidTr="008917A1">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-9.7</w:t>
            </w:r>
          </w:p>
        </w:tc>
      </w:tr>
      <w:tr w:rsidR="00403EF1" w:rsidRPr="00896C1C" w:rsidTr="008917A1">
        <w:trPr>
          <w:trHeight w:val="36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03EF1" w:rsidRDefault="00403EF1" w:rsidP="008917A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139.2</w:t>
            </w:r>
          </w:p>
        </w:tc>
        <w:tc>
          <w:tcPr>
            <w:tcW w:w="798"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5.9</w:t>
            </w:r>
          </w:p>
        </w:tc>
        <w:tc>
          <w:tcPr>
            <w:tcW w:w="631"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28.0</w:t>
            </w:r>
          </w:p>
        </w:tc>
        <w:tc>
          <w:tcPr>
            <w:tcW w:w="797"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102.9</w:t>
            </w:r>
          </w:p>
        </w:tc>
        <w:tc>
          <w:tcPr>
            <w:tcW w:w="854"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6.0</w:t>
            </w:r>
          </w:p>
        </w:tc>
        <w:tc>
          <w:tcPr>
            <w:tcW w:w="700"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38.9</w:t>
            </w:r>
          </w:p>
        </w:tc>
        <w:tc>
          <w:tcPr>
            <w:tcW w:w="786"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36.3</w:t>
            </w:r>
          </w:p>
        </w:tc>
        <w:tc>
          <w:tcPr>
            <w:tcW w:w="938"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5.9</w:t>
            </w:r>
          </w:p>
        </w:tc>
        <w:tc>
          <w:tcPr>
            <w:tcW w:w="720"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15.6</w:t>
            </w:r>
          </w:p>
        </w:tc>
        <w:tc>
          <w:tcPr>
            <w:tcW w:w="772"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66.5</w:t>
            </w:r>
          </w:p>
        </w:tc>
        <w:tc>
          <w:tcPr>
            <w:tcW w:w="848" w:type="dxa"/>
            <w:tcBorders>
              <w:left w:val="nil"/>
              <w:bottom w:val="single" w:sz="4" w:space="0" w:color="auto"/>
              <w:right w:val="nil"/>
            </w:tcBorders>
            <w:tcMar>
              <w:top w:w="15" w:type="dxa"/>
              <w:left w:w="15" w:type="dxa"/>
              <w:bottom w:w="0" w:type="dxa"/>
              <w:right w:w="15" w:type="dxa"/>
            </w:tcMar>
            <w:vAlign w:val="bottom"/>
          </w:tcPr>
          <w:p w:rsidR="00403EF1" w:rsidRDefault="00403EF1" w:rsidP="008917A1">
            <w:pPr>
              <w:jc w:val="center"/>
              <w:rPr>
                <w:color w:val="000000"/>
              </w:rPr>
            </w:pPr>
            <w:r>
              <w:rPr>
                <w:rFonts w:hint="eastAsia"/>
                <w:color w:val="000000"/>
              </w:rPr>
              <w:t>6.0</w:t>
            </w:r>
          </w:p>
        </w:tc>
      </w:tr>
    </w:tbl>
    <w:p w:rsidR="006C1440" w:rsidRPr="00403EF1" w:rsidRDefault="006C1440" w:rsidP="006C1440">
      <w:pPr>
        <w:snapToGrid w:val="0"/>
        <w:spacing w:line="240" w:lineRule="exact"/>
        <w:ind w:right="-777"/>
        <w:jc w:val="both"/>
        <w:rPr>
          <w:rFonts w:eastAsia="標楷體"/>
          <w:sz w:val="28"/>
          <w:szCs w:val="28"/>
        </w:rPr>
      </w:pPr>
      <w:r w:rsidRPr="00403EF1">
        <w:rPr>
          <w:rFonts w:eastAsia="標楷體"/>
          <w:sz w:val="22"/>
        </w:rPr>
        <w:t>資料來源：財政部進出口海關統計。</w:t>
      </w:r>
    </w:p>
    <w:p w:rsidR="00492C17" w:rsidRPr="003111E1" w:rsidRDefault="007338B5" w:rsidP="00E07556">
      <w:pPr>
        <w:pStyle w:val="1"/>
        <w:spacing w:beforeLines="50" w:before="180" w:afterLines="0" w:after="0"/>
      </w:pPr>
      <w:r w:rsidRPr="003111E1">
        <w:rPr>
          <w:color w:val="FF0000"/>
          <w:sz w:val="28"/>
          <w:szCs w:val="28"/>
        </w:rPr>
        <w:br w:type="page"/>
      </w:r>
      <w:bookmarkStart w:id="116" w:name="_Toc358042592"/>
      <w:r w:rsidR="00AC2664" w:rsidRPr="003111E1">
        <w:lastRenderedPageBreak/>
        <w:t>肆、專論</w:t>
      </w:r>
      <w:bookmarkEnd w:id="110"/>
      <w:bookmarkEnd w:id="116"/>
    </w:p>
    <w:p w:rsidR="00AD5B23" w:rsidRPr="003111E1" w:rsidRDefault="00AD5B23" w:rsidP="00E07556">
      <w:pPr>
        <w:spacing w:beforeLines="50" w:before="180" w:line="520" w:lineRule="exact"/>
        <w:jc w:val="center"/>
        <w:rPr>
          <w:rFonts w:eastAsia="標楷體"/>
          <w:b/>
          <w:sz w:val="36"/>
          <w:szCs w:val="32"/>
        </w:rPr>
      </w:pPr>
      <w:r w:rsidRPr="003111E1">
        <w:rPr>
          <w:rFonts w:eastAsia="標楷體"/>
          <w:b/>
          <w:sz w:val="36"/>
          <w:szCs w:val="32"/>
        </w:rPr>
        <w:t>OECD</w:t>
      </w:r>
      <w:r w:rsidRPr="003111E1">
        <w:rPr>
          <w:rFonts w:eastAsia="標楷體"/>
          <w:b/>
          <w:sz w:val="36"/>
          <w:szCs w:val="32"/>
        </w:rPr>
        <w:t>國家失業問題對台灣之啟示</w:t>
      </w:r>
      <w:r w:rsidRPr="003111E1">
        <w:rPr>
          <w:rFonts w:eastAsia="標楷體"/>
          <w:b/>
          <w:sz w:val="36"/>
          <w:szCs w:val="32"/>
          <w:vertAlign w:val="superscript"/>
        </w:rPr>
        <w:footnoteReference w:id="1"/>
      </w:r>
    </w:p>
    <w:p w:rsidR="00AD5B23" w:rsidRPr="003111E1" w:rsidRDefault="00AD5B23" w:rsidP="00E07556">
      <w:pPr>
        <w:spacing w:beforeLines="50" w:before="180" w:line="520" w:lineRule="exact"/>
        <w:rPr>
          <w:rFonts w:eastAsia="標楷體"/>
          <w:sz w:val="28"/>
          <w:szCs w:val="32"/>
        </w:rPr>
      </w:pPr>
      <w:r w:rsidRPr="003111E1">
        <w:rPr>
          <w:rFonts w:eastAsia="標楷體"/>
          <w:b/>
          <w:sz w:val="28"/>
          <w:szCs w:val="32"/>
        </w:rPr>
        <w:t>一、背景說明</w:t>
      </w:r>
    </w:p>
    <w:p w:rsidR="00AD5B23" w:rsidRPr="003111E1" w:rsidRDefault="00AD5B23" w:rsidP="00E07556">
      <w:pPr>
        <w:spacing w:beforeLines="50" w:before="180" w:line="520" w:lineRule="exact"/>
        <w:rPr>
          <w:rFonts w:eastAsia="標楷體"/>
          <w:sz w:val="28"/>
          <w:szCs w:val="32"/>
        </w:rPr>
      </w:pPr>
      <w:r w:rsidRPr="003111E1">
        <w:rPr>
          <w:rFonts w:eastAsia="標楷體"/>
          <w:sz w:val="28"/>
          <w:szCs w:val="32"/>
        </w:rPr>
        <w:t xml:space="preserve">　　經濟合作暨發展組織</w:t>
      </w:r>
      <w:r w:rsidRPr="003111E1">
        <w:rPr>
          <w:rFonts w:eastAsia="標楷體"/>
          <w:sz w:val="28"/>
          <w:szCs w:val="32"/>
        </w:rPr>
        <w:t>(OECD)</w:t>
      </w:r>
      <w:r w:rsidRPr="003111E1">
        <w:rPr>
          <w:rFonts w:eastAsia="標楷體"/>
          <w:sz w:val="28"/>
          <w:szCs w:val="32"/>
        </w:rPr>
        <w:t>在今</w:t>
      </w:r>
      <w:r w:rsidRPr="003111E1">
        <w:rPr>
          <w:rFonts w:eastAsia="標楷體"/>
          <w:sz w:val="28"/>
          <w:szCs w:val="32"/>
        </w:rPr>
        <w:t>(2013)</w:t>
      </w:r>
      <w:r w:rsidRPr="003111E1">
        <w:rPr>
          <w:rFonts w:eastAsia="標楷體"/>
          <w:sz w:val="28"/>
          <w:szCs w:val="32"/>
        </w:rPr>
        <w:t>年</w:t>
      </w:r>
      <w:r w:rsidRPr="003111E1">
        <w:rPr>
          <w:rFonts w:eastAsia="標楷體"/>
          <w:sz w:val="28"/>
          <w:szCs w:val="32"/>
        </w:rPr>
        <w:t>5</w:t>
      </w:r>
      <w:r w:rsidRPr="003111E1">
        <w:rPr>
          <w:rFonts w:eastAsia="標楷體"/>
          <w:sz w:val="28"/>
          <w:szCs w:val="32"/>
        </w:rPr>
        <w:t>月</w:t>
      </w:r>
      <w:r w:rsidRPr="003111E1">
        <w:rPr>
          <w:rFonts w:eastAsia="標楷體"/>
          <w:sz w:val="28"/>
          <w:szCs w:val="32"/>
        </w:rPr>
        <w:t>29</w:t>
      </w:r>
      <w:r w:rsidRPr="003111E1">
        <w:rPr>
          <w:rFonts w:eastAsia="標楷體"/>
          <w:sz w:val="28"/>
          <w:szCs w:val="32"/>
        </w:rPr>
        <w:t>日最新公布之全球經濟展望報告</w:t>
      </w:r>
      <w:r w:rsidRPr="003111E1">
        <w:rPr>
          <w:rFonts w:eastAsia="標楷體"/>
          <w:sz w:val="28"/>
          <w:szCs w:val="32"/>
        </w:rPr>
        <w:t>(Economic Outlook 2013)</w:t>
      </w:r>
      <w:r w:rsidRPr="003111E1">
        <w:rPr>
          <w:rFonts w:eastAsia="標楷體"/>
          <w:sz w:val="28"/>
          <w:szCs w:val="32"/>
        </w:rPr>
        <w:t>中指出，目前各會員國所面臨最大挑戰是創紀錄的失業水準。自</w:t>
      </w:r>
      <w:r w:rsidRPr="003111E1">
        <w:rPr>
          <w:rFonts w:eastAsia="標楷體"/>
          <w:sz w:val="28"/>
          <w:szCs w:val="32"/>
        </w:rPr>
        <w:t>2008</w:t>
      </w:r>
      <w:r w:rsidRPr="003111E1">
        <w:rPr>
          <w:rFonts w:eastAsia="標楷體"/>
          <w:sz w:val="28"/>
          <w:szCs w:val="32"/>
        </w:rPr>
        <w:t>年金融海嘯爆發迄今，全球經濟雖已止跌回穩，惟主要國家就業市場情勢依然嚴峻，在</w:t>
      </w:r>
      <w:r w:rsidRPr="003111E1">
        <w:rPr>
          <w:rFonts w:eastAsia="標楷體"/>
          <w:sz w:val="28"/>
          <w:szCs w:val="32"/>
        </w:rPr>
        <w:t>2012</w:t>
      </w:r>
      <w:r w:rsidRPr="003111E1">
        <w:rPr>
          <w:rFonts w:eastAsia="標楷體"/>
          <w:sz w:val="28"/>
          <w:szCs w:val="32"/>
        </w:rPr>
        <w:t>年</w:t>
      </w:r>
      <w:r w:rsidRPr="003111E1">
        <w:rPr>
          <w:rFonts w:eastAsia="標楷體"/>
          <w:sz w:val="28"/>
          <w:szCs w:val="32"/>
        </w:rPr>
        <w:t>OECD</w:t>
      </w:r>
      <w:r w:rsidRPr="003111E1">
        <w:rPr>
          <w:rFonts w:eastAsia="標楷體"/>
          <w:sz w:val="28"/>
          <w:szCs w:val="32"/>
        </w:rPr>
        <w:t>國家平均失業率為</w:t>
      </w:r>
      <w:r w:rsidRPr="003111E1">
        <w:rPr>
          <w:rFonts w:eastAsia="標楷體"/>
          <w:sz w:val="28"/>
          <w:szCs w:val="32"/>
        </w:rPr>
        <w:t>8.0</w:t>
      </w:r>
      <w:r w:rsidRPr="003111E1">
        <w:rPr>
          <w:rFonts w:eastAsia="標楷體"/>
          <w:sz w:val="28"/>
          <w:szCs w:val="32"/>
        </w:rPr>
        <w:t>％，美國則為</w:t>
      </w:r>
      <w:r w:rsidRPr="003111E1">
        <w:rPr>
          <w:rFonts w:eastAsia="標楷體"/>
          <w:sz w:val="28"/>
          <w:szCs w:val="32"/>
        </w:rPr>
        <w:t>8.1</w:t>
      </w:r>
      <w:r w:rsidRPr="003111E1">
        <w:rPr>
          <w:rFonts w:eastAsia="標楷體"/>
          <w:sz w:val="28"/>
          <w:szCs w:val="32"/>
        </w:rPr>
        <w:t>％，歐盟更高達</w:t>
      </w:r>
      <w:r w:rsidRPr="003111E1">
        <w:rPr>
          <w:rFonts w:eastAsia="標楷體"/>
          <w:sz w:val="28"/>
          <w:szCs w:val="32"/>
        </w:rPr>
        <w:t>10.5</w:t>
      </w:r>
      <w:r w:rsidRPr="003111E1">
        <w:rPr>
          <w:rFonts w:eastAsia="標楷體"/>
          <w:sz w:val="28"/>
          <w:szCs w:val="32"/>
        </w:rPr>
        <w:t>％，其中又以結構性失業和青年失業問題為最。為此，</w:t>
      </w:r>
      <w:r w:rsidRPr="003111E1">
        <w:rPr>
          <w:rFonts w:eastAsia="標楷體"/>
          <w:sz w:val="28"/>
          <w:szCs w:val="32"/>
        </w:rPr>
        <w:t>OECD</w:t>
      </w:r>
      <w:r w:rsidRPr="003111E1">
        <w:rPr>
          <w:rFonts w:eastAsia="標楷體"/>
          <w:sz w:val="28"/>
          <w:szCs w:val="32"/>
        </w:rPr>
        <w:t>近年提出的多篇報告均建議各國政府應聚焦於強化勞動市場的抵禦能力，藉由職場專業技能訓練、增進勞動市場媒合、改善教育體制、促進就業等措施，防止循環性失業轉變為結構性失業，同時提升青年就業能力。雖然我國目前失業率維持在</w:t>
      </w:r>
      <w:r w:rsidRPr="003111E1">
        <w:rPr>
          <w:rFonts w:eastAsia="標楷體"/>
          <w:sz w:val="28"/>
          <w:szCs w:val="32"/>
        </w:rPr>
        <w:t>4</w:t>
      </w:r>
      <w:r w:rsidRPr="003111E1">
        <w:rPr>
          <w:rFonts w:eastAsia="標楷體"/>
          <w:sz w:val="28"/>
          <w:szCs w:val="32"/>
        </w:rPr>
        <w:t>％左右，已接近金融海嘯前水準，惟失業的內涵已發生改變，我國就業市場除在結構性失業及青年失業問題上同樣面臨艱鉅挑戰外，尚存有高等教育人才失業問題亟待解決。針對我國當前失業問題，可參考</w:t>
      </w:r>
      <w:r w:rsidRPr="003111E1">
        <w:rPr>
          <w:rFonts w:eastAsia="標楷體"/>
          <w:sz w:val="28"/>
          <w:szCs w:val="32"/>
        </w:rPr>
        <w:t>OECD</w:t>
      </w:r>
      <w:r w:rsidRPr="003111E1">
        <w:rPr>
          <w:rFonts w:eastAsia="標楷體"/>
          <w:sz w:val="28"/>
          <w:szCs w:val="32"/>
        </w:rPr>
        <w:t>報告，從提升及培育再就業能力、加強部會協調及產學合作機制、強化就業市場透明度等面向著手，並檢視相關措施的成效，確實從根本解決勞動市場失業問題。</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二、</w:t>
      </w:r>
      <w:r w:rsidRPr="003111E1">
        <w:rPr>
          <w:rFonts w:eastAsia="標楷體"/>
          <w:b/>
          <w:sz w:val="28"/>
          <w:szCs w:val="32"/>
        </w:rPr>
        <w:t>OECD</w:t>
      </w:r>
      <w:r w:rsidRPr="003111E1">
        <w:rPr>
          <w:rFonts w:eastAsia="標楷體"/>
          <w:b/>
          <w:sz w:val="28"/>
          <w:szCs w:val="32"/>
        </w:rPr>
        <w:t>國家當前勞動市場情勢分析：</w:t>
      </w:r>
    </w:p>
    <w:p w:rsidR="00AD5B23" w:rsidRPr="003111E1" w:rsidRDefault="00AD5B23" w:rsidP="000A7F1F">
      <w:pPr>
        <w:spacing w:beforeLines="50" w:before="180" w:afterLines="50" w:after="180" w:line="520" w:lineRule="exact"/>
        <w:rPr>
          <w:rFonts w:eastAsia="標楷體"/>
          <w:sz w:val="32"/>
          <w:szCs w:val="32"/>
        </w:rPr>
      </w:pPr>
      <w:r w:rsidRPr="003111E1">
        <w:rPr>
          <w:rFonts w:eastAsia="標楷體"/>
          <w:sz w:val="28"/>
          <w:szCs w:val="32"/>
        </w:rPr>
        <w:t xml:space="preserve">　　</w:t>
      </w:r>
      <w:r w:rsidRPr="003111E1">
        <w:rPr>
          <w:rFonts w:eastAsia="標楷體"/>
          <w:sz w:val="28"/>
          <w:szCs w:val="32"/>
        </w:rPr>
        <w:t>OECD</w:t>
      </w:r>
      <w:r w:rsidRPr="003111E1">
        <w:rPr>
          <w:rFonts w:eastAsia="標楷體"/>
          <w:sz w:val="28"/>
          <w:szCs w:val="32"/>
        </w:rPr>
        <w:t>最新公布之全球經濟展望報告下修全球經濟成長率</w:t>
      </w:r>
      <w:r w:rsidRPr="003111E1">
        <w:rPr>
          <w:rFonts w:eastAsia="標楷體"/>
          <w:sz w:val="28"/>
          <w:szCs w:val="32"/>
        </w:rPr>
        <w:t>0.3</w:t>
      </w:r>
      <w:r w:rsidRPr="003111E1">
        <w:rPr>
          <w:rFonts w:eastAsia="標楷體"/>
          <w:sz w:val="28"/>
          <w:szCs w:val="32"/>
        </w:rPr>
        <w:t>個百分點至</w:t>
      </w:r>
      <w:r w:rsidRPr="003111E1">
        <w:rPr>
          <w:rFonts w:eastAsia="標楷體"/>
          <w:sz w:val="28"/>
          <w:szCs w:val="32"/>
        </w:rPr>
        <w:t>3.1</w:t>
      </w:r>
      <w:r w:rsidRPr="003111E1">
        <w:rPr>
          <w:rFonts w:eastAsia="標楷體"/>
          <w:sz w:val="28"/>
          <w:szCs w:val="32"/>
        </w:rPr>
        <w:t>％，顯示今年全球景氣仍將持續低迷，但是隨著各國經濟復甦腳步加速，預計明年經濟成長可望達到</w:t>
      </w:r>
      <w:r w:rsidRPr="003111E1">
        <w:rPr>
          <w:rFonts w:eastAsia="標楷體"/>
          <w:sz w:val="28"/>
          <w:szCs w:val="32"/>
        </w:rPr>
        <w:t>4</w:t>
      </w:r>
      <w:r w:rsidRPr="003111E1">
        <w:rPr>
          <w:rFonts w:eastAsia="標楷體"/>
          <w:sz w:val="28"/>
          <w:szCs w:val="32"/>
        </w:rPr>
        <w:t>％。儘管</w:t>
      </w:r>
      <w:r w:rsidRPr="003111E1">
        <w:rPr>
          <w:rFonts w:eastAsia="標楷體"/>
          <w:sz w:val="28"/>
          <w:szCs w:val="32"/>
        </w:rPr>
        <w:t>OECD</w:t>
      </w:r>
      <w:r w:rsidRPr="003111E1">
        <w:rPr>
          <w:rFonts w:eastAsia="標楷體"/>
          <w:sz w:val="28"/>
          <w:szCs w:val="32"/>
        </w:rPr>
        <w:t>或其他國際組織對明年全球經濟展望樂觀，惟主要國家在勞動市場情勢上</w:t>
      </w:r>
      <w:r w:rsidRPr="003111E1">
        <w:rPr>
          <w:rFonts w:eastAsia="標楷體"/>
          <w:sz w:val="28"/>
          <w:szCs w:val="32"/>
        </w:rPr>
        <w:lastRenderedPageBreak/>
        <w:t>依舊嚴峻；圖</w:t>
      </w:r>
      <w:r w:rsidRPr="003111E1">
        <w:rPr>
          <w:rFonts w:eastAsia="標楷體"/>
          <w:sz w:val="28"/>
          <w:szCs w:val="32"/>
        </w:rPr>
        <w:t>1</w:t>
      </w:r>
      <w:r w:rsidRPr="003111E1">
        <w:rPr>
          <w:rFonts w:eastAsia="標楷體"/>
          <w:sz w:val="28"/>
          <w:szCs w:val="32"/>
        </w:rPr>
        <w:t>顯示</w:t>
      </w:r>
      <w:r w:rsidRPr="003111E1">
        <w:rPr>
          <w:rFonts w:eastAsia="標楷體"/>
          <w:sz w:val="28"/>
          <w:szCs w:val="32"/>
        </w:rPr>
        <w:t>OECD</w:t>
      </w:r>
      <w:r w:rsidRPr="003111E1">
        <w:rPr>
          <w:rFonts w:eastAsia="標楷體"/>
          <w:sz w:val="28"/>
          <w:szCs w:val="32"/>
        </w:rPr>
        <w:t>國家在今年第</w:t>
      </w:r>
      <w:r w:rsidRPr="003111E1">
        <w:rPr>
          <w:rFonts w:eastAsia="標楷體"/>
          <w:sz w:val="28"/>
          <w:szCs w:val="32"/>
        </w:rPr>
        <w:t>1</w:t>
      </w:r>
      <w:r w:rsidRPr="003111E1">
        <w:rPr>
          <w:rFonts w:eastAsia="標楷體"/>
          <w:sz w:val="28"/>
          <w:szCs w:val="32"/>
        </w:rPr>
        <w:t>季平均失業率仍維持在相對高檔的</w:t>
      </w:r>
      <w:r w:rsidRPr="003111E1">
        <w:rPr>
          <w:rFonts w:eastAsia="標楷體"/>
          <w:sz w:val="28"/>
          <w:szCs w:val="32"/>
        </w:rPr>
        <w:t>8.10</w:t>
      </w:r>
      <w:r w:rsidRPr="003111E1">
        <w:rPr>
          <w:rFonts w:eastAsia="標楷體"/>
          <w:sz w:val="28"/>
          <w:szCs w:val="32"/>
        </w:rPr>
        <w:t>％，僅較</w:t>
      </w:r>
      <w:r w:rsidRPr="003111E1">
        <w:rPr>
          <w:rFonts w:eastAsia="標楷體"/>
          <w:sz w:val="28"/>
          <w:szCs w:val="32"/>
        </w:rPr>
        <w:t>2010</w:t>
      </w:r>
      <w:r w:rsidRPr="003111E1">
        <w:rPr>
          <w:rFonts w:eastAsia="標楷體"/>
          <w:sz w:val="28"/>
          <w:szCs w:val="32"/>
        </w:rPr>
        <w:t>年第</w:t>
      </w:r>
      <w:r w:rsidRPr="003111E1">
        <w:rPr>
          <w:rFonts w:eastAsia="標楷體"/>
          <w:sz w:val="28"/>
          <w:szCs w:val="32"/>
        </w:rPr>
        <w:t>1</w:t>
      </w:r>
      <w:r w:rsidRPr="003111E1">
        <w:rPr>
          <w:rFonts w:eastAsia="標楷體"/>
          <w:sz w:val="28"/>
          <w:szCs w:val="32"/>
        </w:rPr>
        <w:t>季最高點的</w:t>
      </w:r>
      <w:r w:rsidRPr="003111E1">
        <w:rPr>
          <w:rFonts w:eastAsia="標楷體"/>
          <w:sz w:val="28"/>
          <w:szCs w:val="32"/>
        </w:rPr>
        <w:t>8.44</w:t>
      </w:r>
      <w:r w:rsidRPr="003111E1">
        <w:rPr>
          <w:rFonts w:eastAsia="標楷體"/>
          <w:sz w:val="28"/>
          <w:szCs w:val="32"/>
        </w:rPr>
        <w:t>％下降</w:t>
      </w:r>
      <w:r w:rsidRPr="003111E1">
        <w:rPr>
          <w:rFonts w:eastAsia="標楷體"/>
          <w:sz w:val="28"/>
          <w:szCs w:val="32"/>
        </w:rPr>
        <w:t>0.33</w:t>
      </w:r>
      <w:r w:rsidRPr="003111E1">
        <w:rPr>
          <w:rFonts w:eastAsia="標楷體"/>
          <w:sz w:val="28"/>
          <w:szCs w:val="32"/>
        </w:rPr>
        <w:t>個百分點，預測</w:t>
      </w:r>
      <w:r w:rsidRPr="003111E1">
        <w:rPr>
          <w:rFonts w:eastAsia="標楷體"/>
          <w:sz w:val="28"/>
          <w:szCs w:val="32"/>
        </w:rPr>
        <w:t>2014</w:t>
      </w:r>
      <w:r w:rsidRPr="003111E1">
        <w:rPr>
          <w:rFonts w:eastAsia="標楷體"/>
          <w:sz w:val="28"/>
          <w:szCs w:val="32"/>
        </w:rPr>
        <w:t>年平均失業率同樣維持在</w:t>
      </w:r>
      <w:r w:rsidRPr="003111E1">
        <w:rPr>
          <w:rFonts w:eastAsia="標楷體"/>
          <w:sz w:val="28"/>
          <w:szCs w:val="32"/>
        </w:rPr>
        <w:t>8</w:t>
      </w:r>
      <w:r w:rsidRPr="003111E1">
        <w:rPr>
          <w:rFonts w:eastAsia="標楷體"/>
          <w:sz w:val="28"/>
          <w:szCs w:val="32"/>
        </w:rPr>
        <w:t>％左右。</w:t>
      </w:r>
    </w:p>
    <w:p w:rsidR="00AD5B23" w:rsidRPr="003111E1" w:rsidRDefault="00AD5B23" w:rsidP="00AD5B23">
      <w:pPr>
        <w:keepNext/>
        <w:jc w:val="center"/>
        <w:rPr>
          <w:rFonts w:eastAsia="標楷體"/>
          <w:szCs w:val="22"/>
        </w:rPr>
      </w:pPr>
      <w:r w:rsidRPr="003111E1">
        <w:rPr>
          <w:rFonts w:eastAsia="標楷體"/>
          <w:noProof/>
          <w:sz w:val="32"/>
          <w:szCs w:val="32"/>
        </w:rPr>
        <w:drawing>
          <wp:inline distT="0" distB="0" distL="0" distR="0" wp14:anchorId="3B571266" wp14:editId="16699B97">
            <wp:extent cx="5050465" cy="2679405"/>
            <wp:effectExtent l="0" t="0" r="17145" b="26035"/>
            <wp:docPr id="3" name="圖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5B23" w:rsidRPr="003111E1" w:rsidRDefault="00AD5B23" w:rsidP="00E80867">
      <w:pPr>
        <w:spacing w:line="300" w:lineRule="exact"/>
        <w:rPr>
          <w:rFonts w:eastAsia="標楷體"/>
          <w:sz w:val="20"/>
          <w:szCs w:val="20"/>
        </w:rPr>
      </w:pPr>
      <w:r w:rsidRPr="003111E1">
        <w:rPr>
          <w:rFonts w:eastAsia="標楷體"/>
          <w:sz w:val="20"/>
          <w:szCs w:val="20"/>
        </w:rPr>
        <w:t xml:space="preserve">　</w:t>
      </w:r>
      <w:proofErr w:type="gramStart"/>
      <w:r w:rsidRPr="003111E1">
        <w:rPr>
          <w:rFonts w:eastAsia="標楷體"/>
          <w:sz w:val="20"/>
          <w:szCs w:val="20"/>
        </w:rPr>
        <w:t>註</w:t>
      </w:r>
      <w:proofErr w:type="gramEnd"/>
      <w:r w:rsidRPr="003111E1">
        <w:rPr>
          <w:rFonts w:eastAsia="標楷體"/>
          <w:sz w:val="20"/>
          <w:szCs w:val="20"/>
        </w:rPr>
        <w:t>：</w:t>
      </w:r>
      <w:r w:rsidRPr="003111E1">
        <w:rPr>
          <w:rFonts w:eastAsia="標楷體"/>
          <w:sz w:val="20"/>
          <w:szCs w:val="20"/>
        </w:rPr>
        <w:t>(f)</w:t>
      </w:r>
      <w:r w:rsidRPr="003111E1">
        <w:rPr>
          <w:rFonts w:eastAsia="標楷體"/>
          <w:sz w:val="20"/>
          <w:szCs w:val="20"/>
        </w:rPr>
        <w:t>表示為預測值。</w:t>
      </w:r>
    </w:p>
    <w:p w:rsidR="00AD5B23" w:rsidRPr="003111E1" w:rsidRDefault="00AD5B23" w:rsidP="00E80867">
      <w:pPr>
        <w:spacing w:line="300" w:lineRule="exact"/>
        <w:rPr>
          <w:rFonts w:eastAsia="標楷體"/>
          <w:sz w:val="20"/>
          <w:szCs w:val="20"/>
        </w:rPr>
      </w:pPr>
      <w:r w:rsidRPr="003111E1">
        <w:rPr>
          <w:rFonts w:eastAsia="標楷體"/>
          <w:sz w:val="20"/>
          <w:szCs w:val="20"/>
        </w:rPr>
        <w:t xml:space="preserve">　　　括弧內數字為年失業率。</w:t>
      </w:r>
    </w:p>
    <w:p w:rsidR="00AD5B23" w:rsidRPr="003111E1" w:rsidRDefault="00AD5B23" w:rsidP="00E80867">
      <w:pPr>
        <w:spacing w:line="300" w:lineRule="exact"/>
        <w:rPr>
          <w:rFonts w:eastAsia="標楷體"/>
          <w:sz w:val="20"/>
          <w:szCs w:val="20"/>
        </w:rPr>
      </w:pPr>
      <w:r w:rsidRPr="003111E1">
        <w:rPr>
          <w:rFonts w:eastAsia="標楷體"/>
          <w:sz w:val="20"/>
          <w:szCs w:val="20"/>
        </w:rPr>
        <w:t xml:space="preserve">　資料來源：</w:t>
      </w:r>
      <w:r w:rsidRPr="003111E1">
        <w:rPr>
          <w:rFonts w:eastAsia="標楷體"/>
          <w:sz w:val="20"/>
          <w:szCs w:val="20"/>
        </w:rPr>
        <w:t>OECD</w:t>
      </w:r>
      <w:proofErr w:type="gramStart"/>
      <w:r w:rsidRPr="003111E1">
        <w:rPr>
          <w:rFonts w:eastAsia="標楷體"/>
          <w:sz w:val="20"/>
          <w:szCs w:val="20"/>
        </w:rPr>
        <w:t>’</w:t>
      </w:r>
      <w:proofErr w:type="gramEnd"/>
      <w:r w:rsidRPr="003111E1">
        <w:rPr>
          <w:rFonts w:eastAsia="標楷體"/>
          <w:sz w:val="20"/>
          <w:szCs w:val="20"/>
        </w:rPr>
        <w:t>s ilibrary</w:t>
      </w:r>
      <w:r w:rsidRPr="003111E1">
        <w:rPr>
          <w:rFonts w:eastAsia="標楷體"/>
          <w:sz w:val="20"/>
          <w:szCs w:val="20"/>
        </w:rPr>
        <w:t>，網址：</w:t>
      </w:r>
      <w:r w:rsidRPr="003111E1">
        <w:rPr>
          <w:rFonts w:eastAsia="標楷體"/>
          <w:sz w:val="20"/>
          <w:szCs w:val="20"/>
        </w:rPr>
        <w:t>http://www.oecd-ilibrary.org/</w:t>
      </w:r>
      <w:r w:rsidRPr="003111E1">
        <w:rPr>
          <w:rFonts w:eastAsia="標楷體"/>
          <w:sz w:val="20"/>
          <w:szCs w:val="20"/>
        </w:rPr>
        <w:t>。</w:t>
      </w:r>
    </w:p>
    <w:p w:rsidR="00AD5B23" w:rsidRPr="003111E1" w:rsidRDefault="00AD5B23" w:rsidP="00E80867">
      <w:pPr>
        <w:spacing w:line="300" w:lineRule="exact"/>
        <w:rPr>
          <w:rFonts w:eastAsia="標楷體"/>
          <w:sz w:val="20"/>
          <w:szCs w:val="22"/>
        </w:rPr>
      </w:pPr>
      <w:r w:rsidRPr="003111E1">
        <w:rPr>
          <w:rFonts w:eastAsia="標楷體"/>
          <w:sz w:val="20"/>
          <w:szCs w:val="22"/>
        </w:rPr>
        <w:t xml:space="preserve">　　　　　　</w:t>
      </w:r>
      <w:r w:rsidRPr="003111E1">
        <w:rPr>
          <w:rFonts w:eastAsia="標楷體"/>
          <w:sz w:val="20"/>
          <w:szCs w:val="22"/>
        </w:rPr>
        <w:t>OECD Economic Outlook 2013</w:t>
      </w:r>
      <w:r w:rsidRPr="003111E1">
        <w:rPr>
          <w:rFonts w:eastAsia="標楷體"/>
          <w:sz w:val="20"/>
          <w:szCs w:val="22"/>
        </w:rPr>
        <w:t>。</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1</w:t>
      </w:r>
      <w:r w:rsidRPr="003111E1">
        <w:rPr>
          <w:rFonts w:eastAsia="標楷體"/>
          <w:b/>
          <w:sz w:val="28"/>
          <w:szCs w:val="20"/>
        </w:rPr>
        <w:fldChar w:fldCharType="end"/>
      </w:r>
      <w:r w:rsidRPr="003111E1">
        <w:rPr>
          <w:rFonts w:eastAsia="標楷體"/>
          <w:b/>
          <w:sz w:val="28"/>
          <w:szCs w:val="20"/>
        </w:rPr>
        <w:t xml:space="preserve">　</w:t>
      </w:r>
      <w:r w:rsidRPr="003111E1">
        <w:rPr>
          <w:rFonts w:eastAsia="標楷體"/>
          <w:b/>
          <w:sz w:val="28"/>
          <w:szCs w:val="20"/>
        </w:rPr>
        <w:t>OECD</w:t>
      </w:r>
      <w:r w:rsidRPr="003111E1">
        <w:rPr>
          <w:rFonts w:eastAsia="標楷體"/>
          <w:b/>
          <w:sz w:val="28"/>
          <w:szCs w:val="20"/>
        </w:rPr>
        <w:t>國家平均失業率</w:t>
      </w:r>
    </w:p>
    <w:p w:rsidR="00AD5B23" w:rsidRPr="003111E1" w:rsidRDefault="00AD5B23" w:rsidP="00E80867">
      <w:pPr>
        <w:spacing w:line="520" w:lineRule="exact"/>
        <w:rPr>
          <w:rFonts w:eastAsia="標楷體"/>
          <w:sz w:val="28"/>
          <w:szCs w:val="32"/>
        </w:rPr>
      </w:pPr>
      <w:r w:rsidRPr="003111E1">
        <w:rPr>
          <w:rFonts w:eastAsia="標楷體"/>
          <w:sz w:val="28"/>
          <w:szCs w:val="32"/>
        </w:rPr>
        <w:t xml:space="preserve">　　觀察</w:t>
      </w:r>
      <w:r w:rsidRPr="003111E1">
        <w:rPr>
          <w:rFonts w:eastAsia="標楷體"/>
          <w:sz w:val="28"/>
          <w:szCs w:val="32"/>
        </w:rPr>
        <w:t>OECD</w:t>
      </w:r>
      <w:r w:rsidRPr="003111E1">
        <w:rPr>
          <w:rFonts w:eastAsia="標楷體"/>
          <w:sz w:val="28"/>
          <w:szCs w:val="32"/>
        </w:rPr>
        <w:t>就業展望報告</w:t>
      </w:r>
      <w:r w:rsidRPr="003111E1">
        <w:rPr>
          <w:rFonts w:eastAsia="標楷體"/>
          <w:sz w:val="28"/>
          <w:szCs w:val="32"/>
        </w:rPr>
        <w:t>(Employment Outlook 2012)</w:t>
      </w:r>
      <w:r w:rsidRPr="003111E1">
        <w:rPr>
          <w:rFonts w:eastAsia="標楷體"/>
          <w:sz w:val="28"/>
          <w:szCs w:val="32"/>
        </w:rPr>
        <w:t>，本文歸納出當前</w:t>
      </w:r>
      <w:r w:rsidRPr="003111E1">
        <w:rPr>
          <w:rFonts w:eastAsia="標楷體"/>
          <w:sz w:val="28"/>
          <w:szCs w:val="32"/>
        </w:rPr>
        <w:t>OECD</w:t>
      </w:r>
      <w:r w:rsidRPr="003111E1">
        <w:rPr>
          <w:rFonts w:eastAsia="標楷體"/>
          <w:sz w:val="28"/>
          <w:szCs w:val="32"/>
        </w:rPr>
        <w:t>國家失業居高不下的主因有</w:t>
      </w:r>
      <w:proofErr w:type="gramStart"/>
      <w:r w:rsidRPr="003111E1">
        <w:rPr>
          <w:rFonts w:eastAsia="標楷體"/>
          <w:sz w:val="28"/>
          <w:szCs w:val="32"/>
        </w:rPr>
        <w:t>三</w:t>
      </w:r>
      <w:proofErr w:type="gramEnd"/>
      <w:r w:rsidRPr="003111E1">
        <w:rPr>
          <w:rFonts w:eastAsia="標楷體"/>
          <w:sz w:val="28"/>
          <w:szCs w:val="32"/>
        </w:rPr>
        <w:t>：</w:t>
      </w:r>
    </w:p>
    <w:p w:rsidR="00AD5B23" w:rsidRPr="003111E1" w:rsidRDefault="00AD5B23" w:rsidP="00E07556">
      <w:pPr>
        <w:spacing w:beforeLines="50" w:before="180" w:line="520" w:lineRule="exact"/>
        <w:rPr>
          <w:rFonts w:eastAsia="標楷體"/>
          <w:sz w:val="28"/>
          <w:szCs w:val="32"/>
        </w:rPr>
      </w:pPr>
      <w:r w:rsidRPr="003111E1">
        <w:rPr>
          <w:rFonts w:eastAsia="標楷體"/>
          <w:b/>
          <w:sz w:val="28"/>
          <w:szCs w:val="32"/>
        </w:rPr>
        <w:t>（一）長期失業問題</w:t>
      </w:r>
      <w:r w:rsidRPr="003111E1">
        <w:rPr>
          <w:rFonts w:eastAsia="標楷體"/>
          <w:b/>
          <w:sz w:val="28"/>
          <w:szCs w:val="32"/>
          <w:vertAlign w:val="superscript"/>
        </w:rPr>
        <w:footnoteReference w:id="2"/>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w:t>
      </w:r>
      <w:r w:rsidRPr="003111E1">
        <w:rPr>
          <w:rFonts w:eastAsia="標楷體"/>
          <w:sz w:val="28"/>
          <w:szCs w:val="32"/>
        </w:rPr>
        <w:t>OECD</w:t>
      </w:r>
      <w:r w:rsidRPr="003111E1">
        <w:rPr>
          <w:rFonts w:eastAsia="標楷體"/>
          <w:sz w:val="28"/>
          <w:szCs w:val="32"/>
        </w:rPr>
        <w:t>於報告中指出，全球經濟復甦力道疲弱會導致部分循環失業者日益邊緣化，隨著失業期間拉長，失業者自身技能越來越無法滿足勞動市場需求，進而轉化為長期性的結構失業問題。根據</w:t>
      </w:r>
      <w:r w:rsidRPr="003111E1">
        <w:rPr>
          <w:rFonts w:eastAsia="標楷體"/>
          <w:sz w:val="28"/>
          <w:szCs w:val="32"/>
        </w:rPr>
        <w:t>OECD</w:t>
      </w:r>
      <w:r w:rsidRPr="003111E1">
        <w:rPr>
          <w:rFonts w:eastAsia="標楷體"/>
          <w:sz w:val="28"/>
          <w:szCs w:val="32"/>
        </w:rPr>
        <w:t>最新統計，在</w:t>
      </w:r>
      <w:r w:rsidRPr="003111E1">
        <w:rPr>
          <w:rFonts w:eastAsia="標楷體"/>
          <w:sz w:val="28"/>
          <w:szCs w:val="32"/>
        </w:rPr>
        <w:t>2012</w:t>
      </w:r>
      <w:r w:rsidRPr="003111E1">
        <w:rPr>
          <w:rFonts w:eastAsia="標楷體"/>
          <w:sz w:val="28"/>
          <w:szCs w:val="32"/>
        </w:rPr>
        <w:t>年</w:t>
      </w:r>
      <w:r w:rsidRPr="003111E1">
        <w:rPr>
          <w:rFonts w:eastAsia="標楷體"/>
          <w:sz w:val="28"/>
          <w:szCs w:val="32"/>
        </w:rPr>
        <w:t>OECD</w:t>
      </w:r>
      <w:r w:rsidRPr="003111E1">
        <w:rPr>
          <w:rFonts w:eastAsia="標楷體"/>
          <w:sz w:val="28"/>
          <w:szCs w:val="32"/>
        </w:rPr>
        <w:t>國家平均長期失業率已經超過</w:t>
      </w:r>
      <w:r w:rsidRPr="003111E1">
        <w:rPr>
          <w:rFonts w:eastAsia="標楷體"/>
          <w:sz w:val="28"/>
          <w:szCs w:val="32"/>
        </w:rPr>
        <w:t>34</w:t>
      </w:r>
      <w:r w:rsidRPr="003111E1">
        <w:rPr>
          <w:rFonts w:eastAsia="標楷體"/>
          <w:sz w:val="28"/>
          <w:szCs w:val="32"/>
        </w:rPr>
        <w:t>％</w:t>
      </w:r>
      <w:r w:rsidRPr="003111E1">
        <w:rPr>
          <w:rFonts w:eastAsia="標楷體"/>
          <w:sz w:val="28"/>
          <w:szCs w:val="32"/>
          <w:vertAlign w:val="superscript"/>
        </w:rPr>
        <w:footnoteReference w:id="3"/>
      </w:r>
      <w:r w:rsidRPr="003111E1">
        <w:rPr>
          <w:rFonts w:eastAsia="標楷體"/>
          <w:sz w:val="28"/>
          <w:szCs w:val="32"/>
        </w:rPr>
        <w:t>，意味失業者中有超過三分之一已經持續失業達一年以上；其中歐盟更達</w:t>
      </w:r>
      <w:r w:rsidRPr="003111E1">
        <w:rPr>
          <w:rFonts w:eastAsia="標楷體"/>
          <w:sz w:val="28"/>
          <w:szCs w:val="32"/>
        </w:rPr>
        <w:t>43</w:t>
      </w:r>
      <w:r w:rsidRPr="003111E1">
        <w:rPr>
          <w:rFonts w:eastAsia="標楷體"/>
          <w:sz w:val="28"/>
          <w:szCs w:val="32"/>
        </w:rPr>
        <w:t>％，而美國的長期失業率則是從金融</w:t>
      </w:r>
      <w:r w:rsidRPr="003111E1">
        <w:rPr>
          <w:rFonts w:eastAsia="標楷體"/>
          <w:sz w:val="28"/>
          <w:szCs w:val="32"/>
        </w:rPr>
        <w:lastRenderedPageBreak/>
        <w:t>危機前的</w:t>
      </w:r>
      <w:r w:rsidRPr="003111E1">
        <w:rPr>
          <w:rFonts w:eastAsia="標楷體"/>
          <w:sz w:val="28"/>
          <w:szCs w:val="32"/>
        </w:rPr>
        <w:t>10</w:t>
      </w:r>
      <w:r w:rsidRPr="003111E1">
        <w:rPr>
          <w:rFonts w:eastAsia="標楷體"/>
          <w:sz w:val="28"/>
          <w:szCs w:val="32"/>
        </w:rPr>
        <w:t>％迅速攀升至</w:t>
      </w:r>
      <w:r w:rsidRPr="003111E1">
        <w:rPr>
          <w:rFonts w:eastAsia="標楷體"/>
          <w:sz w:val="28"/>
          <w:szCs w:val="32"/>
        </w:rPr>
        <w:t>2012</w:t>
      </w:r>
      <w:r w:rsidRPr="003111E1">
        <w:rPr>
          <w:rFonts w:eastAsia="標楷體"/>
          <w:sz w:val="28"/>
          <w:szCs w:val="32"/>
        </w:rPr>
        <w:t>年的</w:t>
      </w:r>
      <w:r w:rsidRPr="003111E1">
        <w:rPr>
          <w:rFonts w:eastAsia="標楷體"/>
          <w:sz w:val="28"/>
          <w:szCs w:val="32"/>
        </w:rPr>
        <w:t>29</w:t>
      </w:r>
      <w:r w:rsidRPr="003111E1">
        <w:rPr>
          <w:rFonts w:eastAsia="標楷體"/>
          <w:sz w:val="28"/>
          <w:szCs w:val="32"/>
        </w:rPr>
        <w:t>％，顯示長期失業惡化已經是</w:t>
      </w:r>
      <w:r w:rsidRPr="003111E1">
        <w:rPr>
          <w:rFonts w:eastAsia="標楷體"/>
          <w:sz w:val="28"/>
          <w:szCs w:val="32"/>
        </w:rPr>
        <w:t>OECD</w:t>
      </w:r>
      <w:r w:rsidRPr="003111E1">
        <w:rPr>
          <w:rFonts w:eastAsia="標楷體"/>
          <w:sz w:val="28"/>
          <w:szCs w:val="32"/>
        </w:rPr>
        <w:t>國家的共同挑戰。結構性失業之所以受到重視，主因失業者逐漸缺乏市場所需的就業技能，除導致人力資源浪費與影響景氣復甦動力外，長期失業者也引發許多後續如貧困、治安、子女教育、疾病等社會問題，</w:t>
      </w:r>
      <w:r w:rsidRPr="003111E1">
        <w:rPr>
          <w:rFonts w:eastAsia="標楷體"/>
          <w:sz w:val="28"/>
          <w:szCs w:val="32"/>
        </w:rPr>
        <w:t>OECD</w:t>
      </w:r>
      <w:r w:rsidRPr="003111E1">
        <w:rPr>
          <w:rFonts w:eastAsia="標楷體"/>
          <w:sz w:val="28"/>
          <w:szCs w:val="32"/>
        </w:rPr>
        <w:t>也因此呼籲各國政府除持續透過擴張性政策創造就業機會外，更應積極從事勞動市場政策改革，例如提供公共工作、就業補貼、求職協助、再就業訓練等，協助長期失業者維持基本生活並重返勞動市場，避免長期失業問題對經濟復甦造成危害。</w:t>
      </w:r>
    </w:p>
    <w:p w:rsidR="00AD5B23" w:rsidRPr="003111E1" w:rsidRDefault="00AD5B23" w:rsidP="00E07556">
      <w:pPr>
        <w:spacing w:beforeLines="50" w:before="180" w:line="520" w:lineRule="exact"/>
        <w:rPr>
          <w:rFonts w:eastAsia="標楷體"/>
          <w:sz w:val="28"/>
          <w:szCs w:val="32"/>
        </w:rPr>
      </w:pPr>
      <w:r w:rsidRPr="003111E1">
        <w:rPr>
          <w:rFonts w:eastAsia="標楷體"/>
          <w:b/>
          <w:sz w:val="28"/>
          <w:szCs w:val="32"/>
        </w:rPr>
        <w:t>（二）青年失業問題</w:t>
      </w:r>
      <w:r w:rsidRPr="003111E1">
        <w:rPr>
          <w:rFonts w:eastAsia="標楷體"/>
          <w:sz w:val="28"/>
          <w:szCs w:val="32"/>
          <w:vertAlign w:val="superscript"/>
        </w:rPr>
        <w:footnoteReference w:id="4"/>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自金融危機過後，青年一直是全球面臨最大失業危機的群體，其高失業率已經成了全球普遍問題。根據</w:t>
      </w:r>
      <w:r w:rsidRPr="003111E1">
        <w:rPr>
          <w:rFonts w:eastAsia="標楷體"/>
          <w:sz w:val="28"/>
          <w:szCs w:val="32"/>
        </w:rPr>
        <w:t>OECD</w:t>
      </w:r>
      <w:r w:rsidRPr="003111E1">
        <w:rPr>
          <w:rFonts w:eastAsia="標楷體"/>
          <w:sz w:val="28"/>
          <w:szCs w:val="32"/>
        </w:rPr>
        <w:t>最新公布之統計</w:t>
      </w:r>
      <w:r w:rsidRPr="003111E1">
        <w:rPr>
          <w:rFonts w:eastAsia="標楷體"/>
          <w:sz w:val="28"/>
          <w:szCs w:val="32"/>
          <w:vertAlign w:val="superscript"/>
        </w:rPr>
        <w:footnoteReference w:id="5"/>
      </w:r>
      <w:r w:rsidRPr="003111E1">
        <w:rPr>
          <w:rFonts w:eastAsia="標楷體"/>
          <w:sz w:val="28"/>
          <w:szCs w:val="32"/>
        </w:rPr>
        <w:t>，今年第</w:t>
      </w:r>
      <w:r w:rsidRPr="003111E1">
        <w:rPr>
          <w:rFonts w:eastAsia="標楷體"/>
          <w:sz w:val="28"/>
          <w:szCs w:val="32"/>
        </w:rPr>
        <w:t>1</w:t>
      </w:r>
      <w:r w:rsidRPr="003111E1">
        <w:rPr>
          <w:rFonts w:eastAsia="標楷體"/>
          <w:sz w:val="28"/>
          <w:szCs w:val="32"/>
        </w:rPr>
        <w:t>季</w:t>
      </w:r>
      <w:r w:rsidRPr="003111E1">
        <w:rPr>
          <w:rFonts w:eastAsia="標楷體"/>
          <w:sz w:val="28"/>
          <w:szCs w:val="32"/>
        </w:rPr>
        <w:t>OECD</w:t>
      </w:r>
      <w:r w:rsidRPr="003111E1">
        <w:rPr>
          <w:rFonts w:eastAsia="標楷體"/>
          <w:sz w:val="28"/>
          <w:szCs w:val="32"/>
        </w:rPr>
        <w:t>國家的青年失業率高達</w:t>
      </w:r>
      <w:r w:rsidRPr="003111E1">
        <w:rPr>
          <w:rFonts w:eastAsia="標楷體"/>
          <w:sz w:val="28"/>
          <w:szCs w:val="32"/>
        </w:rPr>
        <w:t>16.5</w:t>
      </w:r>
      <w:r w:rsidRPr="003111E1">
        <w:rPr>
          <w:rFonts w:eastAsia="標楷體"/>
          <w:sz w:val="28"/>
          <w:szCs w:val="32"/>
        </w:rPr>
        <w:t>％，而歐盟的青年失業率則高達</w:t>
      </w:r>
      <w:r w:rsidRPr="003111E1">
        <w:rPr>
          <w:rFonts w:eastAsia="標楷體"/>
          <w:sz w:val="28"/>
          <w:szCs w:val="32"/>
        </w:rPr>
        <w:t>23.4</w:t>
      </w:r>
      <w:r w:rsidRPr="003111E1">
        <w:rPr>
          <w:rFonts w:eastAsia="標楷體"/>
          <w:sz w:val="28"/>
          <w:szCs w:val="32"/>
        </w:rPr>
        <w:t>％，其中又以西班牙、希臘的青年失業率最高，皆達</w:t>
      </w:r>
      <w:r w:rsidRPr="003111E1">
        <w:rPr>
          <w:rFonts w:eastAsia="標楷體"/>
          <w:sz w:val="28"/>
          <w:szCs w:val="32"/>
        </w:rPr>
        <w:t>55</w:t>
      </w:r>
      <w:r w:rsidRPr="003111E1">
        <w:rPr>
          <w:rFonts w:eastAsia="標楷體"/>
          <w:sz w:val="28"/>
          <w:szCs w:val="32"/>
        </w:rPr>
        <w:t>％以上，顯示全球景氣復甦疲弱已對青年失業者產生嚴重的傷害。雖然青年多因初入職場普遍缺乏工作經驗，當景氣衰退時通常優先被裁員，景氣復甦時最後被雇用，但是青年在就業市場上人力資本的累積與未來國家整體經濟發展息息相關，因此</w:t>
      </w:r>
      <w:r w:rsidRPr="003111E1">
        <w:rPr>
          <w:rFonts w:eastAsia="標楷體"/>
          <w:sz w:val="28"/>
          <w:szCs w:val="32"/>
        </w:rPr>
        <w:t>OECD</w:t>
      </w:r>
      <w:r w:rsidRPr="003111E1">
        <w:rPr>
          <w:rFonts w:eastAsia="標楷體"/>
          <w:sz w:val="28"/>
          <w:szCs w:val="32"/>
        </w:rPr>
        <w:t>特別於今年</w:t>
      </w:r>
      <w:r w:rsidRPr="003111E1">
        <w:rPr>
          <w:rFonts w:eastAsia="標楷體"/>
          <w:sz w:val="28"/>
          <w:szCs w:val="32"/>
        </w:rPr>
        <w:t>5</w:t>
      </w:r>
      <w:r w:rsidRPr="003111E1">
        <w:rPr>
          <w:rFonts w:eastAsia="標楷體"/>
          <w:sz w:val="28"/>
          <w:szCs w:val="32"/>
        </w:rPr>
        <w:t>月</w:t>
      </w:r>
      <w:r w:rsidRPr="003111E1">
        <w:rPr>
          <w:rFonts w:eastAsia="標楷體"/>
          <w:sz w:val="28"/>
          <w:szCs w:val="32"/>
        </w:rPr>
        <w:t>30</w:t>
      </w:r>
      <w:r w:rsidRPr="003111E1">
        <w:rPr>
          <w:rFonts w:eastAsia="標楷體"/>
          <w:sz w:val="28"/>
          <w:szCs w:val="32"/>
        </w:rPr>
        <w:t>日舉行部長級會議共同簽署《</w:t>
      </w:r>
      <w:r w:rsidRPr="003111E1">
        <w:rPr>
          <w:rFonts w:eastAsia="標楷體"/>
          <w:sz w:val="28"/>
          <w:szCs w:val="32"/>
        </w:rPr>
        <w:t>OECD</w:t>
      </w:r>
      <w:r w:rsidRPr="003111E1">
        <w:rPr>
          <w:rFonts w:eastAsia="標楷體"/>
          <w:sz w:val="28"/>
          <w:szCs w:val="32"/>
        </w:rPr>
        <w:t>青年行動計畫》</w:t>
      </w:r>
      <w:r w:rsidRPr="003111E1">
        <w:rPr>
          <w:rFonts w:eastAsia="標楷體"/>
          <w:sz w:val="28"/>
          <w:szCs w:val="32"/>
        </w:rPr>
        <w:t>(OECD Action Plan for Youth)</w:t>
      </w:r>
      <w:r w:rsidRPr="003111E1">
        <w:rPr>
          <w:rFonts w:eastAsia="標楷體"/>
          <w:sz w:val="28"/>
          <w:szCs w:val="32"/>
        </w:rPr>
        <w:t>，強調各國政府有必要對青年就業問題投注更多的關心，並應重新檢視勞動市場政策，採取措施提升青年就業能力，包括改善教育體制、協助青年就業媒合、強化職業訓練及效能等，為長期經濟發展奠定基礎。</w:t>
      </w:r>
    </w:p>
    <w:p w:rsidR="00AD5B23" w:rsidRPr="003111E1" w:rsidRDefault="00AD5B23" w:rsidP="00E07556">
      <w:pPr>
        <w:spacing w:beforeLines="50" w:before="180" w:line="520" w:lineRule="exact"/>
        <w:rPr>
          <w:rFonts w:eastAsia="標楷體"/>
          <w:sz w:val="28"/>
          <w:szCs w:val="32"/>
        </w:rPr>
      </w:pPr>
      <w:r w:rsidRPr="003111E1">
        <w:rPr>
          <w:rFonts w:eastAsia="標楷體"/>
          <w:b/>
          <w:sz w:val="28"/>
          <w:szCs w:val="32"/>
        </w:rPr>
        <w:lastRenderedPageBreak/>
        <w:t>（三）怯志工作者</w:t>
      </w:r>
      <w:r w:rsidRPr="003111E1">
        <w:rPr>
          <w:rFonts w:eastAsia="標楷體"/>
          <w:b/>
          <w:sz w:val="28"/>
          <w:szCs w:val="32"/>
        </w:rPr>
        <w:t>(discourage worker)</w:t>
      </w:r>
      <w:r w:rsidRPr="003111E1">
        <w:rPr>
          <w:rFonts w:eastAsia="標楷體"/>
          <w:b/>
          <w:sz w:val="28"/>
          <w:szCs w:val="32"/>
        </w:rPr>
        <w:t>問題</w:t>
      </w:r>
      <w:r w:rsidRPr="003111E1">
        <w:rPr>
          <w:rFonts w:eastAsia="標楷體"/>
          <w:sz w:val="28"/>
          <w:szCs w:val="32"/>
          <w:vertAlign w:val="superscript"/>
        </w:rPr>
        <w:footnoteReference w:id="6"/>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除結構性失業問題外，許多失業者在長期找不到工作的情況下，有可能因求職無望而選擇離開勞動市場，因此被稱為「怯志工作者」。由於怯志工作者並未被計算在勞動力之中，形成隱藏性失業人口，同樣阻礙經濟復甦的動力；自</w:t>
      </w:r>
      <w:r w:rsidRPr="003111E1">
        <w:rPr>
          <w:rFonts w:eastAsia="標楷體"/>
          <w:sz w:val="28"/>
          <w:szCs w:val="32"/>
        </w:rPr>
        <w:t>2008</w:t>
      </w:r>
      <w:r w:rsidRPr="003111E1">
        <w:rPr>
          <w:rFonts w:eastAsia="標楷體"/>
          <w:sz w:val="28"/>
          <w:szCs w:val="32"/>
        </w:rPr>
        <w:t>年金融危機過後，怯志工作者人數大幅增加，根據</w:t>
      </w:r>
      <w:r w:rsidRPr="003111E1">
        <w:rPr>
          <w:rFonts w:eastAsia="標楷體"/>
          <w:sz w:val="28"/>
          <w:szCs w:val="32"/>
        </w:rPr>
        <w:t>OECD</w:t>
      </w:r>
      <w:r w:rsidRPr="003111E1">
        <w:rPr>
          <w:rFonts w:eastAsia="標楷體"/>
          <w:sz w:val="28"/>
          <w:szCs w:val="32"/>
        </w:rPr>
        <w:t>統計，在</w:t>
      </w:r>
      <w:r w:rsidRPr="003111E1">
        <w:rPr>
          <w:rFonts w:eastAsia="標楷體"/>
          <w:sz w:val="28"/>
          <w:szCs w:val="32"/>
        </w:rPr>
        <w:t>2012</w:t>
      </w:r>
      <w:r w:rsidRPr="003111E1">
        <w:rPr>
          <w:rFonts w:eastAsia="標楷體"/>
          <w:sz w:val="28"/>
          <w:szCs w:val="32"/>
        </w:rPr>
        <w:t>年</w:t>
      </w:r>
      <w:r w:rsidRPr="003111E1">
        <w:rPr>
          <w:rFonts w:eastAsia="標楷體"/>
          <w:sz w:val="28"/>
          <w:szCs w:val="32"/>
        </w:rPr>
        <w:t>OECD</w:t>
      </w:r>
      <w:r w:rsidRPr="003111E1">
        <w:rPr>
          <w:rFonts w:eastAsia="標楷體"/>
          <w:sz w:val="28"/>
          <w:szCs w:val="32"/>
        </w:rPr>
        <w:t>國家怯志工作者總人數為</w:t>
      </w:r>
      <w:r w:rsidRPr="003111E1">
        <w:rPr>
          <w:rFonts w:eastAsia="標楷體"/>
          <w:sz w:val="28"/>
          <w:szCs w:val="32"/>
        </w:rPr>
        <w:t>263</w:t>
      </w:r>
      <w:r w:rsidRPr="003111E1">
        <w:rPr>
          <w:rFonts w:eastAsia="標楷體"/>
          <w:sz w:val="28"/>
          <w:szCs w:val="32"/>
        </w:rPr>
        <w:t>萬人，遠比金融危機前</w:t>
      </w:r>
      <w:r w:rsidRPr="003111E1">
        <w:rPr>
          <w:rFonts w:eastAsia="標楷體"/>
          <w:sz w:val="28"/>
          <w:szCs w:val="32"/>
        </w:rPr>
        <w:t>169</w:t>
      </w:r>
      <w:r w:rsidRPr="003111E1">
        <w:rPr>
          <w:rFonts w:eastAsia="標楷體"/>
          <w:sz w:val="28"/>
          <w:szCs w:val="32"/>
        </w:rPr>
        <w:t>萬人多出</w:t>
      </w:r>
      <w:r w:rsidRPr="003111E1">
        <w:rPr>
          <w:rFonts w:eastAsia="標楷體"/>
          <w:sz w:val="28"/>
          <w:szCs w:val="32"/>
        </w:rPr>
        <w:t>100</w:t>
      </w:r>
      <w:r w:rsidRPr="003111E1">
        <w:rPr>
          <w:rFonts w:eastAsia="標楷體"/>
          <w:sz w:val="28"/>
          <w:szCs w:val="32"/>
        </w:rPr>
        <w:t>萬人左右。</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三、當前我國勞動市場情勢</w:t>
      </w:r>
    </w:p>
    <w:p w:rsidR="00AD5B23" w:rsidRPr="003111E1" w:rsidRDefault="00AD5B23" w:rsidP="00E07556">
      <w:pPr>
        <w:spacing w:beforeLines="50" w:before="180" w:line="520" w:lineRule="exact"/>
        <w:rPr>
          <w:rFonts w:eastAsia="標楷體"/>
          <w:sz w:val="28"/>
          <w:szCs w:val="32"/>
        </w:rPr>
      </w:pPr>
      <w:r w:rsidRPr="003111E1">
        <w:rPr>
          <w:rFonts w:eastAsia="標楷體"/>
          <w:sz w:val="28"/>
          <w:szCs w:val="32"/>
        </w:rPr>
        <w:t xml:space="preserve">　　雖然</w:t>
      </w:r>
      <w:r w:rsidRPr="003111E1">
        <w:rPr>
          <w:rFonts w:eastAsia="標楷體"/>
          <w:sz w:val="28"/>
          <w:szCs w:val="32"/>
        </w:rPr>
        <w:t>OECD</w:t>
      </w:r>
      <w:r w:rsidRPr="003111E1">
        <w:rPr>
          <w:rFonts w:eastAsia="標楷體"/>
          <w:sz w:val="28"/>
          <w:szCs w:val="32"/>
        </w:rPr>
        <w:t>於經濟展望報告中看好明年經濟成長態勢，惟多次呼籲各國政府應正視當前的失業危機，避免失業成為經濟復甦的絆腳石。</w:t>
      </w:r>
      <w:proofErr w:type="gramStart"/>
      <w:r w:rsidRPr="003111E1">
        <w:rPr>
          <w:rFonts w:eastAsia="標楷體"/>
          <w:sz w:val="28"/>
          <w:szCs w:val="32"/>
        </w:rPr>
        <w:t>鑑</w:t>
      </w:r>
      <w:proofErr w:type="gramEnd"/>
      <w:r w:rsidRPr="003111E1">
        <w:rPr>
          <w:rFonts w:eastAsia="標楷體"/>
          <w:sz w:val="28"/>
          <w:szCs w:val="32"/>
        </w:rPr>
        <w:t>此本文同樣從長期失業、青年失業及怯志工作者三個層次檢視我國就業市場：</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（一）金融危機後，我國失業率平穩下降</w:t>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根據行政院主計總處統計</w:t>
      </w:r>
      <w:r w:rsidRPr="003111E1">
        <w:rPr>
          <w:rFonts w:eastAsia="標楷體"/>
          <w:sz w:val="28"/>
          <w:szCs w:val="32"/>
        </w:rPr>
        <w:t>(</w:t>
      </w:r>
      <w:r w:rsidRPr="003111E1">
        <w:rPr>
          <w:rFonts w:eastAsia="標楷體"/>
          <w:sz w:val="28"/>
          <w:szCs w:val="32"/>
        </w:rPr>
        <w:t>如圖</w:t>
      </w:r>
      <w:r w:rsidRPr="003111E1">
        <w:rPr>
          <w:rFonts w:eastAsia="標楷體"/>
          <w:sz w:val="28"/>
          <w:szCs w:val="32"/>
        </w:rPr>
        <w:t>2)</w:t>
      </w:r>
      <w:r w:rsidRPr="003111E1">
        <w:rPr>
          <w:rFonts w:eastAsia="標楷體"/>
          <w:sz w:val="28"/>
          <w:szCs w:val="32"/>
        </w:rPr>
        <w:t>，我國失業率自</w:t>
      </w:r>
      <w:r w:rsidRPr="003111E1">
        <w:rPr>
          <w:rFonts w:eastAsia="標楷體"/>
          <w:sz w:val="28"/>
          <w:szCs w:val="32"/>
        </w:rPr>
        <w:t>2008</w:t>
      </w:r>
      <w:r w:rsidRPr="003111E1">
        <w:rPr>
          <w:rFonts w:eastAsia="標楷體"/>
          <w:sz w:val="28"/>
          <w:szCs w:val="32"/>
        </w:rPr>
        <w:t>年</w:t>
      </w:r>
      <w:r w:rsidRPr="003111E1">
        <w:rPr>
          <w:rFonts w:eastAsia="標楷體"/>
          <w:sz w:val="28"/>
          <w:szCs w:val="32"/>
        </w:rPr>
        <w:t>9</w:t>
      </w:r>
      <w:r w:rsidRPr="003111E1">
        <w:rPr>
          <w:rFonts w:eastAsia="標楷體"/>
          <w:sz w:val="28"/>
          <w:szCs w:val="32"/>
        </w:rPr>
        <w:t>月發生金融危機，在</w:t>
      </w:r>
      <w:r w:rsidRPr="003111E1">
        <w:rPr>
          <w:rFonts w:eastAsia="標楷體"/>
          <w:sz w:val="28"/>
          <w:szCs w:val="32"/>
        </w:rPr>
        <w:t>2009</w:t>
      </w:r>
      <w:r w:rsidRPr="003111E1">
        <w:rPr>
          <w:rFonts w:eastAsia="標楷體"/>
          <w:sz w:val="28"/>
          <w:szCs w:val="32"/>
        </w:rPr>
        <w:t>年</w:t>
      </w:r>
      <w:r w:rsidRPr="003111E1">
        <w:rPr>
          <w:rFonts w:eastAsia="標楷體"/>
          <w:sz w:val="28"/>
          <w:szCs w:val="32"/>
        </w:rPr>
        <w:t>8</w:t>
      </w:r>
      <w:r w:rsidRPr="003111E1">
        <w:rPr>
          <w:rFonts w:eastAsia="標楷體"/>
          <w:sz w:val="28"/>
          <w:szCs w:val="32"/>
        </w:rPr>
        <w:t>月達到歷史新高</w:t>
      </w:r>
      <w:r w:rsidRPr="003111E1">
        <w:rPr>
          <w:rFonts w:eastAsia="標楷體"/>
          <w:sz w:val="28"/>
          <w:szCs w:val="32"/>
        </w:rPr>
        <w:t>6.13</w:t>
      </w:r>
      <w:r w:rsidRPr="003111E1">
        <w:rPr>
          <w:rFonts w:eastAsia="標楷體"/>
          <w:sz w:val="28"/>
          <w:szCs w:val="32"/>
        </w:rPr>
        <w:t>％後，隨著景氣緩步復甦，加上政府陸續推動短期及中長期促進就業措施與方案，失業率已逐步穩定下降，今年</w:t>
      </w:r>
      <w:r w:rsidRPr="003111E1">
        <w:rPr>
          <w:rFonts w:eastAsia="標楷體"/>
          <w:sz w:val="28"/>
          <w:szCs w:val="32"/>
        </w:rPr>
        <w:t>5</w:t>
      </w:r>
      <w:r w:rsidRPr="003111E1">
        <w:rPr>
          <w:rFonts w:eastAsia="標楷體"/>
          <w:sz w:val="28"/>
          <w:szCs w:val="32"/>
        </w:rPr>
        <w:t>月已降至</w:t>
      </w:r>
      <w:r w:rsidRPr="003111E1">
        <w:rPr>
          <w:rFonts w:eastAsia="標楷體"/>
          <w:sz w:val="28"/>
          <w:szCs w:val="32"/>
        </w:rPr>
        <w:t>4.06</w:t>
      </w:r>
      <w:r w:rsidRPr="003111E1">
        <w:rPr>
          <w:rFonts w:eastAsia="標楷體"/>
          <w:sz w:val="28"/>
          <w:szCs w:val="32"/>
        </w:rPr>
        <w:t>％，接近金融危機前的水準，相較最高點下降</w:t>
      </w:r>
      <w:r w:rsidRPr="003111E1">
        <w:rPr>
          <w:rFonts w:eastAsia="標楷體"/>
          <w:sz w:val="28"/>
          <w:szCs w:val="32"/>
        </w:rPr>
        <w:t>2.07</w:t>
      </w:r>
      <w:r w:rsidRPr="003111E1">
        <w:rPr>
          <w:rFonts w:eastAsia="標楷體"/>
          <w:sz w:val="28"/>
          <w:szCs w:val="32"/>
        </w:rPr>
        <w:t>個百分點。</w:t>
      </w:r>
    </w:p>
    <w:p w:rsidR="00AD5B23" w:rsidRPr="003111E1" w:rsidRDefault="00AD5B23" w:rsidP="00AD5B23">
      <w:pPr>
        <w:keepNext/>
        <w:jc w:val="center"/>
        <w:rPr>
          <w:rFonts w:eastAsia="標楷體"/>
          <w:sz w:val="20"/>
          <w:szCs w:val="22"/>
        </w:rPr>
      </w:pPr>
      <w:r w:rsidRPr="003111E1">
        <w:rPr>
          <w:rFonts w:eastAsia="標楷體"/>
          <w:noProof/>
          <w:szCs w:val="32"/>
        </w:rPr>
        <w:lastRenderedPageBreak/>
        <w:drawing>
          <wp:inline distT="0" distB="0" distL="0" distR="0" wp14:anchorId="6C829CBC" wp14:editId="69C3D0EE">
            <wp:extent cx="4933507" cy="2860158"/>
            <wp:effectExtent l="0" t="0" r="19685" b="1651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D5B23" w:rsidRPr="003111E1" w:rsidRDefault="00AD5B23" w:rsidP="00E80867">
      <w:pPr>
        <w:keepNext/>
        <w:spacing w:line="320" w:lineRule="exact"/>
        <w:rPr>
          <w:rFonts w:eastAsia="標楷體"/>
          <w:sz w:val="20"/>
          <w:szCs w:val="22"/>
        </w:rPr>
      </w:pPr>
      <w:r w:rsidRPr="003111E1">
        <w:rPr>
          <w:rFonts w:eastAsia="標楷體"/>
          <w:sz w:val="20"/>
          <w:szCs w:val="22"/>
        </w:rPr>
        <w:t xml:space="preserve">　</w:t>
      </w:r>
      <w:proofErr w:type="gramStart"/>
      <w:r w:rsidRPr="003111E1">
        <w:rPr>
          <w:rFonts w:eastAsia="標楷體"/>
          <w:sz w:val="20"/>
          <w:szCs w:val="22"/>
        </w:rPr>
        <w:t>註</w:t>
      </w:r>
      <w:proofErr w:type="gramEnd"/>
      <w:r w:rsidRPr="003111E1">
        <w:rPr>
          <w:rFonts w:eastAsia="標楷體"/>
          <w:sz w:val="20"/>
          <w:szCs w:val="22"/>
        </w:rPr>
        <w:t>：括弧內數字為年失業率，其中</w:t>
      </w:r>
      <w:r w:rsidRPr="003111E1">
        <w:rPr>
          <w:rFonts w:eastAsia="標楷體"/>
          <w:sz w:val="20"/>
          <w:szCs w:val="22"/>
        </w:rPr>
        <w:t>2013</w:t>
      </w:r>
      <w:r w:rsidRPr="003111E1">
        <w:rPr>
          <w:rFonts w:eastAsia="標楷體"/>
          <w:sz w:val="20"/>
          <w:szCs w:val="22"/>
        </w:rPr>
        <w:t>年為</w:t>
      </w:r>
      <w:r w:rsidRPr="003111E1">
        <w:rPr>
          <w:rFonts w:eastAsia="標楷體"/>
          <w:sz w:val="20"/>
          <w:szCs w:val="22"/>
        </w:rPr>
        <w:t>1</w:t>
      </w:r>
      <w:r w:rsidRPr="003111E1">
        <w:rPr>
          <w:rFonts w:eastAsia="標楷體"/>
          <w:sz w:val="20"/>
          <w:szCs w:val="22"/>
        </w:rPr>
        <w:t>至</w:t>
      </w:r>
      <w:r w:rsidRPr="003111E1">
        <w:rPr>
          <w:rFonts w:eastAsia="標楷體"/>
          <w:sz w:val="20"/>
          <w:szCs w:val="22"/>
        </w:rPr>
        <w:t>5</w:t>
      </w:r>
      <w:r w:rsidRPr="003111E1">
        <w:rPr>
          <w:rFonts w:eastAsia="標楷體"/>
          <w:sz w:val="20"/>
          <w:szCs w:val="22"/>
        </w:rPr>
        <w:t>月平均值。</w:t>
      </w:r>
    </w:p>
    <w:p w:rsidR="00AD5B23" w:rsidRPr="003111E1" w:rsidRDefault="00AD5B23" w:rsidP="00E80867">
      <w:pPr>
        <w:keepNext/>
        <w:spacing w:line="320" w:lineRule="exact"/>
        <w:rPr>
          <w:rFonts w:eastAsia="標楷體"/>
          <w:szCs w:val="22"/>
        </w:rPr>
      </w:pPr>
      <w:r w:rsidRPr="003111E1">
        <w:rPr>
          <w:rFonts w:eastAsia="標楷體"/>
          <w:sz w:val="20"/>
          <w:szCs w:val="22"/>
        </w:rPr>
        <w:t xml:space="preserve">　資料來源：行政院主計總處，人力資源調查統計月報。</w:t>
      </w:r>
    </w:p>
    <w:p w:rsidR="00AD5B23" w:rsidRPr="003111E1" w:rsidRDefault="00AD5B23" w:rsidP="00AD5B23">
      <w:pPr>
        <w:jc w:val="center"/>
        <w:rPr>
          <w:rFonts w:eastAsia="標楷體"/>
          <w:b/>
          <w:sz w:val="28"/>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2</w:t>
      </w:r>
      <w:r w:rsidRPr="003111E1">
        <w:rPr>
          <w:rFonts w:eastAsia="標楷體"/>
          <w:b/>
          <w:sz w:val="28"/>
          <w:szCs w:val="20"/>
        </w:rPr>
        <w:fldChar w:fldCharType="end"/>
      </w:r>
      <w:r w:rsidRPr="003111E1">
        <w:rPr>
          <w:rFonts w:eastAsia="標楷體"/>
          <w:b/>
          <w:sz w:val="28"/>
          <w:szCs w:val="20"/>
        </w:rPr>
        <w:t xml:space="preserve">　我國失業率</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（二）台灣持續存在長期失業問題，且長期失業人口不斷攀高</w:t>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從表</w:t>
      </w:r>
      <w:r w:rsidRPr="003111E1">
        <w:rPr>
          <w:rFonts w:eastAsia="標楷體"/>
          <w:sz w:val="28"/>
          <w:szCs w:val="32"/>
        </w:rPr>
        <w:t>1</w:t>
      </w:r>
      <w:r w:rsidRPr="003111E1">
        <w:rPr>
          <w:rFonts w:eastAsia="標楷體"/>
          <w:sz w:val="28"/>
          <w:szCs w:val="32"/>
        </w:rPr>
        <w:t>可看出，台灣早自</w:t>
      </w:r>
      <w:r w:rsidRPr="003111E1">
        <w:rPr>
          <w:rFonts w:eastAsia="標楷體"/>
          <w:sz w:val="28"/>
          <w:szCs w:val="32"/>
        </w:rPr>
        <w:t>1996</w:t>
      </w:r>
      <w:r w:rsidRPr="003111E1">
        <w:rPr>
          <w:rFonts w:eastAsia="標楷體"/>
          <w:sz w:val="28"/>
          <w:szCs w:val="32"/>
        </w:rPr>
        <w:t>年長期失業問題已經浮現，長期失業率來到</w:t>
      </w:r>
      <w:r w:rsidRPr="003111E1">
        <w:rPr>
          <w:rFonts w:eastAsia="標楷體"/>
          <w:sz w:val="28"/>
          <w:szCs w:val="32"/>
        </w:rPr>
        <w:t>10</w:t>
      </w:r>
      <w:r w:rsidRPr="003111E1">
        <w:rPr>
          <w:rFonts w:eastAsia="標楷體"/>
          <w:sz w:val="28"/>
          <w:szCs w:val="32"/>
        </w:rPr>
        <w:t>％以上，隨後不斷惡化，在</w:t>
      </w:r>
      <w:r w:rsidRPr="003111E1">
        <w:rPr>
          <w:rFonts w:eastAsia="標楷體"/>
          <w:sz w:val="28"/>
          <w:szCs w:val="32"/>
        </w:rPr>
        <w:t>2001</w:t>
      </w:r>
      <w:r w:rsidRPr="003111E1">
        <w:rPr>
          <w:rFonts w:eastAsia="標楷體"/>
          <w:sz w:val="28"/>
          <w:szCs w:val="32"/>
        </w:rPr>
        <w:t>年</w:t>
      </w:r>
      <w:r w:rsidRPr="003111E1">
        <w:rPr>
          <w:rFonts w:eastAsia="標楷體"/>
          <w:sz w:val="28"/>
          <w:szCs w:val="32"/>
        </w:rPr>
        <w:t>IT</w:t>
      </w:r>
      <w:r w:rsidRPr="003111E1">
        <w:rPr>
          <w:rFonts w:eastAsia="標楷體"/>
          <w:sz w:val="28"/>
          <w:szCs w:val="32"/>
        </w:rPr>
        <w:t>泡沫及</w:t>
      </w:r>
      <w:r w:rsidRPr="003111E1">
        <w:rPr>
          <w:rFonts w:eastAsia="標楷體"/>
          <w:sz w:val="28"/>
          <w:szCs w:val="32"/>
        </w:rPr>
        <w:t>2008</w:t>
      </w:r>
      <w:r w:rsidRPr="003111E1">
        <w:rPr>
          <w:rFonts w:eastAsia="標楷體"/>
          <w:sz w:val="28"/>
          <w:szCs w:val="32"/>
        </w:rPr>
        <w:t>年金融危機後，長期失業率更快速攀升至近</w:t>
      </w:r>
      <w:r w:rsidRPr="003111E1">
        <w:rPr>
          <w:rFonts w:eastAsia="標楷體"/>
          <w:sz w:val="28"/>
          <w:szCs w:val="32"/>
        </w:rPr>
        <w:t>20</w:t>
      </w:r>
      <w:r w:rsidRPr="003111E1">
        <w:rPr>
          <w:rFonts w:eastAsia="標楷體"/>
          <w:sz w:val="28"/>
          <w:szCs w:val="32"/>
        </w:rPr>
        <w:t>％。雖然近兩年長期失業率有微幅下降，但仍維持在</w:t>
      </w:r>
      <w:r w:rsidRPr="003111E1">
        <w:rPr>
          <w:rFonts w:eastAsia="標楷體"/>
          <w:sz w:val="28"/>
          <w:szCs w:val="32"/>
        </w:rPr>
        <w:t>16</w:t>
      </w:r>
      <w:r w:rsidRPr="003111E1">
        <w:rPr>
          <w:rFonts w:eastAsia="標楷體"/>
          <w:sz w:val="28"/>
          <w:szCs w:val="32"/>
        </w:rPr>
        <w:t>％之上，未回復至金融危機前約</w:t>
      </w:r>
      <w:r w:rsidRPr="003111E1">
        <w:rPr>
          <w:rFonts w:eastAsia="標楷體"/>
          <w:sz w:val="28"/>
          <w:szCs w:val="32"/>
        </w:rPr>
        <w:t>14</w:t>
      </w:r>
      <w:r w:rsidRPr="003111E1">
        <w:rPr>
          <w:rFonts w:eastAsia="標楷體"/>
          <w:sz w:val="28"/>
          <w:szCs w:val="32"/>
        </w:rPr>
        <w:t>％之水準。若與</w:t>
      </w:r>
      <w:r w:rsidRPr="003111E1">
        <w:rPr>
          <w:rFonts w:eastAsia="標楷體"/>
          <w:sz w:val="28"/>
          <w:szCs w:val="32"/>
        </w:rPr>
        <w:t>OECD</w:t>
      </w:r>
      <w:r w:rsidRPr="003111E1">
        <w:rPr>
          <w:rFonts w:eastAsia="標楷體"/>
          <w:sz w:val="28"/>
          <w:szCs w:val="32"/>
        </w:rPr>
        <w:t>國家相比，如圖</w:t>
      </w:r>
      <w:r w:rsidRPr="003111E1">
        <w:rPr>
          <w:rFonts w:eastAsia="標楷體"/>
          <w:sz w:val="28"/>
          <w:szCs w:val="32"/>
        </w:rPr>
        <w:t>3</w:t>
      </w:r>
      <w:r w:rsidRPr="003111E1">
        <w:rPr>
          <w:rFonts w:eastAsia="標楷體"/>
          <w:sz w:val="28"/>
          <w:szCs w:val="32"/>
        </w:rPr>
        <w:t>所示，在</w:t>
      </w:r>
      <w:r w:rsidRPr="003111E1">
        <w:rPr>
          <w:rFonts w:eastAsia="標楷體"/>
          <w:sz w:val="28"/>
          <w:szCs w:val="32"/>
        </w:rPr>
        <w:t>2012</w:t>
      </w:r>
      <w:r w:rsidRPr="003111E1">
        <w:rPr>
          <w:rFonts w:eastAsia="標楷體"/>
          <w:sz w:val="28"/>
          <w:szCs w:val="32"/>
        </w:rPr>
        <w:t>年</w:t>
      </w:r>
      <w:r w:rsidRPr="003111E1">
        <w:rPr>
          <w:rFonts w:eastAsia="標楷體"/>
          <w:sz w:val="28"/>
          <w:szCs w:val="32"/>
        </w:rPr>
        <w:t>OECD</w:t>
      </w:r>
      <w:r w:rsidRPr="003111E1">
        <w:rPr>
          <w:rFonts w:eastAsia="標楷體"/>
          <w:sz w:val="28"/>
          <w:szCs w:val="32"/>
        </w:rPr>
        <w:t>國家長期失業率為</w:t>
      </w:r>
      <w:r w:rsidRPr="003111E1">
        <w:rPr>
          <w:rFonts w:eastAsia="標楷體"/>
          <w:sz w:val="28"/>
          <w:szCs w:val="32"/>
        </w:rPr>
        <w:t>33.91</w:t>
      </w:r>
      <w:r w:rsidRPr="003111E1">
        <w:rPr>
          <w:rFonts w:eastAsia="標楷體"/>
          <w:sz w:val="28"/>
          <w:szCs w:val="32"/>
        </w:rPr>
        <w:t>％，我國為</w:t>
      </w:r>
      <w:r w:rsidRPr="003111E1">
        <w:rPr>
          <w:rFonts w:eastAsia="標楷體"/>
          <w:sz w:val="28"/>
          <w:szCs w:val="32"/>
        </w:rPr>
        <w:t>16.48</w:t>
      </w:r>
      <w:r w:rsidRPr="003111E1">
        <w:rPr>
          <w:rFonts w:eastAsia="標楷體"/>
          <w:sz w:val="28"/>
          <w:szCs w:val="32"/>
        </w:rPr>
        <w:t>％，於</w:t>
      </w:r>
      <w:r w:rsidRPr="003111E1">
        <w:rPr>
          <w:rFonts w:eastAsia="標楷體"/>
          <w:sz w:val="28"/>
          <w:szCs w:val="32"/>
        </w:rPr>
        <w:t>OECD</w:t>
      </w:r>
      <w:r w:rsidRPr="003111E1">
        <w:rPr>
          <w:rFonts w:eastAsia="標楷體"/>
          <w:sz w:val="28"/>
          <w:szCs w:val="32"/>
        </w:rPr>
        <w:t>國家中排名第</w:t>
      </w:r>
      <w:r w:rsidRPr="003111E1">
        <w:rPr>
          <w:rFonts w:eastAsia="標楷體"/>
          <w:sz w:val="28"/>
          <w:szCs w:val="32"/>
        </w:rPr>
        <w:t>8</w:t>
      </w:r>
      <w:r w:rsidRPr="003111E1">
        <w:rPr>
          <w:rFonts w:eastAsia="標楷體"/>
          <w:sz w:val="28"/>
          <w:szCs w:val="32"/>
        </w:rPr>
        <w:t>；其中比較特別的是，同為四小龍之</w:t>
      </w:r>
      <w:proofErr w:type="gramStart"/>
      <w:r w:rsidRPr="003111E1">
        <w:rPr>
          <w:rFonts w:eastAsia="標楷體"/>
          <w:sz w:val="28"/>
          <w:szCs w:val="32"/>
        </w:rPr>
        <w:t>一</w:t>
      </w:r>
      <w:proofErr w:type="gramEnd"/>
      <w:r w:rsidRPr="003111E1">
        <w:rPr>
          <w:rFonts w:eastAsia="標楷體"/>
          <w:sz w:val="28"/>
          <w:szCs w:val="32"/>
        </w:rPr>
        <w:t>的南韓幾乎不存在長期失業問題</w:t>
      </w:r>
      <w:r w:rsidRPr="003111E1">
        <w:rPr>
          <w:rFonts w:eastAsia="標楷體"/>
          <w:sz w:val="28"/>
          <w:szCs w:val="32"/>
        </w:rPr>
        <w:t>(</w:t>
      </w:r>
      <w:r w:rsidRPr="003111E1">
        <w:rPr>
          <w:rFonts w:eastAsia="標楷體"/>
          <w:sz w:val="28"/>
          <w:szCs w:val="32"/>
        </w:rPr>
        <w:t>長期失業率為</w:t>
      </w:r>
      <w:r w:rsidRPr="003111E1">
        <w:rPr>
          <w:rFonts w:eastAsia="標楷體"/>
          <w:sz w:val="28"/>
          <w:szCs w:val="32"/>
        </w:rPr>
        <w:t>0.24</w:t>
      </w:r>
      <w:r w:rsidRPr="003111E1">
        <w:rPr>
          <w:rFonts w:eastAsia="標楷體"/>
          <w:sz w:val="28"/>
          <w:szCs w:val="32"/>
        </w:rPr>
        <w:t>％</w:t>
      </w:r>
      <w:r w:rsidRPr="003111E1">
        <w:rPr>
          <w:rFonts w:eastAsia="標楷體"/>
          <w:sz w:val="28"/>
          <w:szCs w:val="32"/>
        </w:rPr>
        <w:t>)</w:t>
      </w:r>
      <w:r w:rsidRPr="003111E1">
        <w:rPr>
          <w:rFonts w:eastAsia="標楷體"/>
          <w:sz w:val="28"/>
          <w:szCs w:val="32"/>
        </w:rPr>
        <w:t>，其原因及作為值得深入瞭解。</w:t>
      </w:r>
    </w:p>
    <w:p w:rsidR="00E07556" w:rsidRPr="003111E1" w:rsidRDefault="00E07556" w:rsidP="00E07556">
      <w:pPr>
        <w:spacing w:beforeLines="50" w:before="180" w:line="520" w:lineRule="exact"/>
        <w:ind w:leftChars="236" w:left="566"/>
        <w:rPr>
          <w:rFonts w:eastAsia="標楷體"/>
          <w:sz w:val="28"/>
          <w:szCs w:val="32"/>
        </w:rPr>
      </w:pPr>
    </w:p>
    <w:p w:rsidR="00E07556" w:rsidRPr="003111E1" w:rsidRDefault="00E07556" w:rsidP="00E07556">
      <w:pPr>
        <w:spacing w:beforeLines="50" w:before="180" w:line="520" w:lineRule="exact"/>
        <w:ind w:leftChars="236" w:left="566"/>
        <w:rPr>
          <w:rFonts w:eastAsia="標楷體"/>
          <w:sz w:val="28"/>
          <w:szCs w:val="32"/>
        </w:rPr>
      </w:pPr>
    </w:p>
    <w:p w:rsidR="00AD5B23" w:rsidRPr="003111E1" w:rsidRDefault="00AD5B23" w:rsidP="00AD5B23">
      <w:pPr>
        <w:keepNext/>
        <w:jc w:val="center"/>
        <w:rPr>
          <w:rFonts w:eastAsia="標楷體"/>
          <w:b/>
          <w:sz w:val="28"/>
          <w:szCs w:val="20"/>
        </w:rPr>
      </w:pPr>
      <w:r w:rsidRPr="003111E1">
        <w:rPr>
          <w:rFonts w:eastAsia="標楷體"/>
          <w:b/>
          <w:sz w:val="28"/>
          <w:szCs w:val="20"/>
        </w:rPr>
        <w:lastRenderedPageBreak/>
        <w:t>表</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表</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1</w:t>
      </w:r>
      <w:r w:rsidRPr="003111E1">
        <w:rPr>
          <w:rFonts w:eastAsia="標楷體"/>
          <w:b/>
          <w:sz w:val="28"/>
          <w:szCs w:val="20"/>
        </w:rPr>
        <w:fldChar w:fldCharType="end"/>
      </w:r>
      <w:r w:rsidRPr="003111E1">
        <w:rPr>
          <w:rFonts w:eastAsia="標楷體"/>
          <w:b/>
          <w:sz w:val="28"/>
          <w:szCs w:val="20"/>
        </w:rPr>
        <w:t xml:space="preserve">　我國長期失業率</w:t>
      </w:r>
    </w:p>
    <w:tbl>
      <w:tblPr>
        <w:tblStyle w:val="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3"/>
        <w:gridCol w:w="1518"/>
        <w:gridCol w:w="283"/>
        <w:gridCol w:w="284"/>
        <w:gridCol w:w="1444"/>
        <w:gridCol w:w="1559"/>
      </w:tblGrid>
      <w:tr w:rsidR="00AD5B23" w:rsidRPr="003111E1" w:rsidTr="00AD5B23">
        <w:trPr>
          <w:jc w:val="center"/>
        </w:trPr>
        <w:tc>
          <w:tcPr>
            <w:tcW w:w="6551" w:type="dxa"/>
            <w:gridSpan w:val="6"/>
            <w:tcBorders>
              <w:bottom w:val="single" w:sz="4" w:space="0" w:color="auto"/>
            </w:tcBorders>
          </w:tcPr>
          <w:p w:rsidR="00AD5B23" w:rsidRPr="003111E1" w:rsidRDefault="00AD5B23" w:rsidP="00AD5B23">
            <w:pPr>
              <w:jc w:val="right"/>
              <w:rPr>
                <w:rFonts w:ascii="Times New Roman" w:eastAsia="標楷體" w:hAnsi="Times New Roman" w:cs="Times New Roman"/>
                <w:sz w:val="20"/>
                <w:szCs w:val="28"/>
              </w:rPr>
            </w:pPr>
            <w:r w:rsidRPr="003111E1">
              <w:rPr>
                <w:rFonts w:ascii="Times New Roman" w:eastAsia="標楷體" w:hAnsi="Times New Roman" w:cs="Times New Roman"/>
                <w:sz w:val="20"/>
                <w:szCs w:val="28"/>
              </w:rPr>
              <w:t>單位：％</w:t>
            </w:r>
          </w:p>
        </w:tc>
      </w:tr>
      <w:tr w:rsidR="00AD5B23" w:rsidRPr="003111E1" w:rsidTr="00AD5B23">
        <w:trPr>
          <w:jc w:val="center"/>
        </w:trPr>
        <w:tc>
          <w:tcPr>
            <w:tcW w:w="1463" w:type="dxa"/>
            <w:tcBorders>
              <w:top w:val="single" w:sz="4" w:space="0" w:color="auto"/>
              <w:bottom w:val="single" w:sz="4" w:space="0" w:color="auto"/>
            </w:tcBorders>
            <w:vAlign w:val="bottom"/>
          </w:tcPr>
          <w:p w:rsidR="00AD5B23" w:rsidRPr="003111E1" w:rsidRDefault="00AD5B23" w:rsidP="00AD5B23">
            <w:pPr>
              <w:jc w:val="both"/>
              <w:rPr>
                <w:rFonts w:ascii="Times New Roman" w:eastAsia="標楷體" w:hAnsi="Times New Roman" w:cs="Times New Roman"/>
                <w:szCs w:val="28"/>
              </w:rPr>
            </w:pPr>
            <w:proofErr w:type="gramStart"/>
            <w:r w:rsidRPr="003111E1">
              <w:rPr>
                <w:rFonts w:ascii="Times New Roman" w:eastAsia="標楷體" w:hAnsi="Times New Roman" w:cs="Times New Roman"/>
                <w:szCs w:val="28"/>
              </w:rPr>
              <w:t>年別</w:t>
            </w:r>
            <w:proofErr w:type="gramEnd"/>
            <w:r w:rsidRPr="003111E1">
              <w:rPr>
                <w:rFonts w:ascii="Times New Roman" w:eastAsia="標楷體" w:hAnsi="Times New Roman" w:cs="Times New Roman"/>
                <w:szCs w:val="28"/>
              </w:rPr>
              <w:t>(</w:t>
            </w:r>
            <w:r w:rsidRPr="003111E1">
              <w:rPr>
                <w:rFonts w:ascii="Times New Roman" w:eastAsia="標楷體" w:hAnsi="Times New Roman" w:cs="Times New Roman"/>
                <w:szCs w:val="28"/>
              </w:rPr>
              <w:t>西元</w:t>
            </w:r>
            <w:r w:rsidRPr="003111E1">
              <w:rPr>
                <w:rFonts w:ascii="Times New Roman" w:eastAsia="標楷體" w:hAnsi="Times New Roman" w:cs="Times New Roman"/>
                <w:szCs w:val="28"/>
              </w:rPr>
              <w:t>)</w:t>
            </w:r>
          </w:p>
        </w:tc>
        <w:tc>
          <w:tcPr>
            <w:tcW w:w="1518" w:type="dxa"/>
            <w:tcBorders>
              <w:top w:val="single" w:sz="4" w:space="0" w:color="auto"/>
              <w:bottom w:val="single" w:sz="4" w:space="0" w:color="auto"/>
            </w:tcBorders>
            <w:vAlign w:val="bottom"/>
          </w:tcPr>
          <w:p w:rsidR="00AD5B23" w:rsidRPr="003111E1" w:rsidRDefault="00AD5B23" w:rsidP="00AD5B23">
            <w:pPr>
              <w:jc w:val="right"/>
              <w:rPr>
                <w:rFonts w:ascii="Times New Roman" w:eastAsia="標楷體" w:hAnsi="Times New Roman" w:cs="Times New Roman"/>
                <w:szCs w:val="28"/>
              </w:rPr>
            </w:pPr>
            <w:r w:rsidRPr="003111E1">
              <w:rPr>
                <w:rFonts w:ascii="Times New Roman" w:eastAsia="標楷體" w:hAnsi="Times New Roman" w:cs="Times New Roman"/>
                <w:szCs w:val="28"/>
              </w:rPr>
              <w:t>長期失業率</w:t>
            </w:r>
          </w:p>
        </w:tc>
        <w:tc>
          <w:tcPr>
            <w:tcW w:w="283" w:type="dxa"/>
            <w:tcBorders>
              <w:top w:val="single" w:sz="4" w:space="0" w:color="auto"/>
              <w:bottom w:val="single" w:sz="4" w:space="0" w:color="auto"/>
              <w:right w:val="double" w:sz="4" w:space="0" w:color="auto"/>
            </w:tcBorders>
          </w:tcPr>
          <w:p w:rsidR="00AD5B23" w:rsidRPr="003111E1" w:rsidRDefault="00AD5B23" w:rsidP="00AD5B23">
            <w:pPr>
              <w:jc w:val="both"/>
              <w:rPr>
                <w:rFonts w:ascii="Times New Roman" w:eastAsia="標楷體" w:hAnsi="Times New Roman" w:cs="Times New Roman"/>
                <w:szCs w:val="28"/>
              </w:rPr>
            </w:pPr>
          </w:p>
        </w:tc>
        <w:tc>
          <w:tcPr>
            <w:tcW w:w="284" w:type="dxa"/>
            <w:tcBorders>
              <w:top w:val="single" w:sz="4" w:space="0" w:color="auto"/>
              <w:left w:val="double" w:sz="4" w:space="0" w:color="auto"/>
              <w:bottom w:val="single" w:sz="4" w:space="0" w:color="auto"/>
            </w:tcBorders>
          </w:tcPr>
          <w:p w:rsidR="00AD5B23" w:rsidRPr="003111E1" w:rsidRDefault="00AD5B23" w:rsidP="00AD5B23">
            <w:pPr>
              <w:jc w:val="both"/>
              <w:rPr>
                <w:rFonts w:ascii="Times New Roman" w:eastAsia="標楷體" w:hAnsi="Times New Roman" w:cs="Times New Roman"/>
                <w:szCs w:val="28"/>
              </w:rPr>
            </w:pPr>
          </w:p>
        </w:tc>
        <w:tc>
          <w:tcPr>
            <w:tcW w:w="1444" w:type="dxa"/>
            <w:tcBorders>
              <w:top w:val="single" w:sz="4" w:space="0" w:color="auto"/>
              <w:bottom w:val="single" w:sz="4" w:space="0" w:color="auto"/>
            </w:tcBorders>
            <w:vAlign w:val="bottom"/>
          </w:tcPr>
          <w:p w:rsidR="00AD5B23" w:rsidRPr="003111E1" w:rsidRDefault="00AD5B23" w:rsidP="00AD5B23">
            <w:pPr>
              <w:jc w:val="both"/>
              <w:rPr>
                <w:rFonts w:ascii="Times New Roman" w:eastAsia="標楷體" w:hAnsi="Times New Roman" w:cs="Times New Roman"/>
                <w:szCs w:val="28"/>
              </w:rPr>
            </w:pPr>
            <w:proofErr w:type="gramStart"/>
            <w:r w:rsidRPr="003111E1">
              <w:rPr>
                <w:rFonts w:ascii="Times New Roman" w:eastAsia="標楷體" w:hAnsi="Times New Roman" w:cs="Times New Roman"/>
                <w:szCs w:val="28"/>
              </w:rPr>
              <w:t>年別</w:t>
            </w:r>
            <w:proofErr w:type="gramEnd"/>
            <w:r w:rsidRPr="003111E1">
              <w:rPr>
                <w:rFonts w:ascii="Times New Roman" w:eastAsia="標楷體" w:hAnsi="Times New Roman" w:cs="Times New Roman"/>
                <w:szCs w:val="28"/>
              </w:rPr>
              <w:t>(</w:t>
            </w:r>
            <w:r w:rsidRPr="003111E1">
              <w:rPr>
                <w:rFonts w:ascii="Times New Roman" w:eastAsia="標楷體" w:hAnsi="Times New Roman" w:cs="Times New Roman"/>
                <w:szCs w:val="28"/>
              </w:rPr>
              <w:t>西元</w:t>
            </w:r>
            <w:r w:rsidRPr="003111E1">
              <w:rPr>
                <w:rFonts w:ascii="Times New Roman" w:eastAsia="標楷體" w:hAnsi="Times New Roman" w:cs="Times New Roman"/>
                <w:szCs w:val="28"/>
              </w:rPr>
              <w:t>)</w:t>
            </w:r>
          </w:p>
        </w:tc>
        <w:tc>
          <w:tcPr>
            <w:tcW w:w="1559" w:type="dxa"/>
            <w:tcBorders>
              <w:top w:val="single" w:sz="4" w:space="0" w:color="auto"/>
              <w:bottom w:val="single" w:sz="4" w:space="0" w:color="auto"/>
            </w:tcBorders>
            <w:vAlign w:val="bottom"/>
          </w:tcPr>
          <w:p w:rsidR="00AD5B23" w:rsidRPr="003111E1" w:rsidRDefault="00AD5B23" w:rsidP="00AD5B23">
            <w:pPr>
              <w:jc w:val="right"/>
              <w:rPr>
                <w:rFonts w:ascii="Times New Roman" w:eastAsia="標楷體" w:hAnsi="Times New Roman" w:cs="Times New Roman"/>
                <w:szCs w:val="28"/>
              </w:rPr>
            </w:pPr>
            <w:r w:rsidRPr="003111E1">
              <w:rPr>
                <w:rFonts w:ascii="Times New Roman" w:eastAsia="標楷體" w:hAnsi="Times New Roman" w:cs="Times New Roman"/>
                <w:szCs w:val="28"/>
              </w:rPr>
              <w:t>長期失業率</w:t>
            </w:r>
          </w:p>
        </w:tc>
      </w:tr>
      <w:tr w:rsidR="00AD5B23" w:rsidRPr="003111E1" w:rsidTr="00AD5B23">
        <w:trPr>
          <w:jc w:val="center"/>
        </w:trPr>
        <w:tc>
          <w:tcPr>
            <w:tcW w:w="1463" w:type="dxa"/>
            <w:tcBorders>
              <w:top w:val="single" w:sz="4" w:space="0" w:color="auto"/>
            </w:tcBorders>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1995</w:t>
            </w:r>
          </w:p>
        </w:tc>
        <w:tc>
          <w:tcPr>
            <w:tcW w:w="1518" w:type="dxa"/>
            <w:tcBorders>
              <w:top w:val="single" w:sz="4" w:space="0" w:color="auto"/>
            </w:tcBorders>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7.19</w:t>
            </w:r>
          </w:p>
        </w:tc>
        <w:tc>
          <w:tcPr>
            <w:tcW w:w="283" w:type="dxa"/>
            <w:tcBorders>
              <w:top w:val="single" w:sz="4" w:space="0" w:color="auto"/>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top w:val="single" w:sz="4" w:space="0" w:color="auto"/>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Borders>
              <w:top w:val="single" w:sz="4" w:space="0" w:color="auto"/>
            </w:tcBorders>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2006</w:t>
            </w:r>
          </w:p>
        </w:tc>
        <w:tc>
          <w:tcPr>
            <w:tcW w:w="1559" w:type="dxa"/>
            <w:tcBorders>
              <w:top w:val="single" w:sz="4" w:space="0" w:color="auto"/>
            </w:tcBorders>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13.75</w:t>
            </w:r>
          </w:p>
        </w:tc>
      </w:tr>
      <w:tr w:rsidR="00AD5B23" w:rsidRPr="003111E1" w:rsidTr="00AD5B23">
        <w:trPr>
          <w:jc w:val="center"/>
        </w:trPr>
        <w:tc>
          <w:tcPr>
            <w:tcW w:w="1463" w:type="dxa"/>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1996</w:t>
            </w:r>
          </w:p>
        </w:tc>
        <w:tc>
          <w:tcPr>
            <w:tcW w:w="1518"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10.05</w:t>
            </w:r>
          </w:p>
        </w:tc>
        <w:tc>
          <w:tcPr>
            <w:tcW w:w="283" w:type="dxa"/>
            <w:tcBorders>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2007</w:t>
            </w:r>
          </w:p>
        </w:tc>
        <w:tc>
          <w:tcPr>
            <w:tcW w:w="1559"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13.93</w:t>
            </w:r>
          </w:p>
        </w:tc>
      </w:tr>
      <w:tr w:rsidR="00AD5B23" w:rsidRPr="003111E1" w:rsidTr="00AD5B23">
        <w:trPr>
          <w:jc w:val="center"/>
        </w:trPr>
        <w:tc>
          <w:tcPr>
            <w:tcW w:w="1463" w:type="dxa"/>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2001</w:t>
            </w:r>
          </w:p>
        </w:tc>
        <w:tc>
          <w:tcPr>
            <w:tcW w:w="1518"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14.39</w:t>
            </w:r>
          </w:p>
        </w:tc>
        <w:tc>
          <w:tcPr>
            <w:tcW w:w="283" w:type="dxa"/>
            <w:tcBorders>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2008</w:t>
            </w:r>
          </w:p>
        </w:tc>
        <w:tc>
          <w:tcPr>
            <w:tcW w:w="1559"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14.06</w:t>
            </w:r>
          </w:p>
        </w:tc>
      </w:tr>
      <w:tr w:rsidR="00AD5B23" w:rsidRPr="003111E1" w:rsidTr="00AD5B23">
        <w:trPr>
          <w:jc w:val="center"/>
        </w:trPr>
        <w:tc>
          <w:tcPr>
            <w:tcW w:w="1463" w:type="dxa"/>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2002</w:t>
            </w:r>
          </w:p>
        </w:tc>
        <w:tc>
          <w:tcPr>
            <w:tcW w:w="1518"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19.40</w:t>
            </w:r>
          </w:p>
        </w:tc>
        <w:tc>
          <w:tcPr>
            <w:tcW w:w="283" w:type="dxa"/>
            <w:tcBorders>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2009</w:t>
            </w:r>
          </w:p>
        </w:tc>
        <w:tc>
          <w:tcPr>
            <w:tcW w:w="1559"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15.64</w:t>
            </w:r>
          </w:p>
        </w:tc>
      </w:tr>
      <w:tr w:rsidR="00AD5B23" w:rsidRPr="003111E1" w:rsidTr="00AD5B23">
        <w:trPr>
          <w:jc w:val="center"/>
        </w:trPr>
        <w:tc>
          <w:tcPr>
            <w:tcW w:w="1463" w:type="dxa"/>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2003</w:t>
            </w:r>
          </w:p>
        </w:tc>
        <w:tc>
          <w:tcPr>
            <w:tcW w:w="1518"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20.78</w:t>
            </w:r>
          </w:p>
        </w:tc>
        <w:tc>
          <w:tcPr>
            <w:tcW w:w="283" w:type="dxa"/>
            <w:tcBorders>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2010</w:t>
            </w:r>
          </w:p>
        </w:tc>
        <w:tc>
          <w:tcPr>
            <w:tcW w:w="1559"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19.56</w:t>
            </w:r>
          </w:p>
        </w:tc>
      </w:tr>
      <w:tr w:rsidR="00AD5B23" w:rsidRPr="003111E1" w:rsidTr="00AD5B23">
        <w:trPr>
          <w:jc w:val="center"/>
        </w:trPr>
        <w:tc>
          <w:tcPr>
            <w:tcW w:w="1463" w:type="dxa"/>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2004</w:t>
            </w:r>
          </w:p>
        </w:tc>
        <w:tc>
          <w:tcPr>
            <w:tcW w:w="1518"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18.34</w:t>
            </w:r>
          </w:p>
        </w:tc>
        <w:tc>
          <w:tcPr>
            <w:tcW w:w="283" w:type="dxa"/>
            <w:tcBorders>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2011</w:t>
            </w:r>
          </w:p>
        </w:tc>
        <w:tc>
          <w:tcPr>
            <w:tcW w:w="1559" w:type="dxa"/>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16.87</w:t>
            </w:r>
          </w:p>
        </w:tc>
      </w:tr>
      <w:tr w:rsidR="00AD5B23" w:rsidRPr="003111E1" w:rsidTr="00AD5B23">
        <w:trPr>
          <w:jc w:val="center"/>
        </w:trPr>
        <w:tc>
          <w:tcPr>
            <w:tcW w:w="1463" w:type="dxa"/>
            <w:tcBorders>
              <w:bottom w:val="single" w:sz="4" w:space="0" w:color="auto"/>
            </w:tcBorders>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Cs w:val="28"/>
              </w:rPr>
              <w:t>2005</w:t>
            </w:r>
          </w:p>
        </w:tc>
        <w:tc>
          <w:tcPr>
            <w:tcW w:w="1518" w:type="dxa"/>
            <w:tcBorders>
              <w:bottom w:val="single" w:sz="4" w:space="0" w:color="auto"/>
            </w:tcBorders>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19.61</w:t>
            </w:r>
          </w:p>
        </w:tc>
        <w:tc>
          <w:tcPr>
            <w:tcW w:w="283" w:type="dxa"/>
            <w:tcBorders>
              <w:bottom w:val="single" w:sz="4" w:space="0" w:color="auto"/>
              <w:right w:val="double" w:sz="4" w:space="0" w:color="auto"/>
            </w:tcBorders>
          </w:tcPr>
          <w:p w:rsidR="00AD5B23" w:rsidRPr="003111E1" w:rsidRDefault="00AD5B23" w:rsidP="00AD5B23">
            <w:pPr>
              <w:rPr>
                <w:rFonts w:ascii="Times New Roman" w:eastAsia="標楷體" w:hAnsi="Times New Roman" w:cs="Times New Roman"/>
                <w:szCs w:val="28"/>
              </w:rPr>
            </w:pPr>
          </w:p>
        </w:tc>
        <w:tc>
          <w:tcPr>
            <w:tcW w:w="284" w:type="dxa"/>
            <w:tcBorders>
              <w:left w:val="double" w:sz="4" w:space="0" w:color="auto"/>
              <w:bottom w:val="single" w:sz="4" w:space="0" w:color="auto"/>
            </w:tcBorders>
          </w:tcPr>
          <w:p w:rsidR="00AD5B23" w:rsidRPr="003111E1" w:rsidRDefault="00AD5B23" w:rsidP="00AD5B23">
            <w:pPr>
              <w:rPr>
                <w:rFonts w:ascii="Times New Roman" w:eastAsia="標楷體" w:hAnsi="Times New Roman" w:cs="Times New Roman"/>
                <w:szCs w:val="28"/>
              </w:rPr>
            </w:pPr>
          </w:p>
        </w:tc>
        <w:tc>
          <w:tcPr>
            <w:tcW w:w="1444" w:type="dxa"/>
            <w:tcBorders>
              <w:bottom w:val="single" w:sz="4" w:space="0" w:color="auto"/>
            </w:tcBorders>
          </w:tcPr>
          <w:p w:rsidR="00AD5B23" w:rsidRPr="003111E1" w:rsidRDefault="00AD5B23" w:rsidP="00AD5B23">
            <w:pPr>
              <w:jc w:val="both"/>
              <w:rPr>
                <w:rFonts w:ascii="Times New Roman" w:eastAsia="標楷體" w:hAnsi="Times New Roman" w:cs="Times New Roman"/>
                <w:szCs w:val="28"/>
              </w:rPr>
            </w:pPr>
            <w:r w:rsidRPr="003111E1">
              <w:rPr>
                <w:rFonts w:ascii="Times New Roman" w:eastAsia="標楷體" w:hAnsi="Times New Roman" w:cs="Times New Roman"/>
                <w:szCs w:val="28"/>
              </w:rPr>
              <w:t>2012</w:t>
            </w:r>
          </w:p>
        </w:tc>
        <w:tc>
          <w:tcPr>
            <w:tcW w:w="1559" w:type="dxa"/>
            <w:tcBorders>
              <w:bottom w:val="single" w:sz="4" w:space="0" w:color="auto"/>
            </w:tcBorders>
          </w:tcPr>
          <w:p w:rsidR="00AD5B23" w:rsidRPr="003111E1" w:rsidRDefault="00AD5B23" w:rsidP="00AD5B23">
            <w:pPr>
              <w:ind w:rightChars="37" w:right="89"/>
              <w:jc w:val="right"/>
              <w:rPr>
                <w:rFonts w:ascii="Times New Roman" w:eastAsia="標楷體" w:hAnsi="Times New Roman" w:cs="Times New Roman"/>
                <w:szCs w:val="28"/>
              </w:rPr>
            </w:pPr>
            <w:r w:rsidRPr="003111E1">
              <w:rPr>
                <w:rFonts w:ascii="Times New Roman" w:eastAsia="標楷體" w:hAnsi="Times New Roman" w:cs="Times New Roman"/>
                <w:szCs w:val="28"/>
              </w:rPr>
              <w:t>16.48</w:t>
            </w:r>
          </w:p>
        </w:tc>
      </w:tr>
      <w:tr w:rsidR="00AD5B23" w:rsidRPr="003111E1" w:rsidTr="00AD5B23">
        <w:trPr>
          <w:jc w:val="center"/>
        </w:trPr>
        <w:tc>
          <w:tcPr>
            <w:tcW w:w="6551" w:type="dxa"/>
            <w:gridSpan w:val="6"/>
            <w:tcBorders>
              <w:top w:val="single" w:sz="4" w:space="0" w:color="auto"/>
            </w:tcBorders>
          </w:tcPr>
          <w:p w:rsidR="00AD5B23" w:rsidRPr="003111E1" w:rsidRDefault="00AD5B23" w:rsidP="00AD5B23">
            <w:pPr>
              <w:rPr>
                <w:rFonts w:ascii="Times New Roman" w:eastAsia="標楷體" w:hAnsi="Times New Roman" w:cs="Times New Roman"/>
                <w:szCs w:val="28"/>
              </w:rPr>
            </w:pPr>
            <w:r w:rsidRPr="003111E1">
              <w:rPr>
                <w:rFonts w:ascii="Times New Roman" w:eastAsia="標楷體" w:hAnsi="Times New Roman" w:cs="Times New Roman"/>
                <w:sz w:val="20"/>
                <w:szCs w:val="28"/>
              </w:rPr>
              <w:t>資料來源：行政院主計總處，本文計算。</w:t>
            </w:r>
          </w:p>
        </w:tc>
      </w:tr>
      <w:tr w:rsidR="00AD5B23" w:rsidRPr="003111E1" w:rsidTr="00AD5B23">
        <w:trPr>
          <w:jc w:val="center"/>
        </w:trPr>
        <w:tc>
          <w:tcPr>
            <w:tcW w:w="6551" w:type="dxa"/>
            <w:gridSpan w:val="6"/>
          </w:tcPr>
          <w:p w:rsidR="00AD5B23" w:rsidRPr="003111E1" w:rsidRDefault="00AD5B23" w:rsidP="00AD5B23">
            <w:pPr>
              <w:rPr>
                <w:rFonts w:ascii="Times New Roman" w:eastAsia="標楷體" w:hAnsi="Times New Roman" w:cs="Times New Roman"/>
                <w:sz w:val="20"/>
                <w:szCs w:val="28"/>
              </w:rPr>
            </w:pPr>
          </w:p>
        </w:tc>
      </w:tr>
    </w:tbl>
    <w:p w:rsidR="00AD5B23" w:rsidRPr="003111E1" w:rsidRDefault="00AD5B23" w:rsidP="00AD5B23">
      <w:pPr>
        <w:keepNext/>
        <w:jc w:val="center"/>
        <w:rPr>
          <w:rFonts w:eastAsia="標楷體"/>
          <w:szCs w:val="22"/>
        </w:rPr>
      </w:pPr>
      <w:r w:rsidRPr="003111E1">
        <w:rPr>
          <w:rFonts w:eastAsia="標楷體"/>
          <w:noProof/>
          <w:sz w:val="32"/>
          <w:szCs w:val="32"/>
        </w:rPr>
        <w:drawing>
          <wp:inline distT="0" distB="0" distL="0" distR="0" wp14:anchorId="1833253D" wp14:editId="7D28426A">
            <wp:extent cx="5274310" cy="3076575"/>
            <wp:effectExtent l="0" t="0" r="21590" b="9525"/>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5B23" w:rsidRPr="003111E1" w:rsidRDefault="00AD5B23" w:rsidP="00AD5B23">
      <w:pPr>
        <w:rPr>
          <w:rFonts w:eastAsia="標楷體"/>
          <w:sz w:val="20"/>
          <w:szCs w:val="20"/>
        </w:rPr>
      </w:pPr>
      <w:r w:rsidRPr="003111E1">
        <w:rPr>
          <w:rFonts w:eastAsia="標楷體"/>
          <w:sz w:val="20"/>
          <w:szCs w:val="20"/>
        </w:rPr>
        <w:t>資料來源：</w:t>
      </w:r>
      <w:r w:rsidRPr="003111E1">
        <w:rPr>
          <w:rFonts w:eastAsia="標楷體"/>
          <w:sz w:val="20"/>
          <w:szCs w:val="20"/>
        </w:rPr>
        <w:t>OECD</w:t>
      </w:r>
      <w:proofErr w:type="gramStart"/>
      <w:r w:rsidRPr="003111E1">
        <w:rPr>
          <w:rFonts w:eastAsia="標楷體"/>
          <w:sz w:val="20"/>
          <w:szCs w:val="20"/>
        </w:rPr>
        <w:t>’</w:t>
      </w:r>
      <w:proofErr w:type="gramEnd"/>
      <w:r w:rsidRPr="003111E1">
        <w:rPr>
          <w:rFonts w:eastAsia="標楷體"/>
          <w:sz w:val="20"/>
          <w:szCs w:val="20"/>
        </w:rPr>
        <w:t>s ilibrary</w:t>
      </w:r>
      <w:r w:rsidRPr="003111E1">
        <w:rPr>
          <w:rFonts w:eastAsia="標楷體"/>
          <w:sz w:val="20"/>
          <w:szCs w:val="20"/>
        </w:rPr>
        <w:t>。</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3</w:t>
      </w:r>
      <w:r w:rsidRPr="003111E1">
        <w:rPr>
          <w:rFonts w:eastAsia="標楷體"/>
          <w:b/>
          <w:sz w:val="28"/>
          <w:szCs w:val="20"/>
        </w:rPr>
        <w:fldChar w:fldCharType="end"/>
      </w:r>
      <w:r w:rsidRPr="003111E1">
        <w:rPr>
          <w:rFonts w:eastAsia="標楷體"/>
          <w:b/>
          <w:sz w:val="28"/>
          <w:szCs w:val="20"/>
        </w:rPr>
        <w:t xml:space="preserve">　我國與</w:t>
      </w:r>
      <w:r w:rsidRPr="003111E1">
        <w:rPr>
          <w:rFonts w:eastAsia="標楷體"/>
          <w:b/>
          <w:sz w:val="28"/>
          <w:szCs w:val="20"/>
        </w:rPr>
        <w:t>OECD</w:t>
      </w:r>
      <w:r w:rsidRPr="003111E1">
        <w:rPr>
          <w:rFonts w:eastAsia="標楷體"/>
          <w:b/>
          <w:sz w:val="28"/>
          <w:szCs w:val="20"/>
        </w:rPr>
        <w:t>國家長期失業率</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（三）失業結構年輕化，高學歷者失業率攀升</w:t>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如表</w:t>
      </w:r>
      <w:r w:rsidRPr="003111E1">
        <w:rPr>
          <w:rFonts w:eastAsia="標楷體"/>
          <w:sz w:val="28"/>
          <w:szCs w:val="32"/>
        </w:rPr>
        <w:t>2</w:t>
      </w:r>
      <w:r w:rsidRPr="003111E1">
        <w:rPr>
          <w:rFonts w:eastAsia="標楷體"/>
          <w:sz w:val="28"/>
          <w:szCs w:val="32"/>
        </w:rPr>
        <w:t>所示，我國青年失業率自</w:t>
      </w:r>
      <w:r w:rsidRPr="003111E1">
        <w:rPr>
          <w:rFonts w:eastAsia="標楷體"/>
          <w:sz w:val="28"/>
          <w:szCs w:val="32"/>
        </w:rPr>
        <w:t>2000</w:t>
      </w:r>
      <w:r w:rsidRPr="003111E1">
        <w:rPr>
          <w:rFonts w:eastAsia="標楷體"/>
          <w:sz w:val="28"/>
          <w:szCs w:val="32"/>
        </w:rPr>
        <w:t>年之後就一直維持在二位數，在</w:t>
      </w:r>
      <w:r w:rsidRPr="003111E1">
        <w:rPr>
          <w:rFonts w:eastAsia="標楷體"/>
          <w:sz w:val="28"/>
          <w:szCs w:val="32"/>
        </w:rPr>
        <w:t>2009</w:t>
      </w:r>
      <w:r w:rsidRPr="003111E1">
        <w:rPr>
          <w:rFonts w:eastAsia="標楷體"/>
          <w:sz w:val="28"/>
          <w:szCs w:val="32"/>
        </w:rPr>
        <w:t>年受到金融海嘯影響更</w:t>
      </w:r>
      <w:proofErr w:type="gramStart"/>
      <w:r w:rsidRPr="003111E1">
        <w:rPr>
          <w:rFonts w:eastAsia="標楷體"/>
          <w:sz w:val="28"/>
          <w:szCs w:val="32"/>
        </w:rPr>
        <w:t>飆</w:t>
      </w:r>
      <w:proofErr w:type="gramEnd"/>
      <w:r w:rsidRPr="003111E1">
        <w:rPr>
          <w:rFonts w:eastAsia="標楷體"/>
          <w:sz w:val="28"/>
          <w:szCs w:val="32"/>
        </w:rPr>
        <w:t>升至</w:t>
      </w:r>
      <w:r w:rsidRPr="003111E1">
        <w:rPr>
          <w:rFonts w:eastAsia="標楷體"/>
          <w:sz w:val="28"/>
          <w:szCs w:val="32"/>
        </w:rPr>
        <w:t>14.49</w:t>
      </w:r>
      <w:r w:rsidRPr="003111E1">
        <w:rPr>
          <w:rFonts w:eastAsia="標楷體"/>
          <w:sz w:val="28"/>
          <w:szCs w:val="32"/>
        </w:rPr>
        <w:t>％，隨後景氣逐步回溫，但</w:t>
      </w:r>
      <w:r w:rsidRPr="003111E1">
        <w:rPr>
          <w:rFonts w:eastAsia="標楷體"/>
          <w:sz w:val="28"/>
          <w:szCs w:val="32"/>
        </w:rPr>
        <w:t>2012</w:t>
      </w:r>
      <w:r w:rsidRPr="003111E1">
        <w:rPr>
          <w:rFonts w:eastAsia="標楷體"/>
          <w:sz w:val="28"/>
          <w:szCs w:val="32"/>
        </w:rPr>
        <w:t>年青年失業率仍高達</w:t>
      </w:r>
      <w:r w:rsidRPr="003111E1">
        <w:rPr>
          <w:rFonts w:eastAsia="標楷體"/>
          <w:sz w:val="28"/>
          <w:szCs w:val="32"/>
        </w:rPr>
        <w:t>12.66</w:t>
      </w:r>
      <w:r w:rsidRPr="003111E1">
        <w:rPr>
          <w:rFonts w:eastAsia="標楷體"/>
          <w:sz w:val="28"/>
          <w:szCs w:val="32"/>
        </w:rPr>
        <w:t>％；從圖</w:t>
      </w:r>
      <w:r w:rsidRPr="003111E1">
        <w:rPr>
          <w:rFonts w:eastAsia="標楷體"/>
          <w:sz w:val="28"/>
          <w:szCs w:val="32"/>
        </w:rPr>
        <w:t>4</w:t>
      </w:r>
      <w:r w:rsidRPr="003111E1">
        <w:rPr>
          <w:rFonts w:eastAsia="標楷體"/>
          <w:sz w:val="28"/>
          <w:szCs w:val="32"/>
        </w:rPr>
        <w:t>比較，雖然我國青年失業率低於</w:t>
      </w:r>
      <w:r w:rsidRPr="003111E1">
        <w:rPr>
          <w:rFonts w:eastAsia="標楷體"/>
          <w:sz w:val="28"/>
          <w:szCs w:val="32"/>
        </w:rPr>
        <w:t>OECD</w:t>
      </w:r>
      <w:r w:rsidRPr="003111E1">
        <w:rPr>
          <w:rFonts w:eastAsia="標楷體"/>
          <w:sz w:val="28"/>
          <w:szCs w:val="32"/>
        </w:rPr>
        <w:t>國家的</w:t>
      </w:r>
      <w:r w:rsidRPr="003111E1">
        <w:rPr>
          <w:rFonts w:eastAsia="標楷體"/>
          <w:sz w:val="28"/>
          <w:szCs w:val="32"/>
        </w:rPr>
        <w:t>16.22</w:t>
      </w:r>
      <w:r w:rsidRPr="003111E1">
        <w:rPr>
          <w:rFonts w:eastAsia="標楷體"/>
          <w:sz w:val="28"/>
          <w:szCs w:val="32"/>
        </w:rPr>
        <w:t>％，在其中排名第</w:t>
      </w:r>
      <w:r w:rsidRPr="003111E1">
        <w:rPr>
          <w:rFonts w:eastAsia="標楷體"/>
          <w:sz w:val="28"/>
          <w:szCs w:val="32"/>
        </w:rPr>
        <w:lastRenderedPageBreak/>
        <w:t>11</w:t>
      </w:r>
      <w:r w:rsidRPr="003111E1">
        <w:rPr>
          <w:rFonts w:eastAsia="標楷體"/>
          <w:sz w:val="28"/>
          <w:szCs w:val="32"/>
        </w:rPr>
        <w:t>，惟若進一步以青年失業率與整體失業率間比值觀察</w:t>
      </w:r>
      <w:r w:rsidRPr="003111E1">
        <w:rPr>
          <w:rFonts w:eastAsia="標楷體"/>
          <w:sz w:val="28"/>
          <w:szCs w:val="32"/>
        </w:rPr>
        <w:t>(</w:t>
      </w:r>
      <w:r w:rsidRPr="003111E1">
        <w:rPr>
          <w:rFonts w:eastAsia="標楷體"/>
          <w:sz w:val="28"/>
          <w:szCs w:val="32"/>
        </w:rPr>
        <w:t>如表</w:t>
      </w:r>
      <w:r w:rsidRPr="003111E1">
        <w:rPr>
          <w:rFonts w:eastAsia="標楷體"/>
          <w:sz w:val="28"/>
          <w:szCs w:val="32"/>
        </w:rPr>
        <w:t>2</w:t>
      </w:r>
      <w:r w:rsidRPr="003111E1">
        <w:rPr>
          <w:rFonts w:eastAsia="標楷體"/>
          <w:sz w:val="28"/>
          <w:szCs w:val="32"/>
        </w:rPr>
        <w:t>中</w:t>
      </w:r>
      <w:r w:rsidRPr="003111E1">
        <w:rPr>
          <w:rFonts w:eastAsia="標楷體"/>
          <w:sz w:val="28"/>
          <w:szCs w:val="32"/>
        </w:rPr>
        <w:t>A/B</w:t>
      </w:r>
      <w:r w:rsidRPr="003111E1">
        <w:rPr>
          <w:rFonts w:eastAsia="標楷體"/>
          <w:sz w:val="28"/>
          <w:szCs w:val="32"/>
        </w:rPr>
        <w:t>值</w:t>
      </w:r>
      <w:r w:rsidRPr="003111E1">
        <w:rPr>
          <w:rFonts w:eastAsia="標楷體"/>
          <w:sz w:val="28"/>
          <w:szCs w:val="32"/>
        </w:rPr>
        <w:t>)</w:t>
      </w:r>
      <w:r w:rsidRPr="003111E1">
        <w:rPr>
          <w:rFonts w:eastAsia="標楷體"/>
          <w:sz w:val="28"/>
          <w:szCs w:val="32"/>
        </w:rPr>
        <w:t>，發現我國除有逐漸攀升趨勢外，更在</w:t>
      </w:r>
      <w:r w:rsidRPr="003111E1">
        <w:rPr>
          <w:rFonts w:eastAsia="標楷體"/>
          <w:sz w:val="28"/>
          <w:szCs w:val="32"/>
        </w:rPr>
        <w:t>2012</w:t>
      </w:r>
      <w:r w:rsidRPr="003111E1">
        <w:rPr>
          <w:rFonts w:eastAsia="標楷體"/>
          <w:sz w:val="28"/>
          <w:szCs w:val="32"/>
        </w:rPr>
        <w:t>年達到</w:t>
      </w:r>
      <w:r w:rsidRPr="003111E1">
        <w:rPr>
          <w:rFonts w:eastAsia="標楷體"/>
          <w:sz w:val="28"/>
          <w:szCs w:val="32"/>
        </w:rPr>
        <w:t>2.98</w:t>
      </w:r>
      <w:r w:rsidRPr="003111E1">
        <w:rPr>
          <w:rFonts w:eastAsia="標楷體"/>
          <w:sz w:val="28"/>
          <w:szCs w:val="32"/>
        </w:rPr>
        <w:t>倍，在</w:t>
      </w:r>
      <w:r w:rsidRPr="003111E1">
        <w:rPr>
          <w:rFonts w:eastAsia="標楷體"/>
          <w:sz w:val="28"/>
          <w:szCs w:val="32"/>
        </w:rPr>
        <w:t>OECD</w:t>
      </w:r>
      <w:r w:rsidRPr="003111E1">
        <w:rPr>
          <w:rFonts w:eastAsia="標楷體"/>
          <w:sz w:val="28"/>
          <w:szCs w:val="32"/>
        </w:rPr>
        <w:t>國家中排名僅僅優於盧森堡及義大利</w:t>
      </w:r>
      <w:r w:rsidRPr="003111E1">
        <w:rPr>
          <w:rFonts w:eastAsia="標楷體"/>
          <w:sz w:val="28"/>
          <w:szCs w:val="32"/>
        </w:rPr>
        <w:t>(</w:t>
      </w:r>
      <w:r w:rsidRPr="003111E1">
        <w:rPr>
          <w:rFonts w:eastAsia="標楷體"/>
          <w:sz w:val="28"/>
          <w:szCs w:val="32"/>
        </w:rPr>
        <w:t>如圖</w:t>
      </w:r>
      <w:r w:rsidRPr="003111E1">
        <w:rPr>
          <w:rFonts w:eastAsia="標楷體"/>
          <w:sz w:val="28"/>
          <w:szCs w:val="32"/>
        </w:rPr>
        <w:t>5)</w:t>
      </w:r>
      <w:r w:rsidRPr="003111E1">
        <w:rPr>
          <w:rFonts w:eastAsia="標楷體"/>
          <w:sz w:val="28"/>
          <w:szCs w:val="32"/>
        </w:rPr>
        <w:t>，顯示我國在失業結構上有年輕化趨勢，青年在勞動市場上面臨相當嚴峻的挑戰。</w:t>
      </w:r>
    </w:p>
    <w:p w:rsidR="00AD5B23" w:rsidRPr="003111E1" w:rsidRDefault="00AD5B23" w:rsidP="00AD5B23">
      <w:pPr>
        <w:keepNext/>
        <w:spacing w:before="240"/>
        <w:jc w:val="center"/>
        <w:rPr>
          <w:rFonts w:eastAsia="標楷體"/>
          <w:b/>
          <w:sz w:val="28"/>
          <w:szCs w:val="20"/>
        </w:rPr>
      </w:pPr>
      <w:r w:rsidRPr="003111E1">
        <w:rPr>
          <w:rFonts w:eastAsia="標楷體"/>
          <w:b/>
          <w:sz w:val="28"/>
          <w:szCs w:val="20"/>
        </w:rPr>
        <w:t>表</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表</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2</w:t>
      </w:r>
      <w:r w:rsidRPr="003111E1">
        <w:rPr>
          <w:rFonts w:eastAsia="標楷體"/>
          <w:b/>
          <w:sz w:val="28"/>
          <w:szCs w:val="20"/>
        </w:rPr>
        <w:fldChar w:fldCharType="end"/>
      </w:r>
      <w:r w:rsidRPr="003111E1">
        <w:rPr>
          <w:rFonts w:eastAsia="標楷體"/>
          <w:b/>
          <w:sz w:val="28"/>
          <w:szCs w:val="20"/>
        </w:rPr>
        <w:t xml:space="preserve">　我國青年失業率</w:t>
      </w:r>
    </w:p>
    <w:tbl>
      <w:tblPr>
        <w:tblStyle w:val="54"/>
        <w:tblW w:w="37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2077"/>
        <w:gridCol w:w="1818"/>
        <w:gridCol w:w="1559"/>
      </w:tblGrid>
      <w:tr w:rsidR="00AD5B23" w:rsidRPr="003111E1" w:rsidTr="00AD5B23">
        <w:trPr>
          <w:jc w:val="center"/>
        </w:trPr>
        <w:tc>
          <w:tcPr>
            <w:tcW w:w="5000" w:type="pct"/>
            <w:gridSpan w:val="4"/>
            <w:tcBorders>
              <w:bottom w:val="single" w:sz="4" w:space="0" w:color="auto"/>
            </w:tcBorders>
            <w:vAlign w:val="bottom"/>
          </w:tcPr>
          <w:p w:rsidR="00AD5B23" w:rsidRPr="003111E1" w:rsidRDefault="00AD5B23" w:rsidP="00AD5B23">
            <w:pPr>
              <w:jc w:val="right"/>
              <w:rPr>
                <w:rFonts w:ascii="Times New Roman" w:eastAsia="標楷體" w:hAnsi="Times New Roman" w:cs="Times New Roman"/>
                <w:sz w:val="20"/>
              </w:rPr>
            </w:pPr>
            <w:r w:rsidRPr="003111E1">
              <w:rPr>
                <w:rFonts w:ascii="Times New Roman" w:eastAsia="標楷體" w:hAnsi="Times New Roman" w:cs="Times New Roman"/>
                <w:sz w:val="20"/>
              </w:rPr>
              <w:t>單位：％</w:t>
            </w:r>
          </w:p>
        </w:tc>
      </w:tr>
      <w:tr w:rsidR="00AD5B23" w:rsidRPr="003111E1" w:rsidTr="00AD5B23">
        <w:trPr>
          <w:jc w:val="center"/>
        </w:trPr>
        <w:tc>
          <w:tcPr>
            <w:tcW w:w="777" w:type="pct"/>
            <w:tcBorders>
              <w:top w:val="single" w:sz="4" w:space="0" w:color="auto"/>
              <w:bottom w:val="single" w:sz="4" w:space="0" w:color="auto"/>
            </w:tcBorders>
            <w:vAlign w:val="bottom"/>
          </w:tcPr>
          <w:p w:rsidR="00AD5B23" w:rsidRPr="003111E1" w:rsidRDefault="00AD5B23" w:rsidP="00AD5B23">
            <w:pPr>
              <w:rPr>
                <w:rFonts w:ascii="Times New Roman" w:eastAsia="標楷體" w:hAnsi="Times New Roman" w:cs="Times New Roman"/>
              </w:rPr>
            </w:pPr>
            <w:proofErr w:type="gramStart"/>
            <w:r w:rsidRPr="003111E1">
              <w:rPr>
                <w:rFonts w:ascii="Times New Roman" w:eastAsia="標楷體" w:hAnsi="Times New Roman" w:cs="Times New Roman"/>
              </w:rPr>
              <w:t>年別</w:t>
            </w:r>
            <w:proofErr w:type="gramEnd"/>
          </w:p>
        </w:tc>
        <w:tc>
          <w:tcPr>
            <w:tcW w:w="1608" w:type="pct"/>
            <w:tcBorders>
              <w:top w:val="single" w:sz="4" w:space="0" w:color="auto"/>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青年失業率</w:t>
            </w:r>
            <w:r w:rsidRPr="003111E1">
              <w:rPr>
                <w:rFonts w:ascii="Times New Roman" w:eastAsia="標楷體" w:hAnsi="Times New Roman" w:cs="Times New Roman"/>
              </w:rPr>
              <w:t>(A)</w:t>
            </w:r>
          </w:p>
        </w:tc>
        <w:tc>
          <w:tcPr>
            <w:tcW w:w="1408" w:type="pct"/>
            <w:tcBorders>
              <w:top w:val="single" w:sz="4" w:space="0" w:color="auto"/>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失業率</w:t>
            </w:r>
            <w:r w:rsidRPr="003111E1">
              <w:rPr>
                <w:rFonts w:ascii="Times New Roman" w:eastAsia="標楷體" w:hAnsi="Times New Roman" w:cs="Times New Roman"/>
              </w:rPr>
              <w:t>(B)</w:t>
            </w:r>
          </w:p>
        </w:tc>
        <w:tc>
          <w:tcPr>
            <w:tcW w:w="1207" w:type="pct"/>
            <w:tcBorders>
              <w:top w:val="single" w:sz="4" w:space="0" w:color="auto"/>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A/B</w:t>
            </w:r>
          </w:p>
        </w:tc>
      </w:tr>
      <w:tr w:rsidR="00AD5B23" w:rsidRPr="003111E1" w:rsidTr="00AD5B23">
        <w:trPr>
          <w:jc w:val="center"/>
        </w:trPr>
        <w:tc>
          <w:tcPr>
            <w:tcW w:w="777" w:type="pct"/>
            <w:tcBorders>
              <w:top w:val="single" w:sz="4" w:space="0" w:color="auto"/>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2000</w:t>
            </w:r>
          </w:p>
        </w:tc>
        <w:tc>
          <w:tcPr>
            <w:tcW w:w="1608" w:type="pct"/>
            <w:tcBorders>
              <w:top w:val="single" w:sz="4" w:space="0" w:color="auto"/>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7.36</w:t>
            </w:r>
          </w:p>
        </w:tc>
        <w:tc>
          <w:tcPr>
            <w:tcW w:w="1408" w:type="pct"/>
            <w:tcBorders>
              <w:top w:val="single" w:sz="4" w:space="0" w:color="auto"/>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2.99</w:t>
            </w:r>
          </w:p>
        </w:tc>
        <w:tc>
          <w:tcPr>
            <w:tcW w:w="1207" w:type="pct"/>
            <w:tcBorders>
              <w:top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2.46</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2001</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10.44</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4.57</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2.28</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2002</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11.91</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5.17</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2.30</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2003</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11.44</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4.99</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2.29</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2004</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10.85</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4.44</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2.44</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2005</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10.59</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4.13</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2.56</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2006</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10.31</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3.91</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2.63</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2007</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10.65</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3.91</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2.72</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2008</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11.81</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4.14</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2.85</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2009</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14.49</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5.85</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2.47</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2010</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13.09</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5.21</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2.51</w:t>
            </w:r>
          </w:p>
        </w:tc>
      </w:tr>
      <w:tr w:rsidR="00AD5B23" w:rsidRPr="003111E1" w:rsidTr="00AD5B23">
        <w:trPr>
          <w:jc w:val="center"/>
        </w:trPr>
        <w:tc>
          <w:tcPr>
            <w:tcW w:w="777" w:type="pct"/>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2011</w:t>
            </w:r>
          </w:p>
        </w:tc>
        <w:tc>
          <w:tcPr>
            <w:tcW w:w="16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12.47</w:t>
            </w:r>
          </w:p>
        </w:tc>
        <w:tc>
          <w:tcPr>
            <w:tcW w:w="1408" w:type="pct"/>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4.39</w:t>
            </w:r>
          </w:p>
        </w:tc>
        <w:tc>
          <w:tcPr>
            <w:tcW w:w="1207" w:type="pct"/>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2.84</w:t>
            </w:r>
          </w:p>
        </w:tc>
      </w:tr>
      <w:tr w:rsidR="00AD5B23" w:rsidRPr="003111E1" w:rsidTr="00AD5B23">
        <w:trPr>
          <w:jc w:val="center"/>
        </w:trPr>
        <w:tc>
          <w:tcPr>
            <w:tcW w:w="777" w:type="pct"/>
            <w:tcBorders>
              <w:bottom w:val="single" w:sz="4" w:space="0" w:color="auto"/>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2012</w:t>
            </w:r>
          </w:p>
        </w:tc>
        <w:tc>
          <w:tcPr>
            <w:tcW w:w="1608" w:type="pct"/>
            <w:tcBorders>
              <w:bottom w:val="single" w:sz="4" w:space="0" w:color="auto"/>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12.66</w:t>
            </w:r>
          </w:p>
        </w:tc>
        <w:tc>
          <w:tcPr>
            <w:tcW w:w="1408" w:type="pct"/>
            <w:tcBorders>
              <w:bottom w:val="single" w:sz="4" w:space="0" w:color="auto"/>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4.24</w:t>
            </w:r>
          </w:p>
        </w:tc>
        <w:tc>
          <w:tcPr>
            <w:tcW w:w="1207" w:type="pct"/>
            <w:tcBorders>
              <w:bottom w:val="single" w:sz="4" w:space="0" w:color="auto"/>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2.98</w:t>
            </w:r>
          </w:p>
        </w:tc>
      </w:tr>
      <w:tr w:rsidR="00AD5B23" w:rsidRPr="003111E1" w:rsidTr="00AD5B23">
        <w:trPr>
          <w:jc w:val="center"/>
        </w:trPr>
        <w:tc>
          <w:tcPr>
            <w:tcW w:w="5000" w:type="pct"/>
            <w:gridSpan w:val="4"/>
            <w:tcBorders>
              <w:top w:val="single" w:sz="4" w:space="0" w:color="auto"/>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sz w:val="22"/>
              </w:rPr>
              <w:t>資料來源：行政院主計總處，人力資源統計調查年報。</w:t>
            </w:r>
          </w:p>
        </w:tc>
      </w:tr>
    </w:tbl>
    <w:p w:rsidR="00AD5B23" w:rsidRPr="003111E1" w:rsidRDefault="00AD5B23" w:rsidP="00AD5B23">
      <w:pPr>
        <w:keepNext/>
        <w:rPr>
          <w:rFonts w:eastAsia="標楷體"/>
          <w:szCs w:val="22"/>
        </w:rPr>
      </w:pPr>
      <w:r w:rsidRPr="003111E1">
        <w:rPr>
          <w:rFonts w:eastAsia="標楷體"/>
          <w:noProof/>
          <w:sz w:val="32"/>
          <w:szCs w:val="32"/>
        </w:rPr>
        <w:lastRenderedPageBreak/>
        <w:drawing>
          <wp:inline distT="0" distB="0" distL="0" distR="0" wp14:anchorId="0C88D1A0" wp14:editId="77DE9700">
            <wp:extent cx="5274310" cy="3078000"/>
            <wp:effectExtent l="0" t="0" r="21590" b="27305"/>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5B23" w:rsidRPr="003111E1" w:rsidRDefault="00AD5B23" w:rsidP="00AD5B23">
      <w:pPr>
        <w:rPr>
          <w:rFonts w:eastAsia="標楷體"/>
          <w:sz w:val="20"/>
          <w:szCs w:val="20"/>
        </w:rPr>
      </w:pPr>
      <w:r w:rsidRPr="003111E1">
        <w:rPr>
          <w:rFonts w:eastAsia="標楷體"/>
          <w:sz w:val="20"/>
          <w:szCs w:val="20"/>
        </w:rPr>
        <w:t>資料來源：</w:t>
      </w:r>
      <w:r w:rsidRPr="003111E1">
        <w:rPr>
          <w:rFonts w:eastAsia="標楷體"/>
          <w:sz w:val="20"/>
          <w:szCs w:val="20"/>
        </w:rPr>
        <w:t>OECD</w:t>
      </w:r>
      <w:proofErr w:type="gramStart"/>
      <w:r w:rsidRPr="003111E1">
        <w:rPr>
          <w:rFonts w:eastAsia="標楷體"/>
          <w:sz w:val="20"/>
          <w:szCs w:val="20"/>
        </w:rPr>
        <w:t>’</w:t>
      </w:r>
      <w:proofErr w:type="gramEnd"/>
      <w:r w:rsidRPr="003111E1">
        <w:rPr>
          <w:rFonts w:eastAsia="標楷體"/>
          <w:sz w:val="20"/>
          <w:szCs w:val="20"/>
        </w:rPr>
        <w:t>s ilibrary</w:t>
      </w:r>
      <w:r w:rsidRPr="003111E1">
        <w:rPr>
          <w:rFonts w:eastAsia="標楷體"/>
          <w:sz w:val="20"/>
          <w:szCs w:val="20"/>
        </w:rPr>
        <w:t>。</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4</w:t>
      </w:r>
      <w:r w:rsidRPr="003111E1">
        <w:rPr>
          <w:rFonts w:eastAsia="標楷體"/>
          <w:b/>
          <w:sz w:val="28"/>
          <w:szCs w:val="20"/>
        </w:rPr>
        <w:fldChar w:fldCharType="end"/>
      </w:r>
      <w:r w:rsidRPr="003111E1">
        <w:rPr>
          <w:rFonts w:eastAsia="標楷體"/>
          <w:b/>
          <w:sz w:val="28"/>
          <w:szCs w:val="20"/>
        </w:rPr>
        <w:t xml:space="preserve">　我國與</w:t>
      </w:r>
      <w:r w:rsidRPr="003111E1">
        <w:rPr>
          <w:rFonts w:eastAsia="標楷體"/>
          <w:b/>
          <w:sz w:val="28"/>
          <w:szCs w:val="20"/>
        </w:rPr>
        <w:t>OECD</w:t>
      </w:r>
      <w:r w:rsidRPr="003111E1">
        <w:rPr>
          <w:rFonts w:eastAsia="標楷體"/>
          <w:b/>
          <w:sz w:val="28"/>
          <w:szCs w:val="20"/>
        </w:rPr>
        <w:t>國家青年失業率</w:t>
      </w:r>
    </w:p>
    <w:p w:rsidR="00AD5B23" w:rsidRPr="003111E1" w:rsidRDefault="00AD5B23" w:rsidP="00AD5B23">
      <w:pPr>
        <w:keepNext/>
        <w:spacing w:before="240"/>
        <w:rPr>
          <w:rFonts w:eastAsia="標楷體"/>
          <w:szCs w:val="22"/>
        </w:rPr>
      </w:pPr>
      <w:r w:rsidRPr="003111E1">
        <w:rPr>
          <w:rFonts w:eastAsia="標楷體"/>
          <w:noProof/>
          <w:sz w:val="32"/>
          <w:szCs w:val="32"/>
        </w:rPr>
        <w:drawing>
          <wp:inline distT="0" distB="0" distL="0" distR="0" wp14:anchorId="3153DDD3" wp14:editId="7971C708">
            <wp:extent cx="5274310" cy="3076575"/>
            <wp:effectExtent l="0" t="0" r="21590" b="9525"/>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5B23" w:rsidRPr="003111E1" w:rsidRDefault="00AD5B23" w:rsidP="00AD5B23">
      <w:pPr>
        <w:rPr>
          <w:rFonts w:eastAsia="標楷體"/>
          <w:sz w:val="20"/>
          <w:szCs w:val="20"/>
        </w:rPr>
      </w:pPr>
      <w:r w:rsidRPr="003111E1">
        <w:rPr>
          <w:rFonts w:eastAsia="標楷體"/>
          <w:sz w:val="20"/>
          <w:szCs w:val="20"/>
        </w:rPr>
        <w:t>資料來源：</w:t>
      </w:r>
      <w:r w:rsidRPr="003111E1">
        <w:rPr>
          <w:rFonts w:eastAsia="標楷體"/>
          <w:sz w:val="20"/>
          <w:szCs w:val="20"/>
        </w:rPr>
        <w:t>OECD</w:t>
      </w:r>
      <w:proofErr w:type="gramStart"/>
      <w:r w:rsidRPr="003111E1">
        <w:rPr>
          <w:rFonts w:eastAsia="標楷體"/>
          <w:sz w:val="20"/>
          <w:szCs w:val="20"/>
        </w:rPr>
        <w:t>’</w:t>
      </w:r>
      <w:proofErr w:type="gramEnd"/>
      <w:r w:rsidRPr="003111E1">
        <w:rPr>
          <w:rFonts w:eastAsia="標楷體"/>
          <w:sz w:val="20"/>
          <w:szCs w:val="20"/>
        </w:rPr>
        <w:t>s ilibrary</w:t>
      </w:r>
      <w:r w:rsidRPr="003111E1">
        <w:rPr>
          <w:rFonts w:eastAsia="標楷體"/>
          <w:sz w:val="20"/>
          <w:szCs w:val="20"/>
        </w:rPr>
        <w:t>，本文計算。</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5</w:t>
      </w:r>
      <w:r w:rsidRPr="003111E1">
        <w:rPr>
          <w:rFonts w:eastAsia="標楷體"/>
          <w:b/>
          <w:sz w:val="28"/>
          <w:szCs w:val="20"/>
        </w:rPr>
        <w:fldChar w:fldCharType="end"/>
      </w:r>
      <w:r w:rsidRPr="003111E1">
        <w:rPr>
          <w:rFonts w:eastAsia="標楷體"/>
          <w:b/>
          <w:sz w:val="28"/>
          <w:szCs w:val="20"/>
        </w:rPr>
        <w:t xml:space="preserve">　我國與</w:t>
      </w:r>
      <w:r w:rsidRPr="003111E1">
        <w:rPr>
          <w:rFonts w:eastAsia="標楷體"/>
          <w:b/>
          <w:sz w:val="28"/>
          <w:szCs w:val="20"/>
        </w:rPr>
        <w:t>OECD</w:t>
      </w:r>
      <w:r w:rsidRPr="003111E1">
        <w:rPr>
          <w:rFonts w:eastAsia="標楷體"/>
          <w:b/>
          <w:sz w:val="28"/>
          <w:szCs w:val="20"/>
        </w:rPr>
        <w:t>國家青年失業比值</w:t>
      </w:r>
    </w:p>
    <w:p w:rsidR="00AD5B23" w:rsidRPr="003111E1" w:rsidRDefault="00AD5B23" w:rsidP="00AD5B23">
      <w:pPr>
        <w:rPr>
          <w:rFonts w:eastAsia="標楷體"/>
          <w:sz w:val="28"/>
          <w:szCs w:val="32"/>
        </w:rPr>
      </w:pPr>
    </w:p>
    <w:p w:rsidR="00AD5B23" w:rsidRPr="003111E1" w:rsidRDefault="00AD5B23" w:rsidP="00AD5B23">
      <w:pPr>
        <w:rPr>
          <w:rFonts w:eastAsia="標楷體"/>
          <w:sz w:val="28"/>
          <w:szCs w:val="32"/>
        </w:rPr>
      </w:pPr>
    </w:p>
    <w:p w:rsidR="00AD5B23" w:rsidRPr="003111E1" w:rsidRDefault="00AD5B23" w:rsidP="00AD5B23">
      <w:pPr>
        <w:rPr>
          <w:rFonts w:eastAsia="標楷體"/>
          <w:sz w:val="28"/>
          <w:szCs w:val="32"/>
        </w:rPr>
      </w:pPr>
    </w:p>
    <w:p w:rsidR="00AD5B23" w:rsidRPr="003111E1" w:rsidRDefault="00AD5B23" w:rsidP="00AD5B23">
      <w:pPr>
        <w:rPr>
          <w:rFonts w:eastAsia="標楷體"/>
          <w:sz w:val="28"/>
          <w:szCs w:val="32"/>
        </w:rPr>
      </w:pPr>
    </w:p>
    <w:p w:rsidR="00AD5B23" w:rsidRPr="003111E1" w:rsidRDefault="00AD5B23" w:rsidP="00E07556">
      <w:pPr>
        <w:spacing w:beforeLines="50" w:before="180" w:line="520" w:lineRule="exact"/>
        <w:ind w:leftChars="177" w:left="425"/>
        <w:rPr>
          <w:rFonts w:eastAsia="標楷體"/>
          <w:sz w:val="28"/>
          <w:szCs w:val="32"/>
        </w:rPr>
      </w:pPr>
      <w:r w:rsidRPr="003111E1">
        <w:rPr>
          <w:rFonts w:eastAsia="標楷體"/>
          <w:sz w:val="28"/>
          <w:szCs w:val="32"/>
        </w:rPr>
        <w:lastRenderedPageBreak/>
        <w:t xml:space="preserve">　　除了失業結構的變化外，我國高學歷者的高失業現象也相當令人憂心。從表</w:t>
      </w:r>
      <w:r w:rsidRPr="003111E1">
        <w:rPr>
          <w:rFonts w:eastAsia="標楷體"/>
          <w:sz w:val="28"/>
          <w:szCs w:val="32"/>
        </w:rPr>
        <w:t>3</w:t>
      </w:r>
      <w:r w:rsidRPr="003111E1">
        <w:rPr>
          <w:rFonts w:eastAsia="標楷體"/>
          <w:sz w:val="28"/>
          <w:szCs w:val="32"/>
        </w:rPr>
        <w:t>中可以發現，在</w:t>
      </w:r>
      <w:r w:rsidRPr="003111E1">
        <w:rPr>
          <w:rFonts w:eastAsia="標楷體"/>
          <w:sz w:val="28"/>
          <w:szCs w:val="32"/>
        </w:rPr>
        <w:t>OECD</w:t>
      </w:r>
      <w:r w:rsidRPr="003111E1">
        <w:rPr>
          <w:rFonts w:eastAsia="標楷體"/>
          <w:sz w:val="28"/>
          <w:szCs w:val="32"/>
        </w:rPr>
        <w:t>幾個主要國家中，教育程度越高者，其失業率通常也越低；</w:t>
      </w:r>
      <w:proofErr w:type="gramStart"/>
      <w:r w:rsidRPr="003111E1">
        <w:rPr>
          <w:rFonts w:eastAsia="標楷體"/>
          <w:sz w:val="28"/>
          <w:szCs w:val="32"/>
        </w:rPr>
        <w:t>惟</w:t>
      </w:r>
      <w:proofErr w:type="gramEnd"/>
      <w:r w:rsidRPr="003111E1">
        <w:rPr>
          <w:rFonts w:eastAsia="標楷體"/>
          <w:sz w:val="28"/>
          <w:szCs w:val="32"/>
        </w:rPr>
        <w:t>我國卻呈現完全</w:t>
      </w:r>
      <w:proofErr w:type="gramStart"/>
      <w:r w:rsidRPr="003111E1">
        <w:rPr>
          <w:rFonts w:eastAsia="標楷體"/>
          <w:sz w:val="28"/>
          <w:szCs w:val="32"/>
        </w:rPr>
        <w:t>迥</w:t>
      </w:r>
      <w:proofErr w:type="gramEnd"/>
      <w:r w:rsidRPr="003111E1">
        <w:rPr>
          <w:rFonts w:eastAsia="標楷體"/>
          <w:sz w:val="28"/>
          <w:szCs w:val="32"/>
        </w:rPr>
        <w:t>異的結論</w:t>
      </w:r>
      <w:r w:rsidRPr="003111E1">
        <w:rPr>
          <w:rFonts w:eastAsia="標楷體"/>
          <w:sz w:val="28"/>
          <w:szCs w:val="32"/>
        </w:rPr>
        <w:t>(</w:t>
      </w:r>
      <w:r w:rsidRPr="003111E1">
        <w:rPr>
          <w:rFonts w:eastAsia="標楷體"/>
          <w:sz w:val="28"/>
          <w:szCs w:val="32"/>
        </w:rPr>
        <w:t>如表</w:t>
      </w:r>
      <w:r w:rsidRPr="003111E1">
        <w:rPr>
          <w:rFonts w:eastAsia="標楷體"/>
          <w:sz w:val="28"/>
          <w:szCs w:val="32"/>
        </w:rPr>
        <w:t>4)</w:t>
      </w:r>
      <w:r w:rsidRPr="003111E1">
        <w:rPr>
          <w:rFonts w:eastAsia="標楷體"/>
          <w:sz w:val="28"/>
          <w:szCs w:val="32"/>
        </w:rPr>
        <w:t>，隨著教育程度提高，失業問題越嚴重，尤其大學以上族群的失業率更是所有教育程度者中最高者。</w:t>
      </w:r>
    </w:p>
    <w:p w:rsidR="00AD5B23" w:rsidRPr="003111E1" w:rsidRDefault="00AD5B23" w:rsidP="00AD5B23">
      <w:pPr>
        <w:keepNext/>
        <w:spacing w:before="240"/>
        <w:jc w:val="center"/>
        <w:rPr>
          <w:rFonts w:eastAsia="標楷體"/>
          <w:b/>
          <w:sz w:val="28"/>
          <w:szCs w:val="20"/>
          <w:vertAlign w:val="superscript"/>
        </w:rPr>
      </w:pPr>
      <w:r w:rsidRPr="003111E1">
        <w:rPr>
          <w:rFonts w:eastAsia="標楷體"/>
          <w:b/>
          <w:sz w:val="28"/>
          <w:szCs w:val="20"/>
        </w:rPr>
        <w:t>表</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表</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3</w:t>
      </w:r>
      <w:r w:rsidRPr="003111E1">
        <w:rPr>
          <w:rFonts w:eastAsia="標楷體"/>
          <w:b/>
          <w:sz w:val="28"/>
          <w:szCs w:val="20"/>
        </w:rPr>
        <w:fldChar w:fldCharType="end"/>
      </w:r>
      <w:r w:rsidRPr="003111E1">
        <w:rPr>
          <w:rFonts w:eastAsia="標楷體"/>
          <w:b/>
          <w:sz w:val="28"/>
          <w:szCs w:val="20"/>
        </w:rPr>
        <w:t xml:space="preserve">　</w:t>
      </w:r>
      <w:r w:rsidRPr="003111E1">
        <w:rPr>
          <w:rFonts w:eastAsia="標楷體"/>
          <w:b/>
          <w:sz w:val="28"/>
          <w:szCs w:val="20"/>
        </w:rPr>
        <w:t>2011</w:t>
      </w:r>
      <w:r w:rsidRPr="003111E1">
        <w:rPr>
          <w:rFonts w:eastAsia="標楷體"/>
          <w:b/>
          <w:sz w:val="28"/>
          <w:szCs w:val="20"/>
        </w:rPr>
        <w:t>年</w:t>
      </w:r>
      <w:r w:rsidRPr="003111E1">
        <w:rPr>
          <w:rFonts w:eastAsia="標楷體"/>
          <w:b/>
          <w:sz w:val="28"/>
          <w:szCs w:val="20"/>
        </w:rPr>
        <w:t>OECD</w:t>
      </w:r>
      <w:r w:rsidRPr="003111E1">
        <w:rPr>
          <w:rFonts w:eastAsia="標楷體"/>
          <w:b/>
          <w:sz w:val="28"/>
          <w:szCs w:val="20"/>
        </w:rPr>
        <w:t>主要國家失業率按教育程度分</w:t>
      </w:r>
      <w:r w:rsidRPr="003111E1">
        <w:rPr>
          <w:rFonts w:eastAsia="標楷體"/>
          <w:b/>
          <w:sz w:val="28"/>
          <w:szCs w:val="20"/>
          <w:vertAlign w:val="superscript"/>
        </w:rPr>
        <w:t>*</w:t>
      </w:r>
    </w:p>
    <w:tbl>
      <w:tblPr>
        <w:tblStyle w:val="54"/>
        <w:tblW w:w="0" w:type="auto"/>
        <w:jc w:val="center"/>
        <w:tblLook w:val="04A0" w:firstRow="1" w:lastRow="0" w:firstColumn="1" w:lastColumn="0" w:noHBand="0" w:noVBand="1"/>
      </w:tblPr>
      <w:tblGrid>
        <w:gridCol w:w="1162"/>
        <w:gridCol w:w="3018"/>
        <w:gridCol w:w="2091"/>
        <w:gridCol w:w="2091"/>
      </w:tblGrid>
      <w:tr w:rsidR="00AD5B23" w:rsidRPr="003111E1" w:rsidTr="00AD5B23">
        <w:trPr>
          <w:jc w:val="center"/>
        </w:trPr>
        <w:tc>
          <w:tcPr>
            <w:tcW w:w="8362" w:type="dxa"/>
            <w:gridSpan w:val="4"/>
            <w:tcBorders>
              <w:top w:val="nil"/>
              <w:left w:val="nil"/>
              <w:bottom w:val="single" w:sz="4" w:space="0" w:color="auto"/>
              <w:right w:val="nil"/>
            </w:tcBorders>
          </w:tcPr>
          <w:p w:rsidR="00AD5B23" w:rsidRPr="003111E1" w:rsidRDefault="00AD5B23" w:rsidP="00AD5B23">
            <w:pPr>
              <w:jc w:val="right"/>
              <w:rPr>
                <w:rFonts w:ascii="Times New Roman" w:eastAsia="標楷體" w:hAnsi="Times New Roman" w:cs="Times New Roman"/>
                <w:sz w:val="20"/>
              </w:rPr>
            </w:pPr>
            <w:r w:rsidRPr="003111E1">
              <w:rPr>
                <w:rFonts w:ascii="Times New Roman" w:eastAsia="標楷體" w:hAnsi="Times New Roman" w:cs="Times New Roman"/>
                <w:sz w:val="20"/>
              </w:rPr>
              <w:t>單位：％</w:t>
            </w:r>
          </w:p>
        </w:tc>
      </w:tr>
      <w:tr w:rsidR="00AD5B23" w:rsidRPr="003111E1" w:rsidTr="00AD5B23">
        <w:trPr>
          <w:jc w:val="center"/>
        </w:trPr>
        <w:tc>
          <w:tcPr>
            <w:tcW w:w="1162" w:type="dxa"/>
            <w:tcBorders>
              <w:top w:val="single" w:sz="4" w:space="0" w:color="auto"/>
              <w:left w:val="nil"/>
              <w:bottom w:val="single" w:sz="4" w:space="0" w:color="auto"/>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國家</w:t>
            </w:r>
          </w:p>
        </w:tc>
        <w:tc>
          <w:tcPr>
            <w:tcW w:w="3018" w:type="dxa"/>
            <w:tcBorders>
              <w:top w:val="single" w:sz="4" w:space="0" w:color="auto"/>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國中以下</w:t>
            </w:r>
          </w:p>
        </w:tc>
        <w:tc>
          <w:tcPr>
            <w:tcW w:w="2091" w:type="dxa"/>
            <w:tcBorders>
              <w:top w:val="single" w:sz="4" w:space="0" w:color="auto"/>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高中</w:t>
            </w:r>
            <w:r w:rsidRPr="003111E1">
              <w:rPr>
                <w:rFonts w:ascii="Times New Roman" w:eastAsia="標楷體" w:hAnsi="Times New Roman" w:cs="Times New Roman"/>
              </w:rPr>
              <w:t>(</w:t>
            </w:r>
            <w:r w:rsidRPr="003111E1">
              <w:rPr>
                <w:rFonts w:ascii="Times New Roman" w:eastAsia="標楷體" w:hAnsi="Times New Roman" w:cs="Times New Roman"/>
              </w:rPr>
              <w:t>職</w:t>
            </w:r>
            <w:r w:rsidRPr="003111E1">
              <w:rPr>
                <w:rFonts w:ascii="Times New Roman" w:eastAsia="標楷體" w:hAnsi="Times New Roman" w:cs="Times New Roman"/>
              </w:rPr>
              <w:t>)</w:t>
            </w:r>
          </w:p>
        </w:tc>
        <w:tc>
          <w:tcPr>
            <w:tcW w:w="2091" w:type="dxa"/>
            <w:tcBorders>
              <w:top w:val="single" w:sz="4" w:space="0" w:color="auto"/>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大專以上</w:t>
            </w:r>
          </w:p>
        </w:tc>
      </w:tr>
      <w:tr w:rsidR="00AD5B23" w:rsidRPr="003111E1" w:rsidTr="00AD5B23">
        <w:trPr>
          <w:jc w:val="center"/>
        </w:trPr>
        <w:tc>
          <w:tcPr>
            <w:tcW w:w="1162" w:type="dxa"/>
            <w:tcBorders>
              <w:top w:val="single" w:sz="4" w:space="0" w:color="auto"/>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美國</w:t>
            </w:r>
          </w:p>
        </w:tc>
        <w:tc>
          <w:tcPr>
            <w:tcW w:w="3018" w:type="dxa"/>
            <w:tcBorders>
              <w:top w:val="single" w:sz="4" w:space="0" w:color="auto"/>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16.2</w:t>
            </w:r>
          </w:p>
        </w:tc>
        <w:tc>
          <w:tcPr>
            <w:tcW w:w="2091" w:type="dxa"/>
            <w:tcBorders>
              <w:top w:val="single" w:sz="4" w:space="0" w:color="auto"/>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10.2</w:t>
            </w:r>
          </w:p>
        </w:tc>
        <w:tc>
          <w:tcPr>
            <w:tcW w:w="2091" w:type="dxa"/>
            <w:tcBorders>
              <w:top w:val="single" w:sz="4" w:space="0" w:color="auto"/>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4.9</w:t>
            </w:r>
          </w:p>
        </w:tc>
      </w:tr>
      <w:tr w:rsidR="00AD5B23" w:rsidRPr="003111E1" w:rsidTr="00AD5B23">
        <w:trPr>
          <w:jc w:val="center"/>
        </w:trPr>
        <w:tc>
          <w:tcPr>
            <w:tcW w:w="1162" w:type="dxa"/>
            <w:tcBorders>
              <w:top w:val="nil"/>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英國</w:t>
            </w:r>
          </w:p>
        </w:tc>
        <w:tc>
          <w:tcPr>
            <w:tcW w:w="3018"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11.0</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5.9</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3.9</w:t>
            </w:r>
          </w:p>
        </w:tc>
      </w:tr>
      <w:tr w:rsidR="00AD5B23" w:rsidRPr="003111E1" w:rsidTr="00AD5B23">
        <w:trPr>
          <w:jc w:val="center"/>
        </w:trPr>
        <w:tc>
          <w:tcPr>
            <w:tcW w:w="1162" w:type="dxa"/>
            <w:tcBorders>
              <w:top w:val="nil"/>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德國</w:t>
            </w:r>
          </w:p>
        </w:tc>
        <w:tc>
          <w:tcPr>
            <w:tcW w:w="3018"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13.9</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5.8</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2.4</w:t>
            </w:r>
          </w:p>
        </w:tc>
      </w:tr>
      <w:tr w:rsidR="00AD5B23" w:rsidRPr="003111E1" w:rsidTr="00AD5B23">
        <w:trPr>
          <w:jc w:val="center"/>
        </w:trPr>
        <w:tc>
          <w:tcPr>
            <w:tcW w:w="1162" w:type="dxa"/>
            <w:tcBorders>
              <w:top w:val="nil"/>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法國</w:t>
            </w:r>
          </w:p>
        </w:tc>
        <w:tc>
          <w:tcPr>
            <w:tcW w:w="3018"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12.9</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7.4</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4.9</w:t>
            </w:r>
          </w:p>
        </w:tc>
      </w:tr>
      <w:tr w:rsidR="00AD5B23" w:rsidRPr="003111E1" w:rsidTr="00AD5B23">
        <w:trPr>
          <w:jc w:val="center"/>
        </w:trPr>
        <w:tc>
          <w:tcPr>
            <w:tcW w:w="1162" w:type="dxa"/>
            <w:tcBorders>
              <w:top w:val="nil"/>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義大利</w:t>
            </w:r>
          </w:p>
        </w:tc>
        <w:tc>
          <w:tcPr>
            <w:tcW w:w="3018"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9.4</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6.0</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5.2</w:t>
            </w:r>
          </w:p>
        </w:tc>
      </w:tr>
      <w:tr w:rsidR="00AD5B23" w:rsidRPr="003111E1" w:rsidTr="00AD5B23">
        <w:trPr>
          <w:jc w:val="center"/>
        </w:trPr>
        <w:tc>
          <w:tcPr>
            <w:tcW w:w="1162" w:type="dxa"/>
            <w:tcBorders>
              <w:top w:val="nil"/>
              <w:left w:val="nil"/>
              <w:bottom w:val="nil"/>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日本</w:t>
            </w:r>
          </w:p>
        </w:tc>
        <w:tc>
          <w:tcPr>
            <w:tcW w:w="3018"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vertAlign w:val="superscript"/>
              </w:rPr>
            </w:pPr>
            <w:r w:rsidRPr="003111E1">
              <w:rPr>
                <w:rFonts w:ascii="Times New Roman" w:eastAsia="標楷體" w:hAnsi="Times New Roman" w:cs="Times New Roman"/>
              </w:rPr>
              <w:t>-</w:t>
            </w:r>
            <w:proofErr w:type="gramStart"/>
            <w:r w:rsidRPr="003111E1">
              <w:rPr>
                <w:rFonts w:ascii="Times New Roman" w:eastAsia="標楷體" w:hAnsi="Times New Roman" w:cs="Times New Roman"/>
                <w:vertAlign w:val="superscript"/>
              </w:rPr>
              <w:t>＊＊</w:t>
            </w:r>
            <w:proofErr w:type="gramEnd"/>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5.3</w:t>
            </w:r>
          </w:p>
        </w:tc>
        <w:tc>
          <w:tcPr>
            <w:tcW w:w="2091" w:type="dxa"/>
            <w:tcBorders>
              <w:top w:val="nil"/>
              <w:left w:val="nil"/>
              <w:bottom w:val="nil"/>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3.4</w:t>
            </w:r>
          </w:p>
        </w:tc>
      </w:tr>
      <w:tr w:rsidR="00AD5B23" w:rsidRPr="003111E1" w:rsidTr="00AD5B23">
        <w:trPr>
          <w:jc w:val="center"/>
        </w:trPr>
        <w:tc>
          <w:tcPr>
            <w:tcW w:w="1162" w:type="dxa"/>
            <w:tcBorders>
              <w:top w:val="nil"/>
              <w:left w:val="nil"/>
              <w:bottom w:val="single" w:sz="4" w:space="0" w:color="auto"/>
              <w:right w:val="nil"/>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南韓</w:t>
            </w:r>
          </w:p>
        </w:tc>
        <w:tc>
          <w:tcPr>
            <w:tcW w:w="3018" w:type="dxa"/>
            <w:tcBorders>
              <w:top w:val="nil"/>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2.7</w:t>
            </w:r>
          </w:p>
        </w:tc>
        <w:tc>
          <w:tcPr>
            <w:tcW w:w="2091" w:type="dxa"/>
            <w:tcBorders>
              <w:top w:val="nil"/>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3.4</w:t>
            </w:r>
          </w:p>
        </w:tc>
        <w:tc>
          <w:tcPr>
            <w:tcW w:w="2091" w:type="dxa"/>
            <w:tcBorders>
              <w:top w:val="nil"/>
              <w:left w:val="nil"/>
              <w:bottom w:val="single" w:sz="4" w:space="0" w:color="auto"/>
              <w:right w:val="nil"/>
            </w:tcBorders>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2.9</w:t>
            </w:r>
          </w:p>
        </w:tc>
      </w:tr>
      <w:tr w:rsidR="00AD5B23" w:rsidRPr="003111E1" w:rsidTr="00AD5B23">
        <w:trPr>
          <w:jc w:val="center"/>
        </w:trPr>
        <w:tc>
          <w:tcPr>
            <w:tcW w:w="8362" w:type="dxa"/>
            <w:gridSpan w:val="4"/>
            <w:tcBorders>
              <w:top w:val="single" w:sz="4" w:space="0" w:color="auto"/>
              <w:left w:val="nil"/>
              <w:bottom w:val="nil"/>
              <w:right w:val="nil"/>
            </w:tcBorders>
          </w:tcPr>
          <w:p w:rsidR="00AD5B23" w:rsidRPr="003111E1" w:rsidRDefault="00AD5B23" w:rsidP="00AD5B23">
            <w:pPr>
              <w:rPr>
                <w:rFonts w:ascii="Times New Roman" w:eastAsia="標楷體" w:hAnsi="Times New Roman" w:cs="Times New Roman"/>
                <w:sz w:val="20"/>
                <w:szCs w:val="20"/>
              </w:rPr>
            </w:pPr>
            <w:proofErr w:type="gramStart"/>
            <w:r w:rsidRPr="003111E1">
              <w:rPr>
                <w:rFonts w:ascii="Times New Roman" w:eastAsia="標楷體" w:hAnsi="Times New Roman" w:cs="Times New Roman"/>
                <w:sz w:val="20"/>
                <w:szCs w:val="20"/>
              </w:rPr>
              <w:t>註</w:t>
            </w:r>
            <w:proofErr w:type="gramEnd"/>
            <w:r w:rsidRPr="003111E1">
              <w:rPr>
                <w:rFonts w:ascii="Times New Roman" w:eastAsia="標楷體" w:hAnsi="Times New Roman" w:cs="Times New Roman"/>
                <w:sz w:val="20"/>
                <w:szCs w:val="20"/>
              </w:rPr>
              <w:t>：</w:t>
            </w:r>
            <w:r w:rsidRPr="003111E1">
              <w:rPr>
                <w:rFonts w:ascii="Times New Roman" w:eastAsia="標楷體" w:hAnsi="Times New Roman" w:cs="Times New Roman"/>
                <w:b/>
                <w:sz w:val="20"/>
                <w:szCs w:val="20"/>
              </w:rPr>
              <w:t>*</w:t>
            </w:r>
            <w:r w:rsidRPr="003111E1">
              <w:rPr>
                <w:rFonts w:ascii="Times New Roman" w:eastAsia="標楷體" w:hAnsi="Times New Roman" w:cs="Times New Roman"/>
                <w:sz w:val="20"/>
                <w:szCs w:val="20"/>
              </w:rPr>
              <w:t>OECD</w:t>
            </w:r>
            <w:r w:rsidRPr="003111E1">
              <w:rPr>
                <w:rFonts w:ascii="Times New Roman" w:eastAsia="標楷體" w:hAnsi="Times New Roman" w:cs="Times New Roman"/>
                <w:sz w:val="20"/>
                <w:szCs w:val="20"/>
              </w:rPr>
              <w:t>調查對象為</w:t>
            </w:r>
            <w:r w:rsidRPr="003111E1">
              <w:rPr>
                <w:rFonts w:ascii="Times New Roman" w:eastAsia="標楷體" w:hAnsi="Times New Roman" w:cs="Times New Roman"/>
                <w:sz w:val="20"/>
                <w:szCs w:val="20"/>
              </w:rPr>
              <w:t>25</w:t>
            </w:r>
            <w:r w:rsidRPr="003111E1">
              <w:rPr>
                <w:rFonts w:ascii="Times New Roman" w:eastAsia="標楷體" w:hAnsi="Times New Roman" w:cs="Times New Roman"/>
                <w:sz w:val="20"/>
                <w:szCs w:val="20"/>
              </w:rPr>
              <w:t>至</w:t>
            </w:r>
            <w:r w:rsidRPr="003111E1">
              <w:rPr>
                <w:rFonts w:ascii="Times New Roman" w:eastAsia="標楷體" w:hAnsi="Times New Roman" w:cs="Times New Roman"/>
                <w:sz w:val="20"/>
                <w:szCs w:val="20"/>
              </w:rPr>
              <w:t>64</w:t>
            </w:r>
            <w:r w:rsidRPr="003111E1">
              <w:rPr>
                <w:rFonts w:ascii="Times New Roman" w:eastAsia="標楷體" w:hAnsi="Times New Roman" w:cs="Times New Roman"/>
                <w:sz w:val="20"/>
                <w:szCs w:val="20"/>
              </w:rPr>
              <w:t>歲勞動人口，與我國調查對象不同，此處僅為趨勢分析，不</w:t>
            </w:r>
          </w:p>
          <w:p w:rsidR="00AD5B23" w:rsidRPr="003111E1" w:rsidRDefault="00AD5B23" w:rsidP="00AD5B23">
            <w:pPr>
              <w:rPr>
                <w:rFonts w:ascii="Times New Roman" w:eastAsia="標楷體" w:hAnsi="Times New Roman" w:cs="Times New Roman"/>
                <w:sz w:val="20"/>
                <w:szCs w:val="20"/>
              </w:rPr>
            </w:pPr>
            <w:r w:rsidRPr="003111E1">
              <w:rPr>
                <w:rFonts w:ascii="Times New Roman" w:eastAsia="標楷體" w:hAnsi="Times New Roman" w:cs="Times New Roman"/>
                <w:sz w:val="20"/>
                <w:szCs w:val="20"/>
              </w:rPr>
              <w:t xml:space="preserve">　　</w:t>
            </w:r>
            <w:r w:rsidRPr="003111E1">
              <w:rPr>
                <w:rFonts w:ascii="Times New Roman" w:eastAsia="標楷體" w:hAnsi="Times New Roman" w:cs="Times New Roman"/>
                <w:sz w:val="20"/>
                <w:szCs w:val="20"/>
              </w:rPr>
              <w:t xml:space="preserve"> </w:t>
            </w:r>
            <w:r w:rsidRPr="003111E1">
              <w:rPr>
                <w:rFonts w:ascii="Times New Roman" w:eastAsia="標楷體" w:hAnsi="Times New Roman" w:cs="Times New Roman"/>
                <w:sz w:val="20"/>
                <w:szCs w:val="20"/>
              </w:rPr>
              <w:t>宜直接與表</w:t>
            </w:r>
            <w:r w:rsidRPr="003111E1">
              <w:rPr>
                <w:rFonts w:ascii="Times New Roman" w:eastAsia="標楷體" w:hAnsi="Times New Roman" w:cs="Times New Roman"/>
                <w:sz w:val="20"/>
                <w:szCs w:val="20"/>
              </w:rPr>
              <w:t>4</w:t>
            </w:r>
            <w:r w:rsidRPr="003111E1">
              <w:rPr>
                <w:rFonts w:ascii="Times New Roman" w:eastAsia="標楷體" w:hAnsi="Times New Roman" w:cs="Times New Roman"/>
                <w:sz w:val="20"/>
                <w:szCs w:val="20"/>
              </w:rPr>
              <w:t>數值相比。</w:t>
            </w:r>
          </w:p>
          <w:p w:rsidR="00AD5B23" w:rsidRPr="003111E1" w:rsidRDefault="00AD5B23" w:rsidP="00AD5B23">
            <w:pPr>
              <w:rPr>
                <w:rFonts w:ascii="Times New Roman" w:eastAsia="標楷體" w:hAnsi="Times New Roman" w:cs="Times New Roman"/>
                <w:sz w:val="20"/>
                <w:szCs w:val="20"/>
              </w:rPr>
            </w:pPr>
            <w:r w:rsidRPr="003111E1">
              <w:rPr>
                <w:rFonts w:ascii="Times New Roman" w:eastAsia="標楷體" w:hAnsi="Times New Roman" w:cs="Times New Roman"/>
                <w:sz w:val="20"/>
                <w:szCs w:val="20"/>
              </w:rPr>
              <w:t xml:space="preserve">　　</w:t>
            </w:r>
            <w:r w:rsidRPr="003111E1">
              <w:rPr>
                <w:rFonts w:ascii="Times New Roman" w:eastAsia="標楷體" w:hAnsi="Times New Roman" w:cs="Times New Roman"/>
                <w:sz w:val="20"/>
                <w:szCs w:val="20"/>
              </w:rPr>
              <w:t>**</w:t>
            </w:r>
            <w:r w:rsidRPr="003111E1">
              <w:rPr>
                <w:rFonts w:ascii="Times New Roman" w:eastAsia="標楷體" w:hAnsi="Times New Roman" w:cs="Times New Roman"/>
                <w:sz w:val="20"/>
                <w:szCs w:val="20"/>
              </w:rPr>
              <w:t>含在高中</w:t>
            </w:r>
            <w:r w:rsidRPr="003111E1">
              <w:rPr>
                <w:rFonts w:ascii="Times New Roman" w:eastAsia="標楷體" w:hAnsi="Times New Roman" w:cs="Times New Roman"/>
                <w:sz w:val="20"/>
                <w:szCs w:val="20"/>
              </w:rPr>
              <w:t>(</w:t>
            </w:r>
            <w:r w:rsidRPr="003111E1">
              <w:rPr>
                <w:rFonts w:ascii="Times New Roman" w:eastAsia="標楷體" w:hAnsi="Times New Roman" w:cs="Times New Roman"/>
                <w:sz w:val="20"/>
                <w:szCs w:val="20"/>
              </w:rPr>
              <w:t>職</w:t>
            </w:r>
            <w:r w:rsidRPr="003111E1">
              <w:rPr>
                <w:rFonts w:ascii="Times New Roman" w:eastAsia="標楷體" w:hAnsi="Times New Roman" w:cs="Times New Roman"/>
                <w:sz w:val="20"/>
                <w:szCs w:val="20"/>
              </w:rPr>
              <w:t>)</w:t>
            </w:r>
            <w:r w:rsidRPr="003111E1">
              <w:rPr>
                <w:rFonts w:ascii="Times New Roman" w:eastAsia="標楷體" w:hAnsi="Times New Roman" w:cs="Times New Roman"/>
                <w:sz w:val="20"/>
                <w:szCs w:val="20"/>
              </w:rPr>
              <w:t>教育程度內。</w:t>
            </w:r>
          </w:p>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sz w:val="20"/>
                <w:szCs w:val="20"/>
              </w:rPr>
              <w:t>資料來源：</w:t>
            </w:r>
            <w:r w:rsidRPr="003111E1">
              <w:rPr>
                <w:rFonts w:ascii="Times New Roman" w:eastAsia="標楷體" w:hAnsi="Times New Roman" w:cs="Times New Roman"/>
                <w:sz w:val="20"/>
                <w:szCs w:val="20"/>
              </w:rPr>
              <w:t>OECD Education at a Glance 2013</w:t>
            </w:r>
            <w:r w:rsidRPr="003111E1">
              <w:rPr>
                <w:rFonts w:ascii="Times New Roman" w:eastAsia="標楷體" w:hAnsi="Times New Roman" w:cs="Times New Roman"/>
                <w:sz w:val="20"/>
                <w:szCs w:val="20"/>
              </w:rPr>
              <w:t>。</w:t>
            </w:r>
          </w:p>
        </w:tc>
      </w:tr>
    </w:tbl>
    <w:p w:rsidR="00AD5B23" w:rsidRPr="003111E1" w:rsidRDefault="00AD5B23" w:rsidP="00AD5B23">
      <w:pPr>
        <w:keepNext/>
        <w:spacing w:before="240"/>
        <w:jc w:val="center"/>
        <w:rPr>
          <w:rFonts w:eastAsia="標楷體"/>
          <w:b/>
          <w:sz w:val="28"/>
          <w:szCs w:val="20"/>
        </w:rPr>
      </w:pPr>
      <w:r w:rsidRPr="003111E1">
        <w:rPr>
          <w:rFonts w:eastAsia="標楷體"/>
          <w:b/>
          <w:sz w:val="28"/>
          <w:szCs w:val="20"/>
        </w:rPr>
        <w:t>表</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表</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4</w:t>
      </w:r>
      <w:r w:rsidRPr="003111E1">
        <w:rPr>
          <w:rFonts w:eastAsia="標楷體"/>
          <w:b/>
          <w:sz w:val="28"/>
          <w:szCs w:val="20"/>
        </w:rPr>
        <w:fldChar w:fldCharType="end"/>
      </w:r>
      <w:r w:rsidRPr="003111E1">
        <w:rPr>
          <w:rFonts w:eastAsia="標楷體"/>
          <w:b/>
          <w:sz w:val="28"/>
          <w:szCs w:val="20"/>
        </w:rPr>
        <w:t xml:space="preserve">　我國失業率按教育程度分</w:t>
      </w:r>
    </w:p>
    <w:tbl>
      <w:tblPr>
        <w:tblStyle w:val="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417"/>
        <w:gridCol w:w="1418"/>
        <w:gridCol w:w="2551"/>
        <w:gridCol w:w="2017"/>
      </w:tblGrid>
      <w:tr w:rsidR="00AD5B23" w:rsidRPr="003111E1" w:rsidTr="00AD5B23">
        <w:tc>
          <w:tcPr>
            <w:tcW w:w="8362" w:type="dxa"/>
            <w:gridSpan w:val="5"/>
            <w:tcBorders>
              <w:bottom w:val="single" w:sz="4" w:space="0" w:color="auto"/>
            </w:tcBorders>
            <w:vAlign w:val="bottom"/>
          </w:tcPr>
          <w:p w:rsidR="00AD5B23" w:rsidRPr="003111E1" w:rsidRDefault="00AD5B23" w:rsidP="00AD5B23">
            <w:pPr>
              <w:jc w:val="right"/>
              <w:rPr>
                <w:rFonts w:ascii="Times New Roman" w:eastAsia="標楷體" w:hAnsi="Times New Roman" w:cs="Times New Roman"/>
                <w:sz w:val="20"/>
              </w:rPr>
            </w:pPr>
            <w:r w:rsidRPr="003111E1">
              <w:rPr>
                <w:rFonts w:ascii="Times New Roman" w:eastAsia="標楷體" w:hAnsi="Times New Roman" w:cs="Times New Roman"/>
                <w:sz w:val="20"/>
              </w:rPr>
              <w:t>單位：％</w:t>
            </w:r>
          </w:p>
        </w:tc>
      </w:tr>
      <w:tr w:rsidR="00AD5B23" w:rsidRPr="003111E1" w:rsidTr="00AD5B23">
        <w:tc>
          <w:tcPr>
            <w:tcW w:w="959" w:type="dxa"/>
            <w:tcBorders>
              <w:bottom w:val="single" w:sz="4" w:space="0" w:color="auto"/>
            </w:tcBorders>
            <w:vAlign w:val="bottom"/>
          </w:tcPr>
          <w:p w:rsidR="00AD5B23" w:rsidRPr="003111E1" w:rsidRDefault="00AD5B23" w:rsidP="00AD5B23">
            <w:pPr>
              <w:rPr>
                <w:rFonts w:ascii="Times New Roman" w:eastAsia="標楷體" w:hAnsi="Times New Roman" w:cs="Times New Roman"/>
              </w:rPr>
            </w:pPr>
            <w:proofErr w:type="gramStart"/>
            <w:r w:rsidRPr="003111E1">
              <w:rPr>
                <w:rFonts w:ascii="Times New Roman" w:eastAsia="標楷體" w:hAnsi="Times New Roman" w:cs="Times New Roman"/>
              </w:rPr>
              <w:t>年別</w:t>
            </w:r>
            <w:proofErr w:type="gramEnd"/>
          </w:p>
        </w:tc>
        <w:tc>
          <w:tcPr>
            <w:tcW w:w="1417" w:type="dxa"/>
            <w:tcBorders>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國中以下</w:t>
            </w:r>
          </w:p>
        </w:tc>
        <w:tc>
          <w:tcPr>
            <w:tcW w:w="1418" w:type="dxa"/>
            <w:tcBorders>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高中</w:t>
            </w:r>
            <w:r w:rsidRPr="003111E1">
              <w:rPr>
                <w:rFonts w:ascii="Times New Roman" w:eastAsia="標楷體" w:hAnsi="Times New Roman" w:cs="Times New Roman"/>
              </w:rPr>
              <w:t>(</w:t>
            </w:r>
            <w:r w:rsidRPr="003111E1">
              <w:rPr>
                <w:rFonts w:ascii="Times New Roman" w:eastAsia="標楷體" w:hAnsi="Times New Roman" w:cs="Times New Roman"/>
              </w:rPr>
              <w:t>職</w:t>
            </w:r>
            <w:r w:rsidRPr="003111E1">
              <w:rPr>
                <w:rFonts w:ascii="Times New Roman" w:eastAsia="標楷體" w:hAnsi="Times New Roman" w:cs="Times New Roman"/>
              </w:rPr>
              <w:t>)</w:t>
            </w:r>
          </w:p>
        </w:tc>
        <w:tc>
          <w:tcPr>
            <w:tcW w:w="2551" w:type="dxa"/>
            <w:tcBorders>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大專以上</w:t>
            </w:r>
            <w:r w:rsidRPr="003111E1">
              <w:rPr>
                <w:rFonts w:ascii="Times New Roman" w:eastAsia="標楷體" w:hAnsi="Times New Roman" w:cs="Times New Roman"/>
              </w:rPr>
              <w:t>(</w:t>
            </w:r>
            <w:r w:rsidRPr="003111E1">
              <w:rPr>
                <w:rFonts w:ascii="Times New Roman" w:eastAsia="標楷體" w:hAnsi="Times New Roman" w:cs="Times New Roman"/>
              </w:rPr>
              <w:t>含大學</w:t>
            </w:r>
            <w:r w:rsidRPr="003111E1">
              <w:rPr>
                <w:rFonts w:ascii="Times New Roman" w:eastAsia="標楷體" w:hAnsi="Times New Roman" w:cs="Times New Roman"/>
              </w:rPr>
              <w:t>)</w:t>
            </w:r>
          </w:p>
        </w:tc>
        <w:tc>
          <w:tcPr>
            <w:tcW w:w="2017" w:type="dxa"/>
            <w:tcBorders>
              <w:bottom w:val="single" w:sz="4" w:space="0" w:color="auto"/>
            </w:tcBorders>
            <w:vAlign w:val="bottom"/>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大學以上</w:t>
            </w:r>
          </w:p>
        </w:tc>
      </w:tr>
      <w:tr w:rsidR="00AD5B23" w:rsidRPr="003111E1" w:rsidTr="00AD5B23">
        <w:tc>
          <w:tcPr>
            <w:tcW w:w="959" w:type="dxa"/>
            <w:tcBorders>
              <w:top w:val="single" w:sz="4" w:space="0" w:color="auto"/>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2010</w:t>
            </w:r>
          </w:p>
        </w:tc>
        <w:tc>
          <w:tcPr>
            <w:tcW w:w="1417" w:type="dxa"/>
            <w:tcBorders>
              <w:top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4.83</w:t>
            </w:r>
          </w:p>
        </w:tc>
        <w:tc>
          <w:tcPr>
            <w:tcW w:w="1418" w:type="dxa"/>
            <w:tcBorders>
              <w:top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5.58</w:t>
            </w:r>
          </w:p>
        </w:tc>
        <w:tc>
          <w:tcPr>
            <w:tcW w:w="2551" w:type="dxa"/>
            <w:tcBorders>
              <w:top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5.12</w:t>
            </w:r>
          </w:p>
        </w:tc>
        <w:tc>
          <w:tcPr>
            <w:tcW w:w="2017" w:type="dxa"/>
            <w:tcBorders>
              <w:top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5.62</w:t>
            </w:r>
          </w:p>
        </w:tc>
      </w:tr>
      <w:tr w:rsidR="00AD5B23" w:rsidRPr="003111E1" w:rsidTr="00AD5B23">
        <w:tc>
          <w:tcPr>
            <w:tcW w:w="959" w:type="dxa"/>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2011</w:t>
            </w:r>
          </w:p>
        </w:tc>
        <w:tc>
          <w:tcPr>
            <w:tcW w:w="1417" w:type="dxa"/>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3.69</w:t>
            </w:r>
          </w:p>
        </w:tc>
        <w:tc>
          <w:tcPr>
            <w:tcW w:w="1418" w:type="dxa"/>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4.66</w:t>
            </w:r>
          </w:p>
        </w:tc>
        <w:tc>
          <w:tcPr>
            <w:tcW w:w="2551" w:type="dxa"/>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4.51</w:t>
            </w:r>
          </w:p>
        </w:tc>
        <w:tc>
          <w:tcPr>
            <w:tcW w:w="2017" w:type="dxa"/>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5.18</w:t>
            </w:r>
          </w:p>
        </w:tc>
      </w:tr>
      <w:tr w:rsidR="00AD5B23" w:rsidRPr="003111E1" w:rsidTr="00AD5B23">
        <w:tc>
          <w:tcPr>
            <w:tcW w:w="959" w:type="dxa"/>
            <w:tcBorders>
              <w:bottom w:val="single" w:sz="4" w:space="0" w:color="auto"/>
            </w:tcBorders>
          </w:tcPr>
          <w:p w:rsidR="00AD5B23" w:rsidRPr="003111E1" w:rsidRDefault="00AD5B23" w:rsidP="00AD5B23">
            <w:pPr>
              <w:rPr>
                <w:rFonts w:ascii="Times New Roman" w:eastAsia="標楷體" w:hAnsi="Times New Roman" w:cs="Times New Roman"/>
              </w:rPr>
            </w:pPr>
            <w:r w:rsidRPr="003111E1">
              <w:rPr>
                <w:rFonts w:ascii="Times New Roman" w:eastAsia="標楷體" w:hAnsi="Times New Roman" w:cs="Times New Roman"/>
              </w:rPr>
              <w:t>2012</w:t>
            </w:r>
          </w:p>
        </w:tc>
        <w:tc>
          <w:tcPr>
            <w:tcW w:w="1417" w:type="dxa"/>
            <w:tcBorders>
              <w:bottom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3.52</w:t>
            </w:r>
          </w:p>
        </w:tc>
        <w:tc>
          <w:tcPr>
            <w:tcW w:w="1418" w:type="dxa"/>
            <w:tcBorders>
              <w:bottom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4.22</w:t>
            </w:r>
          </w:p>
        </w:tc>
        <w:tc>
          <w:tcPr>
            <w:tcW w:w="2551" w:type="dxa"/>
            <w:tcBorders>
              <w:bottom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4.58</w:t>
            </w:r>
          </w:p>
        </w:tc>
        <w:tc>
          <w:tcPr>
            <w:tcW w:w="2017" w:type="dxa"/>
            <w:tcBorders>
              <w:bottom w:val="single" w:sz="4" w:space="0" w:color="auto"/>
            </w:tcBorders>
            <w:vAlign w:val="center"/>
          </w:tcPr>
          <w:p w:rsidR="00AD5B23" w:rsidRPr="003111E1" w:rsidRDefault="00AD5B23" w:rsidP="00AD5B23">
            <w:pPr>
              <w:jc w:val="right"/>
              <w:rPr>
                <w:rFonts w:ascii="Times New Roman" w:eastAsia="標楷體" w:hAnsi="Times New Roman" w:cs="Times New Roman"/>
              </w:rPr>
            </w:pPr>
            <w:r w:rsidRPr="003111E1">
              <w:rPr>
                <w:rFonts w:ascii="Times New Roman" w:eastAsia="標楷體" w:hAnsi="Times New Roman" w:cs="Times New Roman"/>
              </w:rPr>
              <w:t>5.37</w:t>
            </w:r>
          </w:p>
        </w:tc>
      </w:tr>
      <w:tr w:rsidR="00AD5B23" w:rsidRPr="003111E1" w:rsidTr="00AD5B23">
        <w:tc>
          <w:tcPr>
            <w:tcW w:w="8362" w:type="dxa"/>
            <w:gridSpan w:val="5"/>
            <w:tcBorders>
              <w:top w:val="single" w:sz="4" w:space="0" w:color="auto"/>
            </w:tcBorders>
          </w:tcPr>
          <w:p w:rsidR="00AD5B23" w:rsidRPr="003111E1" w:rsidRDefault="00AD5B23" w:rsidP="00AD5B23">
            <w:pPr>
              <w:rPr>
                <w:rFonts w:ascii="Times New Roman" w:eastAsia="標楷體" w:hAnsi="Times New Roman" w:cs="Times New Roman"/>
                <w:sz w:val="20"/>
              </w:rPr>
            </w:pPr>
            <w:r w:rsidRPr="003111E1">
              <w:rPr>
                <w:rFonts w:ascii="Times New Roman" w:eastAsia="標楷體" w:hAnsi="Times New Roman" w:cs="Times New Roman"/>
                <w:sz w:val="20"/>
              </w:rPr>
              <w:t>資料來源：行政院主計總處，人力資源調查統計年報。</w:t>
            </w:r>
          </w:p>
        </w:tc>
      </w:tr>
    </w:tbl>
    <w:p w:rsidR="00AD5B23" w:rsidRPr="003111E1" w:rsidRDefault="00AD5B23" w:rsidP="00AD5B23">
      <w:pPr>
        <w:spacing w:before="240"/>
        <w:rPr>
          <w:rFonts w:eastAsia="標楷體"/>
          <w:b/>
          <w:sz w:val="28"/>
          <w:szCs w:val="32"/>
        </w:rPr>
      </w:pPr>
    </w:p>
    <w:p w:rsidR="00E07556" w:rsidRPr="003111E1" w:rsidRDefault="00E07556" w:rsidP="00AD5B23">
      <w:pPr>
        <w:spacing w:before="240"/>
        <w:rPr>
          <w:rFonts w:eastAsia="標楷體"/>
          <w:b/>
          <w:sz w:val="28"/>
          <w:szCs w:val="32"/>
        </w:rPr>
      </w:pPr>
    </w:p>
    <w:p w:rsidR="00E80867" w:rsidRPr="003111E1" w:rsidRDefault="00E80867" w:rsidP="00AD5B23">
      <w:pPr>
        <w:spacing w:before="240"/>
        <w:rPr>
          <w:rFonts w:eastAsia="標楷體"/>
          <w:b/>
          <w:sz w:val="28"/>
          <w:szCs w:val="32"/>
        </w:rPr>
      </w:pPr>
    </w:p>
    <w:p w:rsidR="00E07556" w:rsidRPr="003111E1" w:rsidRDefault="00E07556" w:rsidP="00AD5B23">
      <w:pPr>
        <w:spacing w:before="240"/>
        <w:rPr>
          <w:rFonts w:eastAsia="標楷體"/>
          <w:b/>
          <w:sz w:val="28"/>
          <w:szCs w:val="32"/>
        </w:rPr>
      </w:pP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lastRenderedPageBreak/>
        <w:t>（四）台灣怯志工作者逐年下降，促進就業措施發揮功效</w:t>
      </w:r>
    </w:p>
    <w:p w:rsidR="00AD5B23" w:rsidRPr="003111E1" w:rsidRDefault="00AD5B23" w:rsidP="00E07556">
      <w:pPr>
        <w:tabs>
          <w:tab w:val="left" w:pos="567"/>
        </w:tabs>
        <w:spacing w:beforeLines="50" w:before="180" w:line="520" w:lineRule="exact"/>
        <w:ind w:leftChars="236" w:left="566"/>
        <w:rPr>
          <w:rFonts w:eastAsia="標楷體"/>
          <w:sz w:val="28"/>
          <w:szCs w:val="32"/>
        </w:rPr>
      </w:pPr>
      <w:r w:rsidRPr="003111E1">
        <w:rPr>
          <w:rFonts w:eastAsia="標楷體"/>
          <w:sz w:val="28"/>
          <w:szCs w:val="32"/>
        </w:rPr>
        <w:t xml:space="preserve">　　在圖</w:t>
      </w:r>
      <w:r w:rsidRPr="003111E1">
        <w:rPr>
          <w:rFonts w:eastAsia="標楷體"/>
          <w:sz w:val="28"/>
          <w:szCs w:val="32"/>
        </w:rPr>
        <w:t>6</w:t>
      </w:r>
      <w:r w:rsidRPr="003111E1">
        <w:rPr>
          <w:rFonts w:eastAsia="標楷體"/>
          <w:sz w:val="28"/>
          <w:szCs w:val="32"/>
        </w:rPr>
        <w:t>可看出，台灣怯志工作者人數在</w:t>
      </w:r>
      <w:r w:rsidRPr="003111E1">
        <w:rPr>
          <w:rFonts w:eastAsia="標楷體"/>
          <w:sz w:val="28"/>
          <w:szCs w:val="32"/>
        </w:rPr>
        <w:t>2001</w:t>
      </w:r>
      <w:r w:rsidRPr="003111E1">
        <w:rPr>
          <w:rFonts w:eastAsia="標楷體"/>
          <w:sz w:val="28"/>
          <w:szCs w:val="32"/>
        </w:rPr>
        <w:t>年</w:t>
      </w:r>
      <w:r w:rsidRPr="003111E1">
        <w:rPr>
          <w:rFonts w:eastAsia="標楷體"/>
          <w:sz w:val="28"/>
          <w:szCs w:val="32"/>
        </w:rPr>
        <w:t>IT</w:t>
      </w:r>
      <w:r w:rsidRPr="003111E1">
        <w:rPr>
          <w:rFonts w:eastAsia="標楷體"/>
          <w:sz w:val="28"/>
          <w:szCs w:val="32"/>
        </w:rPr>
        <w:t>泡沫後急遽上升，到</w:t>
      </w:r>
      <w:r w:rsidRPr="003111E1">
        <w:rPr>
          <w:rFonts w:eastAsia="標楷體"/>
          <w:sz w:val="28"/>
          <w:szCs w:val="32"/>
        </w:rPr>
        <w:t>2004</w:t>
      </w:r>
      <w:r w:rsidRPr="003111E1">
        <w:rPr>
          <w:rFonts w:eastAsia="標楷體"/>
          <w:sz w:val="28"/>
          <w:szCs w:val="32"/>
        </w:rPr>
        <w:t>年創下</w:t>
      </w:r>
      <w:r w:rsidRPr="003111E1">
        <w:rPr>
          <w:rFonts w:eastAsia="標楷體"/>
          <w:sz w:val="28"/>
          <w:szCs w:val="32"/>
        </w:rPr>
        <w:t>23</w:t>
      </w:r>
      <w:r w:rsidRPr="003111E1">
        <w:rPr>
          <w:rFonts w:eastAsia="標楷體"/>
          <w:sz w:val="28"/>
          <w:szCs w:val="32"/>
        </w:rPr>
        <w:t>萬人新高後，除</w:t>
      </w:r>
      <w:r w:rsidRPr="003111E1">
        <w:rPr>
          <w:rFonts w:eastAsia="標楷體"/>
          <w:sz w:val="28"/>
          <w:szCs w:val="32"/>
        </w:rPr>
        <w:t>2009</w:t>
      </w:r>
      <w:r w:rsidRPr="003111E1">
        <w:rPr>
          <w:rFonts w:eastAsia="標楷體"/>
          <w:sz w:val="28"/>
          <w:szCs w:val="32"/>
        </w:rPr>
        <w:t>年因金融危機呈微幅增加外，</w:t>
      </w:r>
      <w:proofErr w:type="gramStart"/>
      <w:r w:rsidRPr="003111E1">
        <w:rPr>
          <w:rFonts w:eastAsia="標楷體"/>
          <w:sz w:val="28"/>
          <w:szCs w:val="32"/>
        </w:rPr>
        <w:t>其餘均呈下降</w:t>
      </w:r>
      <w:proofErr w:type="gramEnd"/>
      <w:r w:rsidRPr="003111E1">
        <w:rPr>
          <w:rFonts w:eastAsia="標楷體"/>
          <w:sz w:val="28"/>
          <w:szCs w:val="32"/>
        </w:rPr>
        <w:t>趨勢；相對</w:t>
      </w:r>
      <w:r w:rsidRPr="003111E1">
        <w:rPr>
          <w:rFonts w:eastAsia="標楷體"/>
          <w:sz w:val="28"/>
          <w:szCs w:val="32"/>
        </w:rPr>
        <w:t>OECD</w:t>
      </w:r>
      <w:r w:rsidRPr="003111E1">
        <w:rPr>
          <w:rFonts w:eastAsia="標楷體"/>
          <w:sz w:val="28"/>
          <w:szCs w:val="32"/>
        </w:rPr>
        <w:t>國家在金融危機發生後，怯志工作者人數近乎呈倍數成長，至</w:t>
      </w:r>
      <w:r w:rsidRPr="003111E1">
        <w:rPr>
          <w:rFonts w:eastAsia="標楷體"/>
          <w:sz w:val="28"/>
          <w:szCs w:val="32"/>
        </w:rPr>
        <w:t>2011</w:t>
      </w:r>
      <w:r w:rsidRPr="003111E1">
        <w:rPr>
          <w:rFonts w:eastAsia="標楷體"/>
          <w:sz w:val="28"/>
          <w:szCs w:val="32"/>
        </w:rPr>
        <w:t>年仍比危機前多出近</w:t>
      </w:r>
      <w:r w:rsidRPr="003111E1">
        <w:rPr>
          <w:rFonts w:eastAsia="標楷體"/>
          <w:sz w:val="28"/>
          <w:szCs w:val="32"/>
        </w:rPr>
        <w:t>100</w:t>
      </w:r>
      <w:r w:rsidRPr="003111E1">
        <w:rPr>
          <w:rFonts w:eastAsia="標楷體"/>
          <w:sz w:val="28"/>
          <w:szCs w:val="32"/>
        </w:rPr>
        <w:t>萬人，</w:t>
      </w:r>
      <w:proofErr w:type="gramStart"/>
      <w:r w:rsidRPr="003111E1">
        <w:rPr>
          <w:rFonts w:eastAsia="標楷體"/>
          <w:sz w:val="28"/>
          <w:szCs w:val="32"/>
        </w:rPr>
        <w:t>凸</w:t>
      </w:r>
      <w:proofErr w:type="gramEnd"/>
      <w:r w:rsidRPr="003111E1">
        <w:rPr>
          <w:rFonts w:eastAsia="標楷體"/>
          <w:sz w:val="28"/>
          <w:szCs w:val="32"/>
        </w:rPr>
        <w:t>顯我國近年來陸續推行的促進就業措施，在怯志工作者上確實有所改善。</w:t>
      </w:r>
    </w:p>
    <w:p w:rsidR="00AD5B23" w:rsidRPr="003111E1" w:rsidRDefault="00AD5B23" w:rsidP="00AD5B23">
      <w:pPr>
        <w:keepNext/>
        <w:rPr>
          <w:rFonts w:eastAsiaTheme="minorEastAsia"/>
          <w:szCs w:val="22"/>
        </w:rPr>
      </w:pPr>
      <w:r w:rsidRPr="003111E1">
        <w:rPr>
          <w:rFonts w:eastAsia="標楷體"/>
          <w:noProof/>
          <w:sz w:val="32"/>
          <w:szCs w:val="32"/>
        </w:rPr>
        <w:drawing>
          <wp:inline distT="0" distB="0" distL="0" distR="0" wp14:anchorId="1CED86E1" wp14:editId="5F5C1AB6">
            <wp:extent cx="5273749" cy="2796362"/>
            <wp:effectExtent l="0" t="0" r="22225" b="23495"/>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5B23" w:rsidRPr="003111E1" w:rsidRDefault="00AD5B23" w:rsidP="00AD5B23">
      <w:pPr>
        <w:rPr>
          <w:rFonts w:eastAsia="標楷體"/>
          <w:sz w:val="20"/>
          <w:szCs w:val="20"/>
        </w:rPr>
      </w:pPr>
      <w:r w:rsidRPr="003111E1">
        <w:rPr>
          <w:rFonts w:eastAsia="標楷體"/>
          <w:sz w:val="20"/>
          <w:szCs w:val="20"/>
        </w:rPr>
        <w:t>資料來源：</w:t>
      </w:r>
      <w:r w:rsidRPr="003111E1">
        <w:rPr>
          <w:rFonts w:eastAsia="標楷體"/>
          <w:sz w:val="20"/>
          <w:szCs w:val="20"/>
        </w:rPr>
        <w:t>OECD</w:t>
      </w:r>
      <w:proofErr w:type="gramStart"/>
      <w:r w:rsidRPr="003111E1">
        <w:rPr>
          <w:rFonts w:eastAsia="標楷體"/>
          <w:sz w:val="20"/>
          <w:szCs w:val="20"/>
        </w:rPr>
        <w:t>’</w:t>
      </w:r>
      <w:proofErr w:type="gramEnd"/>
      <w:r w:rsidRPr="003111E1">
        <w:rPr>
          <w:rFonts w:eastAsia="標楷體"/>
          <w:sz w:val="20"/>
          <w:szCs w:val="20"/>
        </w:rPr>
        <w:t>s ilibrary</w:t>
      </w:r>
      <w:r w:rsidRPr="003111E1">
        <w:rPr>
          <w:rFonts w:eastAsia="標楷體"/>
          <w:sz w:val="20"/>
          <w:szCs w:val="20"/>
        </w:rPr>
        <w:t>、行政院主計總處。</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6</w:t>
      </w:r>
      <w:r w:rsidRPr="003111E1">
        <w:rPr>
          <w:rFonts w:eastAsia="標楷體"/>
          <w:b/>
          <w:sz w:val="28"/>
          <w:szCs w:val="20"/>
        </w:rPr>
        <w:fldChar w:fldCharType="end"/>
      </w:r>
      <w:r w:rsidRPr="003111E1">
        <w:rPr>
          <w:rFonts w:eastAsia="標楷體"/>
          <w:b/>
          <w:sz w:val="28"/>
          <w:szCs w:val="20"/>
        </w:rPr>
        <w:t xml:space="preserve">　我國與</w:t>
      </w:r>
      <w:r w:rsidRPr="003111E1">
        <w:rPr>
          <w:rFonts w:eastAsia="標楷體"/>
          <w:b/>
          <w:sz w:val="28"/>
          <w:szCs w:val="20"/>
        </w:rPr>
        <w:t>OECD</w:t>
      </w:r>
      <w:r w:rsidRPr="003111E1">
        <w:rPr>
          <w:rFonts w:eastAsia="標楷體"/>
          <w:b/>
          <w:sz w:val="28"/>
          <w:szCs w:val="20"/>
        </w:rPr>
        <w:t>國家怯志工作者人數</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四、當前台灣失業問題之原因</w:t>
      </w:r>
    </w:p>
    <w:p w:rsidR="00AD5B23" w:rsidRPr="003111E1" w:rsidRDefault="00AD5B23" w:rsidP="00E07556">
      <w:pPr>
        <w:spacing w:beforeLines="50" w:before="180" w:line="520" w:lineRule="exact"/>
        <w:rPr>
          <w:rFonts w:eastAsia="標楷體"/>
          <w:sz w:val="28"/>
          <w:szCs w:val="32"/>
        </w:rPr>
      </w:pPr>
      <w:r w:rsidRPr="003111E1">
        <w:rPr>
          <w:rFonts w:eastAsia="標楷體"/>
          <w:sz w:val="28"/>
          <w:szCs w:val="32"/>
        </w:rPr>
        <w:t xml:space="preserve">　　從前述與</w:t>
      </w:r>
      <w:r w:rsidRPr="003111E1">
        <w:rPr>
          <w:rFonts w:eastAsia="標楷體"/>
          <w:sz w:val="28"/>
          <w:szCs w:val="32"/>
        </w:rPr>
        <w:t>OECD</w:t>
      </w:r>
      <w:r w:rsidRPr="003111E1">
        <w:rPr>
          <w:rFonts w:eastAsia="標楷體"/>
          <w:sz w:val="28"/>
          <w:szCs w:val="32"/>
        </w:rPr>
        <w:t>國家比較分析中可以知道，台灣的勞動市場除了在長期失業及青年失業問題與</w:t>
      </w:r>
      <w:r w:rsidRPr="003111E1">
        <w:rPr>
          <w:rFonts w:eastAsia="標楷體"/>
          <w:sz w:val="28"/>
          <w:szCs w:val="32"/>
        </w:rPr>
        <w:t>OECD</w:t>
      </w:r>
      <w:r w:rsidRPr="003111E1">
        <w:rPr>
          <w:rFonts w:eastAsia="標楷體"/>
          <w:sz w:val="28"/>
          <w:szCs w:val="32"/>
        </w:rPr>
        <w:t>國家相仿外，尚存有「高學歷，高失業」的特殊現象，以下針對造成我國失業問題原因再進行深入探討。</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（一）景氣波動的影響</w:t>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勞動需求屬於</w:t>
      </w:r>
      <w:proofErr w:type="gramStart"/>
      <w:r w:rsidRPr="003111E1">
        <w:rPr>
          <w:rFonts w:eastAsia="標楷體"/>
          <w:sz w:val="28"/>
          <w:szCs w:val="32"/>
        </w:rPr>
        <w:t>引伸性需求</w:t>
      </w:r>
      <w:proofErr w:type="gramEnd"/>
      <w:r w:rsidRPr="003111E1">
        <w:rPr>
          <w:rFonts w:eastAsia="標楷體"/>
          <w:sz w:val="28"/>
          <w:szCs w:val="32"/>
        </w:rPr>
        <w:t>，如同</w:t>
      </w:r>
      <w:r w:rsidRPr="003111E1">
        <w:rPr>
          <w:rFonts w:eastAsia="標楷體"/>
          <w:sz w:val="28"/>
          <w:szCs w:val="32"/>
        </w:rPr>
        <w:t>OECD</w:t>
      </w:r>
      <w:r w:rsidRPr="003111E1">
        <w:rPr>
          <w:rFonts w:eastAsia="標楷體"/>
          <w:sz w:val="28"/>
          <w:szCs w:val="32"/>
        </w:rPr>
        <w:t>就業展望報告中所</w:t>
      </w:r>
      <w:r w:rsidRPr="003111E1">
        <w:rPr>
          <w:rFonts w:eastAsia="標楷體"/>
          <w:sz w:val="28"/>
          <w:szCs w:val="32"/>
        </w:rPr>
        <w:lastRenderedPageBreak/>
        <w:t>提到，景氣波動確實是影響失業率高低因素之一，尤其台灣高度依賴對外貿易，每當全球經濟陷入危機時，通常更無法幸免。在</w:t>
      </w:r>
      <w:r w:rsidRPr="003111E1">
        <w:rPr>
          <w:rFonts w:eastAsia="標楷體"/>
          <w:sz w:val="28"/>
          <w:szCs w:val="32"/>
        </w:rPr>
        <w:t>2008</w:t>
      </w:r>
      <w:r w:rsidRPr="003111E1">
        <w:rPr>
          <w:rFonts w:eastAsia="標楷體"/>
          <w:sz w:val="28"/>
          <w:szCs w:val="32"/>
        </w:rPr>
        <w:t>年發生金融海嘯時，我國</w:t>
      </w:r>
      <w:proofErr w:type="gramStart"/>
      <w:r w:rsidRPr="003111E1">
        <w:rPr>
          <w:rFonts w:eastAsia="標楷體"/>
          <w:sz w:val="28"/>
          <w:szCs w:val="32"/>
        </w:rPr>
        <w:t>失業率便攀升</w:t>
      </w:r>
      <w:proofErr w:type="gramEnd"/>
      <w:r w:rsidRPr="003111E1">
        <w:rPr>
          <w:rFonts w:eastAsia="標楷體"/>
          <w:sz w:val="28"/>
          <w:szCs w:val="32"/>
        </w:rPr>
        <w:t>至</w:t>
      </w:r>
      <w:r w:rsidRPr="003111E1">
        <w:rPr>
          <w:rFonts w:eastAsia="標楷體"/>
          <w:sz w:val="28"/>
          <w:szCs w:val="32"/>
        </w:rPr>
        <w:t>6.13</w:t>
      </w:r>
      <w:r w:rsidRPr="003111E1">
        <w:rPr>
          <w:rFonts w:eastAsia="標楷體"/>
          <w:sz w:val="28"/>
          <w:szCs w:val="32"/>
        </w:rPr>
        <w:t>％即是相當鮮明的例子。</w:t>
      </w:r>
    </w:p>
    <w:p w:rsidR="00AD5B23" w:rsidRPr="003111E1" w:rsidRDefault="00AD5B23" w:rsidP="00E07556">
      <w:pPr>
        <w:spacing w:beforeLines="50" w:before="180" w:line="520" w:lineRule="exact"/>
        <w:rPr>
          <w:rFonts w:eastAsia="標楷體"/>
          <w:b/>
          <w:sz w:val="28"/>
          <w:szCs w:val="32"/>
        </w:rPr>
      </w:pPr>
      <w:r w:rsidRPr="003111E1">
        <w:rPr>
          <w:rFonts w:eastAsia="標楷體"/>
          <w:b/>
          <w:sz w:val="28"/>
          <w:szCs w:val="32"/>
        </w:rPr>
        <w:t>（二）勞動供給結構改變</w:t>
      </w:r>
    </w:p>
    <w:p w:rsidR="00AD5B23" w:rsidRPr="003111E1" w:rsidRDefault="00AD5B23" w:rsidP="00E07556">
      <w:pPr>
        <w:spacing w:beforeLines="50" w:before="180" w:line="520" w:lineRule="exact"/>
        <w:ind w:leftChars="236" w:left="566"/>
        <w:rPr>
          <w:rFonts w:eastAsia="標楷體"/>
          <w:sz w:val="28"/>
          <w:szCs w:val="32"/>
        </w:rPr>
      </w:pPr>
      <w:r w:rsidRPr="003111E1">
        <w:rPr>
          <w:rFonts w:eastAsia="標楷體"/>
          <w:sz w:val="28"/>
          <w:szCs w:val="32"/>
        </w:rPr>
        <w:t xml:space="preserve">　　我國的勞動力供給結構出現重大的轉變，主因自</w:t>
      </w:r>
      <w:r w:rsidRPr="003111E1">
        <w:rPr>
          <w:rFonts w:eastAsia="標楷體"/>
          <w:sz w:val="28"/>
          <w:szCs w:val="32"/>
        </w:rPr>
        <w:t>1995</w:t>
      </w:r>
      <w:r w:rsidRPr="003111E1">
        <w:rPr>
          <w:rFonts w:eastAsia="標楷體"/>
          <w:sz w:val="28"/>
          <w:szCs w:val="32"/>
        </w:rPr>
        <w:t>年以來我國高等教育快速擴張，國人教育程度大幅提升，到</w:t>
      </w:r>
      <w:r w:rsidRPr="003111E1">
        <w:rPr>
          <w:rFonts w:eastAsia="標楷體"/>
          <w:sz w:val="28"/>
          <w:szCs w:val="32"/>
        </w:rPr>
        <w:t xml:space="preserve"> 2000</w:t>
      </w:r>
      <w:r w:rsidRPr="003111E1">
        <w:rPr>
          <w:rFonts w:eastAsia="標楷體"/>
          <w:sz w:val="28"/>
          <w:szCs w:val="32"/>
        </w:rPr>
        <w:t>年以後我國的勞動供給逐漸從國中及以下教育程度者、高中職轉為以大專及以上族群為主</w:t>
      </w:r>
      <w:r w:rsidRPr="003111E1">
        <w:rPr>
          <w:rFonts w:eastAsia="標楷體"/>
          <w:sz w:val="28"/>
          <w:szCs w:val="32"/>
        </w:rPr>
        <w:t>(</w:t>
      </w:r>
      <w:r w:rsidRPr="003111E1">
        <w:rPr>
          <w:rFonts w:eastAsia="標楷體"/>
          <w:sz w:val="28"/>
          <w:szCs w:val="32"/>
        </w:rPr>
        <w:t>如圖</w:t>
      </w:r>
      <w:r w:rsidRPr="003111E1">
        <w:rPr>
          <w:rFonts w:eastAsia="標楷體"/>
          <w:sz w:val="28"/>
          <w:szCs w:val="32"/>
        </w:rPr>
        <w:t>7)</w:t>
      </w:r>
      <w:r w:rsidRPr="003111E1">
        <w:rPr>
          <w:rFonts w:eastAsia="標楷體"/>
          <w:sz w:val="28"/>
          <w:szCs w:val="32"/>
        </w:rPr>
        <w:t>，惟對應的就業機會卻受到景氣波動以及產業升級緩慢的影響並未同步成長，以致大專及以上勞動力出現供過於求的現象，呈現失業率高於其他教育別的趨勢。</w:t>
      </w:r>
    </w:p>
    <w:p w:rsidR="00AD5B23" w:rsidRPr="003111E1" w:rsidRDefault="00AD5B23" w:rsidP="00280ACC">
      <w:pPr>
        <w:spacing w:beforeLines="50" w:before="180" w:afterLines="50" w:after="180" w:line="520" w:lineRule="exact"/>
        <w:ind w:leftChars="236" w:left="566"/>
        <w:rPr>
          <w:rFonts w:eastAsia="標楷體"/>
          <w:sz w:val="28"/>
          <w:szCs w:val="32"/>
        </w:rPr>
      </w:pPr>
      <w:r w:rsidRPr="003111E1">
        <w:rPr>
          <w:rFonts w:eastAsia="標楷體"/>
          <w:sz w:val="28"/>
          <w:szCs w:val="32"/>
        </w:rPr>
        <w:t xml:space="preserve">　　另外，教育年數拉長也延後了青年進入職場的時間，再</w:t>
      </w:r>
      <w:proofErr w:type="gramStart"/>
      <w:r w:rsidRPr="003111E1">
        <w:rPr>
          <w:rFonts w:eastAsia="標楷體"/>
          <w:sz w:val="28"/>
          <w:szCs w:val="32"/>
        </w:rPr>
        <w:t>加上少子化</w:t>
      </w:r>
      <w:proofErr w:type="gramEnd"/>
      <w:r w:rsidRPr="003111E1">
        <w:rPr>
          <w:rFonts w:eastAsia="標楷體"/>
          <w:sz w:val="28"/>
          <w:szCs w:val="32"/>
        </w:rPr>
        <w:t>趨勢，使得我國低教育程度的青年勞動力供給快速萎縮，失業率也低於其他教育程度別。</w:t>
      </w:r>
    </w:p>
    <w:p w:rsidR="00AD5B23" w:rsidRPr="003111E1" w:rsidRDefault="00AD5B23" w:rsidP="00AD5B23">
      <w:pPr>
        <w:keepNext/>
        <w:rPr>
          <w:rFonts w:eastAsiaTheme="minorEastAsia"/>
          <w:szCs w:val="22"/>
        </w:rPr>
      </w:pPr>
      <w:r w:rsidRPr="003111E1">
        <w:rPr>
          <w:rFonts w:eastAsia="標楷體"/>
          <w:noProof/>
          <w:sz w:val="32"/>
          <w:szCs w:val="32"/>
        </w:rPr>
        <w:drawing>
          <wp:inline distT="0" distB="0" distL="0" distR="0" wp14:anchorId="6B79A210" wp14:editId="344B39DF">
            <wp:extent cx="5274310" cy="3076575"/>
            <wp:effectExtent l="0" t="0" r="21590" b="9525"/>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D5B23" w:rsidRPr="003111E1" w:rsidRDefault="00AD5B23" w:rsidP="00AD5B23">
      <w:pPr>
        <w:rPr>
          <w:rFonts w:eastAsia="標楷體"/>
          <w:sz w:val="20"/>
          <w:szCs w:val="20"/>
        </w:rPr>
      </w:pPr>
      <w:r w:rsidRPr="003111E1">
        <w:rPr>
          <w:rFonts w:eastAsia="標楷體"/>
          <w:sz w:val="20"/>
          <w:szCs w:val="20"/>
        </w:rPr>
        <w:t>資料來源：行政院主計總處，人力資源統計調查年報。</w:t>
      </w:r>
    </w:p>
    <w:p w:rsidR="00AD5B23" w:rsidRPr="003111E1" w:rsidRDefault="00AD5B23" w:rsidP="00AD5B23">
      <w:pPr>
        <w:jc w:val="center"/>
        <w:rPr>
          <w:rFonts w:eastAsia="標楷體"/>
          <w:b/>
          <w:sz w:val="44"/>
          <w:szCs w:val="32"/>
        </w:rPr>
      </w:pPr>
      <w:r w:rsidRPr="003111E1">
        <w:rPr>
          <w:rFonts w:eastAsia="標楷體"/>
          <w:b/>
          <w:sz w:val="28"/>
          <w:szCs w:val="20"/>
        </w:rPr>
        <w:t>圖</w:t>
      </w:r>
      <w:r w:rsidRPr="003111E1">
        <w:rPr>
          <w:rFonts w:eastAsia="標楷體"/>
          <w:b/>
          <w:sz w:val="28"/>
          <w:szCs w:val="20"/>
        </w:rPr>
        <w:t xml:space="preserve"> </w:t>
      </w:r>
      <w:r w:rsidRPr="003111E1">
        <w:rPr>
          <w:rFonts w:eastAsia="標楷體"/>
          <w:b/>
          <w:sz w:val="28"/>
          <w:szCs w:val="20"/>
        </w:rPr>
        <w:fldChar w:fldCharType="begin"/>
      </w:r>
      <w:r w:rsidRPr="003111E1">
        <w:rPr>
          <w:rFonts w:eastAsia="標楷體"/>
          <w:b/>
          <w:sz w:val="28"/>
          <w:szCs w:val="20"/>
        </w:rPr>
        <w:instrText xml:space="preserve"> SEQ </w:instrText>
      </w:r>
      <w:r w:rsidRPr="003111E1">
        <w:rPr>
          <w:rFonts w:eastAsia="標楷體"/>
          <w:b/>
          <w:sz w:val="28"/>
          <w:szCs w:val="20"/>
        </w:rPr>
        <w:instrText>圖</w:instrText>
      </w:r>
      <w:r w:rsidRPr="003111E1">
        <w:rPr>
          <w:rFonts w:eastAsia="標楷體"/>
          <w:b/>
          <w:sz w:val="28"/>
          <w:szCs w:val="20"/>
        </w:rPr>
        <w:instrText xml:space="preserve"> \* ARABIC </w:instrText>
      </w:r>
      <w:r w:rsidRPr="003111E1">
        <w:rPr>
          <w:rFonts w:eastAsia="標楷體"/>
          <w:b/>
          <w:sz w:val="28"/>
          <w:szCs w:val="20"/>
        </w:rPr>
        <w:fldChar w:fldCharType="separate"/>
      </w:r>
      <w:r w:rsidR="00121C75">
        <w:rPr>
          <w:rFonts w:eastAsia="標楷體"/>
          <w:b/>
          <w:noProof/>
          <w:sz w:val="28"/>
          <w:szCs w:val="20"/>
        </w:rPr>
        <w:t>7</w:t>
      </w:r>
      <w:r w:rsidRPr="003111E1">
        <w:rPr>
          <w:rFonts w:eastAsia="標楷體"/>
          <w:b/>
          <w:sz w:val="28"/>
          <w:szCs w:val="20"/>
        </w:rPr>
        <w:fldChar w:fldCharType="end"/>
      </w:r>
      <w:r w:rsidRPr="003111E1">
        <w:rPr>
          <w:rFonts w:eastAsia="標楷體"/>
          <w:b/>
          <w:sz w:val="28"/>
          <w:szCs w:val="20"/>
        </w:rPr>
        <w:t xml:space="preserve">　我國勞動力按教育程度分</w:t>
      </w:r>
    </w:p>
    <w:p w:rsidR="00AD5B23" w:rsidRPr="003111E1" w:rsidRDefault="00AD5B23" w:rsidP="00280ACC">
      <w:pPr>
        <w:spacing w:beforeLines="50" w:before="180" w:line="520" w:lineRule="exact"/>
        <w:rPr>
          <w:rFonts w:eastAsia="標楷體"/>
          <w:b/>
          <w:sz w:val="28"/>
          <w:szCs w:val="32"/>
        </w:rPr>
      </w:pPr>
      <w:r w:rsidRPr="003111E1">
        <w:rPr>
          <w:rFonts w:eastAsia="標楷體"/>
          <w:b/>
          <w:sz w:val="28"/>
          <w:szCs w:val="32"/>
        </w:rPr>
        <w:lastRenderedPageBreak/>
        <w:t>（三）勞動供給就業能力不符合市場需求</w:t>
      </w:r>
    </w:p>
    <w:p w:rsidR="00AD5B23" w:rsidRPr="003111E1" w:rsidRDefault="00AD5B23" w:rsidP="00280ACC">
      <w:pPr>
        <w:tabs>
          <w:tab w:val="left" w:pos="567"/>
        </w:tabs>
        <w:spacing w:beforeLines="50" w:before="180" w:line="520" w:lineRule="exact"/>
        <w:ind w:leftChars="236" w:left="566"/>
        <w:rPr>
          <w:rFonts w:eastAsia="標楷體"/>
          <w:sz w:val="28"/>
          <w:szCs w:val="32"/>
        </w:rPr>
      </w:pPr>
      <w:r w:rsidRPr="003111E1">
        <w:rPr>
          <w:rFonts w:eastAsia="標楷體"/>
          <w:sz w:val="28"/>
          <w:szCs w:val="32"/>
        </w:rPr>
        <w:t xml:space="preserve">　　大專以上勞動力的失業率升高，除了因為高等教育快速擴張外，也與其專業能力不足、勞動力素質不符市場需求有關。</w:t>
      </w:r>
    </w:p>
    <w:p w:rsidR="00AD5B23" w:rsidRPr="003111E1" w:rsidRDefault="00AD5B23" w:rsidP="00280ACC">
      <w:pPr>
        <w:tabs>
          <w:tab w:val="left" w:pos="567"/>
        </w:tabs>
        <w:spacing w:beforeLines="50" w:before="180" w:line="520" w:lineRule="exact"/>
        <w:ind w:leftChars="236" w:left="566"/>
        <w:rPr>
          <w:rFonts w:eastAsia="標楷體"/>
          <w:sz w:val="28"/>
          <w:szCs w:val="32"/>
        </w:rPr>
      </w:pPr>
      <w:r w:rsidRPr="003111E1">
        <w:rPr>
          <w:rFonts w:eastAsia="標楷體"/>
          <w:sz w:val="28"/>
          <w:szCs w:val="32"/>
        </w:rPr>
        <w:t xml:space="preserve">　　根據行政院勞委會最近一年來的就業市場分析報告統計，大學求職者排名前三名的職缺通常為「資料輸入及有關事務人員」、「一般辦公室事務人員」、「製造勞力工」</w:t>
      </w:r>
      <w:r w:rsidRPr="003111E1">
        <w:rPr>
          <w:rFonts w:eastAsia="標楷體"/>
          <w:sz w:val="28"/>
          <w:szCs w:val="32"/>
          <w:vertAlign w:val="superscript"/>
        </w:rPr>
        <w:footnoteReference w:id="7"/>
      </w:r>
      <w:r w:rsidRPr="003111E1">
        <w:rPr>
          <w:rFonts w:eastAsia="標楷體"/>
          <w:sz w:val="28"/>
          <w:szCs w:val="32"/>
        </w:rPr>
        <w:t>，其中</w:t>
      </w:r>
      <w:proofErr w:type="gramStart"/>
      <w:r w:rsidRPr="003111E1">
        <w:rPr>
          <w:rFonts w:eastAsia="標楷體"/>
          <w:sz w:val="28"/>
          <w:szCs w:val="32"/>
        </w:rPr>
        <w:t>前兩類職缺</w:t>
      </w:r>
      <w:proofErr w:type="gramEnd"/>
      <w:r w:rsidRPr="003111E1">
        <w:rPr>
          <w:rFonts w:eastAsia="標楷體"/>
          <w:sz w:val="28"/>
          <w:szCs w:val="32"/>
        </w:rPr>
        <w:t>長期以來求供倍數低於</w:t>
      </w:r>
      <w:r w:rsidRPr="003111E1">
        <w:rPr>
          <w:rFonts w:eastAsia="標楷體"/>
          <w:sz w:val="28"/>
          <w:szCs w:val="32"/>
        </w:rPr>
        <w:t>1</w:t>
      </w:r>
      <w:r w:rsidRPr="003111E1">
        <w:rPr>
          <w:rFonts w:eastAsia="標楷體"/>
          <w:sz w:val="28"/>
          <w:szCs w:val="32"/>
        </w:rPr>
        <w:t>，表示多人競爭一個職位，處於嚴重供過於求的情形，而「製造勞力工」的求供倍數則高於</w:t>
      </w:r>
      <w:r w:rsidRPr="003111E1">
        <w:rPr>
          <w:rFonts w:eastAsia="標楷體"/>
          <w:sz w:val="28"/>
          <w:szCs w:val="32"/>
        </w:rPr>
        <w:t>1</w:t>
      </w:r>
      <w:r w:rsidRPr="003111E1">
        <w:rPr>
          <w:rFonts w:eastAsia="標楷體"/>
          <w:sz w:val="28"/>
          <w:szCs w:val="32"/>
        </w:rPr>
        <w:t>。以上統計結果</w:t>
      </w:r>
      <w:proofErr w:type="gramStart"/>
      <w:r w:rsidRPr="003111E1">
        <w:rPr>
          <w:rFonts w:eastAsia="標楷體"/>
          <w:sz w:val="28"/>
          <w:szCs w:val="32"/>
        </w:rPr>
        <w:t>凸</w:t>
      </w:r>
      <w:proofErr w:type="gramEnd"/>
      <w:r w:rsidRPr="003111E1">
        <w:rPr>
          <w:rFonts w:eastAsia="標楷體"/>
          <w:sz w:val="28"/>
          <w:szCs w:val="32"/>
        </w:rPr>
        <w:t>顯兩個現象：一是此三類別職缺通常不需具備專業技能，而我國培育之大專以上勞動力專業能力不足，因此傾向競逐工作技能較低的職缺，呈現高學歷低就業的現象；二是大專以上勞動力偏好辦公室的工作，較不願選擇工作環境較差的工作，反映「製造勞力工」的求供倍數高於</w:t>
      </w:r>
      <w:r w:rsidRPr="003111E1">
        <w:rPr>
          <w:rFonts w:eastAsia="標楷體"/>
          <w:sz w:val="28"/>
          <w:szCs w:val="32"/>
        </w:rPr>
        <w:t>1</w:t>
      </w:r>
      <w:r w:rsidRPr="003111E1">
        <w:rPr>
          <w:rFonts w:eastAsia="標楷體"/>
          <w:sz w:val="28"/>
          <w:szCs w:val="32"/>
        </w:rPr>
        <w:t>的事實。</w:t>
      </w:r>
    </w:p>
    <w:p w:rsidR="00AD5B23" w:rsidRPr="003111E1" w:rsidRDefault="00AD5B23" w:rsidP="00280ACC">
      <w:pPr>
        <w:spacing w:beforeLines="50" w:before="180" w:line="520" w:lineRule="exact"/>
        <w:ind w:leftChars="236" w:left="566"/>
        <w:rPr>
          <w:rFonts w:eastAsia="標楷體"/>
          <w:sz w:val="28"/>
          <w:szCs w:val="32"/>
        </w:rPr>
      </w:pPr>
      <w:r w:rsidRPr="003111E1">
        <w:rPr>
          <w:rFonts w:eastAsia="標楷體"/>
          <w:sz w:val="28"/>
          <w:szCs w:val="32"/>
        </w:rPr>
        <w:t xml:space="preserve">　　另外，結合前述我國低教育程度勞動供給減少，而「製造勞力工」等工作環境較差或其他低階基層勞動工作則普遍存在大量職缺，導致我國的勞動市場同時存在高學歷者大量失業以及大量基層人力缺工的失衡現象。</w:t>
      </w:r>
    </w:p>
    <w:p w:rsidR="00AD5B23" w:rsidRPr="003111E1" w:rsidRDefault="00AD5B23" w:rsidP="00280ACC">
      <w:pPr>
        <w:spacing w:beforeLines="50" w:before="180" w:line="520" w:lineRule="exact"/>
        <w:rPr>
          <w:rFonts w:eastAsia="標楷體"/>
          <w:b/>
          <w:sz w:val="28"/>
          <w:szCs w:val="32"/>
        </w:rPr>
      </w:pPr>
      <w:r w:rsidRPr="003111E1">
        <w:rPr>
          <w:rFonts w:eastAsia="標楷體"/>
          <w:b/>
          <w:sz w:val="28"/>
          <w:szCs w:val="32"/>
        </w:rPr>
        <w:t>（四）無法充分取得就業市場資訊</w:t>
      </w:r>
    </w:p>
    <w:p w:rsidR="00AD5B23" w:rsidRPr="003111E1" w:rsidRDefault="00AD5B23" w:rsidP="00280ACC">
      <w:pPr>
        <w:spacing w:before="50" w:line="520" w:lineRule="exact"/>
        <w:ind w:leftChars="236" w:left="566"/>
        <w:rPr>
          <w:rFonts w:eastAsia="標楷體"/>
          <w:sz w:val="28"/>
          <w:szCs w:val="32"/>
        </w:rPr>
      </w:pPr>
      <w:r w:rsidRPr="003111E1">
        <w:rPr>
          <w:rFonts w:eastAsia="標楷體"/>
          <w:sz w:val="28"/>
          <w:szCs w:val="32"/>
        </w:rPr>
        <w:t xml:space="preserve">　　若青年在求學階段無法充分取得就業市場的資訊，僅能透過扭曲或片面的訊息一窩蜂的選擇升學或熱門科系，造成畢業人才未能正確反映就業市場需求，或因產業發展改變，或求職者發現實際工作內涵不如預期以致失業。易言之，由於就業市場未能充分傳遞求才資訊或是求職者無法正確獲取市場訊息，影響市場的</w:t>
      </w:r>
      <w:r w:rsidRPr="003111E1">
        <w:rPr>
          <w:rFonts w:eastAsia="標楷體"/>
          <w:sz w:val="28"/>
          <w:szCs w:val="32"/>
        </w:rPr>
        <w:lastRenderedPageBreak/>
        <w:t>調整效率與速度，輕者產生摩擦性失業，隨著失業期間拉長，進而轉變為結構性失業。</w:t>
      </w:r>
    </w:p>
    <w:p w:rsidR="00AD5B23" w:rsidRPr="003111E1" w:rsidRDefault="00AD5B23" w:rsidP="00280ACC">
      <w:pPr>
        <w:spacing w:beforeLines="50" w:before="180" w:line="520" w:lineRule="exact"/>
        <w:rPr>
          <w:rFonts w:eastAsia="標楷體"/>
          <w:b/>
          <w:sz w:val="28"/>
          <w:szCs w:val="32"/>
        </w:rPr>
      </w:pPr>
      <w:r w:rsidRPr="003111E1">
        <w:rPr>
          <w:rFonts w:eastAsia="標楷體"/>
          <w:b/>
          <w:sz w:val="28"/>
          <w:szCs w:val="32"/>
        </w:rPr>
        <w:t>（五）其他制度或社會因素</w:t>
      </w:r>
    </w:p>
    <w:p w:rsidR="00AD5B23" w:rsidRPr="003111E1" w:rsidRDefault="00AD5B23" w:rsidP="00280ACC">
      <w:pPr>
        <w:spacing w:beforeLines="50" w:before="180" w:line="520" w:lineRule="exact"/>
        <w:ind w:leftChars="236" w:left="566"/>
        <w:rPr>
          <w:rFonts w:eastAsia="標楷體"/>
          <w:sz w:val="28"/>
          <w:szCs w:val="32"/>
        </w:rPr>
      </w:pPr>
      <w:r w:rsidRPr="003111E1">
        <w:rPr>
          <w:rFonts w:eastAsia="標楷體"/>
          <w:sz w:val="28"/>
          <w:szCs w:val="32"/>
        </w:rPr>
        <w:t xml:space="preserve">　　其他制度或社會因素包括：高等教育快速擴張，惟教育品質未跟進提升，學歷膨脹；高等教育重學術、</w:t>
      </w:r>
      <w:proofErr w:type="gramStart"/>
      <w:r w:rsidRPr="003111E1">
        <w:rPr>
          <w:rFonts w:eastAsia="標楷體"/>
          <w:sz w:val="28"/>
          <w:szCs w:val="32"/>
        </w:rPr>
        <w:t>輕技職</w:t>
      </w:r>
      <w:proofErr w:type="gramEnd"/>
      <w:r w:rsidRPr="003111E1">
        <w:rPr>
          <w:rFonts w:eastAsia="標楷體"/>
          <w:sz w:val="28"/>
          <w:szCs w:val="32"/>
        </w:rPr>
        <w:t>，致使產學脫</w:t>
      </w:r>
      <w:proofErr w:type="gramStart"/>
      <w:r w:rsidRPr="003111E1">
        <w:rPr>
          <w:rFonts w:eastAsia="標楷體"/>
          <w:sz w:val="28"/>
          <w:szCs w:val="32"/>
        </w:rPr>
        <w:t>鉤</w:t>
      </w:r>
      <w:proofErr w:type="gramEnd"/>
      <w:r w:rsidRPr="003111E1">
        <w:rPr>
          <w:rFonts w:eastAsia="標楷體"/>
          <w:sz w:val="28"/>
          <w:szCs w:val="32"/>
        </w:rPr>
        <w:t>，例如教師升等與評鑑制度的設計即高度強調學術表現；而政府過度管制教育市場，如學費與招生人數的限制，也限制學校無法順應市場進行競爭與調整。</w:t>
      </w:r>
    </w:p>
    <w:p w:rsidR="00AD5B23" w:rsidRPr="003111E1" w:rsidRDefault="00AD5B23" w:rsidP="00280ACC">
      <w:pPr>
        <w:spacing w:beforeLines="50" w:before="180" w:line="520" w:lineRule="exact"/>
        <w:ind w:leftChars="236" w:left="566"/>
        <w:rPr>
          <w:rFonts w:eastAsia="標楷體"/>
          <w:sz w:val="28"/>
          <w:szCs w:val="32"/>
        </w:rPr>
      </w:pPr>
      <w:r w:rsidRPr="003111E1">
        <w:rPr>
          <w:rFonts w:eastAsia="標楷體"/>
          <w:sz w:val="28"/>
          <w:szCs w:val="32"/>
        </w:rPr>
        <w:t xml:space="preserve">　　</w:t>
      </w:r>
      <w:proofErr w:type="gramStart"/>
      <w:r w:rsidRPr="003111E1">
        <w:rPr>
          <w:rFonts w:eastAsia="標楷體"/>
          <w:sz w:val="28"/>
          <w:szCs w:val="32"/>
        </w:rPr>
        <w:t>此外，</w:t>
      </w:r>
      <w:proofErr w:type="gramEnd"/>
      <w:r w:rsidRPr="003111E1">
        <w:rPr>
          <w:rFonts w:eastAsia="標楷體"/>
          <w:sz w:val="28"/>
          <w:szCs w:val="32"/>
        </w:rPr>
        <w:t>源自傳統文化中「唯有讀書高」的價值觀更是阻礙職業選擇與就業市場的調整。例如美國紐約市長彭博</w:t>
      </w:r>
      <w:r w:rsidRPr="003111E1">
        <w:rPr>
          <w:rFonts w:eastAsia="標楷體"/>
          <w:sz w:val="28"/>
          <w:szCs w:val="32"/>
        </w:rPr>
        <w:t>(Michael Bloomberg)</w:t>
      </w:r>
      <w:r w:rsidRPr="003111E1">
        <w:rPr>
          <w:rFonts w:eastAsia="標楷體"/>
          <w:sz w:val="28"/>
          <w:szCs w:val="32"/>
        </w:rPr>
        <w:t>即建議</w:t>
      </w:r>
      <w:r w:rsidRPr="003111E1">
        <w:rPr>
          <w:rFonts w:eastAsia="標楷體"/>
          <w:sz w:val="28"/>
          <w:szCs w:val="32"/>
          <w:vertAlign w:val="superscript"/>
        </w:rPr>
        <w:footnoteReference w:id="8"/>
      </w:r>
      <w:r w:rsidRPr="003111E1">
        <w:rPr>
          <w:rFonts w:eastAsia="標楷體"/>
          <w:sz w:val="28"/>
          <w:szCs w:val="32"/>
        </w:rPr>
        <w:t>：學業表現平平的高中生，不必浪費時間與金錢追求大學文憑，而是應進職校學一技之長，當個水管工人，不會</w:t>
      </w:r>
      <w:proofErr w:type="gramStart"/>
      <w:r w:rsidRPr="003111E1">
        <w:rPr>
          <w:rFonts w:eastAsia="標楷體"/>
          <w:sz w:val="28"/>
          <w:szCs w:val="32"/>
        </w:rPr>
        <w:t>背負學貸</w:t>
      </w:r>
      <w:proofErr w:type="gramEnd"/>
      <w:r w:rsidRPr="003111E1">
        <w:rPr>
          <w:rFonts w:eastAsia="標楷體"/>
          <w:sz w:val="28"/>
          <w:szCs w:val="32"/>
        </w:rPr>
        <w:t>，收入也不差，而且不必擔心工作被</w:t>
      </w:r>
      <w:proofErr w:type="gramStart"/>
      <w:r w:rsidRPr="003111E1">
        <w:rPr>
          <w:rFonts w:eastAsia="標楷體"/>
          <w:sz w:val="28"/>
          <w:szCs w:val="32"/>
        </w:rPr>
        <w:t>外包或專長</w:t>
      </w:r>
      <w:proofErr w:type="gramEnd"/>
      <w:r w:rsidRPr="003111E1">
        <w:rPr>
          <w:rFonts w:eastAsia="標楷體"/>
          <w:sz w:val="28"/>
          <w:szCs w:val="32"/>
        </w:rPr>
        <w:t>被電腦取代；此建議正</w:t>
      </w:r>
      <w:proofErr w:type="gramStart"/>
      <w:r w:rsidRPr="003111E1">
        <w:rPr>
          <w:rFonts w:eastAsia="標楷體"/>
          <w:sz w:val="28"/>
          <w:szCs w:val="32"/>
        </w:rPr>
        <w:t>凸</w:t>
      </w:r>
      <w:proofErr w:type="gramEnd"/>
      <w:r w:rsidRPr="003111E1">
        <w:rPr>
          <w:rFonts w:eastAsia="標楷體"/>
          <w:sz w:val="28"/>
          <w:szCs w:val="32"/>
        </w:rPr>
        <w:t>顯台灣青年儘管失業率不斷攀高，仍選擇持續升學取得文憑的社會主流價值現象。</w:t>
      </w:r>
    </w:p>
    <w:p w:rsidR="00AD5B23" w:rsidRPr="003111E1" w:rsidRDefault="00AD5B23" w:rsidP="00280ACC">
      <w:pPr>
        <w:spacing w:beforeLines="50" w:before="180" w:line="520" w:lineRule="exact"/>
        <w:rPr>
          <w:rFonts w:eastAsia="標楷體"/>
          <w:b/>
          <w:sz w:val="28"/>
          <w:szCs w:val="32"/>
        </w:rPr>
      </w:pPr>
      <w:r w:rsidRPr="003111E1">
        <w:rPr>
          <w:rFonts w:eastAsia="標楷體"/>
          <w:b/>
          <w:sz w:val="28"/>
          <w:szCs w:val="32"/>
        </w:rPr>
        <w:t>五、解決失業問題對策：強化勞動市場的抵禦能力</w:t>
      </w:r>
    </w:p>
    <w:p w:rsidR="00AD5B23" w:rsidRPr="003111E1" w:rsidRDefault="00AD5B23" w:rsidP="00280ACC">
      <w:pPr>
        <w:spacing w:beforeLines="50" w:before="180" w:line="520" w:lineRule="exact"/>
        <w:rPr>
          <w:rFonts w:eastAsia="標楷體"/>
          <w:sz w:val="28"/>
          <w:szCs w:val="32"/>
        </w:rPr>
      </w:pPr>
      <w:r w:rsidRPr="003111E1">
        <w:rPr>
          <w:rFonts w:eastAsia="標楷體"/>
          <w:sz w:val="28"/>
          <w:szCs w:val="32"/>
        </w:rPr>
        <w:t xml:space="preserve">　　景氣復甦的確可以對勞動市場起相當關鍵的作用，任何刺激總體需求的擴張性政策對創造就業也很有幫助，這確實也是各國政府在解決失業問題時最優先採取的行動；然而在全球經濟復甦不如預期，前景仍充滿諸多不確定的情形下，失業問題對於大多數經濟體而言仍是嚴峻的挑戰，特別是歐盟，在持續經濟萎縮及財政緊縮的雙重壓力下，正遭受最嚴重的失業危機。因此，如何強化勞動市場運作機制將是</w:t>
      </w:r>
      <w:proofErr w:type="gramStart"/>
      <w:r w:rsidRPr="003111E1">
        <w:rPr>
          <w:rFonts w:eastAsia="標楷體"/>
          <w:sz w:val="28"/>
          <w:szCs w:val="32"/>
        </w:rPr>
        <w:t>最</w:t>
      </w:r>
      <w:proofErr w:type="gramEnd"/>
      <w:r w:rsidRPr="003111E1">
        <w:rPr>
          <w:rFonts w:eastAsia="標楷體"/>
          <w:sz w:val="28"/>
          <w:szCs w:val="32"/>
        </w:rPr>
        <w:t>關鍵的因素之一，</w:t>
      </w:r>
      <w:r w:rsidRPr="003111E1">
        <w:rPr>
          <w:rFonts w:eastAsia="標楷體"/>
          <w:sz w:val="28"/>
          <w:szCs w:val="32"/>
        </w:rPr>
        <w:t>OECD</w:t>
      </w:r>
      <w:r w:rsidRPr="003111E1">
        <w:rPr>
          <w:rFonts w:eastAsia="標楷體"/>
          <w:sz w:val="28"/>
          <w:szCs w:val="32"/>
        </w:rPr>
        <w:t>在多項報告中也不斷呼籲各國政府應設計完</w:t>
      </w:r>
      <w:r w:rsidRPr="003111E1">
        <w:rPr>
          <w:rFonts w:eastAsia="標楷體"/>
          <w:sz w:val="28"/>
          <w:szCs w:val="32"/>
        </w:rPr>
        <w:lastRenderedPageBreak/>
        <w:t>善積極勞動市場政策，像是公共工作、就業補貼、求職服務、技能訓練、教育改革、就業媒合與再就業訓練等措施，以強化勞動市場的抵禦能力，協助長期失業以及青年失業者重返勞動市場。</w:t>
      </w:r>
    </w:p>
    <w:p w:rsidR="00AD5B23" w:rsidRPr="003111E1" w:rsidRDefault="00AD5B23" w:rsidP="00280ACC">
      <w:pPr>
        <w:spacing w:before="50" w:line="520" w:lineRule="exact"/>
        <w:rPr>
          <w:rFonts w:eastAsia="標楷體"/>
          <w:sz w:val="28"/>
          <w:szCs w:val="32"/>
        </w:rPr>
      </w:pPr>
      <w:r w:rsidRPr="003111E1">
        <w:rPr>
          <w:rFonts w:eastAsia="標楷體"/>
          <w:sz w:val="28"/>
          <w:szCs w:val="32"/>
        </w:rPr>
        <w:t xml:space="preserve">　　我國政府面對失業率的上升，雖然陸續推出相關促進就業方案，失業情形確實也有所改善，惟國內失業問題的內涵已有所改變，結構性與制度性因素所造成的失業問題可能較循環性失業來得嚴重。如何解決當今的失業問題，本文提出以下幾點建議。</w:t>
      </w:r>
    </w:p>
    <w:p w:rsidR="00AD5B23" w:rsidRPr="003111E1" w:rsidRDefault="00AD5B23" w:rsidP="00280ACC">
      <w:pPr>
        <w:spacing w:before="50" w:line="520" w:lineRule="exact"/>
        <w:rPr>
          <w:rFonts w:eastAsia="標楷體"/>
          <w:b/>
          <w:sz w:val="28"/>
          <w:szCs w:val="32"/>
        </w:rPr>
      </w:pPr>
      <w:r w:rsidRPr="003111E1">
        <w:rPr>
          <w:rFonts w:eastAsia="標楷體"/>
          <w:b/>
          <w:sz w:val="28"/>
          <w:szCs w:val="32"/>
        </w:rPr>
        <w:t>（一）提升及培育再就業能力</w:t>
      </w:r>
    </w:p>
    <w:p w:rsidR="00AD5B23" w:rsidRPr="003111E1" w:rsidRDefault="00AD5B23" w:rsidP="00280ACC">
      <w:pPr>
        <w:spacing w:before="50" w:line="520" w:lineRule="exact"/>
        <w:ind w:leftChars="236" w:left="566"/>
        <w:rPr>
          <w:rFonts w:eastAsia="標楷體"/>
          <w:sz w:val="28"/>
          <w:szCs w:val="32"/>
        </w:rPr>
      </w:pPr>
      <w:r w:rsidRPr="003111E1">
        <w:rPr>
          <w:rFonts w:eastAsia="標楷體"/>
          <w:sz w:val="28"/>
          <w:szCs w:val="32"/>
        </w:rPr>
        <w:t xml:space="preserve">　　隨著產業結構與生產技術快速變遷，在職者必須持續透過職業訓練或回流教育來提升被雇用的能力，透過推動終身職能學習，鼓勵企業辦理在職訓練，並提高在職者學習</w:t>
      </w:r>
      <w:proofErr w:type="gramStart"/>
      <w:r w:rsidRPr="003111E1">
        <w:rPr>
          <w:rFonts w:eastAsia="標楷體"/>
          <w:sz w:val="28"/>
          <w:szCs w:val="32"/>
        </w:rPr>
        <w:t>與參訓的</w:t>
      </w:r>
      <w:proofErr w:type="gramEnd"/>
      <w:r w:rsidRPr="003111E1">
        <w:rPr>
          <w:rFonts w:eastAsia="標楷體"/>
          <w:sz w:val="28"/>
          <w:szCs w:val="32"/>
        </w:rPr>
        <w:t>意願，健全回流教育機制，同時強化教育體系對促進就業之功能，以提升勞動素質、培育其就業能力。</w:t>
      </w:r>
      <w:proofErr w:type="gramStart"/>
      <w:r w:rsidRPr="003111E1">
        <w:rPr>
          <w:rFonts w:eastAsia="標楷體"/>
          <w:sz w:val="28"/>
          <w:szCs w:val="32"/>
        </w:rPr>
        <w:t>此外，</w:t>
      </w:r>
      <w:proofErr w:type="gramEnd"/>
      <w:r w:rsidRPr="003111E1">
        <w:rPr>
          <w:rFonts w:eastAsia="標楷體"/>
          <w:sz w:val="28"/>
          <w:szCs w:val="32"/>
        </w:rPr>
        <w:t>促進就業措施不應只是以提供失業者短期經濟生活保障為目的，應以如何藉由短期就業服務，協助失業者學習未來再就業的技術與工作態度，以培育或提高其再就業能力為宗旨。</w:t>
      </w:r>
    </w:p>
    <w:p w:rsidR="00AD5B23" w:rsidRPr="003111E1" w:rsidRDefault="00AD5B23" w:rsidP="00280ACC">
      <w:pPr>
        <w:spacing w:before="50" w:line="520" w:lineRule="exact"/>
        <w:rPr>
          <w:rFonts w:eastAsia="標楷體"/>
          <w:b/>
          <w:sz w:val="28"/>
          <w:szCs w:val="32"/>
        </w:rPr>
      </w:pPr>
      <w:r w:rsidRPr="003111E1">
        <w:rPr>
          <w:rFonts w:eastAsia="標楷體"/>
          <w:b/>
          <w:sz w:val="28"/>
          <w:szCs w:val="32"/>
        </w:rPr>
        <w:t>（二）加強部會協調，強化產學合作機制，建立人才供應鏈</w:t>
      </w:r>
    </w:p>
    <w:p w:rsidR="00AD5B23" w:rsidRPr="003111E1" w:rsidRDefault="00AD5B23" w:rsidP="00280ACC">
      <w:pPr>
        <w:spacing w:before="50" w:line="520" w:lineRule="exact"/>
        <w:ind w:leftChars="236" w:left="566"/>
        <w:rPr>
          <w:rFonts w:eastAsia="標楷體"/>
          <w:sz w:val="28"/>
          <w:szCs w:val="32"/>
        </w:rPr>
      </w:pPr>
      <w:r w:rsidRPr="003111E1">
        <w:rPr>
          <w:rFonts w:eastAsia="標楷體"/>
          <w:sz w:val="28"/>
          <w:szCs w:val="32"/>
        </w:rPr>
        <w:t xml:space="preserve">　　結合學校與企業並以師徒制為基礎的雙軌職訓教育，被認為是德國及瑞士經濟不衰、失業率低的重要原因。其實政府相關部會如經濟部、教育部、國科會、勞委會等皆</w:t>
      </w:r>
      <w:proofErr w:type="gramStart"/>
      <w:r w:rsidRPr="003111E1">
        <w:rPr>
          <w:rFonts w:eastAsia="標楷體"/>
          <w:sz w:val="28"/>
          <w:szCs w:val="32"/>
        </w:rPr>
        <w:t>鑑</w:t>
      </w:r>
      <w:proofErr w:type="gramEnd"/>
      <w:r w:rsidRPr="003111E1">
        <w:rPr>
          <w:rFonts w:eastAsia="標楷體"/>
          <w:sz w:val="28"/>
          <w:szCs w:val="32"/>
        </w:rPr>
        <w:t>於產學合作的重要性，積極推動相關措施，若能有效整合相關資源，將更能發揮綜效。</w:t>
      </w:r>
      <w:proofErr w:type="gramStart"/>
      <w:r w:rsidRPr="003111E1">
        <w:rPr>
          <w:rFonts w:eastAsia="標楷體"/>
          <w:sz w:val="28"/>
          <w:szCs w:val="32"/>
        </w:rPr>
        <w:t>此外，</w:t>
      </w:r>
      <w:proofErr w:type="gramEnd"/>
      <w:r w:rsidRPr="003111E1">
        <w:rPr>
          <w:rFonts w:eastAsia="標楷體"/>
          <w:sz w:val="28"/>
          <w:szCs w:val="32"/>
        </w:rPr>
        <w:t>更應參考德國及瑞士產學合作的能量與成果，發展就業學程，並由企業提供實習機會，使產學合作、就業學程與企業實習，成為緊密人才供應鏈，透過</w:t>
      </w:r>
      <w:proofErr w:type="gramStart"/>
      <w:r w:rsidRPr="003111E1">
        <w:rPr>
          <w:rFonts w:eastAsia="標楷體"/>
          <w:sz w:val="28"/>
          <w:szCs w:val="32"/>
        </w:rPr>
        <w:t>產學訓合作</w:t>
      </w:r>
      <w:proofErr w:type="gramEnd"/>
      <w:r w:rsidRPr="003111E1">
        <w:rPr>
          <w:rFonts w:eastAsia="標楷體"/>
          <w:sz w:val="28"/>
          <w:szCs w:val="32"/>
        </w:rPr>
        <w:t>計畫強化產學合作緊密度，讓企業協助培育學生，縮短產學落差，落實最後</w:t>
      </w:r>
      <w:proofErr w:type="gramStart"/>
      <w:r w:rsidRPr="003111E1">
        <w:rPr>
          <w:rFonts w:eastAsia="標楷體"/>
          <w:sz w:val="28"/>
          <w:szCs w:val="32"/>
        </w:rPr>
        <w:t>一</w:t>
      </w:r>
      <w:proofErr w:type="gramEnd"/>
      <w:r w:rsidRPr="003111E1">
        <w:rPr>
          <w:rFonts w:eastAsia="標楷體"/>
          <w:sz w:val="28"/>
          <w:szCs w:val="32"/>
        </w:rPr>
        <w:t>哩計畫。</w:t>
      </w:r>
    </w:p>
    <w:p w:rsidR="00AD5B23" w:rsidRPr="003111E1" w:rsidRDefault="00AD5B23" w:rsidP="00280ACC">
      <w:pPr>
        <w:spacing w:before="50" w:line="520" w:lineRule="exact"/>
        <w:rPr>
          <w:rFonts w:eastAsia="標楷體"/>
          <w:b/>
          <w:sz w:val="28"/>
          <w:szCs w:val="32"/>
        </w:rPr>
      </w:pPr>
      <w:r w:rsidRPr="003111E1">
        <w:rPr>
          <w:rFonts w:eastAsia="標楷體"/>
          <w:b/>
          <w:sz w:val="28"/>
          <w:szCs w:val="32"/>
        </w:rPr>
        <w:lastRenderedPageBreak/>
        <w:t>（三）降低訊息成本，強化就業市場資訊的透明與普及</w:t>
      </w:r>
    </w:p>
    <w:p w:rsidR="00AD5B23" w:rsidRPr="003111E1" w:rsidRDefault="00AD5B23" w:rsidP="00280ACC">
      <w:pPr>
        <w:spacing w:before="50" w:line="520" w:lineRule="exact"/>
        <w:ind w:leftChars="236" w:left="566"/>
        <w:rPr>
          <w:rFonts w:eastAsia="標楷體"/>
          <w:sz w:val="28"/>
          <w:szCs w:val="32"/>
        </w:rPr>
      </w:pPr>
      <w:r w:rsidRPr="003111E1">
        <w:rPr>
          <w:rFonts w:eastAsia="標楷體"/>
          <w:sz w:val="28"/>
          <w:szCs w:val="32"/>
        </w:rPr>
        <w:t xml:space="preserve">　　就業市場資訊透明化與普及化有助於就業市場的調整效率。是</w:t>
      </w:r>
      <w:proofErr w:type="gramStart"/>
      <w:r w:rsidRPr="003111E1">
        <w:rPr>
          <w:rFonts w:eastAsia="標楷體"/>
          <w:sz w:val="28"/>
          <w:szCs w:val="32"/>
        </w:rPr>
        <w:t>以</w:t>
      </w:r>
      <w:proofErr w:type="gramEnd"/>
      <w:r w:rsidRPr="003111E1">
        <w:rPr>
          <w:rFonts w:eastAsia="標楷體"/>
          <w:sz w:val="28"/>
          <w:szCs w:val="32"/>
        </w:rPr>
        <w:t>，政府應協助充分揭露就業市場的訊息，讓市場參與者容易正確、及時、低成本取得市場資訊。建議可統整各相關部會資料庫，加強就業與產業發展資訊的分析與運用，並與其他相關機構如教育機構、</w:t>
      </w:r>
      <w:proofErr w:type="gramStart"/>
      <w:r w:rsidRPr="003111E1">
        <w:rPr>
          <w:rFonts w:eastAsia="標楷體"/>
          <w:sz w:val="28"/>
          <w:szCs w:val="32"/>
        </w:rPr>
        <w:t>人訓機構</w:t>
      </w:r>
      <w:proofErr w:type="gramEnd"/>
      <w:r w:rsidRPr="003111E1">
        <w:rPr>
          <w:rFonts w:eastAsia="標楷體"/>
          <w:sz w:val="28"/>
          <w:szCs w:val="32"/>
        </w:rPr>
        <w:t>、民間人力業者等，進行合作分享，以快速掌握就業市場的動態。這些資訊除了可作為政策參考運用外，最重要的是訊息可以快速普及於市場參與者，尤其是失業率偏高的青年族群。</w:t>
      </w:r>
    </w:p>
    <w:p w:rsidR="00AD5B23" w:rsidRPr="003111E1" w:rsidRDefault="00AD5B23" w:rsidP="00280ACC">
      <w:pPr>
        <w:spacing w:before="50" w:line="520" w:lineRule="exact"/>
        <w:rPr>
          <w:rFonts w:eastAsia="標楷體"/>
          <w:b/>
          <w:sz w:val="28"/>
          <w:szCs w:val="32"/>
        </w:rPr>
      </w:pPr>
      <w:r w:rsidRPr="003111E1">
        <w:rPr>
          <w:rFonts w:eastAsia="標楷體"/>
          <w:b/>
          <w:sz w:val="28"/>
          <w:szCs w:val="32"/>
        </w:rPr>
        <w:t>（四）落實並檢視促進就業措施的成效</w:t>
      </w:r>
    </w:p>
    <w:p w:rsidR="00AD5B23" w:rsidRPr="003111E1" w:rsidRDefault="00AD5B23" w:rsidP="00280ACC">
      <w:pPr>
        <w:spacing w:before="50" w:line="520" w:lineRule="exact"/>
        <w:ind w:leftChars="236" w:left="566"/>
        <w:rPr>
          <w:rFonts w:eastAsia="標楷體"/>
          <w:sz w:val="28"/>
          <w:szCs w:val="32"/>
        </w:rPr>
      </w:pPr>
      <w:r w:rsidRPr="003111E1">
        <w:rPr>
          <w:rFonts w:eastAsia="標楷體"/>
          <w:sz w:val="28"/>
          <w:szCs w:val="32"/>
        </w:rPr>
        <w:t xml:space="preserve">　　為了促進就業，政府已推動諸多措施，惟是否有真正落實，且成效如何，必須透過緊密追蹤與檢討，以及評估不同政策措施的效益與影響，隨時作為調整之參考，尤應特別注意短期措施不宜用來解決長期問題，以避免扭曲或破壞市場的調整機制。例如因景氣一時下滑，所提出兼具社會福利效果的補貼或協助措施，往往導致勞工在享受社會福利與救助之後，反而降低重返一般就業市場的意願。</w:t>
      </w:r>
    </w:p>
    <w:p w:rsidR="00AD5B23" w:rsidRPr="003111E1" w:rsidRDefault="00AD5B23" w:rsidP="00280ACC">
      <w:pPr>
        <w:spacing w:before="50" w:line="520" w:lineRule="exact"/>
        <w:rPr>
          <w:rFonts w:eastAsia="標楷體"/>
          <w:b/>
          <w:sz w:val="28"/>
          <w:szCs w:val="32"/>
        </w:rPr>
      </w:pPr>
      <w:r w:rsidRPr="003111E1">
        <w:rPr>
          <w:rFonts w:eastAsia="標楷體"/>
          <w:b/>
          <w:sz w:val="28"/>
          <w:szCs w:val="32"/>
        </w:rPr>
        <w:t>六、結語</w:t>
      </w:r>
    </w:p>
    <w:p w:rsidR="00AD5B23" w:rsidRPr="003111E1" w:rsidRDefault="00AD5B23" w:rsidP="00280ACC">
      <w:pPr>
        <w:spacing w:before="50" w:line="520" w:lineRule="exact"/>
        <w:rPr>
          <w:rFonts w:eastAsia="標楷體"/>
          <w:sz w:val="28"/>
          <w:szCs w:val="32"/>
        </w:rPr>
      </w:pPr>
      <w:r w:rsidRPr="003111E1">
        <w:rPr>
          <w:rFonts w:eastAsia="標楷體"/>
          <w:sz w:val="28"/>
          <w:szCs w:val="32"/>
        </w:rPr>
        <w:t xml:space="preserve">　　雖然失業率下降顯示政府過去促進就業措施發揮相當的成效，但是國內失業內涵已發生變化，就業市場的情勢依然險峻，因各種制度性或社會因素而長期存在的結構性失業、青年失業及高學歷高失業問題日益嚴重。隨著台灣積極參與各種區域經濟整合，全球化與自由化勢必會加快產業結構調整速度，加深勞動市場面臨的危機。</w:t>
      </w:r>
    </w:p>
    <w:p w:rsidR="009A2A3D" w:rsidRPr="003111E1" w:rsidRDefault="00AD5B23" w:rsidP="00280ACC">
      <w:pPr>
        <w:spacing w:before="50" w:line="520" w:lineRule="exact"/>
        <w:rPr>
          <w:color w:val="FF0000"/>
        </w:rPr>
      </w:pPr>
      <w:r w:rsidRPr="003111E1">
        <w:rPr>
          <w:rFonts w:eastAsia="標楷體"/>
          <w:sz w:val="28"/>
          <w:szCs w:val="32"/>
        </w:rPr>
        <w:t xml:space="preserve">　　行政院主計總處曾在</w:t>
      </w:r>
      <w:r w:rsidRPr="003111E1">
        <w:rPr>
          <w:rFonts w:eastAsia="標楷體"/>
          <w:sz w:val="28"/>
          <w:szCs w:val="32"/>
        </w:rPr>
        <w:t>2010</w:t>
      </w:r>
      <w:r w:rsidRPr="003111E1">
        <w:rPr>
          <w:rFonts w:eastAsia="標楷體"/>
          <w:sz w:val="28"/>
          <w:szCs w:val="32"/>
        </w:rPr>
        <w:t>年研究台灣的歐肯係數（</w:t>
      </w:r>
      <w:r w:rsidRPr="003111E1">
        <w:rPr>
          <w:rFonts w:eastAsia="標楷體"/>
          <w:sz w:val="28"/>
          <w:szCs w:val="32"/>
        </w:rPr>
        <w:t>Okun's coefficient</w:t>
      </w:r>
      <w:r w:rsidRPr="003111E1">
        <w:rPr>
          <w:rFonts w:eastAsia="標楷體"/>
          <w:sz w:val="28"/>
          <w:szCs w:val="32"/>
        </w:rPr>
        <w:t>），結果指出台灣的歐肯係數處於</w:t>
      </w:r>
      <w:r w:rsidRPr="003111E1">
        <w:rPr>
          <w:rFonts w:eastAsia="標楷體"/>
          <w:sz w:val="28"/>
          <w:szCs w:val="32"/>
        </w:rPr>
        <w:t>0.10~0.16</w:t>
      </w:r>
      <w:proofErr w:type="gramStart"/>
      <w:r w:rsidRPr="003111E1">
        <w:rPr>
          <w:rFonts w:eastAsia="標楷體"/>
          <w:sz w:val="28"/>
          <w:szCs w:val="32"/>
        </w:rPr>
        <w:t>之間，</w:t>
      </w:r>
      <w:proofErr w:type="gramEnd"/>
      <w:r w:rsidRPr="003111E1">
        <w:rPr>
          <w:rFonts w:eastAsia="標楷體"/>
          <w:sz w:val="28"/>
          <w:szCs w:val="32"/>
        </w:rPr>
        <w:t>也就是說台灣經濟成長</w:t>
      </w:r>
      <w:r w:rsidRPr="003111E1">
        <w:rPr>
          <w:rFonts w:eastAsia="標楷體"/>
          <w:sz w:val="28"/>
          <w:szCs w:val="32"/>
        </w:rPr>
        <w:t>1</w:t>
      </w:r>
      <w:r w:rsidRPr="003111E1">
        <w:rPr>
          <w:rFonts w:eastAsia="標楷體"/>
          <w:sz w:val="28"/>
          <w:szCs w:val="32"/>
        </w:rPr>
        <w:t>個百分點，長期只能降低失業率</w:t>
      </w:r>
      <w:r w:rsidRPr="003111E1">
        <w:rPr>
          <w:rFonts w:eastAsia="標楷體"/>
          <w:sz w:val="28"/>
          <w:szCs w:val="32"/>
        </w:rPr>
        <w:t>0.10~0.16</w:t>
      </w:r>
      <w:r w:rsidRPr="003111E1">
        <w:rPr>
          <w:rFonts w:eastAsia="標楷體"/>
          <w:sz w:val="28"/>
          <w:szCs w:val="32"/>
        </w:rPr>
        <w:t>個百分</w:t>
      </w:r>
      <w:r w:rsidRPr="003111E1">
        <w:rPr>
          <w:rFonts w:eastAsia="標楷體"/>
          <w:sz w:val="28"/>
          <w:szCs w:val="32"/>
        </w:rPr>
        <w:lastRenderedPageBreak/>
        <w:t>點，居於四小龍之末</w:t>
      </w:r>
      <w:r w:rsidRPr="003111E1">
        <w:rPr>
          <w:rFonts w:eastAsia="標楷體"/>
          <w:sz w:val="28"/>
          <w:szCs w:val="32"/>
          <w:vertAlign w:val="superscript"/>
        </w:rPr>
        <w:footnoteReference w:id="9"/>
      </w:r>
      <w:r w:rsidRPr="003111E1">
        <w:rPr>
          <w:rFonts w:eastAsia="標楷體"/>
          <w:sz w:val="28"/>
          <w:szCs w:val="32"/>
        </w:rPr>
        <w:t>。因此，未來政府在執行經濟成長政策目標時，應該效法</w:t>
      </w:r>
      <w:r w:rsidRPr="003111E1">
        <w:rPr>
          <w:rFonts w:eastAsia="標楷體"/>
          <w:sz w:val="28"/>
          <w:szCs w:val="32"/>
        </w:rPr>
        <w:t>OECD</w:t>
      </w:r>
      <w:r w:rsidRPr="003111E1">
        <w:rPr>
          <w:rFonts w:eastAsia="標楷體"/>
          <w:sz w:val="28"/>
          <w:szCs w:val="32"/>
        </w:rPr>
        <w:t>國家同時關注勞動市場失業問題，並檢視過去促進就業措施的成效，配合國內失業問題的本質變化，適時精進並</w:t>
      </w:r>
      <w:proofErr w:type="gramStart"/>
      <w:r w:rsidRPr="003111E1">
        <w:rPr>
          <w:rFonts w:eastAsia="標楷體"/>
          <w:sz w:val="28"/>
          <w:szCs w:val="32"/>
        </w:rPr>
        <w:t>研</w:t>
      </w:r>
      <w:proofErr w:type="gramEnd"/>
      <w:r w:rsidRPr="003111E1">
        <w:rPr>
          <w:rFonts w:eastAsia="標楷體"/>
          <w:sz w:val="28"/>
          <w:szCs w:val="32"/>
        </w:rPr>
        <w:t>提更有效的就業政策。</w:t>
      </w:r>
    </w:p>
    <w:sectPr w:rsidR="009A2A3D" w:rsidRPr="003111E1" w:rsidSect="00ED40C2">
      <w:headerReference w:type="default" r:id="rId42"/>
      <w:pgSz w:w="11906" w:h="16838"/>
      <w:pgMar w:top="1440" w:right="1803" w:bottom="1440" w:left="1803"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A60" w:rsidRDefault="00EC4A60">
      <w:r>
        <w:separator/>
      </w:r>
    </w:p>
  </w:endnote>
  <w:endnote w:type="continuationSeparator" w:id="0">
    <w:p w:rsidR="00EC4A60" w:rsidRDefault="00EC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II</w:t>
    </w:r>
    <w:r>
      <w:rPr>
        <w:rStyle w:val="a5"/>
      </w:rPr>
      <w:fldChar w:fldCharType="end"/>
    </w:r>
  </w:p>
  <w:p w:rsidR="003D7EBE" w:rsidRDefault="003D7EBE">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I</w:t>
    </w:r>
    <w:r>
      <w:rPr>
        <w:rStyle w:val="a5"/>
      </w:rPr>
      <w:fldChar w:fldCharType="end"/>
    </w:r>
  </w:p>
  <w:p w:rsidR="003D7EBE" w:rsidRPr="00442DF6" w:rsidRDefault="003D7EBE" w:rsidP="00C502C8">
    <w:pPr>
      <w:pStyle w:val="a4"/>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19</w:t>
    </w:r>
    <w:r>
      <w:rPr>
        <w:rStyle w:val="a5"/>
      </w:rPr>
      <w:fldChar w:fldCharType="end"/>
    </w:r>
  </w:p>
  <w:p w:rsidR="003D7EBE" w:rsidRDefault="003D7EBE">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23</w:t>
    </w:r>
    <w:r>
      <w:rPr>
        <w:rStyle w:val="a5"/>
      </w:rPr>
      <w:fldChar w:fldCharType="end"/>
    </w:r>
  </w:p>
  <w:p w:rsidR="003D7EBE" w:rsidRDefault="003D7EBE">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68</w:t>
    </w:r>
    <w:r>
      <w:rPr>
        <w:rStyle w:val="a5"/>
      </w:rPr>
      <w:fldChar w:fldCharType="end"/>
    </w:r>
  </w:p>
  <w:p w:rsidR="003D7EBE" w:rsidRDefault="003D7EBE">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Default="003D7E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21C75">
      <w:rPr>
        <w:rStyle w:val="a5"/>
        <w:noProof/>
      </w:rPr>
      <w:t>69</w:t>
    </w:r>
    <w:r>
      <w:rPr>
        <w:rStyle w:val="a5"/>
      </w:rPr>
      <w:fldChar w:fldCharType="end"/>
    </w:r>
  </w:p>
  <w:p w:rsidR="003D7EBE" w:rsidRDefault="003D7EBE">
    <w:pPr>
      <w:pStyle w:val="a4"/>
      <w:framePr w:w="320" w:wrap="around" w:vAnchor="text" w:hAnchor="margin" w:xAlign="center" w:y="1"/>
      <w:rPr>
        <w:rStyle w:val="a5"/>
      </w:rPr>
    </w:pPr>
  </w:p>
  <w:p w:rsidR="003D7EBE" w:rsidRDefault="003D7EBE">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A60" w:rsidRDefault="00EC4A60">
      <w:r>
        <w:separator/>
      </w:r>
    </w:p>
  </w:footnote>
  <w:footnote w:type="continuationSeparator" w:id="0">
    <w:p w:rsidR="00EC4A60" w:rsidRDefault="00EC4A60">
      <w:r>
        <w:continuationSeparator/>
      </w:r>
    </w:p>
  </w:footnote>
  <w:footnote w:id="1">
    <w:p w:rsidR="003D7EBE" w:rsidRPr="0078540D" w:rsidRDefault="003D7EBE" w:rsidP="00AD5B23">
      <w:pPr>
        <w:pStyle w:val="af2"/>
        <w:rPr>
          <w:rFonts w:ascii="標楷體" w:eastAsia="標楷體" w:hAnsi="標楷體"/>
        </w:rPr>
      </w:pPr>
      <w:r>
        <w:rPr>
          <w:rStyle w:val="aff4"/>
        </w:rPr>
        <w:footnoteRef/>
      </w:r>
      <w:r>
        <w:t xml:space="preserve"> </w:t>
      </w:r>
      <w:r w:rsidRPr="0078540D">
        <w:rPr>
          <w:rFonts w:ascii="標楷體" w:eastAsia="標楷體" w:hAnsi="標楷體" w:hint="eastAsia"/>
        </w:rPr>
        <w:t>本文係屬個人研究心得，不代表經濟部立場。</w:t>
      </w:r>
    </w:p>
  </w:footnote>
  <w:footnote w:id="2">
    <w:p w:rsidR="003D7EBE" w:rsidRPr="004E358D" w:rsidRDefault="003D7EBE" w:rsidP="00AD5B23">
      <w:pPr>
        <w:pStyle w:val="af2"/>
        <w:rPr>
          <w:rFonts w:ascii="標楷體" w:eastAsia="標楷體" w:hAnsi="標楷體"/>
        </w:rPr>
      </w:pPr>
      <w:r>
        <w:rPr>
          <w:rStyle w:val="aff4"/>
        </w:rPr>
        <w:footnoteRef/>
      </w:r>
      <w:r>
        <w:t xml:space="preserve"> </w:t>
      </w:r>
      <w:r w:rsidRPr="004E358D">
        <w:rPr>
          <w:rFonts w:ascii="標楷體" w:eastAsia="標楷體" w:hAnsi="標楷體" w:hint="eastAsia"/>
        </w:rPr>
        <w:t>長期失業</w:t>
      </w:r>
      <w:r>
        <w:rPr>
          <w:rFonts w:ascii="標楷體" w:eastAsia="標楷體" w:hAnsi="標楷體" w:hint="eastAsia"/>
        </w:rPr>
        <w:t>指持續失業達一年以上者。</w:t>
      </w:r>
    </w:p>
  </w:footnote>
  <w:footnote w:id="3">
    <w:p w:rsidR="003D7EBE" w:rsidRPr="00D70E88" w:rsidRDefault="003D7EBE" w:rsidP="00AD5B23">
      <w:pPr>
        <w:pStyle w:val="af2"/>
      </w:pPr>
      <w:r w:rsidRPr="00D70E88">
        <w:rPr>
          <w:rStyle w:val="aff4"/>
          <w:rFonts w:eastAsia="標楷體"/>
        </w:rPr>
        <w:footnoteRef/>
      </w:r>
      <w:r w:rsidRPr="00D70E88">
        <w:rPr>
          <w:rFonts w:eastAsia="標楷體"/>
        </w:rPr>
        <w:t xml:space="preserve"> OECD</w:t>
      </w:r>
      <w:r>
        <w:rPr>
          <w:rFonts w:eastAsia="標楷體" w:hint="eastAsia"/>
        </w:rPr>
        <w:t>對長期失業率</w:t>
      </w:r>
      <w:r>
        <w:rPr>
          <w:rFonts w:eastAsia="標楷體" w:hint="eastAsia"/>
        </w:rPr>
        <w:t>(Ratio of long term jobless)</w:t>
      </w:r>
      <w:r>
        <w:rPr>
          <w:rFonts w:eastAsia="標楷體" w:hint="eastAsia"/>
        </w:rPr>
        <w:t>的定義為長期失業者占整體失業者之比例。</w:t>
      </w:r>
    </w:p>
  </w:footnote>
  <w:footnote w:id="4">
    <w:p w:rsidR="003D7EBE" w:rsidRPr="00F25353" w:rsidRDefault="003D7EBE" w:rsidP="00AD5B23">
      <w:pPr>
        <w:pStyle w:val="af2"/>
        <w:rPr>
          <w:rFonts w:eastAsia="標楷體"/>
        </w:rPr>
      </w:pPr>
      <w:r w:rsidRPr="00F25353">
        <w:rPr>
          <w:rStyle w:val="aff4"/>
          <w:rFonts w:eastAsia="標楷體"/>
        </w:rPr>
        <w:footnoteRef/>
      </w:r>
      <w:r w:rsidRPr="00F25353">
        <w:rPr>
          <w:rFonts w:eastAsia="標楷體"/>
        </w:rPr>
        <w:t xml:space="preserve"> </w:t>
      </w:r>
      <w:r w:rsidRPr="00F25353">
        <w:rPr>
          <w:rFonts w:eastAsia="標楷體"/>
        </w:rPr>
        <w:t>青年的定義</w:t>
      </w:r>
      <w:r>
        <w:rPr>
          <w:rFonts w:eastAsia="標楷體" w:hint="eastAsia"/>
        </w:rPr>
        <w:t>為</w:t>
      </w:r>
      <w:r>
        <w:rPr>
          <w:rFonts w:eastAsia="標楷體" w:hint="eastAsia"/>
        </w:rPr>
        <w:t>15</w:t>
      </w:r>
      <w:r>
        <w:rPr>
          <w:rFonts w:eastAsia="標楷體" w:hint="eastAsia"/>
        </w:rPr>
        <w:t>至</w:t>
      </w:r>
      <w:r>
        <w:rPr>
          <w:rFonts w:eastAsia="標楷體" w:hint="eastAsia"/>
        </w:rPr>
        <w:t>24</w:t>
      </w:r>
      <w:r>
        <w:rPr>
          <w:rFonts w:eastAsia="標楷體" w:hint="eastAsia"/>
        </w:rPr>
        <w:t>歲的人口。</w:t>
      </w:r>
    </w:p>
  </w:footnote>
  <w:footnote w:id="5">
    <w:p w:rsidR="003D7EBE" w:rsidRDefault="003D7EBE" w:rsidP="00AD5B23">
      <w:pPr>
        <w:pStyle w:val="af2"/>
      </w:pPr>
      <w:r w:rsidRPr="00F25353">
        <w:rPr>
          <w:rStyle w:val="aff4"/>
          <w:rFonts w:eastAsia="標楷體"/>
        </w:rPr>
        <w:footnoteRef/>
      </w:r>
      <w:r w:rsidRPr="00F25353">
        <w:rPr>
          <w:rFonts w:eastAsia="標楷體"/>
        </w:rPr>
        <w:t xml:space="preserve"> </w:t>
      </w:r>
      <w:r>
        <w:rPr>
          <w:rFonts w:eastAsia="標楷體" w:hint="eastAsia"/>
        </w:rPr>
        <w:t>詳見</w:t>
      </w:r>
      <w:hyperlink r:id="rId1" w:history="1">
        <w:r w:rsidRPr="00C01465">
          <w:rPr>
            <w:rStyle w:val="aff5"/>
            <w:rFonts w:eastAsia="標楷體"/>
          </w:rPr>
          <w:t>http://www.oecd.org/std/labour-stats/HUR_0</w:t>
        </w:r>
        <w:r w:rsidRPr="00C01465">
          <w:rPr>
            <w:rStyle w:val="aff5"/>
            <w:rFonts w:eastAsia="標楷體" w:hint="eastAsia"/>
          </w:rPr>
          <w:t>6</w:t>
        </w:r>
        <w:r w:rsidRPr="00C01465">
          <w:rPr>
            <w:rStyle w:val="aff5"/>
            <w:rFonts w:eastAsia="標楷體"/>
          </w:rPr>
          <w:t>e13.pdf</w:t>
        </w:r>
      </w:hyperlink>
      <w:r>
        <w:rPr>
          <w:rFonts w:eastAsia="標楷體" w:hint="eastAsia"/>
        </w:rPr>
        <w:t>。</w:t>
      </w:r>
    </w:p>
  </w:footnote>
  <w:footnote w:id="6">
    <w:p w:rsidR="003D7EBE" w:rsidRPr="00602224" w:rsidRDefault="003D7EBE" w:rsidP="00AD5B23">
      <w:pPr>
        <w:pStyle w:val="af2"/>
        <w:rPr>
          <w:rFonts w:eastAsia="標楷體"/>
        </w:rPr>
      </w:pPr>
      <w:r w:rsidRPr="00602224">
        <w:rPr>
          <w:rStyle w:val="aff4"/>
          <w:rFonts w:eastAsia="標楷體"/>
        </w:rPr>
        <w:footnoteRef/>
      </w:r>
      <w:r w:rsidRPr="00602224">
        <w:rPr>
          <w:rFonts w:eastAsia="標楷體"/>
        </w:rPr>
        <w:t xml:space="preserve"> </w:t>
      </w:r>
      <w:r w:rsidRPr="00602224">
        <w:rPr>
          <w:rFonts w:eastAsia="標楷體"/>
        </w:rPr>
        <w:t>怯志工作者在經濟學中的定義是指因長期失業而放棄找工作的人；在實務統計上各國定義皆有些許不同，此處</w:t>
      </w:r>
      <w:proofErr w:type="gramStart"/>
      <w:r w:rsidRPr="00602224">
        <w:rPr>
          <w:rFonts w:eastAsia="標楷體"/>
        </w:rPr>
        <w:t>採</w:t>
      </w:r>
      <w:proofErr w:type="gramEnd"/>
      <w:r w:rsidRPr="00602224">
        <w:rPr>
          <w:rFonts w:eastAsia="標楷體"/>
        </w:rPr>
        <w:t>OECD</w:t>
      </w:r>
      <w:r w:rsidRPr="00602224">
        <w:rPr>
          <w:rFonts w:eastAsia="標楷體"/>
        </w:rPr>
        <w:t>定義，</w:t>
      </w:r>
      <w:proofErr w:type="gramStart"/>
      <w:r w:rsidRPr="00602224">
        <w:rPr>
          <w:rFonts w:eastAsia="標楷體"/>
        </w:rPr>
        <w:t>是指</w:t>
      </w:r>
      <w:r>
        <w:rPr>
          <w:rFonts w:eastAsia="標楷體" w:hint="eastAsia"/>
        </w:rPr>
        <w:t>想工作</w:t>
      </w:r>
      <w:proofErr w:type="gramEnd"/>
      <w:r>
        <w:rPr>
          <w:rFonts w:eastAsia="標楷體" w:hint="eastAsia"/>
        </w:rPr>
        <w:t>卻因某些原因認為無工作機會而未找工作的人</w:t>
      </w:r>
      <w:r>
        <w:rPr>
          <w:rFonts w:eastAsia="標楷體" w:hint="eastAsia"/>
        </w:rPr>
        <w:t>(D</w:t>
      </w:r>
      <w:r w:rsidRPr="00602224">
        <w:rPr>
          <w:rFonts w:eastAsia="標楷體"/>
        </w:rPr>
        <w:t>iscouraged workers who are persons not in the labour force who believe that there is no work available due to various reasons and who desire to work</w:t>
      </w:r>
      <w:r>
        <w:rPr>
          <w:rFonts w:eastAsia="標楷體" w:hint="eastAsia"/>
        </w:rPr>
        <w:t>)</w:t>
      </w:r>
      <w:r>
        <w:rPr>
          <w:rFonts w:eastAsia="標楷體" w:hint="eastAsia"/>
        </w:rPr>
        <w:t>。</w:t>
      </w:r>
    </w:p>
  </w:footnote>
  <w:footnote w:id="7">
    <w:p w:rsidR="003D7EBE" w:rsidRPr="00C654B1" w:rsidRDefault="003D7EBE" w:rsidP="00AD5B23">
      <w:pPr>
        <w:pStyle w:val="af2"/>
        <w:rPr>
          <w:rFonts w:eastAsia="標楷體"/>
        </w:rPr>
      </w:pPr>
      <w:r>
        <w:rPr>
          <w:rStyle w:val="aff4"/>
        </w:rPr>
        <w:footnoteRef/>
      </w:r>
      <w:r>
        <w:t xml:space="preserve"> </w:t>
      </w:r>
      <w:r w:rsidRPr="00C654B1">
        <w:rPr>
          <w:rFonts w:eastAsia="標楷體"/>
        </w:rPr>
        <w:t>因職業分類與名稱有所調整，</w:t>
      </w:r>
      <w:proofErr w:type="gramStart"/>
      <w:r w:rsidRPr="00C654B1">
        <w:rPr>
          <w:rFonts w:eastAsia="標楷體"/>
        </w:rPr>
        <w:t>此三類職缺</w:t>
      </w:r>
      <w:proofErr w:type="gramEnd"/>
      <w:r w:rsidRPr="00C654B1">
        <w:rPr>
          <w:rFonts w:eastAsia="標楷體"/>
        </w:rPr>
        <w:t>名稱在</w:t>
      </w:r>
      <w:r w:rsidRPr="00C654B1">
        <w:rPr>
          <w:rFonts w:eastAsia="標楷體"/>
        </w:rPr>
        <w:t>2013</w:t>
      </w:r>
      <w:r w:rsidRPr="00C654B1">
        <w:rPr>
          <w:rFonts w:eastAsia="標楷體"/>
        </w:rPr>
        <w:t>年以前分別是文書佐理員、行政</w:t>
      </w:r>
      <w:proofErr w:type="gramStart"/>
      <w:r w:rsidRPr="00C654B1">
        <w:rPr>
          <w:rFonts w:eastAsia="標楷體"/>
        </w:rPr>
        <w:t>祕</w:t>
      </w:r>
      <w:proofErr w:type="gramEnd"/>
      <w:r w:rsidRPr="00C654B1">
        <w:rPr>
          <w:rFonts w:eastAsia="標楷體"/>
        </w:rPr>
        <w:t>書及有關助理專業人員及組裝體力工。詳見全國就業</w:t>
      </w:r>
      <w:r w:rsidRPr="00C654B1">
        <w:rPr>
          <w:rFonts w:eastAsia="標楷體"/>
        </w:rPr>
        <w:t>e</w:t>
      </w:r>
      <w:r w:rsidRPr="00C654B1">
        <w:rPr>
          <w:rFonts w:eastAsia="標楷體"/>
        </w:rPr>
        <w:t>網，網址：</w:t>
      </w:r>
      <w:hyperlink r:id="rId2" w:history="1">
        <w:r w:rsidRPr="00C654B1">
          <w:rPr>
            <w:rStyle w:val="aff5"/>
            <w:rFonts w:eastAsia="標楷體"/>
          </w:rPr>
          <w:t>http://www.ejob.gov.tw/anemoscope/anemoscope/anemoscope_list.html</w:t>
        </w:r>
      </w:hyperlink>
      <w:r w:rsidRPr="00C654B1">
        <w:rPr>
          <w:rFonts w:eastAsia="標楷體"/>
        </w:rPr>
        <w:t>。</w:t>
      </w:r>
    </w:p>
  </w:footnote>
  <w:footnote w:id="8">
    <w:p w:rsidR="003D7EBE" w:rsidRDefault="003D7EBE" w:rsidP="00AD5B23">
      <w:pPr>
        <w:pStyle w:val="af2"/>
      </w:pPr>
      <w:r>
        <w:rPr>
          <w:rStyle w:val="aff4"/>
        </w:rPr>
        <w:footnoteRef/>
      </w:r>
      <w:r>
        <w:t xml:space="preserve"> </w:t>
      </w:r>
      <w:r w:rsidRPr="00BE0FF1">
        <w:rPr>
          <w:rFonts w:ascii="標楷體" w:eastAsia="標楷體" w:hAnsi="標楷體" w:hint="eastAsia"/>
        </w:rPr>
        <w:t>詳見</w:t>
      </w:r>
      <w:r w:rsidRPr="00BE0FF1">
        <w:rPr>
          <w:rFonts w:eastAsia="標楷體"/>
        </w:rPr>
        <w:t>New York Daily News</w:t>
      </w:r>
      <w:r w:rsidRPr="00BE0FF1">
        <w:rPr>
          <w:rFonts w:eastAsia="標楷體"/>
        </w:rPr>
        <w:t>，</w:t>
      </w:r>
      <w:r w:rsidRPr="00BE0FF1">
        <w:rPr>
          <w:rFonts w:ascii="標楷體" w:eastAsia="標楷體" w:hAnsi="標楷體" w:hint="eastAsia"/>
        </w:rPr>
        <w:t>網址：</w:t>
      </w:r>
      <w:hyperlink r:id="rId3" w:history="1">
        <w:r w:rsidRPr="00C85F37">
          <w:rPr>
            <w:rStyle w:val="aff5"/>
          </w:rPr>
          <w:t>http://www.nydailynews.com/new-york/skip-college-plumber-mayor-bloomberg-article-1.1347576</w:t>
        </w:r>
      </w:hyperlink>
      <w:r>
        <w:rPr>
          <w:rFonts w:hint="eastAsia"/>
        </w:rPr>
        <w:t>。</w:t>
      </w:r>
    </w:p>
  </w:footnote>
  <w:footnote w:id="9">
    <w:p w:rsidR="003D7EBE" w:rsidRDefault="003D7EBE" w:rsidP="00AD5B23">
      <w:pPr>
        <w:pStyle w:val="af2"/>
      </w:pPr>
      <w:r>
        <w:rPr>
          <w:rStyle w:val="aff4"/>
        </w:rPr>
        <w:footnoteRef/>
      </w:r>
      <w:r>
        <w:t xml:space="preserve"> </w:t>
      </w:r>
      <w:r w:rsidRPr="009D02C7">
        <w:rPr>
          <w:rFonts w:eastAsia="標楷體"/>
        </w:rPr>
        <w:t>台灣、新加坡、香港及南韓之歐肯係數分別為</w:t>
      </w:r>
      <w:r w:rsidRPr="009D02C7">
        <w:rPr>
          <w:rFonts w:eastAsia="標楷體"/>
        </w:rPr>
        <w:t>0.11</w:t>
      </w:r>
      <w:r w:rsidRPr="009D02C7">
        <w:rPr>
          <w:rFonts w:eastAsia="標楷體"/>
        </w:rPr>
        <w:t>、</w:t>
      </w:r>
      <w:r w:rsidRPr="009D02C7">
        <w:rPr>
          <w:rFonts w:eastAsia="標楷體"/>
        </w:rPr>
        <w:t>0.17</w:t>
      </w:r>
      <w:r w:rsidRPr="009D02C7">
        <w:rPr>
          <w:rFonts w:eastAsia="標楷體"/>
        </w:rPr>
        <w:t>、</w:t>
      </w:r>
      <w:r w:rsidRPr="009D02C7">
        <w:rPr>
          <w:rFonts w:eastAsia="標楷體"/>
        </w:rPr>
        <w:t>0.23</w:t>
      </w:r>
      <w:r w:rsidRPr="009D02C7">
        <w:rPr>
          <w:rFonts w:eastAsia="標楷體"/>
        </w:rPr>
        <w:t>及</w:t>
      </w:r>
      <w:r w:rsidRPr="009D02C7">
        <w:rPr>
          <w:rFonts w:eastAsia="標楷體"/>
        </w:rPr>
        <w:t>0.35</w:t>
      </w:r>
      <w:r w:rsidRPr="009D02C7">
        <w:rPr>
          <w:rFonts w:eastAsia="標楷體"/>
        </w:rPr>
        <w:t>。</w:t>
      </w:r>
      <w:r>
        <w:rPr>
          <w:rFonts w:eastAsia="標楷體" w:hint="eastAsia"/>
        </w:rPr>
        <w:t>詳見林淑敏</w:t>
      </w:r>
      <w:r>
        <w:rPr>
          <w:rFonts w:eastAsia="標楷體" w:hint="eastAsia"/>
        </w:rPr>
        <w:t>(2010)</w:t>
      </w:r>
      <w:r>
        <w:rPr>
          <w:rFonts w:eastAsia="標楷體" w:hint="eastAsia"/>
        </w:rPr>
        <w:t>，「</w:t>
      </w:r>
      <w:r w:rsidRPr="007E5EB5">
        <w:rPr>
          <w:rFonts w:eastAsia="標楷體" w:hint="eastAsia"/>
        </w:rPr>
        <w:t>歐肯法則在我國之實證研究</w:t>
      </w:r>
      <w:r>
        <w:rPr>
          <w:rFonts w:eastAsia="標楷體"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BE" w:rsidRPr="0028165F" w:rsidRDefault="003D7EBE" w:rsidP="0028165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BF4"/>
    <w:multiLevelType w:val="hybridMultilevel"/>
    <w:tmpl w:val="220A3B2A"/>
    <w:lvl w:ilvl="0" w:tplc="397C9600">
      <w:start w:val="1"/>
      <w:numFmt w:val="decimal"/>
      <w:lvlText w:val="%1."/>
      <w:lvlJc w:val="left"/>
      <w:pPr>
        <w:ind w:left="1040" w:hanging="480"/>
      </w:pPr>
      <w:rPr>
        <w:b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0422F8"/>
    <w:multiLevelType w:val="hybridMultilevel"/>
    <w:tmpl w:val="33940CD0"/>
    <w:lvl w:ilvl="0" w:tplc="FDE26DDC">
      <w:start w:val="1"/>
      <w:numFmt w:val="taiwaneseCountingThousand"/>
      <w:lvlText w:val="(%1)"/>
      <w:lvlJc w:val="left"/>
      <w:pPr>
        <w:ind w:left="906" w:hanging="480"/>
      </w:pPr>
      <w:rPr>
        <w:rFonts w:ascii="標楷體" w:eastAsia="標楷體" w:hAnsi="標楷體"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
    <w:nsid w:val="097D1FC2"/>
    <w:multiLevelType w:val="hybridMultilevel"/>
    <w:tmpl w:val="9EF80250"/>
    <w:lvl w:ilvl="0" w:tplc="24D44E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5">
    <w:nsid w:val="0B6F48A1"/>
    <w:multiLevelType w:val="hybridMultilevel"/>
    <w:tmpl w:val="0C80C8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A27CBA"/>
    <w:multiLevelType w:val="hybridMultilevel"/>
    <w:tmpl w:val="7FDA67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6652C8"/>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
    <w:nsid w:val="15645DE6"/>
    <w:multiLevelType w:val="hybridMultilevel"/>
    <w:tmpl w:val="2D069D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6B147C9"/>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665EEB"/>
    <w:multiLevelType w:val="hybridMultilevel"/>
    <w:tmpl w:val="31D628F8"/>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
    <w:nsid w:val="1BCA57C0"/>
    <w:multiLevelType w:val="hybridMultilevel"/>
    <w:tmpl w:val="96F0F490"/>
    <w:lvl w:ilvl="0" w:tplc="BFA80D1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C0E7543"/>
    <w:multiLevelType w:val="hybridMultilevel"/>
    <w:tmpl w:val="3422688A"/>
    <w:lvl w:ilvl="0" w:tplc="DD8CFF88">
      <w:start w:val="1"/>
      <w:numFmt w:val="taiwaneseCountingThousand"/>
      <w:lvlText w:val="(%1)"/>
      <w:lvlJc w:val="left"/>
      <w:pPr>
        <w:ind w:left="1190" w:hanging="480"/>
      </w:pPr>
      <w:rPr>
        <w:rFonts w:ascii="標楷體" w:eastAsia="標楷體" w:hAnsi="標楷體" w:hint="default"/>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1CCD1590"/>
    <w:multiLevelType w:val="hybridMultilevel"/>
    <w:tmpl w:val="D598B09E"/>
    <w:lvl w:ilvl="0" w:tplc="03F8AB62">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4">
    <w:nsid w:val="1D614FC7"/>
    <w:multiLevelType w:val="hybridMultilevel"/>
    <w:tmpl w:val="5198C41C"/>
    <w:lvl w:ilvl="0" w:tplc="22B25798">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F0073BD"/>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16">
    <w:nsid w:val="25FA33C7"/>
    <w:multiLevelType w:val="hybridMultilevel"/>
    <w:tmpl w:val="3A1E05E2"/>
    <w:lvl w:ilvl="0" w:tplc="3572DA7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9100BCC"/>
    <w:multiLevelType w:val="hybridMultilevel"/>
    <w:tmpl w:val="1EFAD5B4"/>
    <w:lvl w:ilvl="0" w:tplc="04090001">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9EE4A93"/>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2D5317DA"/>
    <w:multiLevelType w:val="hybridMultilevel"/>
    <w:tmpl w:val="95E4AFB8"/>
    <w:lvl w:ilvl="0" w:tplc="9814B65C">
      <w:start w:val="1"/>
      <w:numFmt w:val="decimal"/>
      <w:lvlText w:val="%1."/>
      <w:lvlJc w:val="left"/>
      <w:pPr>
        <w:ind w:left="1898" w:hanging="480"/>
      </w:pPr>
      <w:rPr>
        <w:sz w:val="28"/>
        <w:szCs w:val="28"/>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20">
    <w:nsid w:val="2F7967DD"/>
    <w:multiLevelType w:val="hybridMultilevel"/>
    <w:tmpl w:val="9140E020"/>
    <w:lvl w:ilvl="0" w:tplc="06AEB132">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28C709C"/>
    <w:multiLevelType w:val="hybridMultilevel"/>
    <w:tmpl w:val="C8609E16"/>
    <w:lvl w:ilvl="0" w:tplc="06AEB132">
      <w:start w:val="1"/>
      <w:numFmt w:val="decimal"/>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C43BCE"/>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24">
    <w:nsid w:val="426B41EA"/>
    <w:multiLevelType w:val="hybridMultilevel"/>
    <w:tmpl w:val="4CBE86B8"/>
    <w:lvl w:ilvl="0" w:tplc="DA903DFA">
      <w:start w:val="1"/>
      <w:numFmt w:val="taiwaneseCountingThousand"/>
      <w:lvlText w:val="%1、"/>
      <w:lvlJc w:val="left"/>
      <w:pPr>
        <w:ind w:left="480" w:hanging="480"/>
      </w:pPr>
      <w:rPr>
        <w:b/>
        <w:sz w:val="32"/>
        <w:szCs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40414C1"/>
    <w:multiLevelType w:val="hybridMultilevel"/>
    <w:tmpl w:val="3422688A"/>
    <w:lvl w:ilvl="0" w:tplc="DD8CFF88">
      <w:start w:val="1"/>
      <w:numFmt w:val="taiwaneseCountingThousand"/>
      <w:lvlText w:val="(%1)"/>
      <w:lvlJc w:val="left"/>
      <w:pPr>
        <w:ind w:left="3883" w:hanging="480"/>
      </w:pPr>
      <w:rPr>
        <w:rFonts w:ascii="標楷體" w:eastAsia="標楷體" w:hAnsi="標楷體" w:hint="default"/>
        <w:b/>
      </w:rPr>
    </w:lvl>
    <w:lvl w:ilvl="1" w:tplc="04090019" w:tentative="1">
      <w:start w:val="1"/>
      <w:numFmt w:val="ideographTraditional"/>
      <w:lvlText w:val="%2、"/>
      <w:lvlJc w:val="left"/>
      <w:pPr>
        <w:ind w:left="4363" w:hanging="480"/>
      </w:pPr>
    </w:lvl>
    <w:lvl w:ilvl="2" w:tplc="0409001B" w:tentative="1">
      <w:start w:val="1"/>
      <w:numFmt w:val="lowerRoman"/>
      <w:lvlText w:val="%3."/>
      <w:lvlJc w:val="right"/>
      <w:pPr>
        <w:ind w:left="4843" w:hanging="480"/>
      </w:pPr>
    </w:lvl>
    <w:lvl w:ilvl="3" w:tplc="0409000F" w:tentative="1">
      <w:start w:val="1"/>
      <w:numFmt w:val="decimal"/>
      <w:lvlText w:val="%4."/>
      <w:lvlJc w:val="left"/>
      <w:pPr>
        <w:ind w:left="5323" w:hanging="480"/>
      </w:pPr>
    </w:lvl>
    <w:lvl w:ilvl="4" w:tplc="04090019" w:tentative="1">
      <w:start w:val="1"/>
      <w:numFmt w:val="ideographTraditional"/>
      <w:lvlText w:val="%5、"/>
      <w:lvlJc w:val="left"/>
      <w:pPr>
        <w:ind w:left="5803" w:hanging="480"/>
      </w:pPr>
    </w:lvl>
    <w:lvl w:ilvl="5" w:tplc="0409001B" w:tentative="1">
      <w:start w:val="1"/>
      <w:numFmt w:val="lowerRoman"/>
      <w:lvlText w:val="%6."/>
      <w:lvlJc w:val="right"/>
      <w:pPr>
        <w:ind w:left="6283" w:hanging="480"/>
      </w:pPr>
    </w:lvl>
    <w:lvl w:ilvl="6" w:tplc="0409000F" w:tentative="1">
      <w:start w:val="1"/>
      <w:numFmt w:val="decimal"/>
      <w:lvlText w:val="%7."/>
      <w:lvlJc w:val="left"/>
      <w:pPr>
        <w:ind w:left="6763" w:hanging="480"/>
      </w:pPr>
    </w:lvl>
    <w:lvl w:ilvl="7" w:tplc="04090019" w:tentative="1">
      <w:start w:val="1"/>
      <w:numFmt w:val="ideographTraditional"/>
      <w:lvlText w:val="%8、"/>
      <w:lvlJc w:val="left"/>
      <w:pPr>
        <w:ind w:left="7243" w:hanging="480"/>
      </w:pPr>
    </w:lvl>
    <w:lvl w:ilvl="8" w:tplc="0409001B" w:tentative="1">
      <w:start w:val="1"/>
      <w:numFmt w:val="lowerRoman"/>
      <w:lvlText w:val="%9."/>
      <w:lvlJc w:val="right"/>
      <w:pPr>
        <w:ind w:left="7723" w:hanging="480"/>
      </w:pPr>
    </w:lvl>
  </w:abstractNum>
  <w:abstractNum w:abstractNumId="26">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27">
    <w:nsid w:val="4916090E"/>
    <w:multiLevelType w:val="hybridMultilevel"/>
    <w:tmpl w:val="1354DB04"/>
    <w:lvl w:ilvl="0" w:tplc="C6A8C07C">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8">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D393748"/>
    <w:multiLevelType w:val="hybridMultilevel"/>
    <w:tmpl w:val="7F3A5E52"/>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0">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31">
    <w:nsid w:val="4DB26F5B"/>
    <w:multiLevelType w:val="hybridMultilevel"/>
    <w:tmpl w:val="876A6CAA"/>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05813BA"/>
    <w:multiLevelType w:val="hybridMultilevel"/>
    <w:tmpl w:val="81AE7764"/>
    <w:lvl w:ilvl="0" w:tplc="64A8DF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650036C"/>
    <w:multiLevelType w:val="hybridMultilevel"/>
    <w:tmpl w:val="DD20957C"/>
    <w:lvl w:ilvl="0" w:tplc="AF3AB3D0">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BD658BB"/>
    <w:multiLevelType w:val="hybridMultilevel"/>
    <w:tmpl w:val="A114FE84"/>
    <w:lvl w:ilvl="0" w:tplc="B666F48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E56EF1"/>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8">
    <w:nsid w:val="625D53A6"/>
    <w:multiLevelType w:val="hybridMultilevel"/>
    <w:tmpl w:val="4766A73A"/>
    <w:lvl w:ilvl="0" w:tplc="04090001">
      <w:start w:val="1"/>
      <w:numFmt w:val="bullet"/>
      <w:lvlText w:val=""/>
      <w:lvlJc w:val="left"/>
      <w:pPr>
        <w:ind w:left="1520" w:hanging="480"/>
      </w:pPr>
      <w:rPr>
        <w:rFonts w:ascii="Wingdings" w:hAnsi="Wingdings" w:hint="default"/>
      </w:rPr>
    </w:lvl>
    <w:lvl w:ilvl="1" w:tplc="04090003" w:tentative="1">
      <w:start w:val="1"/>
      <w:numFmt w:val="bullet"/>
      <w:lvlText w:val=""/>
      <w:lvlJc w:val="left"/>
      <w:pPr>
        <w:ind w:left="2000" w:hanging="480"/>
      </w:pPr>
      <w:rPr>
        <w:rFonts w:ascii="Wingdings" w:hAnsi="Wingdings" w:hint="default"/>
      </w:rPr>
    </w:lvl>
    <w:lvl w:ilvl="2" w:tplc="04090005" w:tentative="1">
      <w:start w:val="1"/>
      <w:numFmt w:val="bullet"/>
      <w:lvlText w:val=""/>
      <w:lvlJc w:val="left"/>
      <w:pPr>
        <w:ind w:left="2480" w:hanging="480"/>
      </w:pPr>
      <w:rPr>
        <w:rFonts w:ascii="Wingdings" w:hAnsi="Wingdings" w:hint="default"/>
      </w:rPr>
    </w:lvl>
    <w:lvl w:ilvl="3" w:tplc="04090001" w:tentative="1">
      <w:start w:val="1"/>
      <w:numFmt w:val="bullet"/>
      <w:lvlText w:val=""/>
      <w:lvlJc w:val="left"/>
      <w:pPr>
        <w:ind w:left="2960" w:hanging="480"/>
      </w:pPr>
      <w:rPr>
        <w:rFonts w:ascii="Wingdings" w:hAnsi="Wingdings" w:hint="default"/>
      </w:rPr>
    </w:lvl>
    <w:lvl w:ilvl="4" w:tplc="04090003" w:tentative="1">
      <w:start w:val="1"/>
      <w:numFmt w:val="bullet"/>
      <w:lvlText w:val=""/>
      <w:lvlJc w:val="left"/>
      <w:pPr>
        <w:ind w:left="3440" w:hanging="480"/>
      </w:pPr>
      <w:rPr>
        <w:rFonts w:ascii="Wingdings" w:hAnsi="Wingdings" w:hint="default"/>
      </w:rPr>
    </w:lvl>
    <w:lvl w:ilvl="5" w:tplc="04090005" w:tentative="1">
      <w:start w:val="1"/>
      <w:numFmt w:val="bullet"/>
      <w:lvlText w:val=""/>
      <w:lvlJc w:val="left"/>
      <w:pPr>
        <w:ind w:left="3920" w:hanging="480"/>
      </w:pPr>
      <w:rPr>
        <w:rFonts w:ascii="Wingdings" w:hAnsi="Wingdings" w:hint="default"/>
      </w:rPr>
    </w:lvl>
    <w:lvl w:ilvl="6" w:tplc="04090001" w:tentative="1">
      <w:start w:val="1"/>
      <w:numFmt w:val="bullet"/>
      <w:lvlText w:val=""/>
      <w:lvlJc w:val="left"/>
      <w:pPr>
        <w:ind w:left="4400" w:hanging="480"/>
      </w:pPr>
      <w:rPr>
        <w:rFonts w:ascii="Wingdings" w:hAnsi="Wingdings" w:hint="default"/>
      </w:rPr>
    </w:lvl>
    <w:lvl w:ilvl="7" w:tplc="04090003" w:tentative="1">
      <w:start w:val="1"/>
      <w:numFmt w:val="bullet"/>
      <w:lvlText w:val=""/>
      <w:lvlJc w:val="left"/>
      <w:pPr>
        <w:ind w:left="4880" w:hanging="480"/>
      </w:pPr>
      <w:rPr>
        <w:rFonts w:ascii="Wingdings" w:hAnsi="Wingdings" w:hint="default"/>
      </w:rPr>
    </w:lvl>
    <w:lvl w:ilvl="8" w:tplc="04090005" w:tentative="1">
      <w:start w:val="1"/>
      <w:numFmt w:val="bullet"/>
      <w:lvlText w:val=""/>
      <w:lvlJc w:val="left"/>
      <w:pPr>
        <w:ind w:left="5360" w:hanging="480"/>
      </w:pPr>
      <w:rPr>
        <w:rFonts w:ascii="Wingdings" w:hAnsi="Wingdings" w:hint="default"/>
      </w:rPr>
    </w:lvl>
  </w:abstractNum>
  <w:abstractNum w:abstractNumId="39">
    <w:nsid w:val="65042310"/>
    <w:multiLevelType w:val="hybridMultilevel"/>
    <w:tmpl w:val="3F9E2116"/>
    <w:lvl w:ilvl="0" w:tplc="D45EB25A">
      <w:start w:val="1"/>
      <w:numFmt w:val="decimal"/>
      <w:lvlText w:val="%1."/>
      <w:lvlJc w:val="left"/>
      <w:pPr>
        <w:ind w:left="1040" w:hanging="480"/>
      </w:pPr>
      <w:rPr>
        <w:b/>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nsid w:val="670C7FA1"/>
    <w:multiLevelType w:val="hybridMultilevel"/>
    <w:tmpl w:val="98F8DF1A"/>
    <w:lvl w:ilvl="0" w:tplc="75C22AD0">
      <w:start w:val="1"/>
      <w:numFmt w:val="decimal"/>
      <w:lvlText w:val="(%1)"/>
      <w:lvlJc w:val="left"/>
      <w:pPr>
        <w:ind w:left="961" w:hanging="360"/>
      </w:pPr>
      <w:rPr>
        <w:rFonts w:ascii="Times New Roman" w:eastAsiaTheme="minorEastAsia" w:hAnsi="Times New Roman" w:cs="Times New Roman" w:hint="default"/>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41">
    <w:nsid w:val="6F3B0442"/>
    <w:multiLevelType w:val="hybridMultilevel"/>
    <w:tmpl w:val="EB6E970E"/>
    <w:lvl w:ilvl="0" w:tplc="9650FE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BF37C9"/>
    <w:multiLevelType w:val="hybridMultilevel"/>
    <w:tmpl w:val="486E09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7015243C"/>
    <w:multiLevelType w:val="hybridMultilevel"/>
    <w:tmpl w:val="B6F08838"/>
    <w:lvl w:ilvl="0" w:tplc="1794EF6A">
      <w:start w:val="1"/>
      <w:numFmt w:val="decimal"/>
      <w:lvlText w:val="(%1)"/>
      <w:lvlJc w:val="left"/>
      <w:pPr>
        <w:ind w:left="1754" w:hanging="480"/>
      </w:pPr>
      <w:rPr>
        <w:rFonts w:cs="Times New Roman" w:hint="eastAsia"/>
        <w:color w:val="auto"/>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44">
    <w:nsid w:val="735423C0"/>
    <w:multiLevelType w:val="hybridMultilevel"/>
    <w:tmpl w:val="5B4002F0"/>
    <w:lvl w:ilvl="0" w:tplc="03F8AB62">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5">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46">
    <w:nsid w:val="7DC40CF9"/>
    <w:multiLevelType w:val="hybridMultilevel"/>
    <w:tmpl w:val="8DCC5EAE"/>
    <w:lvl w:ilvl="0" w:tplc="B3EA922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4"/>
  </w:num>
  <w:num w:numId="2">
    <w:abstractNumId w:val="26"/>
  </w:num>
  <w:num w:numId="3">
    <w:abstractNumId w:val="37"/>
  </w:num>
  <w:num w:numId="4">
    <w:abstractNumId w:val="45"/>
  </w:num>
  <w:num w:numId="5">
    <w:abstractNumId w:val="4"/>
  </w:num>
  <w:num w:numId="6">
    <w:abstractNumId w:val="47"/>
  </w:num>
  <w:num w:numId="7">
    <w:abstractNumId w:val="30"/>
  </w:num>
  <w:num w:numId="8">
    <w:abstractNumId w:val="23"/>
  </w:num>
  <w:num w:numId="9">
    <w:abstractNumId w:val="3"/>
  </w:num>
  <w:num w:numId="10">
    <w:abstractNumId w:val="24"/>
  </w:num>
  <w:num w:numId="11">
    <w:abstractNumId w:val="39"/>
  </w:num>
  <w:num w:numId="12">
    <w:abstractNumId w:val="25"/>
  </w:num>
  <w:num w:numId="13">
    <w:abstractNumId w:val="13"/>
  </w:num>
  <w:num w:numId="14">
    <w:abstractNumId w:val="19"/>
  </w:num>
  <w:num w:numId="15">
    <w:abstractNumId w:val="43"/>
  </w:num>
  <w:num w:numId="16">
    <w:abstractNumId w:val="10"/>
  </w:num>
  <w:num w:numId="17">
    <w:abstractNumId w:val="29"/>
  </w:num>
  <w:num w:numId="18">
    <w:abstractNumId w:val="18"/>
  </w:num>
  <w:num w:numId="19">
    <w:abstractNumId w:val="44"/>
  </w:num>
  <w:num w:numId="20">
    <w:abstractNumId w:val="15"/>
  </w:num>
  <w:num w:numId="21">
    <w:abstractNumId w:val="16"/>
  </w:num>
  <w:num w:numId="22">
    <w:abstractNumId w:val="2"/>
  </w:num>
  <w:num w:numId="23">
    <w:abstractNumId w:val="6"/>
  </w:num>
  <w:num w:numId="24">
    <w:abstractNumId w:val="42"/>
  </w:num>
  <w:num w:numId="25">
    <w:abstractNumId w:val="40"/>
  </w:num>
  <w:num w:numId="26">
    <w:abstractNumId w:val="38"/>
  </w:num>
  <w:num w:numId="27">
    <w:abstractNumId w:val="0"/>
  </w:num>
  <w:num w:numId="28">
    <w:abstractNumId w:val="27"/>
  </w:num>
  <w:num w:numId="29">
    <w:abstractNumId w:val="7"/>
  </w:num>
  <w:num w:numId="30">
    <w:abstractNumId w:val="12"/>
  </w:num>
  <w:num w:numId="31">
    <w:abstractNumId w:val="17"/>
  </w:num>
  <w:num w:numId="32">
    <w:abstractNumId w:val="8"/>
  </w:num>
  <w:num w:numId="33">
    <w:abstractNumId w:val="14"/>
  </w:num>
  <w:num w:numId="34">
    <w:abstractNumId w:val="32"/>
  </w:num>
  <w:num w:numId="35">
    <w:abstractNumId w:val="33"/>
  </w:num>
  <w:num w:numId="36">
    <w:abstractNumId w:val="11"/>
  </w:num>
  <w:num w:numId="37">
    <w:abstractNumId w:val="5"/>
  </w:num>
  <w:num w:numId="38">
    <w:abstractNumId w:val="46"/>
  </w:num>
  <w:num w:numId="39">
    <w:abstractNumId w:val="31"/>
  </w:num>
  <w:num w:numId="40">
    <w:abstractNumId w:val="36"/>
  </w:num>
  <w:num w:numId="41">
    <w:abstractNumId w:val="9"/>
  </w:num>
  <w:num w:numId="42">
    <w:abstractNumId w:val="20"/>
  </w:num>
  <w:num w:numId="43">
    <w:abstractNumId w:val="22"/>
  </w:num>
  <w:num w:numId="44">
    <w:abstractNumId w:val="35"/>
  </w:num>
  <w:num w:numId="45">
    <w:abstractNumId w:val="28"/>
  </w:num>
  <w:num w:numId="46">
    <w:abstractNumId w:val="41"/>
  </w:num>
  <w:num w:numId="47">
    <w:abstractNumId w:val="1"/>
  </w:num>
  <w:num w:numId="4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53C6"/>
    <w:rsid w:val="00005907"/>
    <w:rsid w:val="000059C1"/>
    <w:rsid w:val="00006A7A"/>
    <w:rsid w:val="00006CB4"/>
    <w:rsid w:val="00007DFB"/>
    <w:rsid w:val="00010156"/>
    <w:rsid w:val="00010889"/>
    <w:rsid w:val="00010E5C"/>
    <w:rsid w:val="00010F74"/>
    <w:rsid w:val="0001100E"/>
    <w:rsid w:val="00011EBA"/>
    <w:rsid w:val="000124E1"/>
    <w:rsid w:val="00012585"/>
    <w:rsid w:val="00012D5E"/>
    <w:rsid w:val="000143BC"/>
    <w:rsid w:val="00014577"/>
    <w:rsid w:val="00014665"/>
    <w:rsid w:val="00014B70"/>
    <w:rsid w:val="0001528C"/>
    <w:rsid w:val="00015DC7"/>
    <w:rsid w:val="000164A0"/>
    <w:rsid w:val="00017C82"/>
    <w:rsid w:val="00017DB3"/>
    <w:rsid w:val="00020192"/>
    <w:rsid w:val="000205BB"/>
    <w:rsid w:val="00020999"/>
    <w:rsid w:val="000213AF"/>
    <w:rsid w:val="000223C5"/>
    <w:rsid w:val="000234E7"/>
    <w:rsid w:val="000239FF"/>
    <w:rsid w:val="000243EB"/>
    <w:rsid w:val="000246D6"/>
    <w:rsid w:val="00024A9E"/>
    <w:rsid w:val="00025052"/>
    <w:rsid w:val="00025CA9"/>
    <w:rsid w:val="0002627A"/>
    <w:rsid w:val="0002743D"/>
    <w:rsid w:val="00027911"/>
    <w:rsid w:val="00027BB1"/>
    <w:rsid w:val="00030084"/>
    <w:rsid w:val="00031AAB"/>
    <w:rsid w:val="00032EBF"/>
    <w:rsid w:val="00033660"/>
    <w:rsid w:val="0003422D"/>
    <w:rsid w:val="000353DE"/>
    <w:rsid w:val="0003592B"/>
    <w:rsid w:val="00036CE8"/>
    <w:rsid w:val="00036E6C"/>
    <w:rsid w:val="00037305"/>
    <w:rsid w:val="00037C30"/>
    <w:rsid w:val="00037C73"/>
    <w:rsid w:val="0004066C"/>
    <w:rsid w:val="00040CA3"/>
    <w:rsid w:val="00040FE0"/>
    <w:rsid w:val="000424BA"/>
    <w:rsid w:val="000432CD"/>
    <w:rsid w:val="00043376"/>
    <w:rsid w:val="0004469E"/>
    <w:rsid w:val="00047ECB"/>
    <w:rsid w:val="0005018C"/>
    <w:rsid w:val="0005128D"/>
    <w:rsid w:val="0005285C"/>
    <w:rsid w:val="000530D2"/>
    <w:rsid w:val="000537A8"/>
    <w:rsid w:val="000539D4"/>
    <w:rsid w:val="00055F32"/>
    <w:rsid w:val="000563C7"/>
    <w:rsid w:val="0005695F"/>
    <w:rsid w:val="00057416"/>
    <w:rsid w:val="00057D17"/>
    <w:rsid w:val="00057E12"/>
    <w:rsid w:val="000607C9"/>
    <w:rsid w:val="00061745"/>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2044"/>
    <w:rsid w:val="0008253F"/>
    <w:rsid w:val="00082A04"/>
    <w:rsid w:val="0008325E"/>
    <w:rsid w:val="00084A82"/>
    <w:rsid w:val="00084C1D"/>
    <w:rsid w:val="00085258"/>
    <w:rsid w:val="00085463"/>
    <w:rsid w:val="00085F56"/>
    <w:rsid w:val="00086C60"/>
    <w:rsid w:val="000876E7"/>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306"/>
    <w:rsid w:val="000965A5"/>
    <w:rsid w:val="0009669D"/>
    <w:rsid w:val="0009675B"/>
    <w:rsid w:val="00096A9C"/>
    <w:rsid w:val="00097173"/>
    <w:rsid w:val="00097E32"/>
    <w:rsid w:val="000A0380"/>
    <w:rsid w:val="000A0D70"/>
    <w:rsid w:val="000A0DDC"/>
    <w:rsid w:val="000A11C6"/>
    <w:rsid w:val="000A2D59"/>
    <w:rsid w:val="000A31A6"/>
    <w:rsid w:val="000A4380"/>
    <w:rsid w:val="000A44B2"/>
    <w:rsid w:val="000A5D2D"/>
    <w:rsid w:val="000A5EE6"/>
    <w:rsid w:val="000A5F8C"/>
    <w:rsid w:val="000A6650"/>
    <w:rsid w:val="000A7376"/>
    <w:rsid w:val="000A788B"/>
    <w:rsid w:val="000A7AB8"/>
    <w:rsid w:val="000A7F1F"/>
    <w:rsid w:val="000B047B"/>
    <w:rsid w:val="000B1079"/>
    <w:rsid w:val="000B2CE7"/>
    <w:rsid w:val="000B3C2C"/>
    <w:rsid w:val="000B3C63"/>
    <w:rsid w:val="000B3EA0"/>
    <w:rsid w:val="000B49D8"/>
    <w:rsid w:val="000B4FD9"/>
    <w:rsid w:val="000B569B"/>
    <w:rsid w:val="000B5AF2"/>
    <w:rsid w:val="000B5F48"/>
    <w:rsid w:val="000B6769"/>
    <w:rsid w:val="000B6B76"/>
    <w:rsid w:val="000B7119"/>
    <w:rsid w:val="000B7159"/>
    <w:rsid w:val="000B764B"/>
    <w:rsid w:val="000C23C4"/>
    <w:rsid w:val="000C297C"/>
    <w:rsid w:val="000C2A5E"/>
    <w:rsid w:val="000C4364"/>
    <w:rsid w:val="000C523F"/>
    <w:rsid w:val="000C53D5"/>
    <w:rsid w:val="000C5DEC"/>
    <w:rsid w:val="000C5FD3"/>
    <w:rsid w:val="000C67D5"/>
    <w:rsid w:val="000C7CFC"/>
    <w:rsid w:val="000D01BF"/>
    <w:rsid w:val="000D0FC2"/>
    <w:rsid w:val="000D127B"/>
    <w:rsid w:val="000D1563"/>
    <w:rsid w:val="000D183D"/>
    <w:rsid w:val="000D188D"/>
    <w:rsid w:val="000D1E18"/>
    <w:rsid w:val="000D3D89"/>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822"/>
    <w:rsid w:val="000E6D86"/>
    <w:rsid w:val="000E74AA"/>
    <w:rsid w:val="000E7B17"/>
    <w:rsid w:val="000E7BF8"/>
    <w:rsid w:val="000F050D"/>
    <w:rsid w:val="000F07A1"/>
    <w:rsid w:val="000F0AD2"/>
    <w:rsid w:val="000F0BA1"/>
    <w:rsid w:val="000F1AF8"/>
    <w:rsid w:val="000F1B70"/>
    <w:rsid w:val="000F2E66"/>
    <w:rsid w:val="000F31D3"/>
    <w:rsid w:val="000F332D"/>
    <w:rsid w:val="000F3836"/>
    <w:rsid w:val="000F5160"/>
    <w:rsid w:val="000F5496"/>
    <w:rsid w:val="000F5C19"/>
    <w:rsid w:val="000F7E0A"/>
    <w:rsid w:val="00100154"/>
    <w:rsid w:val="0010066E"/>
    <w:rsid w:val="0010173C"/>
    <w:rsid w:val="001018B5"/>
    <w:rsid w:val="001022DD"/>
    <w:rsid w:val="001026CE"/>
    <w:rsid w:val="001030C5"/>
    <w:rsid w:val="0010444F"/>
    <w:rsid w:val="00104451"/>
    <w:rsid w:val="001044FF"/>
    <w:rsid w:val="00104511"/>
    <w:rsid w:val="00104C01"/>
    <w:rsid w:val="00106798"/>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DF3"/>
    <w:rsid w:val="00124480"/>
    <w:rsid w:val="00124794"/>
    <w:rsid w:val="00124831"/>
    <w:rsid w:val="00125428"/>
    <w:rsid w:val="00125A95"/>
    <w:rsid w:val="00125C52"/>
    <w:rsid w:val="00125C6C"/>
    <w:rsid w:val="00125DF2"/>
    <w:rsid w:val="0012644D"/>
    <w:rsid w:val="00126BC8"/>
    <w:rsid w:val="00127327"/>
    <w:rsid w:val="001273AE"/>
    <w:rsid w:val="00127512"/>
    <w:rsid w:val="00127A77"/>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700E"/>
    <w:rsid w:val="00137E3E"/>
    <w:rsid w:val="00140551"/>
    <w:rsid w:val="00140666"/>
    <w:rsid w:val="00140D90"/>
    <w:rsid w:val="00140E81"/>
    <w:rsid w:val="00142F22"/>
    <w:rsid w:val="00143337"/>
    <w:rsid w:val="00144382"/>
    <w:rsid w:val="0014473C"/>
    <w:rsid w:val="00144872"/>
    <w:rsid w:val="00144CDD"/>
    <w:rsid w:val="00145672"/>
    <w:rsid w:val="00145927"/>
    <w:rsid w:val="00145C03"/>
    <w:rsid w:val="00145C89"/>
    <w:rsid w:val="0014629B"/>
    <w:rsid w:val="00146A65"/>
    <w:rsid w:val="0014763B"/>
    <w:rsid w:val="00150115"/>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726F"/>
    <w:rsid w:val="0015769A"/>
    <w:rsid w:val="001577DC"/>
    <w:rsid w:val="00157C18"/>
    <w:rsid w:val="00157DC0"/>
    <w:rsid w:val="0016014A"/>
    <w:rsid w:val="001606FD"/>
    <w:rsid w:val="001620BC"/>
    <w:rsid w:val="0016270A"/>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104B"/>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0C70"/>
    <w:rsid w:val="001814C0"/>
    <w:rsid w:val="001817D7"/>
    <w:rsid w:val="00181B7F"/>
    <w:rsid w:val="001830A4"/>
    <w:rsid w:val="001832C1"/>
    <w:rsid w:val="0018383A"/>
    <w:rsid w:val="00183C31"/>
    <w:rsid w:val="00183D8B"/>
    <w:rsid w:val="00183FCD"/>
    <w:rsid w:val="0018425F"/>
    <w:rsid w:val="00186538"/>
    <w:rsid w:val="00186A9F"/>
    <w:rsid w:val="001872F9"/>
    <w:rsid w:val="00187443"/>
    <w:rsid w:val="001878E1"/>
    <w:rsid w:val="00187900"/>
    <w:rsid w:val="00187984"/>
    <w:rsid w:val="00187D66"/>
    <w:rsid w:val="0019070A"/>
    <w:rsid w:val="0019230A"/>
    <w:rsid w:val="0019308D"/>
    <w:rsid w:val="00193B4B"/>
    <w:rsid w:val="0019457B"/>
    <w:rsid w:val="00194A6B"/>
    <w:rsid w:val="00194F07"/>
    <w:rsid w:val="00196878"/>
    <w:rsid w:val="00196D57"/>
    <w:rsid w:val="00197232"/>
    <w:rsid w:val="00197E76"/>
    <w:rsid w:val="00197EE9"/>
    <w:rsid w:val="001A0C51"/>
    <w:rsid w:val="001A226E"/>
    <w:rsid w:val="001A29AE"/>
    <w:rsid w:val="001A37F4"/>
    <w:rsid w:val="001A3E61"/>
    <w:rsid w:val="001A3F14"/>
    <w:rsid w:val="001A425D"/>
    <w:rsid w:val="001A46A1"/>
    <w:rsid w:val="001A4E4F"/>
    <w:rsid w:val="001A55FB"/>
    <w:rsid w:val="001A5C20"/>
    <w:rsid w:val="001A6D6E"/>
    <w:rsid w:val="001A7A53"/>
    <w:rsid w:val="001B0822"/>
    <w:rsid w:val="001B0E21"/>
    <w:rsid w:val="001B1936"/>
    <w:rsid w:val="001B1E72"/>
    <w:rsid w:val="001B1F03"/>
    <w:rsid w:val="001B238E"/>
    <w:rsid w:val="001B26C8"/>
    <w:rsid w:val="001B31CB"/>
    <w:rsid w:val="001B3667"/>
    <w:rsid w:val="001B4279"/>
    <w:rsid w:val="001B5EF1"/>
    <w:rsid w:val="001B696D"/>
    <w:rsid w:val="001B72E2"/>
    <w:rsid w:val="001B7869"/>
    <w:rsid w:val="001B7E64"/>
    <w:rsid w:val="001C0047"/>
    <w:rsid w:val="001C013C"/>
    <w:rsid w:val="001C1525"/>
    <w:rsid w:val="001C1554"/>
    <w:rsid w:val="001C2FA5"/>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1D7E"/>
    <w:rsid w:val="001D3932"/>
    <w:rsid w:val="001D3965"/>
    <w:rsid w:val="001D48E2"/>
    <w:rsid w:val="001D4CA9"/>
    <w:rsid w:val="001D4E50"/>
    <w:rsid w:val="001D5182"/>
    <w:rsid w:val="001D6741"/>
    <w:rsid w:val="001D7A6B"/>
    <w:rsid w:val="001E1102"/>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DAB"/>
    <w:rsid w:val="001F1B61"/>
    <w:rsid w:val="001F1DF1"/>
    <w:rsid w:val="001F253A"/>
    <w:rsid w:val="001F328C"/>
    <w:rsid w:val="001F3542"/>
    <w:rsid w:val="001F3868"/>
    <w:rsid w:val="001F39AE"/>
    <w:rsid w:val="001F3FA2"/>
    <w:rsid w:val="001F4C28"/>
    <w:rsid w:val="001F67F2"/>
    <w:rsid w:val="001F68F8"/>
    <w:rsid w:val="001F6F86"/>
    <w:rsid w:val="001F7689"/>
    <w:rsid w:val="001F77B8"/>
    <w:rsid w:val="001F7D5F"/>
    <w:rsid w:val="0020053F"/>
    <w:rsid w:val="00200ABF"/>
    <w:rsid w:val="00201FAD"/>
    <w:rsid w:val="002025B1"/>
    <w:rsid w:val="00202C54"/>
    <w:rsid w:val="0020398B"/>
    <w:rsid w:val="00203E60"/>
    <w:rsid w:val="00204487"/>
    <w:rsid w:val="00205624"/>
    <w:rsid w:val="00205C72"/>
    <w:rsid w:val="00205F1A"/>
    <w:rsid w:val="00206664"/>
    <w:rsid w:val="00207C57"/>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AC2"/>
    <w:rsid w:val="002201C5"/>
    <w:rsid w:val="00221128"/>
    <w:rsid w:val="0022192C"/>
    <w:rsid w:val="0022193F"/>
    <w:rsid w:val="00221CE0"/>
    <w:rsid w:val="00222799"/>
    <w:rsid w:val="00222A82"/>
    <w:rsid w:val="00222A88"/>
    <w:rsid w:val="0022395F"/>
    <w:rsid w:val="00223D76"/>
    <w:rsid w:val="00224130"/>
    <w:rsid w:val="002247C8"/>
    <w:rsid w:val="00225062"/>
    <w:rsid w:val="002251A7"/>
    <w:rsid w:val="00225B54"/>
    <w:rsid w:val="0022676C"/>
    <w:rsid w:val="00231080"/>
    <w:rsid w:val="002312D6"/>
    <w:rsid w:val="00231780"/>
    <w:rsid w:val="00232089"/>
    <w:rsid w:val="00232439"/>
    <w:rsid w:val="002329F3"/>
    <w:rsid w:val="00233645"/>
    <w:rsid w:val="002337A8"/>
    <w:rsid w:val="00233B25"/>
    <w:rsid w:val="00234BDD"/>
    <w:rsid w:val="00234C02"/>
    <w:rsid w:val="00234C07"/>
    <w:rsid w:val="002354B2"/>
    <w:rsid w:val="00235B82"/>
    <w:rsid w:val="00236D62"/>
    <w:rsid w:val="00236F57"/>
    <w:rsid w:val="00237827"/>
    <w:rsid w:val="002379B8"/>
    <w:rsid w:val="00240007"/>
    <w:rsid w:val="002407AA"/>
    <w:rsid w:val="002409C4"/>
    <w:rsid w:val="00240E36"/>
    <w:rsid w:val="00241DB9"/>
    <w:rsid w:val="00242DB0"/>
    <w:rsid w:val="00242F02"/>
    <w:rsid w:val="002434A0"/>
    <w:rsid w:val="0024472D"/>
    <w:rsid w:val="00244B15"/>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AAA"/>
    <w:rsid w:val="00256B32"/>
    <w:rsid w:val="0025796E"/>
    <w:rsid w:val="00260B0A"/>
    <w:rsid w:val="00261591"/>
    <w:rsid w:val="00261BCC"/>
    <w:rsid w:val="00261E56"/>
    <w:rsid w:val="00261E91"/>
    <w:rsid w:val="00261E9B"/>
    <w:rsid w:val="0026201A"/>
    <w:rsid w:val="00262745"/>
    <w:rsid w:val="00264DEA"/>
    <w:rsid w:val="002650B3"/>
    <w:rsid w:val="002652F8"/>
    <w:rsid w:val="00265644"/>
    <w:rsid w:val="00265E9D"/>
    <w:rsid w:val="00265FBA"/>
    <w:rsid w:val="00266ED4"/>
    <w:rsid w:val="00267B57"/>
    <w:rsid w:val="00271367"/>
    <w:rsid w:val="00271ACE"/>
    <w:rsid w:val="00272223"/>
    <w:rsid w:val="00272546"/>
    <w:rsid w:val="00272790"/>
    <w:rsid w:val="00273144"/>
    <w:rsid w:val="00274543"/>
    <w:rsid w:val="00274BD6"/>
    <w:rsid w:val="00274C40"/>
    <w:rsid w:val="00274F49"/>
    <w:rsid w:val="00275537"/>
    <w:rsid w:val="00275FD9"/>
    <w:rsid w:val="00276119"/>
    <w:rsid w:val="00276BD8"/>
    <w:rsid w:val="00276D6E"/>
    <w:rsid w:val="002774EE"/>
    <w:rsid w:val="00280267"/>
    <w:rsid w:val="00280ACC"/>
    <w:rsid w:val="0028165F"/>
    <w:rsid w:val="002830E9"/>
    <w:rsid w:val="00283366"/>
    <w:rsid w:val="002840F2"/>
    <w:rsid w:val="00284168"/>
    <w:rsid w:val="002843FF"/>
    <w:rsid w:val="00284977"/>
    <w:rsid w:val="00286196"/>
    <w:rsid w:val="002870ED"/>
    <w:rsid w:val="002871D0"/>
    <w:rsid w:val="00287C3C"/>
    <w:rsid w:val="00287D0E"/>
    <w:rsid w:val="00287D9F"/>
    <w:rsid w:val="0029119E"/>
    <w:rsid w:val="00292990"/>
    <w:rsid w:val="00292BA7"/>
    <w:rsid w:val="00292DA2"/>
    <w:rsid w:val="00293408"/>
    <w:rsid w:val="00293B4D"/>
    <w:rsid w:val="00294651"/>
    <w:rsid w:val="0029516F"/>
    <w:rsid w:val="0029703A"/>
    <w:rsid w:val="0029719D"/>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1115"/>
    <w:rsid w:val="002B2AA2"/>
    <w:rsid w:val="002B2AA3"/>
    <w:rsid w:val="002B2D60"/>
    <w:rsid w:val="002B2F81"/>
    <w:rsid w:val="002B3498"/>
    <w:rsid w:val="002B4958"/>
    <w:rsid w:val="002B5939"/>
    <w:rsid w:val="002B63A3"/>
    <w:rsid w:val="002B6639"/>
    <w:rsid w:val="002B67F6"/>
    <w:rsid w:val="002B7B07"/>
    <w:rsid w:val="002C0816"/>
    <w:rsid w:val="002C15D3"/>
    <w:rsid w:val="002C1ABD"/>
    <w:rsid w:val="002C223C"/>
    <w:rsid w:val="002C2939"/>
    <w:rsid w:val="002C2C08"/>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BFD"/>
    <w:rsid w:val="002F0C17"/>
    <w:rsid w:val="002F1235"/>
    <w:rsid w:val="002F1992"/>
    <w:rsid w:val="002F2241"/>
    <w:rsid w:val="002F289D"/>
    <w:rsid w:val="002F36AD"/>
    <w:rsid w:val="002F4554"/>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17B"/>
    <w:rsid w:val="00310F12"/>
    <w:rsid w:val="003111E1"/>
    <w:rsid w:val="0031161E"/>
    <w:rsid w:val="00313315"/>
    <w:rsid w:val="00313672"/>
    <w:rsid w:val="00313D3D"/>
    <w:rsid w:val="00313F28"/>
    <w:rsid w:val="003144D3"/>
    <w:rsid w:val="00314576"/>
    <w:rsid w:val="003146B5"/>
    <w:rsid w:val="00314DC3"/>
    <w:rsid w:val="003154D6"/>
    <w:rsid w:val="0031586B"/>
    <w:rsid w:val="0031665E"/>
    <w:rsid w:val="00317768"/>
    <w:rsid w:val="0031796A"/>
    <w:rsid w:val="00321264"/>
    <w:rsid w:val="00321D7D"/>
    <w:rsid w:val="00321EC8"/>
    <w:rsid w:val="00322BC5"/>
    <w:rsid w:val="00323150"/>
    <w:rsid w:val="0032356E"/>
    <w:rsid w:val="00324036"/>
    <w:rsid w:val="003244BB"/>
    <w:rsid w:val="00324D5C"/>
    <w:rsid w:val="0032514A"/>
    <w:rsid w:val="00326D61"/>
    <w:rsid w:val="0032794D"/>
    <w:rsid w:val="003302B2"/>
    <w:rsid w:val="003307A2"/>
    <w:rsid w:val="00330CE9"/>
    <w:rsid w:val="00330EF2"/>
    <w:rsid w:val="003336EC"/>
    <w:rsid w:val="0033406A"/>
    <w:rsid w:val="003343AA"/>
    <w:rsid w:val="00334A38"/>
    <w:rsid w:val="003353E2"/>
    <w:rsid w:val="003378E7"/>
    <w:rsid w:val="00337C6C"/>
    <w:rsid w:val="00340107"/>
    <w:rsid w:val="00340330"/>
    <w:rsid w:val="00340869"/>
    <w:rsid w:val="00340951"/>
    <w:rsid w:val="00340B45"/>
    <w:rsid w:val="00340E00"/>
    <w:rsid w:val="003429F7"/>
    <w:rsid w:val="0034316D"/>
    <w:rsid w:val="0034328F"/>
    <w:rsid w:val="00344B2A"/>
    <w:rsid w:val="00344D91"/>
    <w:rsid w:val="00344DF6"/>
    <w:rsid w:val="0034518C"/>
    <w:rsid w:val="00345470"/>
    <w:rsid w:val="003465C2"/>
    <w:rsid w:val="003470B6"/>
    <w:rsid w:val="0034753C"/>
    <w:rsid w:val="003475FB"/>
    <w:rsid w:val="00347E1B"/>
    <w:rsid w:val="003501E2"/>
    <w:rsid w:val="003501FD"/>
    <w:rsid w:val="00350B91"/>
    <w:rsid w:val="00352A31"/>
    <w:rsid w:val="003535BE"/>
    <w:rsid w:val="0035360D"/>
    <w:rsid w:val="00353631"/>
    <w:rsid w:val="00353C79"/>
    <w:rsid w:val="0035410F"/>
    <w:rsid w:val="00354A29"/>
    <w:rsid w:val="00355253"/>
    <w:rsid w:val="00355B70"/>
    <w:rsid w:val="0035611A"/>
    <w:rsid w:val="00356368"/>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5E8F"/>
    <w:rsid w:val="00376334"/>
    <w:rsid w:val="00377A21"/>
    <w:rsid w:val="00377B31"/>
    <w:rsid w:val="00380855"/>
    <w:rsid w:val="00380879"/>
    <w:rsid w:val="00380A37"/>
    <w:rsid w:val="00381252"/>
    <w:rsid w:val="003814CD"/>
    <w:rsid w:val="00381A37"/>
    <w:rsid w:val="00381B95"/>
    <w:rsid w:val="00382155"/>
    <w:rsid w:val="00384ACC"/>
    <w:rsid w:val="00385859"/>
    <w:rsid w:val="00385A38"/>
    <w:rsid w:val="00385E69"/>
    <w:rsid w:val="0038610E"/>
    <w:rsid w:val="00387530"/>
    <w:rsid w:val="00387EC5"/>
    <w:rsid w:val="00390D29"/>
    <w:rsid w:val="003927D9"/>
    <w:rsid w:val="00393B8F"/>
    <w:rsid w:val="00394649"/>
    <w:rsid w:val="003949AD"/>
    <w:rsid w:val="003955DE"/>
    <w:rsid w:val="00395AB1"/>
    <w:rsid w:val="00395FA3"/>
    <w:rsid w:val="00396698"/>
    <w:rsid w:val="0039767C"/>
    <w:rsid w:val="003A054F"/>
    <w:rsid w:val="003A0707"/>
    <w:rsid w:val="003A07F8"/>
    <w:rsid w:val="003A15D3"/>
    <w:rsid w:val="003A1DCD"/>
    <w:rsid w:val="003A3199"/>
    <w:rsid w:val="003A3F7A"/>
    <w:rsid w:val="003A4065"/>
    <w:rsid w:val="003A417F"/>
    <w:rsid w:val="003A483D"/>
    <w:rsid w:val="003A4993"/>
    <w:rsid w:val="003A5A50"/>
    <w:rsid w:val="003A6916"/>
    <w:rsid w:val="003A6BB4"/>
    <w:rsid w:val="003B06D1"/>
    <w:rsid w:val="003B1748"/>
    <w:rsid w:val="003B1BF7"/>
    <w:rsid w:val="003B1E9A"/>
    <w:rsid w:val="003B21DD"/>
    <w:rsid w:val="003B340F"/>
    <w:rsid w:val="003B3A8F"/>
    <w:rsid w:val="003B3D53"/>
    <w:rsid w:val="003B5208"/>
    <w:rsid w:val="003B57B8"/>
    <w:rsid w:val="003B5907"/>
    <w:rsid w:val="003B66EB"/>
    <w:rsid w:val="003B75E9"/>
    <w:rsid w:val="003B76C6"/>
    <w:rsid w:val="003B79AD"/>
    <w:rsid w:val="003B7EE2"/>
    <w:rsid w:val="003C2007"/>
    <w:rsid w:val="003C3EE0"/>
    <w:rsid w:val="003C5BE6"/>
    <w:rsid w:val="003C5D2E"/>
    <w:rsid w:val="003C6953"/>
    <w:rsid w:val="003C6C85"/>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233A"/>
    <w:rsid w:val="003E271D"/>
    <w:rsid w:val="003E2837"/>
    <w:rsid w:val="003E3086"/>
    <w:rsid w:val="003E39A4"/>
    <w:rsid w:val="003E39B7"/>
    <w:rsid w:val="003E40EF"/>
    <w:rsid w:val="003E4747"/>
    <w:rsid w:val="003E612C"/>
    <w:rsid w:val="003E651E"/>
    <w:rsid w:val="003E6753"/>
    <w:rsid w:val="003E71A8"/>
    <w:rsid w:val="003E77F4"/>
    <w:rsid w:val="003F0049"/>
    <w:rsid w:val="003F0EC7"/>
    <w:rsid w:val="003F11AE"/>
    <w:rsid w:val="003F1BB4"/>
    <w:rsid w:val="003F29B8"/>
    <w:rsid w:val="003F2C79"/>
    <w:rsid w:val="003F3EB6"/>
    <w:rsid w:val="003F4617"/>
    <w:rsid w:val="003F5FB8"/>
    <w:rsid w:val="003F6335"/>
    <w:rsid w:val="003F6892"/>
    <w:rsid w:val="003F68F2"/>
    <w:rsid w:val="003F74CE"/>
    <w:rsid w:val="003F78E6"/>
    <w:rsid w:val="003F7B44"/>
    <w:rsid w:val="003F7E8A"/>
    <w:rsid w:val="0040035D"/>
    <w:rsid w:val="00400720"/>
    <w:rsid w:val="00401B66"/>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25E1"/>
    <w:rsid w:val="004134D2"/>
    <w:rsid w:val="004135B6"/>
    <w:rsid w:val="00413ACF"/>
    <w:rsid w:val="004146C2"/>
    <w:rsid w:val="0041483A"/>
    <w:rsid w:val="00414F75"/>
    <w:rsid w:val="00415AD3"/>
    <w:rsid w:val="00416C98"/>
    <w:rsid w:val="004175D3"/>
    <w:rsid w:val="00417BD2"/>
    <w:rsid w:val="004203E2"/>
    <w:rsid w:val="004207B2"/>
    <w:rsid w:val="0042115A"/>
    <w:rsid w:val="004211EE"/>
    <w:rsid w:val="0042295D"/>
    <w:rsid w:val="004229A5"/>
    <w:rsid w:val="0042336E"/>
    <w:rsid w:val="0042351C"/>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B7B"/>
    <w:rsid w:val="00433581"/>
    <w:rsid w:val="00434349"/>
    <w:rsid w:val="00434467"/>
    <w:rsid w:val="0043469C"/>
    <w:rsid w:val="00435065"/>
    <w:rsid w:val="0043548F"/>
    <w:rsid w:val="004361BC"/>
    <w:rsid w:val="00436463"/>
    <w:rsid w:val="0043784C"/>
    <w:rsid w:val="00437C1C"/>
    <w:rsid w:val="00437E2E"/>
    <w:rsid w:val="00437E53"/>
    <w:rsid w:val="0044079D"/>
    <w:rsid w:val="004407AB"/>
    <w:rsid w:val="00440899"/>
    <w:rsid w:val="00440BF1"/>
    <w:rsid w:val="00442985"/>
    <w:rsid w:val="00442DF6"/>
    <w:rsid w:val="00442F3E"/>
    <w:rsid w:val="004432D2"/>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6002F"/>
    <w:rsid w:val="00460031"/>
    <w:rsid w:val="00460938"/>
    <w:rsid w:val="004611E5"/>
    <w:rsid w:val="004613D2"/>
    <w:rsid w:val="004614C1"/>
    <w:rsid w:val="00461B6C"/>
    <w:rsid w:val="00461CBE"/>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4679"/>
    <w:rsid w:val="00475675"/>
    <w:rsid w:val="00475A4E"/>
    <w:rsid w:val="00475A65"/>
    <w:rsid w:val="00476D9D"/>
    <w:rsid w:val="00477C34"/>
    <w:rsid w:val="00480FB4"/>
    <w:rsid w:val="0048255D"/>
    <w:rsid w:val="00482851"/>
    <w:rsid w:val="00483285"/>
    <w:rsid w:val="004835AF"/>
    <w:rsid w:val="00484C82"/>
    <w:rsid w:val="004864D4"/>
    <w:rsid w:val="00487D6D"/>
    <w:rsid w:val="0049017D"/>
    <w:rsid w:val="004909A8"/>
    <w:rsid w:val="004914D8"/>
    <w:rsid w:val="004928E7"/>
    <w:rsid w:val="00492C17"/>
    <w:rsid w:val="00493174"/>
    <w:rsid w:val="00495311"/>
    <w:rsid w:val="0049683F"/>
    <w:rsid w:val="00496840"/>
    <w:rsid w:val="00496DAB"/>
    <w:rsid w:val="004973A0"/>
    <w:rsid w:val="004978D9"/>
    <w:rsid w:val="00497ABC"/>
    <w:rsid w:val="004A1529"/>
    <w:rsid w:val="004A212F"/>
    <w:rsid w:val="004A2374"/>
    <w:rsid w:val="004A2951"/>
    <w:rsid w:val="004A3493"/>
    <w:rsid w:val="004A383A"/>
    <w:rsid w:val="004A3E13"/>
    <w:rsid w:val="004A40BD"/>
    <w:rsid w:val="004A4BE5"/>
    <w:rsid w:val="004A4C26"/>
    <w:rsid w:val="004A4C3C"/>
    <w:rsid w:val="004A4D20"/>
    <w:rsid w:val="004A52C0"/>
    <w:rsid w:val="004A595C"/>
    <w:rsid w:val="004A606E"/>
    <w:rsid w:val="004A60F5"/>
    <w:rsid w:val="004A64B8"/>
    <w:rsid w:val="004A6673"/>
    <w:rsid w:val="004A6C8E"/>
    <w:rsid w:val="004A7E91"/>
    <w:rsid w:val="004B07A9"/>
    <w:rsid w:val="004B124F"/>
    <w:rsid w:val="004B1331"/>
    <w:rsid w:val="004B1CAF"/>
    <w:rsid w:val="004B2EAC"/>
    <w:rsid w:val="004B3303"/>
    <w:rsid w:val="004B3ACC"/>
    <w:rsid w:val="004B466C"/>
    <w:rsid w:val="004B4E97"/>
    <w:rsid w:val="004B55C4"/>
    <w:rsid w:val="004B5759"/>
    <w:rsid w:val="004B58E1"/>
    <w:rsid w:val="004B6D56"/>
    <w:rsid w:val="004B7783"/>
    <w:rsid w:val="004C1705"/>
    <w:rsid w:val="004C17EA"/>
    <w:rsid w:val="004C19C5"/>
    <w:rsid w:val="004C1B95"/>
    <w:rsid w:val="004C2365"/>
    <w:rsid w:val="004C2F54"/>
    <w:rsid w:val="004C3048"/>
    <w:rsid w:val="004C32B7"/>
    <w:rsid w:val="004C3834"/>
    <w:rsid w:val="004C4CDF"/>
    <w:rsid w:val="004C5EEE"/>
    <w:rsid w:val="004C5F80"/>
    <w:rsid w:val="004C605C"/>
    <w:rsid w:val="004C691F"/>
    <w:rsid w:val="004C7300"/>
    <w:rsid w:val="004D245B"/>
    <w:rsid w:val="004D3171"/>
    <w:rsid w:val="004D3E28"/>
    <w:rsid w:val="004D4D94"/>
    <w:rsid w:val="004D4E6B"/>
    <w:rsid w:val="004D612D"/>
    <w:rsid w:val="004D6389"/>
    <w:rsid w:val="004D7204"/>
    <w:rsid w:val="004E048D"/>
    <w:rsid w:val="004E08E2"/>
    <w:rsid w:val="004E1352"/>
    <w:rsid w:val="004E1D0D"/>
    <w:rsid w:val="004E1D99"/>
    <w:rsid w:val="004E21F4"/>
    <w:rsid w:val="004E261C"/>
    <w:rsid w:val="004E2D61"/>
    <w:rsid w:val="004E3A97"/>
    <w:rsid w:val="004E4CD8"/>
    <w:rsid w:val="004E6391"/>
    <w:rsid w:val="004E6AA6"/>
    <w:rsid w:val="004E6AD7"/>
    <w:rsid w:val="004F0213"/>
    <w:rsid w:val="004F0296"/>
    <w:rsid w:val="004F08D7"/>
    <w:rsid w:val="004F137B"/>
    <w:rsid w:val="004F1647"/>
    <w:rsid w:val="004F1D11"/>
    <w:rsid w:val="004F1F2D"/>
    <w:rsid w:val="004F3548"/>
    <w:rsid w:val="004F3A81"/>
    <w:rsid w:val="004F4642"/>
    <w:rsid w:val="004F4783"/>
    <w:rsid w:val="004F49F5"/>
    <w:rsid w:val="004F4CDD"/>
    <w:rsid w:val="004F507E"/>
    <w:rsid w:val="004F6893"/>
    <w:rsid w:val="004F69F4"/>
    <w:rsid w:val="004F74F8"/>
    <w:rsid w:val="004F7A46"/>
    <w:rsid w:val="004F7FD2"/>
    <w:rsid w:val="00500492"/>
    <w:rsid w:val="00500660"/>
    <w:rsid w:val="00500897"/>
    <w:rsid w:val="00500D27"/>
    <w:rsid w:val="00500DDF"/>
    <w:rsid w:val="005018C4"/>
    <w:rsid w:val="00501F70"/>
    <w:rsid w:val="0050225F"/>
    <w:rsid w:val="0050322E"/>
    <w:rsid w:val="005039EA"/>
    <w:rsid w:val="00503EED"/>
    <w:rsid w:val="00504E09"/>
    <w:rsid w:val="00505A87"/>
    <w:rsid w:val="00506996"/>
    <w:rsid w:val="0050700B"/>
    <w:rsid w:val="0050720E"/>
    <w:rsid w:val="0050791C"/>
    <w:rsid w:val="00510665"/>
    <w:rsid w:val="00510F11"/>
    <w:rsid w:val="0051150E"/>
    <w:rsid w:val="005120E3"/>
    <w:rsid w:val="00512D49"/>
    <w:rsid w:val="00512F32"/>
    <w:rsid w:val="00513282"/>
    <w:rsid w:val="005147D4"/>
    <w:rsid w:val="005147F1"/>
    <w:rsid w:val="005155C2"/>
    <w:rsid w:val="005158CE"/>
    <w:rsid w:val="005158D3"/>
    <w:rsid w:val="00515B4A"/>
    <w:rsid w:val="005175CE"/>
    <w:rsid w:val="00520462"/>
    <w:rsid w:val="00520B1F"/>
    <w:rsid w:val="00520BD5"/>
    <w:rsid w:val="00520C5C"/>
    <w:rsid w:val="0052125A"/>
    <w:rsid w:val="005216B9"/>
    <w:rsid w:val="00521EF0"/>
    <w:rsid w:val="00522275"/>
    <w:rsid w:val="00523EF5"/>
    <w:rsid w:val="0052524B"/>
    <w:rsid w:val="00527281"/>
    <w:rsid w:val="005300B3"/>
    <w:rsid w:val="00530A28"/>
    <w:rsid w:val="00531853"/>
    <w:rsid w:val="00531BC7"/>
    <w:rsid w:val="005325B7"/>
    <w:rsid w:val="005337F9"/>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A56"/>
    <w:rsid w:val="00541C5D"/>
    <w:rsid w:val="00542242"/>
    <w:rsid w:val="00542680"/>
    <w:rsid w:val="005426A4"/>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234"/>
    <w:rsid w:val="00560829"/>
    <w:rsid w:val="00560955"/>
    <w:rsid w:val="00560E06"/>
    <w:rsid w:val="00562599"/>
    <w:rsid w:val="005628F0"/>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BEC"/>
    <w:rsid w:val="00581EA9"/>
    <w:rsid w:val="0058210D"/>
    <w:rsid w:val="00582683"/>
    <w:rsid w:val="00582789"/>
    <w:rsid w:val="00582A88"/>
    <w:rsid w:val="00582CF0"/>
    <w:rsid w:val="005830D8"/>
    <w:rsid w:val="005838E4"/>
    <w:rsid w:val="00583D88"/>
    <w:rsid w:val="00584699"/>
    <w:rsid w:val="00584C31"/>
    <w:rsid w:val="005857D5"/>
    <w:rsid w:val="00585D79"/>
    <w:rsid w:val="005864CF"/>
    <w:rsid w:val="00587BA1"/>
    <w:rsid w:val="00587D6B"/>
    <w:rsid w:val="00587EC5"/>
    <w:rsid w:val="0059021E"/>
    <w:rsid w:val="00591026"/>
    <w:rsid w:val="00592B40"/>
    <w:rsid w:val="00592DC0"/>
    <w:rsid w:val="00593E15"/>
    <w:rsid w:val="005948C3"/>
    <w:rsid w:val="00595F55"/>
    <w:rsid w:val="0059689B"/>
    <w:rsid w:val="00596F76"/>
    <w:rsid w:val="00597033"/>
    <w:rsid w:val="0059720E"/>
    <w:rsid w:val="00597B85"/>
    <w:rsid w:val="005A003D"/>
    <w:rsid w:val="005A0AD9"/>
    <w:rsid w:val="005A104D"/>
    <w:rsid w:val="005A132D"/>
    <w:rsid w:val="005A1660"/>
    <w:rsid w:val="005A22AC"/>
    <w:rsid w:val="005A2B7B"/>
    <w:rsid w:val="005A2EDA"/>
    <w:rsid w:val="005A3431"/>
    <w:rsid w:val="005A3442"/>
    <w:rsid w:val="005A51F9"/>
    <w:rsid w:val="005A6F64"/>
    <w:rsid w:val="005A7A00"/>
    <w:rsid w:val="005A7C24"/>
    <w:rsid w:val="005B0082"/>
    <w:rsid w:val="005B0291"/>
    <w:rsid w:val="005B076D"/>
    <w:rsid w:val="005B148D"/>
    <w:rsid w:val="005B16CB"/>
    <w:rsid w:val="005B190E"/>
    <w:rsid w:val="005B1C10"/>
    <w:rsid w:val="005B1FBA"/>
    <w:rsid w:val="005B24D4"/>
    <w:rsid w:val="005B2621"/>
    <w:rsid w:val="005B319E"/>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1329"/>
    <w:rsid w:val="005D28E9"/>
    <w:rsid w:val="005D2BEF"/>
    <w:rsid w:val="005D4B08"/>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FC9"/>
    <w:rsid w:val="005F3A8F"/>
    <w:rsid w:val="005F47BE"/>
    <w:rsid w:val="005F5713"/>
    <w:rsid w:val="005F5931"/>
    <w:rsid w:val="005F5B0F"/>
    <w:rsid w:val="005F6BF1"/>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3536"/>
    <w:rsid w:val="006136B2"/>
    <w:rsid w:val="00614479"/>
    <w:rsid w:val="006148BB"/>
    <w:rsid w:val="00614A04"/>
    <w:rsid w:val="00614C72"/>
    <w:rsid w:val="006154E8"/>
    <w:rsid w:val="0061590E"/>
    <w:rsid w:val="00617049"/>
    <w:rsid w:val="006172E8"/>
    <w:rsid w:val="006178EA"/>
    <w:rsid w:val="00620881"/>
    <w:rsid w:val="00623092"/>
    <w:rsid w:val="006230EC"/>
    <w:rsid w:val="006232AA"/>
    <w:rsid w:val="0062370D"/>
    <w:rsid w:val="00623920"/>
    <w:rsid w:val="006240C5"/>
    <w:rsid w:val="006243C1"/>
    <w:rsid w:val="00624696"/>
    <w:rsid w:val="00624F9E"/>
    <w:rsid w:val="00625204"/>
    <w:rsid w:val="006255F8"/>
    <w:rsid w:val="00626B7A"/>
    <w:rsid w:val="00627275"/>
    <w:rsid w:val="00631401"/>
    <w:rsid w:val="006315A0"/>
    <w:rsid w:val="00631650"/>
    <w:rsid w:val="00632077"/>
    <w:rsid w:val="006321DB"/>
    <w:rsid w:val="00632D06"/>
    <w:rsid w:val="00635158"/>
    <w:rsid w:val="00635954"/>
    <w:rsid w:val="00635CF4"/>
    <w:rsid w:val="00635DEA"/>
    <w:rsid w:val="00636000"/>
    <w:rsid w:val="0063670E"/>
    <w:rsid w:val="00636DCB"/>
    <w:rsid w:val="00637B6C"/>
    <w:rsid w:val="00637D8F"/>
    <w:rsid w:val="00640D6D"/>
    <w:rsid w:val="0064118E"/>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2702"/>
    <w:rsid w:val="0065325C"/>
    <w:rsid w:val="00653483"/>
    <w:rsid w:val="00653870"/>
    <w:rsid w:val="00653930"/>
    <w:rsid w:val="00655017"/>
    <w:rsid w:val="00655965"/>
    <w:rsid w:val="00655B8A"/>
    <w:rsid w:val="00655FA7"/>
    <w:rsid w:val="00656261"/>
    <w:rsid w:val="00656AAF"/>
    <w:rsid w:val="0065730C"/>
    <w:rsid w:val="006574AF"/>
    <w:rsid w:val="0066014B"/>
    <w:rsid w:val="00660B65"/>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808"/>
    <w:rsid w:val="006831F1"/>
    <w:rsid w:val="00683A3E"/>
    <w:rsid w:val="006859B5"/>
    <w:rsid w:val="006863B4"/>
    <w:rsid w:val="00687A1D"/>
    <w:rsid w:val="006920D7"/>
    <w:rsid w:val="0069222B"/>
    <w:rsid w:val="00692828"/>
    <w:rsid w:val="00692F60"/>
    <w:rsid w:val="006969A2"/>
    <w:rsid w:val="00696A04"/>
    <w:rsid w:val="00697989"/>
    <w:rsid w:val="00697AA5"/>
    <w:rsid w:val="00697C4D"/>
    <w:rsid w:val="006A00CF"/>
    <w:rsid w:val="006A01A3"/>
    <w:rsid w:val="006A0508"/>
    <w:rsid w:val="006A05B1"/>
    <w:rsid w:val="006A0A52"/>
    <w:rsid w:val="006A0CFC"/>
    <w:rsid w:val="006A0E68"/>
    <w:rsid w:val="006A1DE0"/>
    <w:rsid w:val="006A38C2"/>
    <w:rsid w:val="006A3CDE"/>
    <w:rsid w:val="006A40D7"/>
    <w:rsid w:val="006A435D"/>
    <w:rsid w:val="006A54FC"/>
    <w:rsid w:val="006A5ED9"/>
    <w:rsid w:val="006A613C"/>
    <w:rsid w:val="006A617D"/>
    <w:rsid w:val="006A6B33"/>
    <w:rsid w:val="006A6D82"/>
    <w:rsid w:val="006A6E2A"/>
    <w:rsid w:val="006A7669"/>
    <w:rsid w:val="006B0366"/>
    <w:rsid w:val="006B07CE"/>
    <w:rsid w:val="006B1F76"/>
    <w:rsid w:val="006B42F2"/>
    <w:rsid w:val="006B48AC"/>
    <w:rsid w:val="006B4A59"/>
    <w:rsid w:val="006B4CC7"/>
    <w:rsid w:val="006B514D"/>
    <w:rsid w:val="006B5176"/>
    <w:rsid w:val="006B572F"/>
    <w:rsid w:val="006B5805"/>
    <w:rsid w:val="006B5E83"/>
    <w:rsid w:val="006B613D"/>
    <w:rsid w:val="006B7C2A"/>
    <w:rsid w:val="006B7CEF"/>
    <w:rsid w:val="006C03CC"/>
    <w:rsid w:val="006C04B8"/>
    <w:rsid w:val="006C0BBF"/>
    <w:rsid w:val="006C0DCF"/>
    <w:rsid w:val="006C1440"/>
    <w:rsid w:val="006C1461"/>
    <w:rsid w:val="006C230A"/>
    <w:rsid w:val="006C300F"/>
    <w:rsid w:val="006C313D"/>
    <w:rsid w:val="006C36C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C21"/>
    <w:rsid w:val="006D6167"/>
    <w:rsid w:val="006D6BC4"/>
    <w:rsid w:val="006E0140"/>
    <w:rsid w:val="006E1038"/>
    <w:rsid w:val="006E13D2"/>
    <w:rsid w:val="006E14F7"/>
    <w:rsid w:val="006E1AF1"/>
    <w:rsid w:val="006E2219"/>
    <w:rsid w:val="006E37F7"/>
    <w:rsid w:val="006E3A8C"/>
    <w:rsid w:val="006E670C"/>
    <w:rsid w:val="006E6771"/>
    <w:rsid w:val="006E73DC"/>
    <w:rsid w:val="006E799E"/>
    <w:rsid w:val="006E7A2B"/>
    <w:rsid w:val="006E7BAE"/>
    <w:rsid w:val="006F0DAA"/>
    <w:rsid w:val="006F184B"/>
    <w:rsid w:val="006F1B89"/>
    <w:rsid w:val="006F1C41"/>
    <w:rsid w:val="006F36F2"/>
    <w:rsid w:val="006F389C"/>
    <w:rsid w:val="006F4F5C"/>
    <w:rsid w:val="006F4FA6"/>
    <w:rsid w:val="006F5808"/>
    <w:rsid w:val="006F5C50"/>
    <w:rsid w:val="006F5DC7"/>
    <w:rsid w:val="006F61FC"/>
    <w:rsid w:val="006F781F"/>
    <w:rsid w:val="00700122"/>
    <w:rsid w:val="0070026D"/>
    <w:rsid w:val="007004AF"/>
    <w:rsid w:val="0070109F"/>
    <w:rsid w:val="00701176"/>
    <w:rsid w:val="00701C17"/>
    <w:rsid w:val="00701EE2"/>
    <w:rsid w:val="007021F9"/>
    <w:rsid w:val="00702672"/>
    <w:rsid w:val="00702E51"/>
    <w:rsid w:val="00703160"/>
    <w:rsid w:val="00703354"/>
    <w:rsid w:val="00703B24"/>
    <w:rsid w:val="00704580"/>
    <w:rsid w:val="00705974"/>
    <w:rsid w:val="00706507"/>
    <w:rsid w:val="00706F03"/>
    <w:rsid w:val="00707C9A"/>
    <w:rsid w:val="00710068"/>
    <w:rsid w:val="00710331"/>
    <w:rsid w:val="00710BC8"/>
    <w:rsid w:val="007119EE"/>
    <w:rsid w:val="00711F72"/>
    <w:rsid w:val="007125FF"/>
    <w:rsid w:val="00712CB5"/>
    <w:rsid w:val="00714371"/>
    <w:rsid w:val="00714FD3"/>
    <w:rsid w:val="00715B01"/>
    <w:rsid w:val="00715DBB"/>
    <w:rsid w:val="007166A8"/>
    <w:rsid w:val="00716B34"/>
    <w:rsid w:val="007173EB"/>
    <w:rsid w:val="00717913"/>
    <w:rsid w:val="00717C1D"/>
    <w:rsid w:val="00721238"/>
    <w:rsid w:val="00721588"/>
    <w:rsid w:val="007215C3"/>
    <w:rsid w:val="0072194F"/>
    <w:rsid w:val="00721D7E"/>
    <w:rsid w:val="007227C4"/>
    <w:rsid w:val="00722AE2"/>
    <w:rsid w:val="007261DB"/>
    <w:rsid w:val="007261FD"/>
    <w:rsid w:val="0072621F"/>
    <w:rsid w:val="00726736"/>
    <w:rsid w:val="0072726D"/>
    <w:rsid w:val="007279DE"/>
    <w:rsid w:val="007308B5"/>
    <w:rsid w:val="00730A57"/>
    <w:rsid w:val="00730F12"/>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069"/>
    <w:rsid w:val="007471DF"/>
    <w:rsid w:val="0074799D"/>
    <w:rsid w:val="00747DA1"/>
    <w:rsid w:val="007504C7"/>
    <w:rsid w:val="0075113A"/>
    <w:rsid w:val="007517F7"/>
    <w:rsid w:val="00751DF6"/>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F20"/>
    <w:rsid w:val="007633B8"/>
    <w:rsid w:val="007634A9"/>
    <w:rsid w:val="007636DC"/>
    <w:rsid w:val="007651D7"/>
    <w:rsid w:val="007654BF"/>
    <w:rsid w:val="00765F2C"/>
    <w:rsid w:val="00766CD5"/>
    <w:rsid w:val="00766EE1"/>
    <w:rsid w:val="007672C5"/>
    <w:rsid w:val="00767D4E"/>
    <w:rsid w:val="007701D9"/>
    <w:rsid w:val="00771911"/>
    <w:rsid w:val="007719E9"/>
    <w:rsid w:val="00771DC4"/>
    <w:rsid w:val="007720C8"/>
    <w:rsid w:val="007724DC"/>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56B"/>
    <w:rsid w:val="00782D68"/>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9C9"/>
    <w:rsid w:val="007A4BE7"/>
    <w:rsid w:val="007A4C0D"/>
    <w:rsid w:val="007A509B"/>
    <w:rsid w:val="007A63A7"/>
    <w:rsid w:val="007A6441"/>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4E7"/>
    <w:rsid w:val="007B32F3"/>
    <w:rsid w:val="007B32FE"/>
    <w:rsid w:val="007B39C3"/>
    <w:rsid w:val="007B3D3A"/>
    <w:rsid w:val="007B4BD1"/>
    <w:rsid w:val="007B4C63"/>
    <w:rsid w:val="007B4D76"/>
    <w:rsid w:val="007B4E5D"/>
    <w:rsid w:val="007B5CC5"/>
    <w:rsid w:val="007B657B"/>
    <w:rsid w:val="007B6A49"/>
    <w:rsid w:val="007B6C1F"/>
    <w:rsid w:val="007B7612"/>
    <w:rsid w:val="007C0ACF"/>
    <w:rsid w:val="007C0AE0"/>
    <w:rsid w:val="007C21DC"/>
    <w:rsid w:val="007C2910"/>
    <w:rsid w:val="007C2CDE"/>
    <w:rsid w:val="007C4152"/>
    <w:rsid w:val="007C4481"/>
    <w:rsid w:val="007C4FA0"/>
    <w:rsid w:val="007C5794"/>
    <w:rsid w:val="007C5A92"/>
    <w:rsid w:val="007C6359"/>
    <w:rsid w:val="007C6C65"/>
    <w:rsid w:val="007C79F6"/>
    <w:rsid w:val="007D02C7"/>
    <w:rsid w:val="007D0593"/>
    <w:rsid w:val="007D08A9"/>
    <w:rsid w:val="007D09D7"/>
    <w:rsid w:val="007D0A28"/>
    <w:rsid w:val="007D0F97"/>
    <w:rsid w:val="007D1AF6"/>
    <w:rsid w:val="007D36C2"/>
    <w:rsid w:val="007D4AD4"/>
    <w:rsid w:val="007D5B04"/>
    <w:rsid w:val="007D5F75"/>
    <w:rsid w:val="007D6A54"/>
    <w:rsid w:val="007D6BFA"/>
    <w:rsid w:val="007D7C0A"/>
    <w:rsid w:val="007E02F3"/>
    <w:rsid w:val="007E0D79"/>
    <w:rsid w:val="007E10F1"/>
    <w:rsid w:val="007E214D"/>
    <w:rsid w:val="007E27E6"/>
    <w:rsid w:val="007E3984"/>
    <w:rsid w:val="007E4EBE"/>
    <w:rsid w:val="007E5302"/>
    <w:rsid w:val="007E5D88"/>
    <w:rsid w:val="007E6300"/>
    <w:rsid w:val="007E6367"/>
    <w:rsid w:val="007E6EAB"/>
    <w:rsid w:val="007E77CA"/>
    <w:rsid w:val="007E7BFA"/>
    <w:rsid w:val="007F0DC8"/>
    <w:rsid w:val="007F2E15"/>
    <w:rsid w:val="007F4749"/>
    <w:rsid w:val="007F4E4C"/>
    <w:rsid w:val="007F54C7"/>
    <w:rsid w:val="007F59FE"/>
    <w:rsid w:val="007F5BF5"/>
    <w:rsid w:val="007F64F1"/>
    <w:rsid w:val="007F67A3"/>
    <w:rsid w:val="007F689F"/>
    <w:rsid w:val="007F69DB"/>
    <w:rsid w:val="007F71DC"/>
    <w:rsid w:val="007F7314"/>
    <w:rsid w:val="007F7EBF"/>
    <w:rsid w:val="00800774"/>
    <w:rsid w:val="00800BC2"/>
    <w:rsid w:val="00800BD6"/>
    <w:rsid w:val="008010F4"/>
    <w:rsid w:val="008014EF"/>
    <w:rsid w:val="00801B0D"/>
    <w:rsid w:val="00802816"/>
    <w:rsid w:val="008033DF"/>
    <w:rsid w:val="00803541"/>
    <w:rsid w:val="00803F9D"/>
    <w:rsid w:val="00805CC8"/>
    <w:rsid w:val="008062FB"/>
    <w:rsid w:val="00806BDA"/>
    <w:rsid w:val="0080708E"/>
    <w:rsid w:val="00807898"/>
    <w:rsid w:val="00807BE2"/>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203EC"/>
    <w:rsid w:val="0082040A"/>
    <w:rsid w:val="00820CE4"/>
    <w:rsid w:val="008210D5"/>
    <w:rsid w:val="008217FE"/>
    <w:rsid w:val="00822EEF"/>
    <w:rsid w:val="008238CE"/>
    <w:rsid w:val="00825308"/>
    <w:rsid w:val="00825BCA"/>
    <w:rsid w:val="00825CF0"/>
    <w:rsid w:val="00825F1E"/>
    <w:rsid w:val="0082706A"/>
    <w:rsid w:val="00827576"/>
    <w:rsid w:val="00827F24"/>
    <w:rsid w:val="008309DD"/>
    <w:rsid w:val="008335AD"/>
    <w:rsid w:val="0083435F"/>
    <w:rsid w:val="0083471E"/>
    <w:rsid w:val="00834AA4"/>
    <w:rsid w:val="00834AE2"/>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FB9"/>
    <w:rsid w:val="0084745D"/>
    <w:rsid w:val="00847AF9"/>
    <w:rsid w:val="00850683"/>
    <w:rsid w:val="00852091"/>
    <w:rsid w:val="008521F8"/>
    <w:rsid w:val="008522D6"/>
    <w:rsid w:val="008534C4"/>
    <w:rsid w:val="00853EFA"/>
    <w:rsid w:val="00854E31"/>
    <w:rsid w:val="00854EDF"/>
    <w:rsid w:val="008560C8"/>
    <w:rsid w:val="00856CEA"/>
    <w:rsid w:val="00856E60"/>
    <w:rsid w:val="008600B6"/>
    <w:rsid w:val="00861DC4"/>
    <w:rsid w:val="00861EBD"/>
    <w:rsid w:val="00862211"/>
    <w:rsid w:val="00862FE6"/>
    <w:rsid w:val="008638A1"/>
    <w:rsid w:val="008669D9"/>
    <w:rsid w:val="00866E79"/>
    <w:rsid w:val="008678D5"/>
    <w:rsid w:val="00867F7E"/>
    <w:rsid w:val="0087072B"/>
    <w:rsid w:val="00870891"/>
    <w:rsid w:val="00871944"/>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311F"/>
    <w:rsid w:val="008931A3"/>
    <w:rsid w:val="008935AD"/>
    <w:rsid w:val="008936EC"/>
    <w:rsid w:val="00893E36"/>
    <w:rsid w:val="00895503"/>
    <w:rsid w:val="008955E3"/>
    <w:rsid w:val="00895784"/>
    <w:rsid w:val="00895ECB"/>
    <w:rsid w:val="00895FF0"/>
    <w:rsid w:val="0089630A"/>
    <w:rsid w:val="00896811"/>
    <w:rsid w:val="00896C1C"/>
    <w:rsid w:val="008976EC"/>
    <w:rsid w:val="008A04C3"/>
    <w:rsid w:val="008A06CD"/>
    <w:rsid w:val="008A0A9D"/>
    <w:rsid w:val="008A1150"/>
    <w:rsid w:val="008A319E"/>
    <w:rsid w:val="008A3B11"/>
    <w:rsid w:val="008A49F4"/>
    <w:rsid w:val="008A4E99"/>
    <w:rsid w:val="008A621F"/>
    <w:rsid w:val="008A636F"/>
    <w:rsid w:val="008A6555"/>
    <w:rsid w:val="008A7377"/>
    <w:rsid w:val="008A7407"/>
    <w:rsid w:val="008A7715"/>
    <w:rsid w:val="008B05E6"/>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4FF"/>
    <w:rsid w:val="008C5E6A"/>
    <w:rsid w:val="008C63B4"/>
    <w:rsid w:val="008C684D"/>
    <w:rsid w:val="008C6F2F"/>
    <w:rsid w:val="008C7624"/>
    <w:rsid w:val="008C7695"/>
    <w:rsid w:val="008D0EB9"/>
    <w:rsid w:val="008D1255"/>
    <w:rsid w:val="008D1974"/>
    <w:rsid w:val="008D1AE9"/>
    <w:rsid w:val="008D247F"/>
    <w:rsid w:val="008D26CD"/>
    <w:rsid w:val="008D284E"/>
    <w:rsid w:val="008D2AE4"/>
    <w:rsid w:val="008D2D7D"/>
    <w:rsid w:val="008D3E44"/>
    <w:rsid w:val="008D42CE"/>
    <w:rsid w:val="008D5624"/>
    <w:rsid w:val="008D5B1D"/>
    <w:rsid w:val="008D5EDD"/>
    <w:rsid w:val="008D6C87"/>
    <w:rsid w:val="008D6DCF"/>
    <w:rsid w:val="008D7FB2"/>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2665"/>
    <w:rsid w:val="009029E6"/>
    <w:rsid w:val="00903A6E"/>
    <w:rsid w:val="00905688"/>
    <w:rsid w:val="009060AF"/>
    <w:rsid w:val="00906706"/>
    <w:rsid w:val="009070EE"/>
    <w:rsid w:val="009078E4"/>
    <w:rsid w:val="009101C0"/>
    <w:rsid w:val="00910240"/>
    <w:rsid w:val="009111E9"/>
    <w:rsid w:val="009114B0"/>
    <w:rsid w:val="00911B8A"/>
    <w:rsid w:val="009127A0"/>
    <w:rsid w:val="00912BB5"/>
    <w:rsid w:val="00912C31"/>
    <w:rsid w:val="0091351A"/>
    <w:rsid w:val="00913A57"/>
    <w:rsid w:val="00913BAF"/>
    <w:rsid w:val="00914497"/>
    <w:rsid w:val="009145FE"/>
    <w:rsid w:val="00914974"/>
    <w:rsid w:val="00914AD6"/>
    <w:rsid w:val="00915CF4"/>
    <w:rsid w:val="00915E8F"/>
    <w:rsid w:val="00916095"/>
    <w:rsid w:val="0091630C"/>
    <w:rsid w:val="0091642F"/>
    <w:rsid w:val="00917266"/>
    <w:rsid w:val="009176DF"/>
    <w:rsid w:val="00920CD8"/>
    <w:rsid w:val="0092124F"/>
    <w:rsid w:val="00923489"/>
    <w:rsid w:val="00924781"/>
    <w:rsid w:val="00924A5A"/>
    <w:rsid w:val="009256A6"/>
    <w:rsid w:val="00926E6B"/>
    <w:rsid w:val="009274E8"/>
    <w:rsid w:val="009275CA"/>
    <w:rsid w:val="00927DC4"/>
    <w:rsid w:val="00930241"/>
    <w:rsid w:val="009302D3"/>
    <w:rsid w:val="00930973"/>
    <w:rsid w:val="00930A57"/>
    <w:rsid w:val="009316D2"/>
    <w:rsid w:val="009328EC"/>
    <w:rsid w:val="009332C6"/>
    <w:rsid w:val="009336F1"/>
    <w:rsid w:val="009339BB"/>
    <w:rsid w:val="00933CB7"/>
    <w:rsid w:val="00934181"/>
    <w:rsid w:val="0093422D"/>
    <w:rsid w:val="00934346"/>
    <w:rsid w:val="00934F0E"/>
    <w:rsid w:val="00935CC3"/>
    <w:rsid w:val="009362E0"/>
    <w:rsid w:val="009366C7"/>
    <w:rsid w:val="00936C60"/>
    <w:rsid w:val="0093735C"/>
    <w:rsid w:val="00937A5F"/>
    <w:rsid w:val="00940A01"/>
    <w:rsid w:val="00940A9D"/>
    <w:rsid w:val="00940BE1"/>
    <w:rsid w:val="00940C4B"/>
    <w:rsid w:val="00940DA0"/>
    <w:rsid w:val="00941348"/>
    <w:rsid w:val="0094178B"/>
    <w:rsid w:val="00941984"/>
    <w:rsid w:val="00942227"/>
    <w:rsid w:val="00942D67"/>
    <w:rsid w:val="009444FC"/>
    <w:rsid w:val="00944A92"/>
    <w:rsid w:val="00944CD5"/>
    <w:rsid w:val="00945181"/>
    <w:rsid w:val="00945404"/>
    <w:rsid w:val="00945B50"/>
    <w:rsid w:val="0094608F"/>
    <w:rsid w:val="009471E1"/>
    <w:rsid w:val="00947472"/>
    <w:rsid w:val="009477EC"/>
    <w:rsid w:val="00950070"/>
    <w:rsid w:val="009503BD"/>
    <w:rsid w:val="009512A4"/>
    <w:rsid w:val="00951ADB"/>
    <w:rsid w:val="0095288A"/>
    <w:rsid w:val="00954B63"/>
    <w:rsid w:val="009552B0"/>
    <w:rsid w:val="009556EF"/>
    <w:rsid w:val="0095571A"/>
    <w:rsid w:val="00955944"/>
    <w:rsid w:val="0095614F"/>
    <w:rsid w:val="0095755E"/>
    <w:rsid w:val="00961361"/>
    <w:rsid w:val="00961713"/>
    <w:rsid w:val="00961D62"/>
    <w:rsid w:val="00961F81"/>
    <w:rsid w:val="00962352"/>
    <w:rsid w:val="009624CA"/>
    <w:rsid w:val="009626A9"/>
    <w:rsid w:val="00962EFE"/>
    <w:rsid w:val="00963F2D"/>
    <w:rsid w:val="00964526"/>
    <w:rsid w:val="00965F00"/>
    <w:rsid w:val="009660F5"/>
    <w:rsid w:val="009679A1"/>
    <w:rsid w:val="00967A43"/>
    <w:rsid w:val="00970D3A"/>
    <w:rsid w:val="00970EDA"/>
    <w:rsid w:val="00971534"/>
    <w:rsid w:val="00972571"/>
    <w:rsid w:val="00972814"/>
    <w:rsid w:val="00973CD8"/>
    <w:rsid w:val="00974B67"/>
    <w:rsid w:val="00975512"/>
    <w:rsid w:val="009761DA"/>
    <w:rsid w:val="0097641E"/>
    <w:rsid w:val="00976F39"/>
    <w:rsid w:val="009810C3"/>
    <w:rsid w:val="00981F9E"/>
    <w:rsid w:val="00982CAC"/>
    <w:rsid w:val="00982CB8"/>
    <w:rsid w:val="009834DE"/>
    <w:rsid w:val="009837DC"/>
    <w:rsid w:val="009844B2"/>
    <w:rsid w:val="00984543"/>
    <w:rsid w:val="00984622"/>
    <w:rsid w:val="00984AC6"/>
    <w:rsid w:val="00985343"/>
    <w:rsid w:val="009863B7"/>
    <w:rsid w:val="00986649"/>
    <w:rsid w:val="00986747"/>
    <w:rsid w:val="00987DDA"/>
    <w:rsid w:val="00987F82"/>
    <w:rsid w:val="0099002B"/>
    <w:rsid w:val="009907B2"/>
    <w:rsid w:val="00990E3B"/>
    <w:rsid w:val="0099151F"/>
    <w:rsid w:val="00991FBD"/>
    <w:rsid w:val="0099202A"/>
    <w:rsid w:val="00992A3D"/>
    <w:rsid w:val="0099333E"/>
    <w:rsid w:val="00994A07"/>
    <w:rsid w:val="00994C67"/>
    <w:rsid w:val="00995391"/>
    <w:rsid w:val="00997D6C"/>
    <w:rsid w:val="009A00E9"/>
    <w:rsid w:val="009A0A78"/>
    <w:rsid w:val="009A1469"/>
    <w:rsid w:val="009A1696"/>
    <w:rsid w:val="009A2A3D"/>
    <w:rsid w:val="009A447E"/>
    <w:rsid w:val="009A476E"/>
    <w:rsid w:val="009A4F07"/>
    <w:rsid w:val="009A58D3"/>
    <w:rsid w:val="009A7161"/>
    <w:rsid w:val="009A724E"/>
    <w:rsid w:val="009A76EC"/>
    <w:rsid w:val="009B087E"/>
    <w:rsid w:val="009B1157"/>
    <w:rsid w:val="009B16A4"/>
    <w:rsid w:val="009B1C07"/>
    <w:rsid w:val="009B2EC5"/>
    <w:rsid w:val="009B2F52"/>
    <w:rsid w:val="009B3084"/>
    <w:rsid w:val="009B3719"/>
    <w:rsid w:val="009B38E5"/>
    <w:rsid w:val="009B3F52"/>
    <w:rsid w:val="009B408D"/>
    <w:rsid w:val="009B44F9"/>
    <w:rsid w:val="009B4842"/>
    <w:rsid w:val="009B570E"/>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C7D40"/>
    <w:rsid w:val="009D03C5"/>
    <w:rsid w:val="009D0F19"/>
    <w:rsid w:val="009D0F5C"/>
    <w:rsid w:val="009D1442"/>
    <w:rsid w:val="009D1B43"/>
    <w:rsid w:val="009D2290"/>
    <w:rsid w:val="009D2EA6"/>
    <w:rsid w:val="009D304F"/>
    <w:rsid w:val="009D48C1"/>
    <w:rsid w:val="009D4B6C"/>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DDB"/>
    <w:rsid w:val="009F3F36"/>
    <w:rsid w:val="009F517F"/>
    <w:rsid w:val="009F5CFF"/>
    <w:rsid w:val="009F7751"/>
    <w:rsid w:val="009F7B62"/>
    <w:rsid w:val="009F7C20"/>
    <w:rsid w:val="00A0008A"/>
    <w:rsid w:val="00A00479"/>
    <w:rsid w:val="00A00C7F"/>
    <w:rsid w:val="00A01252"/>
    <w:rsid w:val="00A0161C"/>
    <w:rsid w:val="00A01900"/>
    <w:rsid w:val="00A03E0E"/>
    <w:rsid w:val="00A04C78"/>
    <w:rsid w:val="00A0509D"/>
    <w:rsid w:val="00A057AD"/>
    <w:rsid w:val="00A0634C"/>
    <w:rsid w:val="00A078C4"/>
    <w:rsid w:val="00A07E1B"/>
    <w:rsid w:val="00A10DDB"/>
    <w:rsid w:val="00A10F9D"/>
    <w:rsid w:val="00A111E8"/>
    <w:rsid w:val="00A114A0"/>
    <w:rsid w:val="00A12002"/>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206A9"/>
    <w:rsid w:val="00A20D76"/>
    <w:rsid w:val="00A2213E"/>
    <w:rsid w:val="00A223C9"/>
    <w:rsid w:val="00A22C91"/>
    <w:rsid w:val="00A2373B"/>
    <w:rsid w:val="00A23C6E"/>
    <w:rsid w:val="00A2400B"/>
    <w:rsid w:val="00A24B51"/>
    <w:rsid w:val="00A24F37"/>
    <w:rsid w:val="00A26227"/>
    <w:rsid w:val="00A26522"/>
    <w:rsid w:val="00A26AF1"/>
    <w:rsid w:val="00A26DA3"/>
    <w:rsid w:val="00A26DB3"/>
    <w:rsid w:val="00A26EF4"/>
    <w:rsid w:val="00A26F53"/>
    <w:rsid w:val="00A270CB"/>
    <w:rsid w:val="00A27439"/>
    <w:rsid w:val="00A30109"/>
    <w:rsid w:val="00A30284"/>
    <w:rsid w:val="00A30605"/>
    <w:rsid w:val="00A3095C"/>
    <w:rsid w:val="00A30F0F"/>
    <w:rsid w:val="00A315E7"/>
    <w:rsid w:val="00A32686"/>
    <w:rsid w:val="00A334B8"/>
    <w:rsid w:val="00A34BE1"/>
    <w:rsid w:val="00A34BE2"/>
    <w:rsid w:val="00A3528D"/>
    <w:rsid w:val="00A35325"/>
    <w:rsid w:val="00A3592B"/>
    <w:rsid w:val="00A35BA0"/>
    <w:rsid w:val="00A36116"/>
    <w:rsid w:val="00A366BC"/>
    <w:rsid w:val="00A36771"/>
    <w:rsid w:val="00A37F5E"/>
    <w:rsid w:val="00A41049"/>
    <w:rsid w:val="00A411F4"/>
    <w:rsid w:val="00A4148C"/>
    <w:rsid w:val="00A42468"/>
    <w:rsid w:val="00A43876"/>
    <w:rsid w:val="00A43940"/>
    <w:rsid w:val="00A44183"/>
    <w:rsid w:val="00A44EB6"/>
    <w:rsid w:val="00A451C5"/>
    <w:rsid w:val="00A45622"/>
    <w:rsid w:val="00A4589A"/>
    <w:rsid w:val="00A45EBD"/>
    <w:rsid w:val="00A47812"/>
    <w:rsid w:val="00A47840"/>
    <w:rsid w:val="00A47C6E"/>
    <w:rsid w:val="00A50537"/>
    <w:rsid w:val="00A50BA5"/>
    <w:rsid w:val="00A51227"/>
    <w:rsid w:val="00A52222"/>
    <w:rsid w:val="00A525BF"/>
    <w:rsid w:val="00A526B4"/>
    <w:rsid w:val="00A527EE"/>
    <w:rsid w:val="00A53BB6"/>
    <w:rsid w:val="00A54AE4"/>
    <w:rsid w:val="00A54C0F"/>
    <w:rsid w:val="00A54EA5"/>
    <w:rsid w:val="00A5561F"/>
    <w:rsid w:val="00A5573C"/>
    <w:rsid w:val="00A6138B"/>
    <w:rsid w:val="00A618C9"/>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204E"/>
    <w:rsid w:val="00A72141"/>
    <w:rsid w:val="00A72719"/>
    <w:rsid w:val="00A728D5"/>
    <w:rsid w:val="00A72975"/>
    <w:rsid w:val="00A72FDD"/>
    <w:rsid w:val="00A73341"/>
    <w:rsid w:val="00A733BC"/>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647"/>
    <w:rsid w:val="00A8577A"/>
    <w:rsid w:val="00A857D7"/>
    <w:rsid w:val="00A8694E"/>
    <w:rsid w:val="00A87A19"/>
    <w:rsid w:val="00A90D38"/>
    <w:rsid w:val="00A90FFD"/>
    <w:rsid w:val="00A91658"/>
    <w:rsid w:val="00A92D89"/>
    <w:rsid w:val="00A9357D"/>
    <w:rsid w:val="00A93BC5"/>
    <w:rsid w:val="00A940FE"/>
    <w:rsid w:val="00A94DA3"/>
    <w:rsid w:val="00A96310"/>
    <w:rsid w:val="00A96865"/>
    <w:rsid w:val="00A96B8F"/>
    <w:rsid w:val="00A9794E"/>
    <w:rsid w:val="00A97E7B"/>
    <w:rsid w:val="00AA039C"/>
    <w:rsid w:val="00AA1722"/>
    <w:rsid w:val="00AA1901"/>
    <w:rsid w:val="00AA2C44"/>
    <w:rsid w:val="00AA41E3"/>
    <w:rsid w:val="00AA4C6D"/>
    <w:rsid w:val="00AA5044"/>
    <w:rsid w:val="00AA5067"/>
    <w:rsid w:val="00AA53D5"/>
    <w:rsid w:val="00AA6116"/>
    <w:rsid w:val="00AA6E1C"/>
    <w:rsid w:val="00AA7460"/>
    <w:rsid w:val="00AA7521"/>
    <w:rsid w:val="00AA7F13"/>
    <w:rsid w:val="00AB0C18"/>
    <w:rsid w:val="00AB1716"/>
    <w:rsid w:val="00AB1AAA"/>
    <w:rsid w:val="00AB24A8"/>
    <w:rsid w:val="00AB27B0"/>
    <w:rsid w:val="00AB3329"/>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FCE"/>
    <w:rsid w:val="00AD255F"/>
    <w:rsid w:val="00AD2EEA"/>
    <w:rsid w:val="00AD4B79"/>
    <w:rsid w:val="00AD4DB2"/>
    <w:rsid w:val="00AD5B23"/>
    <w:rsid w:val="00AD6B53"/>
    <w:rsid w:val="00AD6EBB"/>
    <w:rsid w:val="00AD7CBD"/>
    <w:rsid w:val="00AE03AF"/>
    <w:rsid w:val="00AE0BB1"/>
    <w:rsid w:val="00AE0F75"/>
    <w:rsid w:val="00AE0FB6"/>
    <w:rsid w:val="00AE1C12"/>
    <w:rsid w:val="00AE3718"/>
    <w:rsid w:val="00AE39DB"/>
    <w:rsid w:val="00AE3A63"/>
    <w:rsid w:val="00AE4021"/>
    <w:rsid w:val="00AE4E92"/>
    <w:rsid w:val="00AE53C9"/>
    <w:rsid w:val="00AE5E8E"/>
    <w:rsid w:val="00AE613F"/>
    <w:rsid w:val="00AE6B98"/>
    <w:rsid w:val="00AE6C75"/>
    <w:rsid w:val="00AE6ED8"/>
    <w:rsid w:val="00AE7F7E"/>
    <w:rsid w:val="00AF0716"/>
    <w:rsid w:val="00AF0D56"/>
    <w:rsid w:val="00AF0F10"/>
    <w:rsid w:val="00AF1C4B"/>
    <w:rsid w:val="00AF3C2D"/>
    <w:rsid w:val="00AF3D09"/>
    <w:rsid w:val="00AF443A"/>
    <w:rsid w:val="00AF4A62"/>
    <w:rsid w:val="00AF4CD2"/>
    <w:rsid w:val="00AF57D3"/>
    <w:rsid w:val="00AF5844"/>
    <w:rsid w:val="00AF5870"/>
    <w:rsid w:val="00AF5D55"/>
    <w:rsid w:val="00AF672F"/>
    <w:rsid w:val="00AF76E1"/>
    <w:rsid w:val="00B00226"/>
    <w:rsid w:val="00B0190A"/>
    <w:rsid w:val="00B01EFE"/>
    <w:rsid w:val="00B04306"/>
    <w:rsid w:val="00B059D9"/>
    <w:rsid w:val="00B05B6F"/>
    <w:rsid w:val="00B05CF2"/>
    <w:rsid w:val="00B06B88"/>
    <w:rsid w:val="00B06CDB"/>
    <w:rsid w:val="00B10257"/>
    <w:rsid w:val="00B1137C"/>
    <w:rsid w:val="00B113A8"/>
    <w:rsid w:val="00B11CEC"/>
    <w:rsid w:val="00B11D2B"/>
    <w:rsid w:val="00B125AD"/>
    <w:rsid w:val="00B12722"/>
    <w:rsid w:val="00B133A3"/>
    <w:rsid w:val="00B135DD"/>
    <w:rsid w:val="00B13664"/>
    <w:rsid w:val="00B13A1D"/>
    <w:rsid w:val="00B14EE0"/>
    <w:rsid w:val="00B15439"/>
    <w:rsid w:val="00B15817"/>
    <w:rsid w:val="00B15D8D"/>
    <w:rsid w:val="00B16E5D"/>
    <w:rsid w:val="00B20DC5"/>
    <w:rsid w:val="00B21158"/>
    <w:rsid w:val="00B214C3"/>
    <w:rsid w:val="00B214EB"/>
    <w:rsid w:val="00B2186F"/>
    <w:rsid w:val="00B223EC"/>
    <w:rsid w:val="00B22489"/>
    <w:rsid w:val="00B2297B"/>
    <w:rsid w:val="00B22B79"/>
    <w:rsid w:val="00B23556"/>
    <w:rsid w:val="00B23D6A"/>
    <w:rsid w:val="00B23EE2"/>
    <w:rsid w:val="00B2509F"/>
    <w:rsid w:val="00B26B2B"/>
    <w:rsid w:val="00B26C51"/>
    <w:rsid w:val="00B27998"/>
    <w:rsid w:val="00B30961"/>
    <w:rsid w:val="00B31306"/>
    <w:rsid w:val="00B325FA"/>
    <w:rsid w:val="00B327E7"/>
    <w:rsid w:val="00B32F68"/>
    <w:rsid w:val="00B334CE"/>
    <w:rsid w:val="00B338CF"/>
    <w:rsid w:val="00B35073"/>
    <w:rsid w:val="00B355EC"/>
    <w:rsid w:val="00B35EAE"/>
    <w:rsid w:val="00B36337"/>
    <w:rsid w:val="00B365B4"/>
    <w:rsid w:val="00B373E7"/>
    <w:rsid w:val="00B40346"/>
    <w:rsid w:val="00B40E54"/>
    <w:rsid w:val="00B41C87"/>
    <w:rsid w:val="00B425AD"/>
    <w:rsid w:val="00B42858"/>
    <w:rsid w:val="00B428E2"/>
    <w:rsid w:val="00B44865"/>
    <w:rsid w:val="00B45B9A"/>
    <w:rsid w:val="00B460B8"/>
    <w:rsid w:val="00B4647C"/>
    <w:rsid w:val="00B46E6F"/>
    <w:rsid w:val="00B47709"/>
    <w:rsid w:val="00B47B84"/>
    <w:rsid w:val="00B506D6"/>
    <w:rsid w:val="00B50D80"/>
    <w:rsid w:val="00B50EF5"/>
    <w:rsid w:val="00B5113C"/>
    <w:rsid w:val="00B520A5"/>
    <w:rsid w:val="00B521BC"/>
    <w:rsid w:val="00B52804"/>
    <w:rsid w:val="00B52E1C"/>
    <w:rsid w:val="00B530E5"/>
    <w:rsid w:val="00B537B6"/>
    <w:rsid w:val="00B53A5E"/>
    <w:rsid w:val="00B53EF0"/>
    <w:rsid w:val="00B5639F"/>
    <w:rsid w:val="00B56703"/>
    <w:rsid w:val="00B56751"/>
    <w:rsid w:val="00B567B7"/>
    <w:rsid w:val="00B57A17"/>
    <w:rsid w:val="00B57B0F"/>
    <w:rsid w:val="00B57F27"/>
    <w:rsid w:val="00B60560"/>
    <w:rsid w:val="00B609D4"/>
    <w:rsid w:val="00B61056"/>
    <w:rsid w:val="00B62DCD"/>
    <w:rsid w:val="00B63C34"/>
    <w:rsid w:val="00B63E4F"/>
    <w:rsid w:val="00B64CE4"/>
    <w:rsid w:val="00B65DAB"/>
    <w:rsid w:val="00B65FA9"/>
    <w:rsid w:val="00B66D03"/>
    <w:rsid w:val="00B66EC9"/>
    <w:rsid w:val="00B673D3"/>
    <w:rsid w:val="00B6777E"/>
    <w:rsid w:val="00B6779B"/>
    <w:rsid w:val="00B67C82"/>
    <w:rsid w:val="00B70A77"/>
    <w:rsid w:val="00B70F0C"/>
    <w:rsid w:val="00B71624"/>
    <w:rsid w:val="00B72168"/>
    <w:rsid w:val="00B7239C"/>
    <w:rsid w:val="00B72573"/>
    <w:rsid w:val="00B725E3"/>
    <w:rsid w:val="00B732BB"/>
    <w:rsid w:val="00B73901"/>
    <w:rsid w:val="00B75439"/>
    <w:rsid w:val="00B75C16"/>
    <w:rsid w:val="00B76066"/>
    <w:rsid w:val="00B7681C"/>
    <w:rsid w:val="00B80671"/>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336"/>
    <w:rsid w:val="00B91236"/>
    <w:rsid w:val="00B91497"/>
    <w:rsid w:val="00B916F2"/>
    <w:rsid w:val="00B91DF5"/>
    <w:rsid w:val="00B91E4F"/>
    <w:rsid w:val="00B928A8"/>
    <w:rsid w:val="00B932F1"/>
    <w:rsid w:val="00B953E8"/>
    <w:rsid w:val="00B95842"/>
    <w:rsid w:val="00B95D52"/>
    <w:rsid w:val="00B961AF"/>
    <w:rsid w:val="00B9643F"/>
    <w:rsid w:val="00B96568"/>
    <w:rsid w:val="00B96715"/>
    <w:rsid w:val="00B968F6"/>
    <w:rsid w:val="00B96B66"/>
    <w:rsid w:val="00B96D7B"/>
    <w:rsid w:val="00B97289"/>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EC8"/>
    <w:rsid w:val="00BA5AEA"/>
    <w:rsid w:val="00BA604C"/>
    <w:rsid w:val="00BA6739"/>
    <w:rsid w:val="00BA71F0"/>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79C"/>
    <w:rsid w:val="00BB79E7"/>
    <w:rsid w:val="00BC01A5"/>
    <w:rsid w:val="00BC045D"/>
    <w:rsid w:val="00BC0E57"/>
    <w:rsid w:val="00BC23B8"/>
    <w:rsid w:val="00BC26FC"/>
    <w:rsid w:val="00BC2D14"/>
    <w:rsid w:val="00BC3249"/>
    <w:rsid w:val="00BC3C2E"/>
    <w:rsid w:val="00BC3CAD"/>
    <w:rsid w:val="00BC47FA"/>
    <w:rsid w:val="00BC51B3"/>
    <w:rsid w:val="00BC5414"/>
    <w:rsid w:val="00BC5830"/>
    <w:rsid w:val="00BC6315"/>
    <w:rsid w:val="00BC6397"/>
    <w:rsid w:val="00BC711A"/>
    <w:rsid w:val="00BC738D"/>
    <w:rsid w:val="00BD0525"/>
    <w:rsid w:val="00BD0A95"/>
    <w:rsid w:val="00BD0AAD"/>
    <w:rsid w:val="00BD0E10"/>
    <w:rsid w:val="00BD12A6"/>
    <w:rsid w:val="00BD1AEA"/>
    <w:rsid w:val="00BD1F8B"/>
    <w:rsid w:val="00BD3087"/>
    <w:rsid w:val="00BD3896"/>
    <w:rsid w:val="00BD40A3"/>
    <w:rsid w:val="00BD4100"/>
    <w:rsid w:val="00BD42EC"/>
    <w:rsid w:val="00BD6FA6"/>
    <w:rsid w:val="00BD72B7"/>
    <w:rsid w:val="00BD7CC7"/>
    <w:rsid w:val="00BD7FF0"/>
    <w:rsid w:val="00BE0396"/>
    <w:rsid w:val="00BE07B6"/>
    <w:rsid w:val="00BE0B3C"/>
    <w:rsid w:val="00BE13C6"/>
    <w:rsid w:val="00BE1564"/>
    <w:rsid w:val="00BE198E"/>
    <w:rsid w:val="00BE1E69"/>
    <w:rsid w:val="00BE1F4D"/>
    <w:rsid w:val="00BE2ECB"/>
    <w:rsid w:val="00BE3692"/>
    <w:rsid w:val="00BE3885"/>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2391"/>
    <w:rsid w:val="00BF2B36"/>
    <w:rsid w:val="00BF30E0"/>
    <w:rsid w:val="00BF37F8"/>
    <w:rsid w:val="00BF3B1B"/>
    <w:rsid w:val="00BF3FD8"/>
    <w:rsid w:val="00BF4803"/>
    <w:rsid w:val="00BF4CDE"/>
    <w:rsid w:val="00BF4DA1"/>
    <w:rsid w:val="00BF50C1"/>
    <w:rsid w:val="00BF5FAD"/>
    <w:rsid w:val="00BF65AF"/>
    <w:rsid w:val="00BF6780"/>
    <w:rsid w:val="00BF6CC5"/>
    <w:rsid w:val="00BF6E2C"/>
    <w:rsid w:val="00BF7C4C"/>
    <w:rsid w:val="00BF7E8D"/>
    <w:rsid w:val="00C0041D"/>
    <w:rsid w:val="00C004D0"/>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0C9"/>
    <w:rsid w:val="00C173A1"/>
    <w:rsid w:val="00C17DAD"/>
    <w:rsid w:val="00C20BEA"/>
    <w:rsid w:val="00C21676"/>
    <w:rsid w:val="00C219BE"/>
    <w:rsid w:val="00C22147"/>
    <w:rsid w:val="00C2408F"/>
    <w:rsid w:val="00C24406"/>
    <w:rsid w:val="00C24AD3"/>
    <w:rsid w:val="00C24D94"/>
    <w:rsid w:val="00C25AD8"/>
    <w:rsid w:val="00C25EE9"/>
    <w:rsid w:val="00C26744"/>
    <w:rsid w:val="00C276BF"/>
    <w:rsid w:val="00C27E49"/>
    <w:rsid w:val="00C302D7"/>
    <w:rsid w:val="00C3058F"/>
    <w:rsid w:val="00C30776"/>
    <w:rsid w:val="00C30DA1"/>
    <w:rsid w:val="00C3252D"/>
    <w:rsid w:val="00C328BF"/>
    <w:rsid w:val="00C32DDB"/>
    <w:rsid w:val="00C33BF6"/>
    <w:rsid w:val="00C34819"/>
    <w:rsid w:val="00C34FDE"/>
    <w:rsid w:val="00C351B6"/>
    <w:rsid w:val="00C35331"/>
    <w:rsid w:val="00C361DD"/>
    <w:rsid w:val="00C3737E"/>
    <w:rsid w:val="00C37F32"/>
    <w:rsid w:val="00C40DA8"/>
    <w:rsid w:val="00C415FE"/>
    <w:rsid w:val="00C44CE2"/>
    <w:rsid w:val="00C44D2E"/>
    <w:rsid w:val="00C453A0"/>
    <w:rsid w:val="00C45AD3"/>
    <w:rsid w:val="00C46645"/>
    <w:rsid w:val="00C46931"/>
    <w:rsid w:val="00C469C7"/>
    <w:rsid w:val="00C46AEB"/>
    <w:rsid w:val="00C46BB3"/>
    <w:rsid w:val="00C46BBC"/>
    <w:rsid w:val="00C4701D"/>
    <w:rsid w:val="00C47559"/>
    <w:rsid w:val="00C502C8"/>
    <w:rsid w:val="00C51831"/>
    <w:rsid w:val="00C51852"/>
    <w:rsid w:val="00C52B20"/>
    <w:rsid w:val="00C5398B"/>
    <w:rsid w:val="00C53E45"/>
    <w:rsid w:val="00C54FF7"/>
    <w:rsid w:val="00C55016"/>
    <w:rsid w:val="00C55437"/>
    <w:rsid w:val="00C55EF7"/>
    <w:rsid w:val="00C56211"/>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59DB"/>
    <w:rsid w:val="00C65B3F"/>
    <w:rsid w:val="00C65E75"/>
    <w:rsid w:val="00C6625D"/>
    <w:rsid w:val="00C66269"/>
    <w:rsid w:val="00C67BF0"/>
    <w:rsid w:val="00C70D89"/>
    <w:rsid w:val="00C7141C"/>
    <w:rsid w:val="00C7213C"/>
    <w:rsid w:val="00C723EF"/>
    <w:rsid w:val="00C73413"/>
    <w:rsid w:val="00C74E06"/>
    <w:rsid w:val="00C750F4"/>
    <w:rsid w:val="00C753B6"/>
    <w:rsid w:val="00C75725"/>
    <w:rsid w:val="00C75B08"/>
    <w:rsid w:val="00C769E2"/>
    <w:rsid w:val="00C77F53"/>
    <w:rsid w:val="00C81B5A"/>
    <w:rsid w:val="00C82326"/>
    <w:rsid w:val="00C831C4"/>
    <w:rsid w:val="00C83725"/>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1112"/>
    <w:rsid w:val="00C91561"/>
    <w:rsid w:val="00C91B78"/>
    <w:rsid w:val="00C91DC6"/>
    <w:rsid w:val="00C925C9"/>
    <w:rsid w:val="00C926CA"/>
    <w:rsid w:val="00C92EEE"/>
    <w:rsid w:val="00C93E04"/>
    <w:rsid w:val="00C93F60"/>
    <w:rsid w:val="00C94633"/>
    <w:rsid w:val="00C94E83"/>
    <w:rsid w:val="00C94ED8"/>
    <w:rsid w:val="00C9500F"/>
    <w:rsid w:val="00C95323"/>
    <w:rsid w:val="00C95471"/>
    <w:rsid w:val="00C962D4"/>
    <w:rsid w:val="00C978D6"/>
    <w:rsid w:val="00C97997"/>
    <w:rsid w:val="00C97C23"/>
    <w:rsid w:val="00CA07C6"/>
    <w:rsid w:val="00CA0BBC"/>
    <w:rsid w:val="00CA1152"/>
    <w:rsid w:val="00CA15DE"/>
    <w:rsid w:val="00CA1ABD"/>
    <w:rsid w:val="00CA1F0C"/>
    <w:rsid w:val="00CA2678"/>
    <w:rsid w:val="00CA388C"/>
    <w:rsid w:val="00CA4FA9"/>
    <w:rsid w:val="00CB030F"/>
    <w:rsid w:val="00CB055E"/>
    <w:rsid w:val="00CB07BF"/>
    <w:rsid w:val="00CB1779"/>
    <w:rsid w:val="00CB1C72"/>
    <w:rsid w:val="00CB23C3"/>
    <w:rsid w:val="00CB3253"/>
    <w:rsid w:val="00CB3372"/>
    <w:rsid w:val="00CB3904"/>
    <w:rsid w:val="00CB4366"/>
    <w:rsid w:val="00CB4810"/>
    <w:rsid w:val="00CB5683"/>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736"/>
    <w:rsid w:val="00CC7ACF"/>
    <w:rsid w:val="00CD01C7"/>
    <w:rsid w:val="00CD15A4"/>
    <w:rsid w:val="00CD1B02"/>
    <w:rsid w:val="00CD1E38"/>
    <w:rsid w:val="00CD2077"/>
    <w:rsid w:val="00CD3443"/>
    <w:rsid w:val="00CD3BE8"/>
    <w:rsid w:val="00CD3DCE"/>
    <w:rsid w:val="00CD40AC"/>
    <w:rsid w:val="00CD4183"/>
    <w:rsid w:val="00CD4666"/>
    <w:rsid w:val="00CD513A"/>
    <w:rsid w:val="00CD5634"/>
    <w:rsid w:val="00CD66E0"/>
    <w:rsid w:val="00CD68D8"/>
    <w:rsid w:val="00CD73A6"/>
    <w:rsid w:val="00CD7FBF"/>
    <w:rsid w:val="00CE04B0"/>
    <w:rsid w:val="00CE0A15"/>
    <w:rsid w:val="00CE13F5"/>
    <w:rsid w:val="00CE1DF4"/>
    <w:rsid w:val="00CE268A"/>
    <w:rsid w:val="00CE2D87"/>
    <w:rsid w:val="00CE31DA"/>
    <w:rsid w:val="00CE3454"/>
    <w:rsid w:val="00CE3A2E"/>
    <w:rsid w:val="00CE3A4A"/>
    <w:rsid w:val="00CE3B1D"/>
    <w:rsid w:val="00CE3C08"/>
    <w:rsid w:val="00CE422A"/>
    <w:rsid w:val="00CE48DA"/>
    <w:rsid w:val="00CE5399"/>
    <w:rsid w:val="00CE5563"/>
    <w:rsid w:val="00CE5AB0"/>
    <w:rsid w:val="00CE6B72"/>
    <w:rsid w:val="00CE7968"/>
    <w:rsid w:val="00CF00A6"/>
    <w:rsid w:val="00CF1324"/>
    <w:rsid w:val="00CF287F"/>
    <w:rsid w:val="00CF4054"/>
    <w:rsid w:val="00CF4498"/>
    <w:rsid w:val="00CF4828"/>
    <w:rsid w:val="00CF5DFB"/>
    <w:rsid w:val="00CF5E7C"/>
    <w:rsid w:val="00CF6304"/>
    <w:rsid w:val="00CF75BD"/>
    <w:rsid w:val="00D01C33"/>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4AF2"/>
    <w:rsid w:val="00D160F3"/>
    <w:rsid w:val="00D1629E"/>
    <w:rsid w:val="00D162AC"/>
    <w:rsid w:val="00D1637E"/>
    <w:rsid w:val="00D178BA"/>
    <w:rsid w:val="00D17A8F"/>
    <w:rsid w:val="00D20AEF"/>
    <w:rsid w:val="00D20E26"/>
    <w:rsid w:val="00D2105D"/>
    <w:rsid w:val="00D23915"/>
    <w:rsid w:val="00D248B1"/>
    <w:rsid w:val="00D2499A"/>
    <w:rsid w:val="00D26E31"/>
    <w:rsid w:val="00D27EB3"/>
    <w:rsid w:val="00D27F5F"/>
    <w:rsid w:val="00D30B09"/>
    <w:rsid w:val="00D30D93"/>
    <w:rsid w:val="00D316A3"/>
    <w:rsid w:val="00D31E0C"/>
    <w:rsid w:val="00D32AF4"/>
    <w:rsid w:val="00D338E9"/>
    <w:rsid w:val="00D339E4"/>
    <w:rsid w:val="00D34B53"/>
    <w:rsid w:val="00D3551C"/>
    <w:rsid w:val="00D35525"/>
    <w:rsid w:val="00D35AD4"/>
    <w:rsid w:val="00D35CC8"/>
    <w:rsid w:val="00D374BD"/>
    <w:rsid w:val="00D37742"/>
    <w:rsid w:val="00D379C2"/>
    <w:rsid w:val="00D40093"/>
    <w:rsid w:val="00D40374"/>
    <w:rsid w:val="00D41068"/>
    <w:rsid w:val="00D41217"/>
    <w:rsid w:val="00D41943"/>
    <w:rsid w:val="00D41ABB"/>
    <w:rsid w:val="00D41E1E"/>
    <w:rsid w:val="00D42060"/>
    <w:rsid w:val="00D42389"/>
    <w:rsid w:val="00D43CAF"/>
    <w:rsid w:val="00D44A45"/>
    <w:rsid w:val="00D44E8A"/>
    <w:rsid w:val="00D450E2"/>
    <w:rsid w:val="00D45165"/>
    <w:rsid w:val="00D455E1"/>
    <w:rsid w:val="00D466A2"/>
    <w:rsid w:val="00D466B6"/>
    <w:rsid w:val="00D5080C"/>
    <w:rsid w:val="00D50988"/>
    <w:rsid w:val="00D50FE1"/>
    <w:rsid w:val="00D51100"/>
    <w:rsid w:val="00D51F64"/>
    <w:rsid w:val="00D528A5"/>
    <w:rsid w:val="00D534FF"/>
    <w:rsid w:val="00D54EA7"/>
    <w:rsid w:val="00D551B4"/>
    <w:rsid w:val="00D5530B"/>
    <w:rsid w:val="00D55857"/>
    <w:rsid w:val="00D559B8"/>
    <w:rsid w:val="00D57C74"/>
    <w:rsid w:val="00D60AF0"/>
    <w:rsid w:val="00D60BAA"/>
    <w:rsid w:val="00D613D9"/>
    <w:rsid w:val="00D615D4"/>
    <w:rsid w:val="00D616AB"/>
    <w:rsid w:val="00D626D6"/>
    <w:rsid w:val="00D62C5F"/>
    <w:rsid w:val="00D62D2D"/>
    <w:rsid w:val="00D65403"/>
    <w:rsid w:val="00D658B9"/>
    <w:rsid w:val="00D65E37"/>
    <w:rsid w:val="00D6683F"/>
    <w:rsid w:val="00D67275"/>
    <w:rsid w:val="00D67FE6"/>
    <w:rsid w:val="00D7149F"/>
    <w:rsid w:val="00D714A8"/>
    <w:rsid w:val="00D71793"/>
    <w:rsid w:val="00D7218D"/>
    <w:rsid w:val="00D72FFF"/>
    <w:rsid w:val="00D735D3"/>
    <w:rsid w:val="00D73D4D"/>
    <w:rsid w:val="00D741DD"/>
    <w:rsid w:val="00D745FF"/>
    <w:rsid w:val="00D75093"/>
    <w:rsid w:val="00D75633"/>
    <w:rsid w:val="00D75935"/>
    <w:rsid w:val="00D75D3E"/>
    <w:rsid w:val="00D760CF"/>
    <w:rsid w:val="00D76676"/>
    <w:rsid w:val="00D771B7"/>
    <w:rsid w:val="00D7729A"/>
    <w:rsid w:val="00D77789"/>
    <w:rsid w:val="00D77872"/>
    <w:rsid w:val="00D77956"/>
    <w:rsid w:val="00D8064B"/>
    <w:rsid w:val="00D815AC"/>
    <w:rsid w:val="00D8225A"/>
    <w:rsid w:val="00D82354"/>
    <w:rsid w:val="00D827E8"/>
    <w:rsid w:val="00D82FCD"/>
    <w:rsid w:val="00D83CA5"/>
    <w:rsid w:val="00D86CBB"/>
    <w:rsid w:val="00D8709C"/>
    <w:rsid w:val="00D87F68"/>
    <w:rsid w:val="00D90A4A"/>
    <w:rsid w:val="00D90BF7"/>
    <w:rsid w:val="00D90D93"/>
    <w:rsid w:val="00D90EE6"/>
    <w:rsid w:val="00D919DA"/>
    <w:rsid w:val="00D92527"/>
    <w:rsid w:val="00D93F2F"/>
    <w:rsid w:val="00D9637A"/>
    <w:rsid w:val="00D978DD"/>
    <w:rsid w:val="00DA00A1"/>
    <w:rsid w:val="00DA272C"/>
    <w:rsid w:val="00DA4047"/>
    <w:rsid w:val="00DA4277"/>
    <w:rsid w:val="00DA47B4"/>
    <w:rsid w:val="00DA4E24"/>
    <w:rsid w:val="00DA4F35"/>
    <w:rsid w:val="00DA59A0"/>
    <w:rsid w:val="00DA63BD"/>
    <w:rsid w:val="00DA714E"/>
    <w:rsid w:val="00DA7265"/>
    <w:rsid w:val="00DA751E"/>
    <w:rsid w:val="00DB0AD6"/>
    <w:rsid w:val="00DB0D05"/>
    <w:rsid w:val="00DB13B4"/>
    <w:rsid w:val="00DB164A"/>
    <w:rsid w:val="00DB1DFF"/>
    <w:rsid w:val="00DB2684"/>
    <w:rsid w:val="00DB2821"/>
    <w:rsid w:val="00DB2EDE"/>
    <w:rsid w:val="00DB36F4"/>
    <w:rsid w:val="00DB3BFC"/>
    <w:rsid w:val="00DB48A9"/>
    <w:rsid w:val="00DB4EFD"/>
    <w:rsid w:val="00DB4F5B"/>
    <w:rsid w:val="00DB585A"/>
    <w:rsid w:val="00DB6971"/>
    <w:rsid w:val="00DB6AB7"/>
    <w:rsid w:val="00DB70EF"/>
    <w:rsid w:val="00DB712B"/>
    <w:rsid w:val="00DC0168"/>
    <w:rsid w:val="00DC039B"/>
    <w:rsid w:val="00DC0B04"/>
    <w:rsid w:val="00DC22F9"/>
    <w:rsid w:val="00DC241E"/>
    <w:rsid w:val="00DC32E2"/>
    <w:rsid w:val="00DC483F"/>
    <w:rsid w:val="00DC4ED4"/>
    <w:rsid w:val="00DC50D7"/>
    <w:rsid w:val="00DC582D"/>
    <w:rsid w:val="00DC5CFF"/>
    <w:rsid w:val="00DC5D61"/>
    <w:rsid w:val="00DC6650"/>
    <w:rsid w:val="00DC790C"/>
    <w:rsid w:val="00DD0A66"/>
    <w:rsid w:val="00DD116B"/>
    <w:rsid w:val="00DD20FC"/>
    <w:rsid w:val="00DD2173"/>
    <w:rsid w:val="00DD28C1"/>
    <w:rsid w:val="00DD2E4C"/>
    <w:rsid w:val="00DD34AE"/>
    <w:rsid w:val="00DD3E50"/>
    <w:rsid w:val="00DD41CF"/>
    <w:rsid w:val="00DD538E"/>
    <w:rsid w:val="00DD5C79"/>
    <w:rsid w:val="00DD5E43"/>
    <w:rsid w:val="00DD6086"/>
    <w:rsid w:val="00DD66AD"/>
    <w:rsid w:val="00DD7417"/>
    <w:rsid w:val="00DE15C0"/>
    <w:rsid w:val="00DE1F55"/>
    <w:rsid w:val="00DE2061"/>
    <w:rsid w:val="00DE2270"/>
    <w:rsid w:val="00DE2546"/>
    <w:rsid w:val="00DE29C2"/>
    <w:rsid w:val="00DE2CA8"/>
    <w:rsid w:val="00DE3588"/>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1261"/>
    <w:rsid w:val="00E13606"/>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45FE"/>
    <w:rsid w:val="00E25365"/>
    <w:rsid w:val="00E256A4"/>
    <w:rsid w:val="00E258E4"/>
    <w:rsid w:val="00E25923"/>
    <w:rsid w:val="00E25AEA"/>
    <w:rsid w:val="00E261B8"/>
    <w:rsid w:val="00E2684F"/>
    <w:rsid w:val="00E26B60"/>
    <w:rsid w:val="00E272EB"/>
    <w:rsid w:val="00E2752A"/>
    <w:rsid w:val="00E276DB"/>
    <w:rsid w:val="00E27864"/>
    <w:rsid w:val="00E27AAD"/>
    <w:rsid w:val="00E30890"/>
    <w:rsid w:val="00E30E80"/>
    <w:rsid w:val="00E30F2F"/>
    <w:rsid w:val="00E321B1"/>
    <w:rsid w:val="00E33218"/>
    <w:rsid w:val="00E33702"/>
    <w:rsid w:val="00E35209"/>
    <w:rsid w:val="00E35241"/>
    <w:rsid w:val="00E35332"/>
    <w:rsid w:val="00E357B5"/>
    <w:rsid w:val="00E37155"/>
    <w:rsid w:val="00E375FE"/>
    <w:rsid w:val="00E37A6F"/>
    <w:rsid w:val="00E40088"/>
    <w:rsid w:val="00E4286A"/>
    <w:rsid w:val="00E432A5"/>
    <w:rsid w:val="00E43365"/>
    <w:rsid w:val="00E436FA"/>
    <w:rsid w:val="00E43BE9"/>
    <w:rsid w:val="00E456EE"/>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FDE"/>
    <w:rsid w:val="00E57925"/>
    <w:rsid w:val="00E57F80"/>
    <w:rsid w:val="00E60596"/>
    <w:rsid w:val="00E60F31"/>
    <w:rsid w:val="00E61A6C"/>
    <w:rsid w:val="00E6225B"/>
    <w:rsid w:val="00E626C7"/>
    <w:rsid w:val="00E6369D"/>
    <w:rsid w:val="00E63DB9"/>
    <w:rsid w:val="00E6508D"/>
    <w:rsid w:val="00E65974"/>
    <w:rsid w:val="00E65BB9"/>
    <w:rsid w:val="00E67A66"/>
    <w:rsid w:val="00E70002"/>
    <w:rsid w:val="00E70662"/>
    <w:rsid w:val="00E70685"/>
    <w:rsid w:val="00E707E8"/>
    <w:rsid w:val="00E718B3"/>
    <w:rsid w:val="00E71C30"/>
    <w:rsid w:val="00E72AF1"/>
    <w:rsid w:val="00E73347"/>
    <w:rsid w:val="00E735DB"/>
    <w:rsid w:val="00E73862"/>
    <w:rsid w:val="00E73D91"/>
    <w:rsid w:val="00E74CA9"/>
    <w:rsid w:val="00E750C9"/>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4100"/>
    <w:rsid w:val="00E852BB"/>
    <w:rsid w:val="00E85732"/>
    <w:rsid w:val="00E8624E"/>
    <w:rsid w:val="00E87BCA"/>
    <w:rsid w:val="00E90710"/>
    <w:rsid w:val="00E90B20"/>
    <w:rsid w:val="00E91573"/>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5600"/>
    <w:rsid w:val="00EA6B8F"/>
    <w:rsid w:val="00EA77B7"/>
    <w:rsid w:val="00EB00FA"/>
    <w:rsid w:val="00EB01CE"/>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844"/>
    <w:rsid w:val="00ED40C2"/>
    <w:rsid w:val="00ED5915"/>
    <w:rsid w:val="00ED6123"/>
    <w:rsid w:val="00ED63AA"/>
    <w:rsid w:val="00ED69A2"/>
    <w:rsid w:val="00ED6C50"/>
    <w:rsid w:val="00ED6E8E"/>
    <w:rsid w:val="00ED74A0"/>
    <w:rsid w:val="00ED78FC"/>
    <w:rsid w:val="00EE02C2"/>
    <w:rsid w:val="00EE055C"/>
    <w:rsid w:val="00EE1323"/>
    <w:rsid w:val="00EE13BE"/>
    <w:rsid w:val="00EE16F6"/>
    <w:rsid w:val="00EE20E3"/>
    <w:rsid w:val="00EE29B4"/>
    <w:rsid w:val="00EE2A97"/>
    <w:rsid w:val="00EE3174"/>
    <w:rsid w:val="00EE3B93"/>
    <w:rsid w:val="00EE3DEF"/>
    <w:rsid w:val="00EE3FF6"/>
    <w:rsid w:val="00EE4491"/>
    <w:rsid w:val="00EE44B7"/>
    <w:rsid w:val="00EE4C3E"/>
    <w:rsid w:val="00EE5E0D"/>
    <w:rsid w:val="00EE602D"/>
    <w:rsid w:val="00EE62B3"/>
    <w:rsid w:val="00EE6412"/>
    <w:rsid w:val="00EE643A"/>
    <w:rsid w:val="00EE6669"/>
    <w:rsid w:val="00EE6F00"/>
    <w:rsid w:val="00EF079F"/>
    <w:rsid w:val="00EF084A"/>
    <w:rsid w:val="00EF0DAB"/>
    <w:rsid w:val="00EF1671"/>
    <w:rsid w:val="00EF1762"/>
    <w:rsid w:val="00EF255B"/>
    <w:rsid w:val="00EF29C4"/>
    <w:rsid w:val="00EF2D42"/>
    <w:rsid w:val="00EF3588"/>
    <w:rsid w:val="00EF3620"/>
    <w:rsid w:val="00EF3711"/>
    <w:rsid w:val="00EF40D9"/>
    <w:rsid w:val="00EF4633"/>
    <w:rsid w:val="00EF48E4"/>
    <w:rsid w:val="00EF4AF9"/>
    <w:rsid w:val="00EF5A0E"/>
    <w:rsid w:val="00EF5BB9"/>
    <w:rsid w:val="00EF5C87"/>
    <w:rsid w:val="00EF5DCB"/>
    <w:rsid w:val="00EF740E"/>
    <w:rsid w:val="00F00069"/>
    <w:rsid w:val="00F00DD1"/>
    <w:rsid w:val="00F0113E"/>
    <w:rsid w:val="00F037E4"/>
    <w:rsid w:val="00F04653"/>
    <w:rsid w:val="00F0469C"/>
    <w:rsid w:val="00F04C53"/>
    <w:rsid w:val="00F05D01"/>
    <w:rsid w:val="00F05FE5"/>
    <w:rsid w:val="00F07C1D"/>
    <w:rsid w:val="00F07D41"/>
    <w:rsid w:val="00F10B62"/>
    <w:rsid w:val="00F10FE4"/>
    <w:rsid w:val="00F1101E"/>
    <w:rsid w:val="00F115DE"/>
    <w:rsid w:val="00F12B22"/>
    <w:rsid w:val="00F12B6B"/>
    <w:rsid w:val="00F12D16"/>
    <w:rsid w:val="00F13DAD"/>
    <w:rsid w:val="00F150A8"/>
    <w:rsid w:val="00F159F1"/>
    <w:rsid w:val="00F15EEF"/>
    <w:rsid w:val="00F160C1"/>
    <w:rsid w:val="00F16AEB"/>
    <w:rsid w:val="00F175DD"/>
    <w:rsid w:val="00F17CA8"/>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3B8F"/>
    <w:rsid w:val="00F3454E"/>
    <w:rsid w:val="00F3492F"/>
    <w:rsid w:val="00F353C3"/>
    <w:rsid w:val="00F35585"/>
    <w:rsid w:val="00F35CFB"/>
    <w:rsid w:val="00F3731D"/>
    <w:rsid w:val="00F41701"/>
    <w:rsid w:val="00F41749"/>
    <w:rsid w:val="00F430CB"/>
    <w:rsid w:val="00F4510A"/>
    <w:rsid w:val="00F451AE"/>
    <w:rsid w:val="00F452E6"/>
    <w:rsid w:val="00F45666"/>
    <w:rsid w:val="00F467C3"/>
    <w:rsid w:val="00F46F58"/>
    <w:rsid w:val="00F47824"/>
    <w:rsid w:val="00F47D25"/>
    <w:rsid w:val="00F50737"/>
    <w:rsid w:val="00F515E0"/>
    <w:rsid w:val="00F53EAB"/>
    <w:rsid w:val="00F54C44"/>
    <w:rsid w:val="00F54D0D"/>
    <w:rsid w:val="00F5511A"/>
    <w:rsid w:val="00F55506"/>
    <w:rsid w:val="00F555F8"/>
    <w:rsid w:val="00F557E4"/>
    <w:rsid w:val="00F559B8"/>
    <w:rsid w:val="00F609E1"/>
    <w:rsid w:val="00F60C9C"/>
    <w:rsid w:val="00F60CBB"/>
    <w:rsid w:val="00F621BD"/>
    <w:rsid w:val="00F621D2"/>
    <w:rsid w:val="00F6253A"/>
    <w:rsid w:val="00F62566"/>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B3F"/>
    <w:rsid w:val="00F75C64"/>
    <w:rsid w:val="00F7650D"/>
    <w:rsid w:val="00F76C24"/>
    <w:rsid w:val="00F76C60"/>
    <w:rsid w:val="00F80929"/>
    <w:rsid w:val="00F81460"/>
    <w:rsid w:val="00F81704"/>
    <w:rsid w:val="00F81F69"/>
    <w:rsid w:val="00F82458"/>
    <w:rsid w:val="00F82F51"/>
    <w:rsid w:val="00F8352B"/>
    <w:rsid w:val="00F839E4"/>
    <w:rsid w:val="00F83FEF"/>
    <w:rsid w:val="00F84008"/>
    <w:rsid w:val="00F84B7C"/>
    <w:rsid w:val="00F85163"/>
    <w:rsid w:val="00F8552B"/>
    <w:rsid w:val="00F85E4F"/>
    <w:rsid w:val="00F861F6"/>
    <w:rsid w:val="00F867D0"/>
    <w:rsid w:val="00F86A13"/>
    <w:rsid w:val="00F86CC3"/>
    <w:rsid w:val="00F905CF"/>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25C6"/>
    <w:rsid w:val="00FA3810"/>
    <w:rsid w:val="00FA3A80"/>
    <w:rsid w:val="00FA3CAD"/>
    <w:rsid w:val="00FA3DDD"/>
    <w:rsid w:val="00FA3E70"/>
    <w:rsid w:val="00FA4E79"/>
    <w:rsid w:val="00FA5DB8"/>
    <w:rsid w:val="00FA6382"/>
    <w:rsid w:val="00FA6D2D"/>
    <w:rsid w:val="00FA6F10"/>
    <w:rsid w:val="00FA7308"/>
    <w:rsid w:val="00FA75D8"/>
    <w:rsid w:val="00FA7A34"/>
    <w:rsid w:val="00FB1A60"/>
    <w:rsid w:val="00FB20F7"/>
    <w:rsid w:val="00FB257E"/>
    <w:rsid w:val="00FB2722"/>
    <w:rsid w:val="00FB27EF"/>
    <w:rsid w:val="00FB2BCC"/>
    <w:rsid w:val="00FB3A86"/>
    <w:rsid w:val="00FB4076"/>
    <w:rsid w:val="00FB4A07"/>
    <w:rsid w:val="00FB52C7"/>
    <w:rsid w:val="00FB61B2"/>
    <w:rsid w:val="00FB6FCE"/>
    <w:rsid w:val="00FB75E0"/>
    <w:rsid w:val="00FC0A18"/>
    <w:rsid w:val="00FC0DF4"/>
    <w:rsid w:val="00FC2DED"/>
    <w:rsid w:val="00FC3537"/>
    <w:rsid w:val="00FC4753"/>
    <w:rsid w:val="00FC486D"/>
    <w:rsid w:val="00FC4A32"/>
    <w:rsid w:val="00FC4C38"/>
    <w:rsid w:val="00FC5038"/>
    <w:rsid w:val="00FC6714"/>
    <w:rsid w:val="00FC6FE4"/>
    <w:rsid w:val="00FC7177"/>
    <w:rsid w:val="00FC7277"/>
    <w:rsid w:val="00FC7945"/>
    <w:rsid w:val="00FD0761"/>
    <w:rsid w:val="00FD09AC"/>
    <w:rsid w:val="00FD1190"/>
    <w:rsid w:val="00FD147F"/>
    <w:rsid w:val="00FD1887"/>
    <w:rsid w:val="00FD1B90"/>
    <w:rsid w:val="00FD1D09"/>
    <w:rsid w:val="00FD1DDE"/>
    <w:rsid w:val="00FD2A2C"/>
    <w:rsid w:val="00FD3043"/>
    <w:rsid w:val="00FD399A"/>
    <w:rsid w:val="00FD3CB7"/>
    <w:rsid w:val="00FD3D44"/>
    <w:rsid w:val="00FD3FDF"/>
    <w:rsid w:val="00FD437F"/>
    <w:rsid w:val="00FD540C"/>
    <w:rsid w:val="00FD564D"/>
    <w:rsid w:val="00FD567A"/>
    <w:rsid w:val="00FD5ADF"/>
    <w:rsid w:val="00FD60E7"/>
    <w:rsid w:val="00FD7872"/>
    <w:rsid w:val="00FD7AC8"/>
    <w:rsid w:val="00FE0ACD"/>
    <w:rsid w:val="00FE1856"/>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108"/>
    <w:rsid w:val="00FF0855"/>
    <w:rsid w:val="00FF0AED"/>
    <w:rsid w:val="00FF12B1"/>
    <w:rsid w:val="00FF16A5"/>
    <w:rsid w:val="00FF49E1"/>
    <w:rsid w:val="00FF4D71"/>
    <w:rsid w:val="00FF5E25"/>
    <w:rsid w:val="00FF601A"/>
    <w:rsid w:val="00FF7939"/>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uiPriority w:val="99"/>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uiPriority w:val="99"/>
    <w:rPr>
      <w:vertAlign w:val="superscript"/>
    </w:rPr>
  </w:style>
  <w:style w:type="paragraph" w:styleId="18">
    <w:name w:val="toc 1"/>
    <w:basedOn w:val="a0"/>
    <w:next w:val="a0"/>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rsid w:val="00152078"/>
    <w:pPr>
      <w:tabs>
        <w:tab w:val="right" w:leader="dot" w:pos="9628"/>
      </w:tabs>
    </w:pPr>
    <w:rPr>
      <w:rFonts w:eastAsia="標楷體"/>
      <w:bCs/>
      <w:noProof/>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uiPriority w:val="35"/>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uiPriority w:val="99"/>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 w:type="numbering" w:customStyle="1" w:styleId="53">
    <w:name w:val="無清單5"/>
    <w:next w:val="a3"/>
    <w:uiPriority w:val="99"/>
    <w:semiHidden/>
    <w:unhideWhenUsed/>
    <w:rsid w:val="00AD5B23"/>
  </w:style>
  <w:style w:type="table" w:customStyle="1" w:styleId="54">
    <w:name w:val="表格格線5"/>
    <w:basedOn w:val="a2"/>
    <w:next w:val="affff2"/>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link w:val="aa"/>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b">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c">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d">
    <w:name w:val="資料來源"/>
    <w:basedOn w:val="a0"/>
    <w:link w:val="ae"/>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f">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0">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1">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2">
    <w:name w:val="footnote text"/>
    <w:basedOn w:val="a0"/>
    <w:link w:val="af3"/>
    <w:uiPriority w:val="99"/>
    <w:pPr>
      <w:snapToGrid w:val="0"/>
    </w:pPr>
    <w:rPr>
      <w:sz w:val="20"/>
      <w:szCs w:val="20"/>
    </w:rPr>
  </w:style>
  <w:style w:type="paragraph" w:styleId="af4">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5">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6">
    <w:name w:val=".."/>
    <w:basedOn w:val="Default"/>
    <w:next w:val="Default"/>
    <w:rPr>
      <w:rFonts w:ascii="KaiTi_GB2312" w:eastAsia="KaiTi_GB2312"/>
      <w:sz w:val="24"/>
      <w:szCs w:val="24"/>
    </w:rPr>
  </w:style>
  <w:style w:type="paragraph" w:customStyle="1" w:styleId="af7">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8">
    <w:name w:val="單位"/>
    <w:basedOn w:val="a0"/>
    <w:link w:val="af9"/>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a">
    <w:name w:val="Balloon Text"/>
    <w:basedOn w:val="a0"/>
    <w:link w:val="afb"/>
    <w:uiPriority w:val="99"/>
    <w:rPr>
      <w:rFonts w:ascii="Arial" w:hAnsi="Arial"/>
      <w:sz w:val="18"/>
      <w:szCs w:val="18"/>
    </w:rPr>
  </w:style>
  <w:style w:type="paragraph" w:customStyle="1" w:styleId="k1a0">
    <w:name w:val="k1a"/>
    <w:basedOn w:val="af0"/>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c">
    <w:name w:val="annotation subject"/>
    <w:basedOn w:val="afd"/>
    <w:next w:val="afd"/>
    <w:link w:val="afe"/>
    <w:rPr>
      <w:b/>
      <w:bCs/>
    </w:rPr>
  </w:style>
  <w:style w:type="paragraph" w:styleId="afd">
    <w:name w:val="annotation text"/>
    <w:basedOn w:val="a0"/>
    <w:link w:val="aff"/>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0">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1">
    <w:name w:val="表數字"/>
    <w:basedOn w:val="a0"/>
    <w:pPr>
      <w:autoSpaceDE w:val="0"/>
      <w:autoSpaceDN w:val="0"/>
      <w:adjustRightInd w:val="0"/>
      <w:ind w:right="113"/>
      <w:jc w:val="right"/>
    </w:pPr>
    <w:rPr>
      <w:color w:val="000000"/>
      <w:sz w:val="20"/>
      <w:szCs w:val="20"/>
    </w:rPr>
  </w:style>
  <w:style w:type="paragraph" w:styleId="aff2">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3">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4">
    <w:name w:val="footnote reference"/>
    <w:aliases w:val="FR,Ref,de nota al pie,註腳內容"/>
    <w:uiPriority w:val="99"/>
    <w:rPr>
      <w:vertAlign w:val="superscript"/>
    </w:rPr>
  </w:style>
  <w:style w:type="paragraph" w:styleId="18">
    <w:name w:val="toc 1"/>
    <w:basedOn w:val="a0"/>
    <w:next w:val="a0"/>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rsid w:val="00152078"/>
    <w:pPr>
      <w:tabs>
        <w:tab w:val="right" w:leader="dot" w:pos="9628"/>
      </w:tabs>
    </w:pPr>
    <w:rPr>
      <w:rFonts w:eastAsia="標楷體"/>
      <w:bCs/>
      <w:noProof/>
      <w:sz w:val="32"/>
      <w:szCs w:val="20"/>
    </w:rPr>
  </w:style>
  <w:style w:type="paragraph" w:styleId="40">
    <w:name w:val="toc 4"/>
    <w:basedOn w:val="a0"/>
    <w:next w:val="a0"/>
    <w:autoRedefine/>
    <w:uiPriority w:val="39"/>
    <w:pPr>
      <w:ind w:left="720"/>
    </w:pPr>
    <w:rPr>
      <w:sz w:val="18"/>
      <w:szCs w:val="18"/>
    </w:rPr>
  </w:style>
  <w:style w:type="paragraph" w:styleId="51">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5">
    <w:name w:val="Hyperlink"/>
    <w:uiPriority w:val="99"/>
    <w:rPr>
      <w:color w:val="0000FF"/>
      <w:u w:val="single"/>
    </w:rPr>
  </w:style>
  <w:style w:type="character" w:styleId="aff6">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2">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7">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8">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9">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a">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b">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c">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d">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e">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
    <w:name w:val="Document Map"/>
    <w:basedOn w:val="a0"/>
    <w:semiHidden/>
    <w:pPr>
      <w:shd w:val="clear" w:color="auto" w:fill="000080"/>
    </w:pPr>
    <w:rPr>
      <w:rFonts w:ascii="Arial" w:hAnsi="Arial"/>
    </w:rPr>
  </w:style>
  <w:style w:type="paragraph" w:customStyle="1" w:styleId="afff0">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f1">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2">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3">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4">
    <w:name w:val="表上（左）"/>
    <w:pPr>
      <w:snapToGrid w:val="0"/>
      <w:spacing w:line="240" w:lineRule="exact"/>
    </w:pPr>
    <w:rPr>
      <w:rFonts w:eastAsia="華康圓體 Std W5"/>
      <w:snapToGrid w:val="0"/>
      <w:color w:val="FFFFFF"/>
      <w:sz w:val="18"/>
      <w:szCs w:val="18"/>
    </w:rPr>
  </w:style>
  <w:style w:type="paragraph" w:customStyle="1" w:styleId="afff5">
    <w:name w:val="表上列（置中）"/>
    <w:pPr>
      <w:adjustRightInd w:val="0"/>
      <w:snapToGrid w:val="0"/>
      <w:spacing w:line="240" w:lineRule="exact"/>
      <w:jc w:val="center"/>
    </w:pPr>
    <w:rPr>
      <w:rFonts w:ascii="Arial" w:eastAsia="華康圓體 Std W7" w:hAnsi="Arial"/>
      <w:color w:val="FFFFFF"/>
    </w:rPr>
  </w:style>
  <w:style w:type="paragraph" w:customStyle="1" w:styleId="afff6">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7">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8">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9">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a">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b">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c">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d">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e">
    <w:name w:val="頁首 字元"/>
    <w:uiPriority w:val="99"/>
    <w:rPr>
      <w:kern w:val="2"/>
    </w:rPr>
  </w:style>
  <w:style w:type="character" w:customStyle="1" w:styleId="affff">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0">
    <w:name w:val="說明辦法次行"/>
    <w:basedOn w:val="a0"/>
    <w:rsid w:val="0074391D"/>
    <w:pPr>
      <w:snapToGrid w:val="0"/>
      <w:ind w:left="1060" w:hanging="720"/>
    </w:pPr>
    <w:rPr>
      <w:rFonts w:eastAsia="標楷體"/>
      <w:sz w:val="36"/>
      <w:szCs w:val="20"/>
    </w:rPr>
  </w:style>
  <w:style w:type="paragraph" w:styleId="affff1">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2">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3">
    <w:name w:val="annotation reference"/>
    <w:rsid w:val="00301119"/>
    <w:rPr>
      <w:sz w:val="18"/>
      <w:szCs w:val="18"/>
    </w:rPr>
  </w:style>
  <w:style w:type="paragraph" w:customStyle="1" w:styleId="affff4">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e">
    <w:name w:val="資料來源 字元"/>
    <w:link w:val="ad"/>
    <w:rsid w:val="004C4CDF"/>
    <w:rPr>
      <w:rFonts w:eastAsia="標楷體"/>
      <w:sz w:val="22"/>
      <w:szCs w:val="24"/>
      <w:lang w:val="en-US" w:eastAsia="zh-TW" w:bidi="ar-SA"/>
    </w:rPr>
  </w:style>
  <w:style w:type="paragraph" w:styleId="affff5">
    <w:name w:val="caption"/>
    <w:basedOn w:val="a0"/>
    <w:next w:val="a0"/>
    <w:uiPriority w:val="35"/>
    <w:qFormat/>
    <w:rsid w:val="004C4CDF"/>
    <w:rPr>
      <w:sz w:val="20"/>
      <w:szCs w:val="20"/>
    </w:rPr>
  </w:style>
  <w:style w:type="character" w:customStyle="1" w:styleId="af9">
    <w:name w:val="單位 字元"/>
    <w:link w:val="af8"/>
    <w:rsid w:val="004C4CDF"/>
    <w:rPr>
      <w:rFonts w:eastAsia="新細明體"/>
      <w:spacing w:val="10"/>
      <w:sz w:val="18"/>
      <w:lang w:val="en-US" w:eastAsia="zh-TW" w:bidi="ar-SA"/>
    </w:rPr>
  </w:style>
  <w:style w:type="table" w:customStyle="1" w:styleId="1f">
    <w:name w:val="表格格線1"/>
    <w:basedOn w:val="a2"/>
    <w:next w:val="affff2"/>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文章"/>
    <w:link w:val="affff7"/>
    <w:rsid w:val="00B10257"/>
    <w:pPr>
      <w:spacing w:line="520" w:lineRule="exact"/>
      <w:ind w:firstLineChars="200" w:firstLine="200"/>
      <w:jc w:val="both"/>
    </w:pPr>
    <w:rPr>
      <w:rFonts w:eastAsia="標楷體"/>
      <w:spacing w:val="10"/>
      <w:kern w:val="2"/>
      <w:sz w:val="28"/>
      <w:szCs w:val="28"/>
    </w:rPr>
  </w:style>
  <w:style w:type="paragraph" w:customStyle="1" w:styleId="affff8">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9">
    <w:name w:val="表格文字－左"/>
    <w:rsid w:val="00B10257"/>
    <w:pPr>
      <w:spacing w:before="40" w:after="40" w:line="280" w:lineRule="exact"/>
      <w:jc w:val="both"/>
    </w:pPr>
    <w:rPr>
      <w:rFonts w:eastAsia="標楷體"/>
      <w:sz w:val="22"/>
      <w:szCs w:val="22"/>
    </w:rPr>
  </w:style>
  <w:style w:type="character" w:customStyle="1" w:styleId="affff7">
    <w:name w:val="文章 字元"/>
    <w:link w:val="affff6"/>
    <w:rsid w:val="00B10257"/>
    <w:rPr>
      <w:rFonts w:eastAsia="標楷體"/>
      <w:spacing w:val="10"/>
      <w:kern w:val="2"/>
      <w:sz w:val="28"/>
      <w:szCs w:val="28"/>
      <w:lang w:val="en-US" w:eastAsia="zh-TW" w:bidi="ar-SA"/>
    </w:rPr>
  </w:style>
  <w:style w:type="character" w:customStyle="1" w:styleId="af3">
    <w:name w:val="註腳文字 字元"/>
    <w:link w:val="af2"/>
    <w:uiPriority w:val="99"/>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b">
    <w:name w:val="註解方塊文字 字元"/>
    <w:link w:val="afa"/>
    <w:uiPriority w:val="99"/>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2"/>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a">
    <w:name w:val="圖標題"/>
    <w:link w:val="affffb"/>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c">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d">
    <w:name w:val="表格文字－中 字元"/>
    <w:rsid w:val="00AC2664"/>
    <w:pPr>
      <w:spacing w:before="40" w:after="40" w:line="280" w:lineRule="exact"/>
      <w:jc w:val="center"/>
    </w:pPr>
    <w:rPr>
      <w:rFonts w:eastAsia="標楷體"/>
      <w:kern w:val="2"/>
      <w:sz w:val="22"/>
      <w:szCs w:val="22"/>
    </w:rPr>
  </w:style>
  <w:style w:type="character" w:customStyle="1" w:styleId="affffe">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0">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1">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2">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3">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4">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5">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6">
    <w:name w:val="註"/>
    <w:basedOn w:val="ad"/>
    <w:rsid w:val="00FE6C6C"/>
    <w:pPr>
      <w:spacing w:line="240" w:lineRule="exact"/>
      <w:ind w:leftChars="0" w:left="200"/>
      <w:jc w:val="left"/>
    </w:pPr>
    <w:rPr>
      <w:spacing w:val="10"/>
      <w:kern w:val="2"/>
      <w:sz w:val="20"/>
      <w:szCs w:val="28"/>
    </w:rPr>
  </w:style>
  <w:style w:type="paragraph" w:customStyle="1" w:styleId="afffff7">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8">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9">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a">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b">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c">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b">
    <w:name w:val="圖標題 字元"/>
    <w:link w:val="affffa"/>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1f5">
    <w:name w:val="字元 字元1"/>
    <w:basedOn w:val="a0"/>
    <w:semiHidden/>
    <w:rsid w:val="007338B5"/>
    <w:pPr>
      <w:widowControl/>
      <w:spacing w:after="160" w:line="240" w:lineRule="exact"/>
    </w:pPr>
    <w:rPr>
      <w:rFonts w:ascii="Verdana" w:eastAsia="Times New Roman" w:hAnsi="Verdana"/>
      <w:sz w:val="20"/>
      <w:lang w:eastAsia="en-US"/>
    </w:rPr>
  </w:style>
  <w:style w:type="paragraph" w:customStyle="1" w:styleId="afffffd">
    <w:name w:val="圖次"/>
    <w:basedOn w:val="a0"/>
    <w:link w:val="afffffe"/>
    <w:uiPriority w:val="99"/>
    <w:rsid w:val="00BE5112"/>
    <w:pPr>
      <w:jc w:val="center"/>
    </w:pPr>
    <w:rPr>
      <w:rFonts w:eastAsia="標楷體"/>
      <w:b/>
      <w:sz w:val="28"/>
      <w:szCs w:val="28"/>
    </w:rPr>
  </w:style>
  <w:style w:type="character" w:customStyle="1" w:styleId="afffffe">
    <w:name w:val="圖次 字元"/>
    <w:basedOn w:val="a1"/>
    <w:link w:val="afffffd"/>
    <w:uiPriority w:val="99"/>
    <w:rsid w:val="00BE5112"/>
    <w:rPr>
      <w:rFonts w:eastAsia="標楷體"/>
      <w:b/>
      <w:kern w:val="2"/>
      <w:sz w:val="28"/>
      <w:szCs w:val="28"/>
    </w:rPr>
  </w:style>
  <w:style w:type="character" w:customStyle="1" w:styleId="aff">
    <w:name w:val="註解文字 字元"/>
    <w:basedOn w:val="a1"/>
    <w:link w:val="afd"/>
    <w:rsid w:val="00BE5112"/>
    <w:rPr>
      <w:kern w:val="2"/>
      <w:sz w:val="24"/>
      <w:szCs w:val="24"/>
    </w:rPr>
  </w:style>
  <w:style w:type="character" w:customStyle="1" w:styleId="afe">
    <w:name w:val="註解主旨 字元"/>
    <w:basedOn w:val="aff"/>
    <w:link w:val="afc"/>
    <w:rsid w:val="00BE5112"/>
    <w:rPr>
      <w:b/>
      <w:bCs/>
      <w:kern w:val="2"/>
      <w:sz w:val="24"/>
      <w:szCs w:val="24"/>
    </w:rPr>
  </w:style>
  <w:style w:type="table" w:customStyle="1" w:styleId="35">
    <w:name w:val="表格格線3"/>
    <w:basedOn w:val="a2"/>
    <w:next w:val="affff2"/>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3"/>
    <w:uiPriority w:val="99"/>
    <w:semiHidden/>
    <w:unhideWhenUsed/>
    <w:rsid w:val="00D05F7D"/>
  </w:style>
  <w:style w:type="table" w:customStyle="1" w:styleId="43">
    <w:name w:val="表格格線4"/>
    <w:basedOn w:val="a2"/>
    <w:next w:val="affff2"/>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0"/>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1"/>
    <w:link w:val="-6"/>
    <w:rsid w:val="00D05F7D"/>
    <w:rPr>
      <w:rFonts w:eastAsia="標楷體"/>
      <w:spacing w:val="6"/>
      <w:kern w:val="2"/>
      <w:sz w:val="18"/>
      <w:szCs w:val="24"/>
    </w:rPr>
  </w:style>
  <w:style w:type="paragraph" w:customStyle="1" w:styleId="-8">
    <w:name w:val="工業局-內文"/>
    <w:basedOn w:val="a0"/>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1"/>
    <w:link w:val="-8"/>
    <w:rsid w:val="00D05F7D"/>
    <w:rPr>
      <w:rFonts w:eastAsia="標楷體"/>
      <w:kern w:val="2"/>
      <w:sz w:val="28"/>
      <w:szCs w:val="24"/>
    </w:rPr>
  </w:style>
  <w:style w:type="paragraph" w:customStyle="1" w:styleId="-a">
    <w:name w:val="工業局-表格的標題"/>
    <w:basedOn w:val="a0"/>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1"/>
    <w:link w:val="-a"/>
    <w:rsid w:val="00D05F7D"/>
    <w:rPr>
      <w:rFonts w:eastAsia="標楷體"/>
      <w:b/>
      <w:bCs/>
      <w:kern w:val="2"/>
      <w:sz w:val="28"/>
      <w:szCs w:val="24"/>
    </w:rPr>
  </w:style>
  <w:style w:type="paragraph" w:styleId="affffff">
    <w:name w:val="endnote text"/>
    <w:basedOn w:val="a0"/>
    <w:link w:val="affffff0"/>
    <w:uiPriority w:val="99"/>
    <w:unhideWhenUsed/>
    <w:rsid w:val="00D05F7D"/>
    <w:pPr>
      <w:snapToGrid w:val="0"/>
    </w:pPr>
    <w:rPr>
      <w:rFonts w:asciiTheme="minorHAnsi" w:eastAsiaTheme="minorEastAsia" w:hAnsiTheme="minorHAnsi" w:cstheme="minorBidi"/>
      <w:szCs w:val="22"/>
    </w:rPr>
  </w:style>
  <w:style w:type="character" w:customStyle="1" w:styleId="affffff0">
    <w:name w:val="章節附註文字 字元"/>
    <w:basedOn w:val="a1"/>
    <w:link w:val="affffff"/>
    <w:uiPriority w:val="99"/>
    <w:rsid w:val="00D05F7D"/>
    <w:rPr>
      <w:rFonts w:asciiTheme="minorHAnsi" w:eastAsiaTheme="minorEastAsia" w:hAnsiTheme="minorHAnsi" w:cstheme="minorBidi"/>
      <w:kern w:val="2"/>
      <w:sz w:val="24"/>
      <w:szCs w:val="22"/>
    </w:rPr>
  </w:style>
  <w:style w:type="character" w:styleId="affffff1">
    <w:name w:val="endnote reference"/>
    <w:basedOn w:val="a1"/>
    <w:uiPriority w:val="99"/>
    <w:unhideWhenUsed/>
    <w:rsid w:val="00D05F7D"/>
    <w:rPr>
      <w:vertAlign w:val="superscript"/>
    </w:rPr>
  </w:style>
  <w:style w:type="paragraph" w:customStyle="1" w:styleId="-10">
    <w:name w:val="工業局-(1)"/>
    <w:basedOn w:val="a0"/>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1"/>
    <w:link w:val="-11"/>
    <w:rsid w:val="00D05F7D"/>
    <w:rPr>
      <w:rFonts w:eastAsia="標楷體"/>
      <w:b/>
      <w:bCs/>
      <w:kern w:val="2"/>
      <w:sz w:val="28"/>
      <w:szCs w:val="30"/>
    </w:rPr>
  </w:style>
  <w:style w:type="character" w:customStyle="1" w:styleId="50">
    <w:name w:val="標題 5 字元"/>
    <w:basedOn w:val="a1"/>
    <w:link w:val="5"/>
    <w:uiPriority w:val="9"/>
    <w:rsid w:val="00D05F7D"/>
    <w:rPr>
      <w:rFonts w:eastAsia="標楷體"/>
      <w:bCs/>
      <w:kern w:val="2"/>
      <w:sz w:val="28"/>
      <w:szCs w:val="32"/>
    </w:rPr>
  </w:style>
  <w:style w:type="character" w:customStyle="1" w:styleId="mfont-txtcont1">
    <w:name w:val="mfont-txtcont1"/>
    <w:basedOn w:val="a1"/>
    <w:rsid w:val="00D05F7D"/>
    <w:rPr>
      <w:rFonts w:ascii="微軟正黑體" w:eastAsia="微軟正黑體" w:hAnsi="微軟正黑體" w:hint="eastAsia"/>
      <w:color w:val="333333"/>
      <w:sz w:val="24"/>
      <w:szCs w:val="24"/>
    </w:rPr>
  </w:style>
  <w:style w:type="character" w:customStyle="1" w:styleId="aa">
    <w:name w:val="日期 字元"/>
    <w:basedOn w:val="a1"/>
    <w:link w:val="a9"/>
    <w:rsid w:val="00FC5038"/>
    <w:rPr>
      <w:kern w:val="2"/>
      <w:sz w:val="24"/>
      <w:szCs w:val="24"/>
    </w:rPr>
  </w:style>
  <w:style w:type="numbering" w:customStyle="1" w:styleId="53">
    <w:name w:val="無清單5"/>
    <w:next w:val="a3"/>
    <w:uiPriority w:val="99"/>
    <w:semiHidden/>
    <w:unhideWhenUsed/>
    <w:rsid w:val="00AD5B23"/>
  </w:style>
  <w:style w:type="table" w:customStyle="1" w:styleId="54">
    <w:name w:val="表格格線5"/>
    <w:basedOn w:val="a2"/>
    <w:next w:val="affff2"/>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png"/><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chart" Target="charts/chart18.xml"/><Relationship Id="rId40"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6.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ydailynews.com/new-york/skip-college-plumber-mayor-bloomberg-article-1.1347576" TargetMode="External"/><Relationship Id="rId2" Type="http://schemas.openxmlformats.org/officeDocument/2006/relationships/hyperlink" Target="http://www.ejob.gov.tw/anemoscope/anemoscope/anemoscope_list.html" TargetMode="External"/><Relationship Id="rId1" Type="http://schemas.openxmlformats.org/officeDocument/2006/relationships/hyperlink" Target="http://www.oecd.org/std/labour-stats/HUR_06e13.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0.14000491411723026"/>
                  <c:y val="0.16593675070155137"/>
                </c:manualLayout>
              </c:layout>
              <c:tx>
                <c:rich>
                  <a:bodyPr/>
                  <a:lstStyle/>
                  <a:p>
                    <a:pPr>
                      <a:defRPr sz="936" b="0" i="0" u="none" strike="noStrike" baseline="0">
                        <a:solidFill>
                          <a:srgbClr val="000000"/>
                        </a:solidFill>
                        <a:latin typeface="Arial"/>
                        <a:ea typeface="Arial"/>
                        <a:cs typeface="Arial"/>
                      </a:defRPr>
                    </a:pPr>
                    <a:r>
                      <a:rPr lang="en-US" altLang="zh-TW"/>
                      <a:t>0.6</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numRef>
              <c:f>Sheet1!$A$110:$A$173</c:f>
              <c:numCache>
                <c:formatCode>[$-404]e/m;@</c:formatCode>
                <c:ptCount val="64"/>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numCache>
            </c:numRef>
          </c:cat>
          <c:val>
            <c:numRef>
              <c:f>Sheet1!$C$110:$C$175</c:f>
              <c:numCache>
                <c:formatCode>0.0_ </c:formatCode>
                <c:ptCount val="66"/>
                <c:pt idx="0">
                  <c:v>-0.23310023310023645</c:v>
                </c:pt>
                <c:pt idx="1">
                  <c:v>-0.46728971962615828</c:v>
                </c:pt>
                <c:pt idx="2">
                  <c:v>-0.82159624413145871</c:v>
                </c:pt>
                <c:pt idx="3">
                  <c:v>-1.0650887573964565</c:v>
                </c:pt>
                <c:pt idx="4">
                  <c:v>-1.315789473684204</c:v>
                </c:pt>
                <c:pt idx="5">
                  <c:v>-1.9393939393939323</c:v>
                </c:pt>
                <c:pt idx="6">
                  <c:v>-2.2249690976514356</c:v>
                </c:pt>
                <c:pt idx="7">
                  <c:v>-2.6548672566371612</c:v>
                </c:pt>
                <c:pt idx="8">
                  <c:v>-2.8571428571428608</c:v>
                </c:pt>
                <c:pt idx="9">
                  <c:v>-2.9411764705882391</c:v>
                </c:pt>
                <c:pt idx="10">
                  <c:v>-2.4793388429752028</c:v>
                </c:pt>
                <c:pt idx="11">
                  <c:v>-1.8361581920903913</c:v>
                </c:pt>
                <c:pt idx="12">
                  <c:v>-0.28776978417266597</c:v>
                </c:pt>
                <c:pt idx="13">
                  <c:v>1.1544011544011503</c:v>
                </c:pt>
                <c:pt idx="14">
                  <c:v>2.5677603423680622</c:v>
                </c:pt>
                <c:pt idx="15">
                  <c:v>3.1988873435326806</c:v>
                </c:pt>
                <c:pt idx="16">
                  <c:v>3.6388140161725104</c:v>
                </c:pt>
                <c:pt idx="17">
                  <c:v>3.6410923276983054</c:v>
                </c:pt>
                <c:pt idx="18">
                  <c:v>3.5131744040150528</c:v>
                </c:pt>
                <c:pt idx="19">
                  <c:v>3.0303030303030303</c:v>
                </c:pt>
                <c:pt idx="20">
                  <c:v>2.5882352941176507</c:v>
                </c:pt>
                <c:pt idx="21">
                  <c:v>2.1788990825687975</c:v>
                </c:pt>
                <c:pt idx="22">
                  <c:v>1.9079685746352448</c:v>
                </c:pt>
                <c:pt idx="23">
                  <c:v>1.6519823788546255</c:v>
                </c:pt>
                <c:pt idx="24">
                  <c:v>1.4084507042253491</c:v>
                </c:pt>
                <c:pt idx="25">
                  <c:v>1.282051282051285</c:v>
                </c:pt>
                <c:pt idx="26">
                  <c:v>0.84388185654008141</c:v>
                </c:pt>
                <c:pt idx="27">
                  <c:v>0.62761506276151524</c:v>
                </c:pt>
                <c:pt idx="28">
                  <c:v>0.41580041580040689</c:v>
                </c:pt>
                <c:pt idx="29">
                  <c:v>0.31055900621119192</c:v>
                </c:pt>
                <c:pt idx="30">
                  <c:v>0.10319917440659888</c:v>
                </c:pt>
                <c:pt idx="31">
                  <c:v>0.20618556701031218</c:v>
                </c:pt>
                <c:pt idx="32">
                  <c:v>0.2057613168724309</c:v>
                </c:pt>
                <c:pt idx="33">
                  <c:v>0.10266940451744795</c:v>
                </c:pt>
                <c:pt idx="34">
                  <c:v>0.20512820512820804</c:v>
                </c:pt>
                <c:pt idx="35">
                  <c:v>0.10235414534288055</c:v>
                </c:pt>
                <c:pt idx="36">
                  <c:v>0.10224948875256497</c:v>
                </c:pt>
                <c:pt idx="37">
                  <c:v>0</c:v>
                </c:pt>
                <c:pt idx="38">
                  <c:v>0</c:v>
                </c:pt>
                <c:pt idx="39">
                  <c:v>-0.10214504596527939</c:v>
                </c:pt>
                <c:pt idx="40">
                  <c:v>-0.20449897750511539</c:v>
                </c:pt>
                <c:pt idx="41">
                  <c:v>-0.30737704918032493</c:v>
                </c:pt>
                <c:pt idx="42">
                  <c:v>-0.30832476875642051</c:v>
                </c:pt>
                <c:pt idx="43">
                  <c:v>-0.30927835051546099</c:v>
                </c:pt>
                <c:pt idx="44">
                  <c:v>-0.10341261633920219</c:v>
                </c:pt>
                <c:pt idx="45">
                  <c:v>0.10351966873706887</c:v>
                </c:pt>
                <c:pt idx="46">
                  <c:v>0.20682523267838968</c:v>
                </c:pt>
                <c:pt idx="47">
                  <c:v>0.41279669762641019</c:v>
                </c:pt>
                <c:pt idx="48">
                  <c:v>0.41109969167523708</c:v>
                </c:pt>
                <c:pt idx="49">
                  <c:v>0.4094165813715368</c:v>
                </c:pt>
                <c:pt idx="50">
                  <c:v>0.20387359836901414</c:v>
                </c:pt>
                <c:pt idx="51">
                  <c:v>0.10172939979654987</c:v>
                </c:pt>
                <c:pt idx="52">
                  <c:v>0</c:v>
                </c:pt>
                <c:pt idx="53">
                  <c:v>-0.10162601626017126</c:v>
                </c:pt>
                <c:pt idx="54">
                  <c:v>0.10172939979654987</c:v>
                </c:pt>
                <c:pt idx="55">
                  <c:v>0.20325203252031365</c:v>
                </c:pt>
                <c:pt idx="56">
                  <c:v>0.40567951318459</c:v>
                </c:pt>
                <c:pt idx="57">
                  <c:v>0.6060606060606003</c:v>
                </c:pt>
                <c:pt idx="58">
                  <c:v>0.70281124497992264</c:v>
                </c:pt>
                <c:pt idx="59">
                  <c:v>0.79760717846460338</c:v>
                </c:pt>
                <c:pt idx="60">
                  <c:v>0.69238377843719379</c:v>
                </c:pt>
                <c:pt idx="61">
                  <c:v>0.58939096267191415</c:v>
                </c:pt>
                <c:pt idx="62">
                  <c:v>0.5</c:v>
                </c:pt>
                <c:pt idx="63">
                  <c:v>0.6</c:v>
                </c:pt>
                <c:pt idx="64">
                  <c:v>0.6</c:v>
                </c:pt>
                <c:pt idx="65">
                  <c:v>0.6</c:v>
                </c:pt>
              </c:numCache>
            </c:numRef>
          </c:val>
        </c:ser>
        <c:dLbls>
          <c:showLegendKey val="0"/>
          <c:showVal val="0"/>
          <c:showCatName val="0"/>
          <c:showSerName val="0"/>
          <c:showPercent val="0"/>
          <c:showBubbleSize val="0"/>
        </c:dLbls>
        <c:gapWidth val="150"/>
        <c:axId val="230221312"/>
        <c:axId val="230544512"/>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7.884015405186108E-2"/>
                  <c:y val="-0.12822089601912154"/>
                </c:manualLayout>
              </c:layout>
              <c:tx>
                <c:rich>
                  <a:bodyPr/>
                  <a:lstStyle/>
                  <a:p>
                    <a:pPr>
                      <a:defRPr sz="936" b="0" i="0" u="none" strike="noStrike" baseline="0">
                        <a:solidFill>
                          <a:srgbClr val="000000"/>
                        </a:solidFill>
                        <a:latin typeface="Arial"/>
                        <a:ea typeface="Arial"/>
                        <a:cs typeface="Arial"/>
                      </a:defRPr>
                    </a:pPr>
                    <a:r>
                      <a:rPr lang="en-US" altLang="en-US"/>
                      <a:t>10</a:t>
                    </a:r>
                    <a:r>
                      <a:rPr lang="en-US" altLang="zh-TW"/>
                      <a:t>4.2</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Sheet1!$A$110:$A$174</c:f>
              <c:strCache>
                <c:ptCount val="65"/>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strCache>
            </c:strRef>
          </c:cat>
          <c:val>
            <c:numRef>
              <c:f>Sheet1!$B$110:$B$175</c:f>
              <c:numCache>
                <c:formatCode>0.0_ </c:formatCode>
                <c:ptCount val="66"/>
                <c:pt idx="0">
                  <c:v>85.6</c:v>
                </c:pt>
                <c:pt idx="1">
                  <c:v>85.2</c:v>
                </c:pt>
                <c:pt idx="2">
                  <c:v>84.5</c:v>
                </c:pt>
                <c:pt idx="3">
                  <c:v>83.6</c:v>
                </c:pt>
                <c:pt idx="4">
                  <c:v>82.5</c:v>
                </c:pt>
                <c:pt idx="5">
                  <c:v>80.900000000000006</c:v>
                </c:pt>
                <c:pt idx="6">
                  <c:v>79.099999999999994</c:v>
                </c:pt>
                <c:pt idx="7">
                  <c:v>77</c:v>
                </c:pt>
                <c:pt idx="8">
                  <c:v>74.8</c:v>
                </c:pt>
                <c:pt idx="9">
                  <c:v>72.599999999999994</c:v>
                </c:pt>
                <c:pt idx="10">
                  <c:v>70.8</c:v>
                </c:pt>
                <c:pt idx="11">
                  <c:v>69.5</c:v>
                </c:pt>
                <c:pt idx="12">
                  <c:v>69.3</c:v>
                </c:pt>
                <c:pt idx="13">
                  <c:v>70.099999999999994</c:v>
                </c:pt>
                <c:pt idx="14">
                  <c:v>71.900000000000006</c:v>
                </c:pt>
                <c:pt idx="15">
                  <c:v>74.2</c:v>
                </c:pt>
                <c:pt idx="16">
                  <c:v>76.900000000000006</c:v>
                </c:pt>
                <c:pt idx="17">
                  <c:v>79.7</c:v>
                </c:pt>
                <c:pt idx="18">
                  <c:v>82.5</c:v>
                </c:pt>
                <c:pt idx="19">
                  <c:v>85</c:v>
                </c:pt>
                <c:pt idx="20">
                  <c:v>87.2</c:v>
                </c:pt>
                <c:pt idx="21">
                  <c:v>89.1</c:v>
                </c:pt>
                <c:pt idx="22">
                  <c:v>90.8</c:v>
                </c:pt>
                <c:pt idx="23">
                  <c:v>92.3</c:v>
                </c:pt>
                <c:pt idx="24">
                  <c:v>93.6</c:v>
                </c:pt>
                <c:pt idx="25">
                  <c:v>94.8</c:v>
                </c:pt>
                <c:pt idx="26">
                  <c:v>95.6</c:v>
                </c:pt>
                <c:pt idx="27">
                  <c:v>96.2</c:v>
                </c:pt>
                <c:pt idx="28">
                  <c:v>96.6</c:v>
                </c:pt>
                <c:pt idx="29">
                  <c:v>96.9</c:v>
                </c:pt>
                <c:pt idx="30">
                  <c:v>97</c:v>
                </c:pt>
                <c:pt idx="31">
                  <c:v>97.2</c:v>
                </c:pt>
                <c:pt idx="32">
                  <c:v>97.4</c:v>
                </c:pt>
                <c:pt idx="33">
                  <c:v>97.5</c:v>
                </c:pt>
                <c:pt idx="34">
                  <c:v>97.7</c:v>
                </c:pt>
                <c:pt idx="35">
                  <c:v>97.8</c:v>
                </c:pt>
                <c:pt idx="36">
                  <c:v>97.9</c:v>
                </c:pt>
                <c:pt idx="37">
                  <c:v>97.9</c:v>
                </c:pt>
                <c:pt idx="38">
                  <c:v>97.9</c:v>
                </c:pt>
                <c:pt idx="39">
                  <c:v>97.8</c:v>
                </c:pt>
                <c:pt idx="40">
                  <c:v>97.6</c:v>
                </c:pt>
                <c:pt idx="41">
                  <c:v>97.3</c:v>
                </c:pt>
                <c:pt idx="42">
                  <c:v>97</c:v>
                </c:pt>
                <c:pt idx="43">
                  <c:v>96.7</c:v>
                </c:pt>
                <c:pt idx="44">
                  <c:v>96.6</c:v>
                </c:pt>
                <c:pt idx="45">
                  <c:v>96.7</c:v>
                </c:pt>
                <c:pt idx="46">
                  <c:v>96.9</c:v>
                </c:pt>
                <c:pt idx="47">
                  <c:v>97.3</c:v>
                </c:pt>
                <c:pt idx="48">
                  <c:v>97.7</c:v>
                </c:pt>
                <c:pt idx="49">
                  <c:v>98.1</c:v>
                </c:pt>
                <c:pt idx="50">
                  <c:v>98.3</c:v>
                </c:pt>
                <c:pt idx="51">
                  <c:v>98.4</c:v>
                </c:pt>
                <c:pt idx="52">
                  <c:v>98.4</c:v>
                </c:pt>
                <c:pt idx="53">
                  <c:v>98.3</c:v>
                </c:pt>
                <c:pt idx="54">
                  <c:v>98.4</c:v>
                </c:pt>
                <c:pt idx="55">
                  <c:v>98.6</c:v>
                </c:pt>
                <c:pt idx="56">
                  <c:v>99</c:v>
                </c:pt>
                <c:pt idx="57">
                  <c:v>99.6</c:v>
                </c:pt>
                <c:pt idx="58">
                  <c:v>100.3</c:v>
                </c:pt>
                <c:pt idx="59">
                  <c:v>101.1</c:v>
                </c:pt>
                <c:pt idx="60">
                  <c:v>101.8</c:v>
                </c:pt>
                <c:pt idx="61">
                  <c:v>102.4</c:v>
                </c:pt>
                <c:pt idx="62">
                  <c:v>102.5</c:v>
                </c:pt>
                <c:pt idx="63">
                  <c:v>103</c:v>
                </c:pt>
                <c:pt idx="64">
                  <c:v>103.6</c:v>
                </c:pt>
                <c:pt idx="65">
                  <c:v>104.2</c:v>
                </c:pt>
              </c:numCache>
            </c:numRef>
          </c:val>
          <c:smooth val="0"/>
        </c:ser>
        <c:dLbls>
          <c:showLegendKey val="0"/>
          <c:showVal val="0"/>
          <c:showCatName val="0"/>
          <c:showSerName val="0"/>
          <c:showPercent val="0"/>
          <c:showBubbleSize val="0"/>
        </c:dLbls>
        <c:marker val="1"/>
        <c:smooth val="0"/>
        <c:axId val="230183296"/>
        <c:axId val="230185984"/>
      </c:lineChart>
      <c:catAx>
        <c:axId val="230183296"/>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30185984"/>
        <c:crossesAt val="60"/>
        <c:auto val="0"/>
        <c:lblAlgn val="ctr"/>
        <c:lblOffset val="100"/>
        <c:tickLblSkip val="2"/>
        <c:tickMarkSkip val="1"/>
        <c:noMultiLvlLbl val="0"/>
      </c:catAx>
      <c:valAx>
        <c:axId val="230185984"/>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30183296"/>
        <c:crosses val="autoZero"/>
        <c:crossBetween val="between"/>
        <c:majorUnit val="10"/>
        <c:minorUnit val="5"/>
      </c:valAx>
      <c:catAx>
        <c:axId val="230221312"/>
        <c:scaling>
          <c:orientation val="minMax"/>
        </c:scaling>
        <c:delete val="1"/>
        <c:axPos val="b"/>
        <c:numFmt formatCode="[$-404]e/m;@" sourceLinked="1"/>
        <c:majorTickMark val="out"/>
        <c:minorTickMark val="none"/>
        <c:tickLblPos val="nextTo"/>
        <c:crossAx val="230544512"/>
        <c:crosses val="autoZero"/>
        <c:auto val="0"/>
        <c:lblAlgn val="ctr"/>
        <c:lblOffset val="100"/>
        <c:noMultiLvlLbl val="0"/>
      </c:catAx>
      <c:valAx>
        <c:axId val="230544512"/>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30221312"/>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Sheet1!$B$164:$B$217</c:f>
              <c:strCache>
                <c:ptCount val="5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strCache>
            </c:strRef>
          </c:cat>
          <c:val>
            <c:numRef>
              <c:f>Sheet1!$E$164:$E$217</c:f>
              <c:numCache>
                <c:formatCode>0.00_ </c:formatCode>
                <c:ptCount val="54"/>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Sheet1!$B$164:$B$217</c:f>
              <c:strCache>
                <c:ptCount val="5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strCache>
            </c:strRef>
          </c:cat>
          <c:val>
            <c:numRef>
              <c:f>Sheet1!$F$164:$F$217</c:f>
              <c:numCache>
                <c:formatCode>0.00_ </c:formatCode>
                <c:ptCount val="54"/>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5.94</c:v>
                </c:pt>
              </c:numCache>
            </c:numRef>
          </c:val>
          <c:smooth val="1"/>
        </c:ser>
        <c:dLbls>
          <c:showLegendKey val="0"/>
          <c:showVal val="0"/>
          <c:showCatName val="0"/>
          <c:showSerName val="0"/>
          <c:showPercent val="0"/>
          <c:showBubbleSize val="0"/>
        </c:dLbls>
        <c:marker val="1"/>
        <c:smooth val="0"/>
        <c:axId val="142711424"/>
        <c:axId val="1445523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Sheet1!$C$164:$C$217</c:f>
              <c:numCache>
                <c:formatCode>General</c:formatCode>
                <c:ptCount val="54"/>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numCache>
            </c:numRef>
          </c:val>
          <c:smooth val="0"/>
        </c:ser>
        <c:dLbls>
          <c:showLegendKey val="0"/>
          <c:showVal val="0"/>
          <c:showCatName val="0"/>
          <c:showSerName val="0"/>
          <c:showPercent val="0"/>
          <c:showBubbleSize val="0"/>
        </c:dLbls>
        <c:marker val="1"/>
        <c:smooth val="0"/>
        <c:axId val="144553856"/>
        <c:axId val="144555392"/>
      </c:lineChart>
      <c:catAx>
        <c:axId val="14271142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44552320"/>
        <c:crosses val="autoZero"/>
        <c:auto val="0"/>
        <c:lblAlgn val="ctr"/>
        <c:lblOffset val="100"/>
        <c:tickLblSkip val="3"/>
        <c:tickMarkSkip val="3"/>
        <c:noMultiLvlLbl val="0"/>
      </c:catAx>
      <c:valAx>
        <c:axId val="144552320"/>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2711424"/>
        <c:crosses val="autoZero"/>
        <c:crossBetween val="midCat"/>
        <c:majorUnit val="4"/>
        <c:minorUnit val="1"/>
      </c:valAx>
      <c:catAx>
        <c:axId val="144553856"/>
        <c:scaling>
          <c:orientation val="minMax"/>
        </c:scaling>
        <c:delete val="1"/>
        <c:axPos val="b"/>
        <c:majorTickMark val="out"/>
        <c:minorTickMark val="none"/>
        <c:tickLblPos val="nextTo"/>
        <c:crossAx val="144555392"/>
        <c:crossesAt val="13"/>
        <c:auto val="1"/>
        <c:lblAlgn val="ctr"/>
        <c:lblOffset val="100"/>
        <c:noMultiLvlLbl val="0"/>
      </c:catAx>
      <c:valAx>
        <c:axId val="144555392"/>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4553856"/>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貨幣!$A$69:$A$110</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numCache>
            </c:numRef>
          </c:cat>
          <c:val>
            <c:numRef>
              <c:f>貨幣!$A$69:$A$110</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numCache>
            </c:numRef>
          </c:val>
        </c:ser>
        <c:ser>
          <c:idx val="0"/>
          <c:order val="1"/>
          <c:invertIfNegative val="0"/>
          <c:cat>
            <c:numRef>
              <c:f>貨幣!$A$69:$A$110</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numCache>
            </c:numRef>
          </c:cat>
          <c:val>
            <c:numRef>
              <c:f>貨幣!$B$69:$B$110</c:f>
              <c:numCache>
                <c:formatCode>#,##0.00</c:formatCode>
                <c:ptCount val="42"/>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pt idx="40" formatCode="General">
                  <c:v>4066.16</c:v>
                </c:pt>
                <c:pt idx="41" formatCode="General">
                  <c:v>4066.06</c:v>
                </c:pt>
              </c:numCache>
            </c:numRef>
          </c:val>
        </c:ser>
        <c:dLbls>
          <c:showLegendKey val="0"/>
          <c:showVal val="0"/>
          <c:showCatName val="0"/>
          <c:showSerName val="0"/>
          <c:showPercent val="0"/>
          <c:showBubbleSize val="0"/>
        </c:dLbls>
        <c:gapWidth val="50"/>
        <c:axId val="173846912"/>
        <c:axId val="173848448"/>
      </c:barChart>
      <c:catAx>
        <c:axId val="17384691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73848448"/>
        <c:crosses val="autoZero"/>
        <c:auto val="1"/>
        <c:lblAlgn val="ctr"/>
        <c:lblOffset val="100"/>
        <c:tickLblSkip val="2"/>
        <c:tickMarkSkip val="1"/>
        <c:noMultiLvlLbl val="0"/>
      </c:catAx>
      <c:valAx>
        <c:axId val="173848448"/>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7384691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工作表1!$B$1:$B$78</c:f>
              <c:strCache>
                <c:ptCount val="78"/>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strCache>
            </c:strRef>
          </c:cat>
          <c:val>
            <c:numRef>
              <c:f>工作表1!$A$1:$A$78</c:f>
              <c:numCache>
                <c:formatCode>#,##0.00</c:formatCode>
                <c:ptCount val="78"/>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numCache>
            </c:numRef>
          </c:val>
          <c:smooth val="0"/>
        </c:ser>
        <c:dLbls>
          <c:showLegendKey val="0"/>
          <c:showVal val="0"/>
          <c:showCatName val="0"/>
          <c:showSerName val="0"/>
          <c:showPercent val="0"/>
          <c:showBubbleSize val="0"/>
        </c:dLbls>
        <c:marker val="1"/>
        <c:smooth val="0"/>
        <c:axId val="144563200"/>
        <c:axId val="144659200"/>
      </c:lineChart>
      <c:catAx>
        <c:axId val="144563200"/>
        <c:scaling>
          <c:orientation val="minMax"/>
        </c:scaling>
        <c:delete val="0"/>
        <c:axPos val="b"/>
        <c:numFmt formatCode="#,##0.00_);[Red]\(#,##0.00\)" sourceLinked="0"/>
        <c:majorTickMark val="in"/>
        <c:minorTickMark val="none"/>
        <c:tickLblPos val="nextTo"/>
        <c:spPr>
          <a:ln w="31750"/>
        </c:spPr>
        <c:crossAx val="144659200"/>
        <c:crossesAt val="5000"/>
        <c:auto val="1"/>
        <c:lblAlgn val="ctr"/>
        <c:lblOffset val="100"/>
        <c:tickLblSkip val="3"/>
        <c:tickMarkSkip val="3"/>
        <c:noMultiLvlLbl val="0"/>
      </c:catAx>
      <c:valAx>
        <c:axId val="144659200"/>
        <c:scaling>
          <c:orientation val="minMax"/>
          <c:max val="10000"/>
          <c:min val="4000"/>
        </c:scaling>
        <c:delete val="0"/>
        <c:axPos val="l"/>
        <c:numFmt formatCode="#,##0_);[Red]\(#,##0\)" sourceLinked="0"/>
        <c:majorTickMark val="out"/>
        <c:minorTickMark val="none"/>
        <c:tickLblPos val="nextTo"/>
        <c:spPr>
          <a:ln w="28575"/>
        </c:spPr>
        <c:crossAx val="144563200"/>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2013.1~6</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181318</c:v>
                </c:pt>
              </c:numCache>
            </c:numRef>
          </c:val>
        </c:ser>
        <c:dLbls>
          <c:showLegendKey val="0"/>
          <c:showVal val="0"/>
          <c:showCatName val="0"/>
          <c:showSerName val="0"/>
          <c:showPercent val="0"/>
          <c:showBubbleSize val="0"/>
        </c:dLbls>
        <c:gapWidth val="150"/>
        <c:axId val="204461568"/>
        <c:axId val="204463488"/>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2013.1~6</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20.100000000000001</c:v>
                </c:pt>
              </c:numCache>
            </c:numRef>
          </c:val>
          <c:smooth val="0"/>
        </c:ser>
        <c:dLbls>
          <c:showLegendKey val="0"/>
          <c:showVal val="0"/>
          <c:showCatName val="0"/>
          <c:showSerName val="0"/>
          <c:showPercent val="0"/>
          <c:showBubbleSize val="0"/>
        </c:dLbls>
        <c:marker val="1"/>
        <c:smooth val="0"/>
        <c:axId val="204465280"/>
        <c:axId val="204467200"/>
      </c:lineChart>
      <c:catAx>
        <c:axId val="20446156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4463488"/>
        <c:crossesAt val="0"/>
        <c:auto val="0"/>
        <c:lblAlgn val="ctr"/>
        <c:lblOffset val="100"/>
        <c:tickMarkSkip val="1"/>
        <c:noMultiLvlLbl val="0"/>
      </c:catAx>
      <c:valAx>
        <c:axId val="204463488"/>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4461568"/>
        <c:crosses val="autoZero"/>
        <c:crossBetween val="between"/>
        <c:majorUnit val="40000"/>
      </c:valAx>
      <c:catAx>
        <c:axId val="20446528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04467200"/>
        <c:crosses val="autoZero"/>
        <c:auto val="0"/>
        <c:lblAlgn val="ctr"/>
        <c:lblOffset val="100"/>
        <c:noMultiLvlLbl val="0"/>
      </c:catAx>
      <c:valAx>
        <c:axId val="20446720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446528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1~6</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92.39</a:t>
            </a:r>
            <a:r>
              <a:rPr lang="zh-TW" altLang="en-US" sz="1001" b="1" i="0" u="none" strike="noStrike"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2403924548131175E-2"/>
                  <c:y val="4.9137591439813479E-2"/>
                </c:manualLayout>
              </c:layout>
              <c:showLegendKey val="0"/>
              <c:showVal val="1"/>
              <c:showCatName val="1"/>
              <c:showSerName val="0"/>
              <c:showPercent val="0"/>
              <c:showBubbleSize val="0"/>
              <c:separator> </c:separator>
            </c:dLbl>
            <c:dLbl>
              <c:idx val="1"/>
              <c:layout>
                <c:manualLayout>
                  <c:x val="-1.6670069395350349E-2"/>
                  <c:y val="-4.5078625642998816E-3"/>
                </c:manualLayout>
              </c:layout>
              <c:showLegendKey val="0"/>
              <c:showVal val="1"/>
              <c:showCatName val="1"/>
              <c:showSerName val="0"/>
              <c:showPercent val="0"/>
              <c:showBubbleSize val="0"/>
              <c:separator> </c:separator>
            </c:dLbl>
            <c:dLbl>
              <c:idx val="3"/>
              <c:layout>
                <c:manualLayout>
                  <c:x val="-8.2890470734501842E-2"/>
                  <c:y val="5.2791175972112768E-3"/>
                </c:manualLayout>
              </c:layout>
              <c:dLblPos val="bestFit"/>
              <c:showLegendKey val="0"/>
              <c:showVal val="1"/>
              <c:showCatName val="1"/>
              <c:showSerName val="0"/>
              <c:showPercent val="0"/>
              <c:showBubbleSize val="0"/>
              <c:separator> </c:separator>
            </c:dLbl>
            <c:dLbl>
              <c:idx val="4"/>
              <c:layout>
                <c:manualLayout>
                  <c:x val="-5.5463969674069379E-2"/>
                  <c:y val="-7.2578133230728356E-2"/>
                </c:manualLayout>
              </c:layout>
              <c:dLblPos val="bestFit"/>
              <c:showLegendKey val="0"/>
              <c:showVal val="1"/>
              <c:showCatName val="1"/>
              <c:showSerName val="0"/>
              <c:showPercent val="0"/>
              <c:showBubbleSize val="0"/>
              <c:separator> </c:separator>
            </c:dLbl>
            <c:dLbl>
              <c:idx val="5"/>
              <c:layout>
                <c:manualLayout>
                  <c:x val="-2.8723431629869796E-2"/>
                  <c:y val="-0.14887512424821242"/>
                </c:manualLayout>
              </c:layout>
              <c:dLblPos val="bestFit"/>
              <c:showLegendKey val="0"/>
              <c:showVal val="1"/>
              <c:showCatName val="1"/>
              <c:showSerName val="0"/>
              <c:showPercent val="0"/>
              <c:showBubbleSize val="0"/>
              <c:separator> </c:separator>
            </c:dLbl>
            <c:dLbl>
              <c:idx val="6"/>
              <c:layout>
                <c:manualLayout>
                  <c:x val="-4.2379208210428808E-2"/>
                  <c:y val="-0.22287839020122485"/>
                </c:manualLayout>
              </c:layout>
              <c:dLblPos val="bestFit"/>
              <c:showLegendKey val="0"/>
              <c:showVal val="1"/>
              <c:showCatName val="1"/>
              <c:showSerName val="0"/>
              <c:showPercent val="0"/>
              <c:showBubbleSize val="0"/>
              <c:separator> </c:separator>
            </c:dLbl>
            <c:dLbl>
              <c:idx val="7"/>
              <c:layout>
                <c:manualLayout>
                  <c:x val="8.2171496171337718E-2"/>
                  <c:y val="-0.18170470837742142"/>
                </c:manualLayout>
              </c:layout>
              <c:dLblPos val="bestFit"/>
              <c:showLegendKey val="0"/>
              <c:showVal val="1"/>
              <c:showCatName val="1"/>
              <c:showSerName val="0"/>
              <c:showPercent val="0"/>
              <c:showBubbleSize val="0"/>
              <c:separator> </c:separator>
            </c:dLbl>
            <c:dLbl>
              <c:idx val="8"/>
              <c:layout>
                <c:manualLayout>
                  <c:x val="0.11835739959749614"/>
                  <c:y val="-8.9583533733675932E-2"/>
                </c:manualLayout>
              </c:layout>
              <c:dLblPos val="bestFit"/>
              <c:showLegendKey val="0"/>
              <c:showVal val="1"/>
              <c:showCatName val="1"/>
              <c:showSerName val="0"/>
              <c:showPercent val="0"/>
              <c:showBubbleSize val="0"/>
              <c:separator> </c:separator>
            </c:dLbl>
            <c:dLbl>
              <c:idx val="9"/>
              <c:layout>
                <c:manualLayout>
                  <c:x val="7.6380932259628539E-2"/>
                  <c:y val="4.827816025614599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韓國</c:v>
                </c:pt>
                <c:pt idx="5">
                  <c:v>美國</c:v>
                </c:pt>
                <c:pt idx="6">
                  <c:v>德國</c:v>
                </c:pt>
                <c:pt idx="7">
                  <c:v>荷蘭</c:v>
                </c:pt>
                <c:pt idx="8">
                  <c:v>法國</c:v>
                </c:pt>
                <c:pt idx="9">
                  <c:v>泰國</c:v>
                </c:pt>
              </c:strCache>
            </c:strRef>
          </c:cat>
          <c:val>
            <c:numRef>
              <c:f>Sheet1!$C$3:$C$12</c:f>
              <c:numCache>
                <c:formatCode>0.00_ </c:formatCode>
                <c:ptCount val="10"/>
                <c:pt idx="0">
                  <c:v>397.15</c:v>
                </c:pt>
                <c:pt idx="1">
                  <c:v>46.87</c:v>
                </c:pt>
                <c:pt idx="2">
                  <c:v>32.520000000000003</c:v>
                </c:pt>
                <c:pt idx="3">
                  <c:v>30.59</c:v>
                </c:pt>
                <c:pt idx="4">
                  <c:v>19.23</c:v>
                </c:pt>
                <c:pt idx="5">
                  <c:v>18.25</c:v>
                </c:pt>
                <c:pt idx="6">
                  <c:v>12.96</c:v>
                </c:pt>
                <c:pt idx="7">
                  <c:v>5.34</c:v>
                </c:pt>
                <c:pt idx="8">
                  <c:v>5.23</c:v>
                </c:pt>
                <c:pt idx="9">
                  <c:v>4.51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2013'1-6</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10528.23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2013'1-6</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9448.69</c:v>
                </c:pt>
              </c:numCache>
            </c:numRef>
          </c:val>
        </c:ser>
        <c:dLbls>
          <c:showLegendKey val="0"/>
          <c:showVal val="0"/>
          <c:showCatName val="0"/>
          <c:showSerName val="0"/>
          <c:showPercent val="0"/>
          <c:showBubbleSize val="0"/>
        </c:dLbls>
        <c:gapWidth val="150"/>
        <c:axId val="204595200"/>
        <c:axId val="2045967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9.0315633622718924E-3"/>
                  <c:y val="-3.3768627282245459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2013'1-6</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10.4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2.6937938847387797E-2"/>
                  <c:y val="4.0804325688797099E-4"/>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2013'1-6</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6.7</c:v>
                </c:pt>
              </c:numCache>
            </c:numRef>
          </c:val>
          <c:smooth val="0"/>
        </c:ser>
        <c:dLbls>
          <c:showLegendKey val="0"/>
          <c:showVal val="0"/>
          <c:showCatName val="0"/>
          <c:showSerName val="0"/>
          <c:showPercent val="0"/>
          <c:showBubbleSize val="0"/>
        </c:dLbls>
        <c:marker val="1"/>
        <c:smooth val="0"/>
        <c:axId val="204738560"/>
        <c:axId val="204740096"/>
      </c:lineChart>
      <c:catAx>
        <c:axId val="20459520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04596736"/>
        <c:crosses val="autoZero"/>
        <c:auto val="0"/>
        <c:lblAlgn val="l"/>
        <c:lblOffset val="100"/>
        <c:tickLblSkip val="1"/>
        <c:tickMarkSkip val="1"/>
        <c:noMultiLvlLbl val="0"/>
      </c:catAx>
      <c:valAx>
        <c:axId val="204596736"/>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4595200"/>
        <c:crosses val="autoZero"/>
        <c:crossBetween val="between"/>
        <c:dispUnits>
          <c:builtInUnit val="thousands"/>
        </c:dispUnits>
      </c:valAx>
      <c:catAx>
        <c:axId val="204738560"/>
        <c:scaling>
          <c:orientation val="minMax"/>
        </c:scaling>
        <c:delete val="1"/>
        <c:axPos val="b"/>
        <c:numFmt formatCode="General" sourceLinked="1"/>
        <c:majorTickMark val="out"/>
        <c:minorTickMark val="none"/>
        <c:tickLblPos val="nextTo"/>
        <c:crossAx val="204740096"/>
        <c:crossesAt val="0"/>
        <c:auto val="0"/>
        <c:lblAlgn val="ctr"/>
        <c:lblOffset val="100"/>
        <c:noMultiLvlLbl val="0"/>
      </c:catAx>
      <c:valAx>
        <c:axId val="2047400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4738560"/>
        <c:crosses val="max"/>
        <c:crossBetween val="between"/>
      </c:valAx>
      <c:spPr>
        <a:noFill/>
        <a:ln w="25399">
          <a:noFill/>
        </a:ln>
      </c:spPr>
    </c:plotArea>
    <c:legend>
      <c:legendPos val="r"/>
      <c:layout>
        <c:manualLayout>
          <c:xMode val="edge"/>
          <c:yMode val="edge"/>
          <c:x val="0.12678489359772729"/>
          <c:y val="5.2302324914303748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6304073101974E-2"/>
          <c:y val="9.4594462029455623E-2"/>
          <c:w val="0.87444042045420001"/>
          <c:h val="0.60011276610348985"/>
        </c:manualLayout>
      </c:layout>
      <c:lineChart>
        <c:grouping val="stacked"/>
        <c:varyColors val="0"/>
        <c:ser>
          <c:idx val="0"/>
          <c:order val="0"/>
          <c:tx>
            <c:strRef>
              <c:f>工作表1!$C$1</c:f>
              <c:strCache>
                <c:ptCount val="1"/>
                <c:pt idx="0">
                  <c:v>OECD國家平均失業率</c:v>
                </c:pt>
              </c:strCache>
            </c:strRef>
          </c:tx>
          <c:dLbls>
            <c:dLbl>
              <c:idx val="8"/>
              <c:layout>
                <c:manualLayout>
                  <c:x val="-3.8580246913580245E-2"/>
                  <c:y val="-3.787878787878788E-2"/>
                </c:manualLayout>
              </c:layout>
              <c:showLegendKey val="0"/>
              <c:showVal val="1"/>
              <c:showCatName val="0"/>
              <c:showSerName val="0"/>
              <c:showPercent val="0"/>
              <c:showBubbleSize val="0"/>
            </c:dLbl>
            <c:dLbl>
              <c:idx val="20"/>
              <c:layout>
                <c:manualLayout>
                  <c:x val="-4.0991512345679014E-2"/>
                  <c:y val="-4.6296627694265492E-2"/>
                </c:manualLayout>
              </c:layout>
              <c:showLegendKey val="0"/>
              <c:showVal val="1"/>
              <c:showCatName val="0"/>
              <c:showSerName val="0"/>
              <c:showPercent val="0"/>
              <c:showBubbleSize val="0"/>
            </c:dLbl>
            <c:showLegendKey val="0"/>
            <c:showVal val="0"/>
            <c:showCatName val="0"/>
            <c:showSerName val="0"/>
            <c:showPercent val="0"/>
            <c:showBubbleSize val="0"/>
          </c:dLbls>
          <c:cat>
            <c:multiLvlStrRef>
              <c:f>工作表1!$A$2:$B$29</c:f>
              <c:multiLvlStrCache>
                <c:ptCount val="28"/>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Q2(f)</c:v>
                  </c:pt>
                  <c:pt idx="22">
                    <c:v>Q3(f)</c:v>
                  </c:pt>
                  <c:pt idx="23">
                    <c:v>Q4(f)</c:v>
                  </c:pt>
                  <c:pt idx="24">
                    <c:v>Q1(f)</c:v>
                  </c:pt>
                  <c:pt idx="25">
                    <c:v>Q2(f)</c:v>
                  </c:pt>
                  <c:pt idx="26">
                    <c:v>Q3(f)</c:v>
                  </c:pt>
                  <c:pt idx="27">
                    <c:v>Q4(f)</c:v>
                  </c:pt>
                </c:lvl>
                <c:lvl>
                  <c:pt idx="0">
                    <c:v>2008
(6.0)</c:v>
                  </c:pt>
                  <c:pt idx="4">
                    <c:v>2009
(8.1)</c:v>
                  </c:pt>
                  <c:pt idx="8">
                    <c:v>2010
(8.3)</c:v>
                  </c:pt>
                  <c:pt idx="12">
                    <c:v>2011
(8.0)</c:v>
                  </c:pt>
                  <c:pt idx="16">
                    <c:v>2012
(8.0)</c:v>
                  </c:pt>
                  <c:pt idx="20">
                    <c:v>2013
(8.1)</c:v>
                  </c:pt>
                  <c:pt idx="24">
                    <c:v>2014
(8.0)(f)</c:v>
                  </c:pt>
                </c:lvl>
              </c:multiLvlStrCache>
            </c:multiLvlStrRef>
          </c:cat>
          <c:val>
            <c:numRef>
              <c:f>工作表1!$C$2:$C$29</c:f>
              <c:numCache>
                <c:formatCode>0.00_ </c:formatCode>
                <c:ptCount val="28"/>
                <c:pt idx="0">
                  <c:v>5.5784029999999998</c:v>
                </c:pt>
                <c:pt idx="1">
                  <c:v>5.7310210000000001</c:v>
                </c:pt>
                <c:pt idx="2">
                  <c:v>5.9966799999999996</c:v>
                </c:pt>
                <c:pt idx="3">
                  <c:v>6.5232340000000004</c:v>
                </c:pt>
                <c:pt idx="4">
                  <c:v>7.499803</c:v>
                </c:pt>
                <c:pt idx="5">
                  <c:v>8.1560819999999996</c:v>
                </c:pt>
                <c:pt idx="6">
                  <c:v>8.4002660000000002</c:v>
                </c:pt>
                <c:pt idx="7">
                  <c:v>8.4253619999999998</c:v>
                </c:pt>
                <c:pt idx="8">
                  <c:v>8.4354899999999997</c:v>
                </c:pt>
                <c:pt idx="9">
                  <c:v>8.3264259999999997</c:v>
                </c:pt>
                <c:pt idx="10">
                  <c:v>8.2164420000000007</c:v>
                </c:pt>
                <c:pt idx="11">
                  <c:v>8.1924220000000005</c:v>
                </c:pt>
                <c:pt idx="12">
                  <c:v>7.9292009999999999</c:v>
                </c:pt>
                <c:pt idx="13">
                  <c:v>7.9311990000000003</c:v>
                </c:pt>
                <c:pt idx="14">
                  <c:v>7.9451720000000003</c:v>
                </c:pt>
                <c:pt idx="15">
                  <c:v>7.9067509999999999</c:v>
                </c:pt>
                <c:pt idx="16">
                  <c:v>7.9105350000000003</c:v>
                </c:pt>
                <c:pt idx="17">
                  <c:v>7.9379090000000003</c:v>
                </c:pt>
                <c:pt idx="18">
                  <c:v>7.9377240000000002</c:v>
                </c:pt>
                <c:pt idx="19">
                  <c:v>7.9755580000000004</c:v>
                </c:pt>
                <c:pt idx="20">
                  <c:v>8.1</c:v>
                </c:pt>
                <c:pt idx="21">
                  <c:v>8.1</c:v>
                </c:pt>
                <c:pt idx="22">
                  <c:v>8.1</c:v>
                </c:pt>
                <c:pt idx="23">
                  <c:v>8.1</c:v>
                </c:pt>
                <c:pt idx="24">
                  <c:v>8.1</c:v>
                </c:pt>
                <c:pt idx="25">
                  <c:v>8</c:v>
                </c:pt>
                <c:pt idx="26">
                  <c:v>7.9</c:v>
                </c:pt>
                <c:pt idx="27">
                  <c:v>7.8</c:v>
                </c:pt>
              </c:numCache>
            </c:numRef>
          </c:val>
          <c:smooth val="0"/>
        </c:ser>
        <c:dLbls>
          <c:showLegendKey val="0"/>
          <c:showVal val="0"/>
          <c:showCatName val="0"/>
          <c:showSerName val="0"/>
          <c:showPercent val="0"/>
          <c:showBubbleSize val="0"/>
        </c:dLbls>
        <c:marker val="1"/>
        <c:smooth val="0"/>
        <c:axId val="204841344"/>
        <c:axId val="204843264"/>
      </c:lineChart>
      <c:catAx>
        <c:axId val="204841344"/>
        <c:scaling>
          <c:orientation val="minMax"/>
        </c:scaling>
        <c:delete val="0"/>
        <c:axPos val="b"/>
        <c:title>
          <c:tx>
            <c:rich>
              <a:bodyPr/>
              <a:lstStyle/>
              <a:p>
                <a:pPr>
                  <a:defRPr b="0">
                    <a:latin typeface="Times New Roman" pitchFamily="18" charset="0"/>
                    <a:ea typeface="標楷體" pitchFamily="65" charset="-120"/>
                    <a:cs typeface="Times New Roman" pitchFamily="18" charset="0"/>
                  </a:defRPr>
                </a:pPr>
                <a:r>
                  <a:rPr lang="zh-TW" altLang="en-US" b="0">
                    <a:latin typeface="Times New Roman" pitchFamily="18" charset="0"/>
                    <a:ea typeface="標楷體" pitchFamily="65" charset="-120"/>
                    <a:cs typeface="Times New Roman" pitchFamily="18" charset="0"/>
                  </a:rPr>
                  <a:t>年別</a:t>
                </a:r>
              </a:p>
            </c:rich>
          </c:tx>
          <c:layout>
            <c:manualLayout>
              <c:xMode val="edge"/>
              <c:yMode val="edge"/>
              <c:x val="0.88309294092868018"/>
              <c:y val="0.93248317497050104"/>
            </c:manualLayout>
          </c:layout>
          <c:overlay val="0"/>
        </c:title>
        <c:majorTickMark val="out"/>
        <c:minorTickMark val="none"/>
        <c:tickLblPos val="nextTo"/>
        <c:txPr>
          <a:bodyPr rot="0" vert="eaVert"/>
          <a:lstStyle/>
          <a:p>
            <a:pPr>
              <a:defRPr sz="1000">
                <a:latin typeface="Times New Roman" pitchFamily="18" charset="0"/>
                <a:cs typeface="Times New Roman" pitchFamily="18" charset="0"/>
              </a:defRPr>
            </a:pPr>
            <a:endParaRPr lang="zh-TW"/>
          </a:p>
        </c:txPr>
        <c:crossAx val="204843264"/>
        <c:crosses val="autoZero"/>
        <c:auto val="0"/>
        <c:lblAlgn val="ctr"/>
        <c:lblOffset val="0"/>
        <c:noMultiLvlLbl val="0"/>
      </c:catAx>
      <c:valAx>
        <c:axId val="204843264"/>
        <c:scaling>
          <c:orientation val="minMax"/>
          <c:max val="9"/>
          <c:min val="5"/>
        </c:scaling>
        <c:delete val="0"/>
        <c:axPos val="l"/>
        <c:majorGridlines/>
        <c:title>
          <c:tx>
            <c:rich>
              <a:bodyPr rot="0" vert="horz"/>
              <a:lstStyle/>
              <a:p>
                <a:pPr>
                  <a:defRPr sz="900" b="0">
                    <a:latin typeface="Times New Roman" pitchFamily="18" charset="0"/>
                    <a:cs typeface="Times New Roman" pitchFamily="18" charset="0"/>
                  </a:defRPr>
                </a:pPr>
                <a:r>
                  <a:rPr lang="zh-TW" altLang="en-US" sz="900" b="0">
                    <a:latin typeface="Times New Roman" pitchFamily="18" charset="0"/>
                    <a:cs typeface="Times New Roman" pitchFamily="18" charset="0"/>
                  </a:rPr>
                  <a:t>％</a:t>
                </a:r>
              </a:p>
            </c:rich>
          </c:tx>
          <c:layout>
            <c:manualLayout>
              <c:xMode val="edge"/>
              <c:yMode val="edge"/>
              <c:x val="2.1227439162697256E-2"/>
              <c:y val="1.0786322942508899E-3"/>
            </c:manualLayout>
          </c:layout>
          <c:overlay val="0"/>
        </c:title>
        <c:numFmt formatCode="0.0_ " sourceLinked="0"/>
        <c:majorTickMark val="in"/>
        <c:minorTickMark val="none"/>
        <c:tickLblPos val="low"/>
        <c:txPr>
          <a:bodyPr/>
          <a:lstStyle/>
          <a:p>
            <a:pPr>
              <a:defRPr>
                <a:latin typeface="Times New Roman" pitchFamily="18" charset="0"/>
                <a:cs typeface="Times New Roman" pitchFamily="18" charset="0"/>
              </a:defRPr>
            </a:pPr>
            <a:endParaRPr lang="zh-TW"/>
          </a:p>
        </c:txPr>
        <c:crossAx val="204841344"/>
        <c:crosses val="autoZero"/>
        <c:crossBetween val="between"/>
        <c:majorUnit val="0.5"/>
      </c:valAx>
    </c:plotArea>
    <c:plotVisOnly val="1"/>
    <c:dispBlanksAs val="zero"/>
    <c:showDLblsOverMax val="0"/>
  </c:chart>
  <c:spPr>
    <a:no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36709763131464E-2"/>
          <c:y val="9.5705023258231339E-2"/>
          <c:w val="0.89949176634916295"/>
          <c:h val="0.62490933986411545"/>
        </c:manualLayout>
      </c:layout>
      <c:lineChart>
        <c:grouping val="standard"/>
        <c:varyColors val="0"/>
        <c:ser>
          <c:idx val="1"/>
          <c:order val="0"/>
          <c:tx>
            <c:strRef>
              <c:f>工作表1!$C$1</c:f>
              <c:strCache>
                <c:ptCount val="1"/>
                <c:pt idx="0">
                  <c:v>失業率(%)</c:v>
                </c:pt>
              </c:strCache>
            </c:strRef>
          </c:tx>
          <c:spPr>
            <a:ln w="25400"/>
          </c:spPr>
          <c:marker>
            <c:symbol val="diamond"/>
            <c:size val="4"/>
          </c:marker>
          <c:dLbls>
            <c:dLbl>
              <c:idx val="19"/>
              <c:showLegendKey val="0"/>
              <c:showVal val="1"/>
              <c:showCatName val="0"/>
              <c:showSerName val="0"/>
              <c:showPercent val="0"/>
              <c:showBubbleSize val="0"/>
            </c:dLbl>
            <c:dLbl>
              <c:idx val="64"/>
              <c:layout>
                <c:manualLayout>
                  <c:x val="0"/>
                  <c:y val="-4.9566294919454849E-2"/>
                </c:manualLayout>
              </c:layout>
              <c:showLegendKey val="0"/>
              <c:showVal val="1"/>
              <c:showCatName val="0"/>
              <c:showSerName val="0"/>
              <c:showPercent val="0"/>
              <c:showBubbleSize val="0"/>
            </c:dLbl>
            <c:showLegendKey val="0"/>
            <c:showVal val="0"/>
            <c:showCatName val="0"/>
            <c:showSerName val="0"/>
            <c:showPercent val="0"/>
            <c:showBubbleSize val="0"/>
          </c:dLbls>
          <c:cat>
            <c:multiLvlStrRef>
              <c:f>工作表1!$A$2:$B$67</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2008
(4.14)</c:v>
                  </c:pt>
                  <c:pt idx="12">
                    <c:v>2009
(5.85)</c:v>
                  </c:pt>
                  <c:pt idx="24">
                    <c:v>2010
(5.21)</c:v>
                  </c:pt>
                  <c:pt idx="36">
                    <c:v>2011
(4.39)</c:v>
                  </c:pt>
                  <c:pt idx="48">
                    <c:v>2012
(4.24)</c:v>
                  </c:pt>
                  <c:pt idx="60">
                    <c:v>2013
(4.14)</c:v>
                  </c:pt>
                </c:lvl>
              </c:multiLvlStrCache>
            </c:multiLvlStrRef>
          </c:cat>
          <c:val>
            <c:numRef>
              <c:f>工作表1!$C$2:$C$67</c:f>
              <c:numCache>
                <c:formatCode>0.00_ </c:formatCode>
                <c:ptCount val="66"/>
                <c:pt idx="0">
                  <c:v>3.8</c:v>
                </c:pt>
                <c:pt idx="1">
                  <c:v>3.94</c:v>
                </c:pt>
                <c:pt idx="2">
                  <c:v>3.86</c:v>
                </c:pt>
                <c:pt idx="3">
                  <c:v>3.81</c:v>
                </c:pt>
                <c:pt idx="4">
                  <c:v>3.84</c:v>
                </c:pt>
                <c:pt idx="5">
                  <c:v>3.95</c:v>
                </c:pt>
                <c:pt idx="6">
                  <c:v>4.0599999999999996</c:v>
                </c:pt>
                <c:pt idx="7">
                  <c:v>4.1399999999999997</c:v>
                </c:pt>
                <c:pt idx="8">
                  <c:v>4.2699999999999996</c:v>
                </c:pt>
                <c:pt idx="9">
                  <c:v>4.37</c:v>
                </c:pt>
                <c:pt idx="10">
                  <c:v>4.6399999999999997</c:v>
                </c:pt>
                <c:pt idx="11">
                  <c:v>5.03</c:v>
                </c:pt>
                <c:pt idx="12">
                  <c:v>5.31</c:v>
                </c:pt>
                <c:pt idx="13">
                  <c:v>5.75</c:v>
                </c:pt>
                <c:pt idx="14">
                  <c:v>5.81</c:v>
                </c:pt>
                <c:pt idx="15">
                  <c:v>5.76</c:v>
                </c:pt>
                <c:pt idx="16">
                  <c:v>5.82</c:v>
                </c:pt>
                <c:pt idx="17">
                  <c:v>5.94</c:v>
                </c:pt>
                <c:pt idx="18">
                  <c:v>6.07</c:v>
                </c:pt>
                <c:pt idx="19">
                  <c:v>6.13</c:v>
                </c:pt>
                <c:pt idx="20">
                  <c:v>6.04</c:v>
                </c:pt>
                <c:pt idx="21">
                  <c:v>5.96</c:v>
                </c:pt>
                <c:pt idx="22">
                  <c:v>5.86</c:v>
                </c:pt>
                <c:pt idx="23">
                  <c:v>5.74</c:v>
                </c:pt>
                <c:pt idx="24">
                  <c:v>5.68</c:v>
                </c:pt>
                <c:pt idx="25">
                  <c:v>5.76</c:v>
                </c:pt>
                <c:pt idx="26">
                  <c:v>5.67</c:v>
                </c:pt>
                <c:pt idx="27">
                  <c:v>5.39</c:v>
                </c:pt>
                <c:pt idx="28">
                  <c:v>5.14</c:v>
                </c:pt>
                <c:pt idx="29">
                  <c:v>5.16</c:v>
                </c:pt>
                <c:pt idx="30">
                  <c:v>5.2</c:v>
                </c:pt>
                <c:pt idx="31">
                  <c:v>5.17</c:v>
                </c:pt>
                <c:pt idx="32">
                  <c:v>5.05</c:v>
                </c:pt>
                <c:pt idx="33">
                  <c:v>4.92</c:v>
                </c:pt>
                <c:pt idx="34">
                  <c:v>4.7300000000000004</c:v>
                </c:pt>
                <c:pt idx="35">
                  <c:v>4.67</c:v>
                </c:pt>
                <c:pt idx="36" formatCode="General">
                  <c:v>4.6399999999999997</c:v>
                </c:pt>
                <c:pt idx="37" formatCode="General">
                  <c:v>4.6900000000000004</c:v>
                </c:pt>
                <c:pt idx="38" formatCode="General">
                  <c:v>4.4800000000000004</c:v>
                </c:pt>
                <c:pt idx="39" formatCode="General">
                  <c:v>4.29</c:v>
                </c:pt>
                <c:pt idx="40" formatCode="General">
                  <c:v>4.2699999999999996</c:v>
                </c:pt>
                <c:pt idx="41" formatCode="General">
                  <c:v>4.3499999999999996</c:v>
                </c:pt>
                <c:pt idx="42" formatCode="General">
                  <c:v>4.41</c:v>
                </c:pt>
                <c:pt idx="43" formatCode="General">
                  <c:v>4.45</c:v>
                </c:pt>
                <c:pt idx="44" formatCode="General">
                  <c:v>4.28</c:v>
                </c:pt>
                <c:pt idx="45" formatCode="General">
                  <c:v>4.3</c:v>
                </c:pt>
                <c:pt idx="46" formatCode="General">
                  <c:v>4.28</c:v>
                </c:pt>
                <c:pt idx="47" formatCode="General">
                  <c:v>4.18</c:v>
                </c:pt>
                <c:pt idx="48">
                  <c:v>4.18</c:v>
                </c:pt>
                <c:pt idx="49">
                  <c:v>4.25</c:v>
                </c:pt>
                <c:pt idx="50">
                  <c:v>4.17</c:v>
                </c:pt>
                <c:pt idx="51">
                  <c:v>4.0999999999999996</c:v>
                </c:pt>
                <c:pt idx="52">
                  <c:v>4.12</c:v>
                </c:pt>
                <c:pt idx="53">
                  <c:v>4.21</c:v>
                </c:pt>
                <c:pt idx="54">
                  <c:v>4.3099999999999996</c:v>
                </c:pt>
                <c:pt idx="55">
                  <c:v>4.4000000000000004</c:v>
                </c:pt>
                <c:pt idx="56" formatCode="0.00">
                  <c:v>4.32</c:v>
                </c:pt>
                <c:pt idx="57" formatCode="0.00">
                  <c:v>4.33</c:v>
                </c:pt>
                <c:pt idx="58" formatCode="0.00">
                  <c:v>4.2699999999999996</c:v>
                </c:pt>
                <c:pt idx="59" formatCode="0.00">
                  <c:v>4.18</c:v>
                </c:pt>
                <c:pt idx="60" formatCode="General">
                  <c:v>4.16</c:v>
                </c:pt>
                <c:pt idx="61" formatCode="General">
                  <c:v>4.24</c:v>
                </c:pt>
                <c:pt idx="62" formatCode="General">
                  <c:v>4.17</c:v>
                </c:pt>
                <c:pt idx="63" formatCode="General">
                  <c:v>4.07</c:v>
                </c:pt>
                <c:pt idx="64" formatCode="General">
                  <c:v>4.0599999999999996</c:v>
                </c:pt>
              </c:numCache>
            </c:numRef>
          </c:val>
          <c:smooth val="0"/>
        </c:ser>
        <c:dLbls>
          <c:showLegendKey val="0"/>
          <c:showVal val="0"/>
          <c:showCatName val="0"/>
          <c:showSerName val="0"/>
          <c:showPercent val="0"/>
          <c:showBubbleSize val="0"/>
        </c:dLbls>
        <c:marker val="1"/>
        <c:smooth val="0"/>
        <c:axId val="204978432"/>
        <c:axId val="204988800"/>
      </c:lineChart>
      <c:catAx>
        <c:axId val="204978432"/>
        <c:scaling>
          <c:orientation val="minMax"/>
        </c:scaling>
        <c:delete val="0"/>
        <c:axPos val="b"/>
        <c:title>
          <c:tx>
            <c:rich>
              <a:bodyPr/>
              <a:lstStyle/>
              <a:p>
                <a:pPr algn="ctr">
                  <a:defRPr b="0">
                    <a:latin typeface="Times New Roman" pitchFamily="18" charset="0"/>
                    <a:ea typeface="標楷體" pitchFamily="65" charset="-120"/>
                    <a:cs typeface="Times New Roman" pitchFamily="18" charset="0"/>
                  </a:defRPr>
                </a:pPr>
                <a:r>
                  <a:rPr lang="zh-TW" altLang="en-US" b="0">
                    <a:latin typeface="Times New Roman" pitchFamily="18" charset="0"/>
                    <a:ea typeface="標楷體" pitchFamily="65" charset="-120"/>
                    <a:cs typeface="Times New Roman" pitchFamily="18" charset="0"/>
                  </a:rPr>
                  <a:t>年別</a:t>
                </a:r>
              </a:p>
            </c:rich>
          </c:tx>
          <c:layout>
            <c:manualLayout>
              <c:xMode val="edge"/>
              <c:yMode val="edge"/>
              <c:x val="0.91753467159197688"/>
              <c:y val="0.91596729554845246"/>
            </c:manualLayout>
          </c:layout>
          <c:overlay val="0"/>
        </c:title>
        <c:majorTickMark val="none"/>
        <c:minorTickMark val="in"/>
        <c:tickLblPos val="low"/>
        <c:spPr>
          <a:noFill/>
        </c:spPr>
        <c:txPr>
          <a:bodyPr/>
          <a:lstStyle/>
          <a:p>
            <a:pPr>
              <a:defRPr>
                <a:latin typeface="Times New Roman" pitchFamily="18" charset="0"/>
                <a:cs typeface="Times New Roman" pitchFamily="18" charset="0"/>
              </a:defRPr>
            </a:pPr>
            <a:endParaRPr lang="zh-TW"/>
          </a:p>
        </c:txPr>
        <c:crossAx val="204988800"/>
        <c:crosses val="autoZero"/>
        <c:auto val="1"/>
        <c:lblAlgn val="ctr"/>
        <c:lblOffset val="0"/>
        <c:tickMarkSkip val="1"/>
        <c:noMultiLvlLbl val="0"/>
      </c:catAx>
      <c:valAx>
        <c:axId val="204988800"/>
        <c:scaling>
          <c:orientation val="minMax"/>
          <c:min val="3"/>
        </c:scaling>
        <c:delete val="0"/>
        <c:axPos val="l"/>
        <c:majorGridlines/>
        <c:title>
          <c:tx>
            <c:rich>
              <a:bodyPr rot="0" vert="wordArtVertRtl"/>
              <a:lstStyle/>
              <a:p>
                <a:pPr>
                  <a:defRPr sz="900" b="0">
                    <a:latin typeface="Times New Roman" pitchFamily="18" charset="0"/>
                    <a:cs typeface="Times New Roman" pitchFamily="18" charset="0"/>
                  </a:defRPr>
                </a:pPr>
                <a:r>
                  <a:rPr lang="zh-TW" altLang="en-US" sz="900" b="0">
                    <a:latin typeface="Times New Roman" pitchFamily="18" charset="0"/>
                    <a:cs typeface="Times New Roman" pitchFamily="18" charset="0"/>
                  </a:rPr>
                  <a:t>％</a:t>
                </a:r>
              </a:p>
            </c:rich>
          </c:tx>
          <c:layout>
            <c:manualLayout>
              <c:xMode val="edge"/>
              <c:yMode val="edge"/>
              <c:x val="3.1665168011405981E-2"/>
              <c:y val="1.1086640160079E-3"/>
            </c:manualLayout>
          </c:layout>
          <c:overlay val="0"/>
        </c:title>
        <c:numFmt formatCode="0.0_ "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204978432"/>
        <c:crosses val="autoZero"/>
        <c:crossBetween val="between"/>
        <c:majorUnit val="0.5"/>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2731940291716"/>
          <c:y val="8.8413251749104124E-2"/>
          <c:w val="0.81667359367497716"/>
          <c:h val="0.66517409781981585"/>
        </c:manualLayout>
      </c:layout>
      <c:barChart>
        <c:barDir val="col"/>
        <c:grouping val="clustered"/>
        <c:varyColors val="0"/>
        <c:ser>
          <c:idx val="0"/>
          <c:order val="0"/>
          <c:tx>
            <c:strRef>
              <c:f>工作表1!$B$1</c:f>
              <c:strCache>
                <c:ptCount val="1"/>
                <c:pt idx="0">
                  <c:v>長期失業占比(％)</c:v>
                </c:pt>
              </c:strCache>
            </c:strRef>
          </c:tx>
          <c:spPr>
            <a:solidFill>
              <a:schemeClr val="accent1"/>
            </a:solidFill>
          </c:spPr>
          <c:invertIfNegative val="0"/>
          <c:dPt>
            <c:idx val="5"/>
            <c:invertIfNegative val="0"/>
            <c:bubble3D val="0"/>
          </c:dPt>
          <c:dPt>
            <c:idx val="7"/>
            <c:invertIfNegative val="0"/>
            <c:bubble3D val="0"/>
            <c:spPr>
              <a:pattFill prst="pct50">
                <a:fgClr>
                  <a:schemeClr val="accent2"/>
                </a:fgClr>
                <a:bgClr>
                  <a:schemeClr val="bg1"/>
                </a:bgClr>
              </a:pattFill>
            </c:spPr>
          </c:dPt>
          <c:dLbls>
            <c:dLbl>
              <c:idx val="0"/>
              <c:showLegendKey val="0"/>
              <c:showVal val="1"/>
              <c:showCatName val="0"/>
              <c:showSerName val="0"/>
              <c:showPercent val="0"/>
              <c:showBubbleSize val="0"/>
            </c:dLbl>
            <c:dLbl>
              <c:idx val="7"/>
              <c:showLegendKey val="0"/>
              <c:showVal val="1"/>
              <c:showCatName val="0"/>
              <c:showSerName val="0"/>
              <c:showPercent val="0"/>
              <c:showBubbleSize val="0"/>
            </c:dLbl>
            <c:dLbl>
              <c:idx val="18"/>
              <c:showLegendKey val="0"/>
              <c:showVal val="1"/>
              <c:showCatName val="0"/>
              <c:showSerName val="0"/>
              <c:showPercent val="0"/>
              <c:showBubbleSize val="0"/>
            </c:dLbl>
            <c:showLegendKey val="0"/>
            <c:showVal val="0"/>
            <c:showCatName val="0"/>
            <c:showSerName val="0"/>
            <c:showPercent val="0"/>
            <c:showBubbleSize val="0"/>
          </c:dLbls>
          <c:cat>
            <c:strRef>
              <c:f>工作表1!$A$2:$A$37</c:f>
              <c:strCache>
                <c:ptCount val="36"/>
                <c:pt idx="0">
                  <c:v>南韓</c:v>
                </c:pt>
                <c:pt idx="1">
                  <c:v>墨西哥</c:v>
                </c:pt>
                <c:pt idx="2">
                  <c:v>挪威</c:v>
                </c:pt>
                <c:pt idx="3">
                  <c:v>加拿大</c:v>
                </c:pt>
                <c:pt idx="4">
                  <c:v>紐西蘭</c:v>
                </c:pt>
                <c:pt idx="5">
                  <c:v>以色列</c:v>
                </c:pt>
                <c:pt idx="6">
                  <c:v>瑞典</c:v>
                </c:pt>
                <c:pt idx="7">
                  <c:v>台灣</c:v>
                </c:pt>
                <c:pt idx="8">
                  <c:v>澳洲</c:v>
                </c:pt>
                <c:pt idx="9">
                  <c:v>芬蘭</c:v>
                </c:pt>
                <c:pt idx="10">
                  <c:v>奧地利</c:v>
                </c:pt>
                <c:pt idx="11">
                  <c:v>土耳其</c:v>
                </c:pt>
                <c:pt idx="12">
                  <c:v>冰島</c:v>
                </c:pt>
                <c:pt idx="13">
                  <c:v>丹麥</c:v>
                </c:pt>
                <c:pt idx="14">
                  <c:v>美國</c:v>
                </c:pt>
                <c:pt idx="15">
                  <c:v>盧森堡</c:v>
                </c:pt>
                <c:pt idx="16">
                  <c:v>俄羅斯</c:v>
                </c:pt>
                <c:pt idx="17">
                  <c:v>荷蘭</c:v>
                </c:pt>
                <c:pt idx="18">
                  <c:v>OECD</c:v>
                </c:pt>
                <c:pt idx="19">
                  <c:v>英國</c:v>
                </c:pt>
                <c:pt idx="20">
                  <c:v>瑞士</c:v>
                </c:pt>
                <c:pt idx="21">
                  <c:v>波蘭</c:v>
                </c:pt>
                <c:pt idx="22">
                  <c:v>日本</c:v>
                </c:pt>
                <c:pt idx="23">
                  <c:v>法國</c:v>
                </c:pt>
                <c:pt idx="24">
                  <c:v>捷克</c:v>
                </c:pt>
                <c:pt idx="25">
                  <c:v>西班牙</c:v>
                </c:pt>
                <c:pt idx="26">
                  <c:v>比利時</c:v>
                </c:pt>
                <c:pt idx="27">
                  <c:v>德國</c:v>
                </c:pt>
                <c:pt idx="28">
                  <c:v>匈牙利</c:v>
                </c:pt>
                <c:pt idx="29">
                  <c:v>斯洛維尼亞</c:v>
                </c:pt>
                <c:pt idx="30">
                  <c:v>葡萄牙</c:v>
                </c:pt>
                <c:pt idx="31">
                  <c:v>義大利</c:v>
                </c:pt>
                <c:pt idx="32">
                  <c:v>愛沙尼亞</c:v>
                </c:pt>
                <c:pt idx="33">
                  <c:v>希臘</c:v>
                </c:pt>
                <c:pt idx="34">
                  <c:v>愛爾蘭</c:v>
                </c:pt>
                <c:pt idx="35">
                  <c:v>斯洛伐克</c:v>
                </c:pt>
              </c:strCache>
            </c:strRef>
          </c:cat>
          <c:val>
            <c:numRef>
              <c:f>工作表1!$B$2:$B$37</c:f>
              <c:numCache>
                <c:formatCode>0.00%</c:formatCode>
                <c:ptCount val="36"/>
                <c:pt idx="0">
                  <c:v>2.4390243902438998E-3</c:v>
                </c:pt>
                <c:pt idx="1">
                  <c:v>1.71149144254279E-2</c:v>
                </c:pt>
                <c:pt idx="2">
                  <c:v>8.1395348837209294E-2</c:v>
                </c:pt>
                <c:pt idx="3">
                  <c:v>0.119152046783625</c:v>
                </c:pt>
                <c:pt idx="4">
                  <c:v>0.12121212121212099</c:v>
                </c:pt>
                <c:pt idx="5">
                  <c:v>0.121457489878542</c:v>
                </c:pt>
                <c:pt idx="6">
                  <c:v>0.158808933002481</c:v>
                </c:pt>
                <c:pt idx="7">
                  <c:v>0.1648</c:v>
                </c:pt>
                <c:pt idx="8">
                  <c:v>0.203149606299212</c:v>
                </c:pt>
                <c:pt idx="9">
                  <c:v>0.213592233009708</c:v>
                </c:pt>
                <c:pt idx="10">
                  <c:v>0.248677248677248</c:v>
                </c:pt>
                <c:pt idx="11">
                  <c:v>0.249106078665077</c:v>
                </c:pt>
                <c:pt idx="12">
                  <c:v>0.27272727272727199</c:v>
                </c:pt>
                <c:pt idx="13">
                  <c:v>0.278538812785388</c:v>
                </c:pt>
                <c:pt idx="14">
                  <c:v>0.292932523185161</c:v>
                </c:pt>
                <c:pt idx="15">
                  <c:v>0.30769230769230699</c:v>
                </c:pt>
                <c:pt idx="16">
                  <c:v>0.30865989356555301</c:v>
                </c:pt>
                <c:pt idx="17">
                  <c:v>0.33261802575107302</c:v>
                </c:pt>
                <c:pt idx="18">
                  <c:v>0.33911811955694598</c:v>
                </c:pt>
                <c:pt idx="19">
                  <c:v>0.34702832070203399</c:v>
                </c:pt>
                <c:pt idx="20">
                  <c:v>0.34715025906735703</c:v>
                </c:pt>
                <c:pt idx="21">
                  <c:v>0.34762721555174297</c:v>
                </c:pt>
                <c:pt idx="22">
                  <c:v>0.38489208633093502</c:v>
                </c:pt>
                <c:pt idx="23">
                  <c:v>0.399433427762039</c:v>
                </c:pt>
                <c:pt idx="24">
                  <c:v>0.43490304709141198</c:v>
                </c:pt>
                <c:pt idx="25">
                  <c:v>0.44469486823855697</c:v>
                </c:pt>
                <c:pt idx="26">
                  <c:v>0.44715447154471499</c:v>
                </c:pt>
                <c:pt idx="27">
                  <c:v>0.45159896283491702</c:v>
                </c:pt>
                <c:pt idx="28">
                  <c:v>0.46218487394957902</c:v>
                </c:pt>
                <c:pt idx="29">
                  <c:v>0.47777777777777702</c:v>
                </c:pt>
                <c:pt idx="30">
                  <c:v>0.48777648428405102</c:v>
                </c:pt>
                <c:pt idx="31">
                  <c:v>0.52443471918307805</c:v>
                </c:pt>
                <c:pt idx="32">
                  <c:v>0.53521126760563298</c:v>
                </c:pt>
                <c:pt idx="33">
                  <c:v>0.59302325581395299</c:v>
                </c:pt>
                <c:pt idx="34">
                  <c:v>0.610759493670886</c:v>
                </c:pt>
                <c:pt idx="35">
                  <c:v>0.63925729442970802</c:v>
                </c:pt>
              </c:numCache>
            </c:numRef>
          </c:val>
        </c:ser>
        <c:dLbls>
          <c:showLegendKey val="0"/>
          <c:showVal val="0"/>
          <c:showCatName val="0"/>
          <c:showSerName val="0"/>
          <c:showPercent val="0"/>
          <c:showBubbleSize val="0"/>
        </c:dLbls>
        <c:gapWidth val="150"/>
        <c:axId val="205038720"/>
        <c:axId val="205040640"/>
      </c:barChart>
      <c:catAx>
        <c:axId val="205038720"/>
        <c:scaling>
          <c:orientation val="minMax"/>
        </c:scaling>
        <c:delete val="0"/>
        <c:axPos val="b"/>
        <c:title>
          <c:tx>
            <c:rich>
              <a:bodyPr/>
              <a:lstStyle/>
              <a:p>
                <a:pPr>
                  <a:defRPr b="0">
                    <a:latin typeface="標楷體" pitchFamily="65" charset="-120"/>
                    <a:ea typeface="標楷體" pitchFamily="65" charset="-120"/>
                  </a:defRPr>
                </a:pPr>
                <a:r>
                  <a:rPr lang="zh-TW" altLang="en-US" b="0">
                    <a:latin typeface="標楷體" pitchFamily="65" charset="-120"/>
                    <a:ea typeface="標楷體" pitchFamily="65" charset="-120"/>
                  </a:rPr>
                  <a:t>國別</a:t>
                </a:r>
              </a:p>
            </c:rich>
          </c:tx>
          <c:layout>
            <c:manualLayout>
              <c:xMode val="edge"/>
              <c:yMode val="edge"/>
              <c:x val="0.8679590900125923"/>
              <c:y val="0.93395252837977294"/>
            </c:manualLayout>
          </c:layout>
          <c:overlay val="0"/>
        </c:title>
        <c:majorTickMark val="out"/>
        <c:minorTickMark val="none"/>
        <c:tickLblPos val="nextTo"/>
        <c:txPr>
          <a:bodyPr rot="0" vert="eaVert"/>
          <a:lstStyle/>
          <a:p>
            <a:pPr>
              <a:defRPr sz="800">
                <a:latin typeface="Times New Roman" pitchFamily="18" charset="0"/>
                <a:ea typeface="標楷體" pitchFamily="65" charset="-120"/>
                <a:cs typeface="Times New Roman" pitchFamily="18" charset="0"/>
              </a:defRPr>
            </a:pPr>
            <a:endParaRPr lang="zh-TW"/>
          </a:p>
        </c:txPr>
        <c:crossAx val="205040640"/>
        <c:crosses val="autoZero"/>
        <c:auto val="1"/>
        <c:lblAlgn val="ctr"/>
        <c:lblOffset val="100"/>
        <c:noMultiLvlLbl val="0"/>
      </c:catAx>
      <c:valAx>
        <c:axId val="205040640"/>
        <c:scaling>
          <c:orientation val="minMax"/>
        </c:scaling>
        <c:delete val="0"/>
        <c:axPos val="l"/>
        <c:majorGridlines/>
        <c:numFmt formatCode="0%_ " sourceLinked="0"/>
        <c:majorTickMark val="out"/>
        <c:minorTickMark val="none"/>
        <c:tickLblPos val="nextTo"/>
        <c:crossAx val="205038720"/>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45620374987445E-2"/>
          <c:y val="8.9809609712098684E-2"/>
          <c:w val="0.87474887222611275"/>
          <c:h val="0.67088305411637683"/>
        </c:manualLayout>
      </c:layout>
      <c:barChart>
        <c:barDir val="col"/>
        <c:grouping val="clustered"/>
        <c:varyColors val="0"/>
        <c:ser>
          <c:idx val="0"/>
          <c:order val="0"/>
          <c:tx>
            <c:strRef>
              <c:f>工作表1!$B$1</c:f>
              <c:strCache>
                <c:ptCount val="1"/>
                <c:pt idx="0">
                  <c:v>青年失業率(％)</c:v>
                </c:pt>
              </c:strCache>
            </c:strRef>
          </c:tx>
          <c:invertIfNegative val="0"/>
          <c:dPt>
            <c:idx val="10"/>
            <c:invertIfNegative val="0"/>
            <c:bubble3D val="0"/>
            <c:spPr>
              <a:pattFill prst="pct50">
                <a:fgClr>
                  <a:schemeClr val="accent2"/>
                </a:fgClr>
                <a:bgClr>
                  <a:schemeClr val="bg1"/>
                </a:bgClr>
              </a:pattFill>
              <a:ln>
                <a:noFill/>
              </a:ln>
            </c:spPr>
          </c:dPt>
          <c:dLbls>
            <c:dLbl>
              <c:idx val="10"/>
              <c:showLegendKey val="0"/>
              <c:showVal val="1"/>
              <c:showCatName val="0"/>
              <c:showSerName val="0"/>
              <c:showPercent val="0"/>
              <c:showBubbleSize val="0"/>
            </c:dLbl>
            <c:dLbl>
              <c:idx val="16"/>
              <c:showLegendKey val="0"/>
              <c:showVal val="1"/>
              <c:showCatName val="0"/>
              <c:showSerName val="0"/>
              <c:showPercent val="0"/>
              <c:showBubbleSize val="0"/>
            </c:dLbl>
            <c:showLegendKey val="0"/>
            <c:showVal val="0"/>
            <c:showCatName val="0"/>
            <c:showSerName val="0"/>
            <c:showPercent val="0"/>
            <c:showBubbleSize val="0"/>
          </c:dLbls>
          <c:cat>
            <c:strRef>
              <c:f>工作表1!$A$2:$A$37</c:f>
              <c:strCache>
                <c:ptCount val="36"/>
                <c:pt idx="0">
                  <c:v>瑞士</c:v>
                </c:pt>
                <c:pt idx="1">
                  <c:v>日本</c:v>
                </c:pt>
                <c:pt idx="2">
                  <c:v>德國</c:v>
                </c:pt>
                <c:pt idx="3">
                  <c:v>挪威</c:v>
                </c:pt>
                <c:pt idx="4">
                  <c:v>奧地利</c:v>
                </c:pt>
                <c:pt idx="5">
                  <c:v>南韓</c:v>
                </c:pt>
                <c:pt idx="6">
                  <c:v>荷蘭</c:v>
                </c:pt>
                <c:pt idx="7">
                  <c:v>墨西哥</c:v>
                </c:pt>
                <c:pt idx="8">
                  <c:v>澳洲</c:v>
                </c:pt>
                <c:pt idx="9">
                  <c:v>以色列</c:v>
                </c:pt>
                <c:pt idx="10">
                  <c:v>台灣</c:v>
                </c:pt>
                <c:pt idx="11">
                  <c:v>冰島</c:v>
                </c:pt>
                <c:pt idx="12">
                  <c:v>丹麥</c:v>
                </c:pt>
                <c:pt idx="13">
                  <c:v>加拿大</c:v>
                </c:pt>
                <c:pt idx="14">
                  <c:v>土耳其</c:v>
                </c:pt>
                <c:pt idx="15">
                  <c:v>美國</c:v>
                </c:pt>
                <c:pt idx="16">
                  <c:v>OECD平均</c:v>
                </c:pt>
                <c:pt idx="17">
                  <c:v>智利</c:v>
                </c:pt>
                <c:pt idx="18">
                  <c:v>紐西蘭</c:v>
                </c:pt>
                <c:pt idx="19">
                  <c:v>盧森堡</c:v>
                </c:pt>
                <c:pt idx="20">
                  <c:v>芬蘭</c:v>
                </c:pt>
                <c:pt idx="21">
                  <c:v>捷克</c:v>
                </c:pt>
                <c:pt idx="22">
                  <c:v>比利時</c:v>
                </c:pt>
                <c:pt idx="23">
                  <c:v>斯洛維尼亞</c:v>
                </c:pt>
                <c:pt idx="24">
                  <c:v>愛沙尼亞</c:v>
                </c:pt>
                <c:pt idx="25">
                  <c:v>英國</c:v>
                </c:pt>
                <c:pt idx="26">
                  <c:v>瑞典</c:v>
                </c:pt>
                <c:pt idx="27">
                  <c:v>法國</c:v>
                </c:pt>
                <c:pt idx="28">
                  <c:v>波蘭</c:v>
                </c:pt>
                <c:pt idx="29">
                  <c:v>匈牙利</c:v>
                </c:pt>
                <c:pt idx="30">
                  <c:v>愛爾蘭</c:v>
                </c:pt>
                <c:pt idx="31">
                  <c:v>斯洛伐克</c:v>
                </c:pt>
                <c:pt idx="32">
                  <c:v>義大利</c:v>
                </c:pt>
                <c:pt idx="33">
                  <c:v>葡萄牙</c:v>
                </c:pt>
                <c:pt idx="34">
                  <c:v>西班牙</c:v>
                </c:pt>
                <c:pt idx="35">
                  <c:v>希臘</c:v>
                </c:pt>
              </c:strCache>
            </c:strRef>
          </c:cat>
          <c:val>
            <c:numRef>
              <c:f>工作表1!$B$2:$B$37</c:f>
              <c:numCache>
                <c:formatCode>General</c:formatCode>
                <c:ptCount val="36"/>
                <c:pt idx="0">
                  <c:v>6.1</c:v>
                </c:pt>
                <c:pt idx="1">
                  <c:v>8.125</c:v>
                </c:pt>
                <c:pt idx="2">
                  <c:v>8.15</c:v>
                </c:pt>
                <c:pt idx="3">
                  <c:v>8.4499999999999993</c:v>
                </c:pt>
                <c:pt idx="4">
                  <c:v>8.7249999999999996</c:v>
                </c:pt>
                <c:pt idx="5">
                  <c:v>8.9873650000000005</c:v>
                </c:pt>
                <c:pt idx="6">
                  <c:v>9.4749999999999996</c:v>
                </c:pt>
                <c:pt idx="7">
                  <c:v>9.6228829999999999</c:v>
                </c:pt>
                <c:pt idx="8">
                  <c:v>11.712619999999999</c:v>
                </c:pt>
                <c:pt idx="9">
                  <c:v>12.091670000000001</c:v>
                </c:pt>
                <c:pt idx="10">
                  <c:v>12.66</c:v>
                </c:pt>
                <c:pt idx="11">
                  <c:v>13.5</c:v>
                </c:pt>
                <c:pt idx="12">
                  <c:v>14.15</c:v>
                </c:pt>
                <c:pt idx="13">
                  <c:v>14.283329999999999</c:v>
                </c:pt>
                <c:pt idx="14">
                  <c:v>15.7</c:v>
                </c:pt>
                <c:pt idx="15">
                  <c:v>16.183330000000002</c:v>
                </c:pt>
                <c:pt idx="16" formatCode="0.00_ ">
                  <c:v>16.22306</c:v>
                </c:pt>
                <c:pt idx="17">
                  <c:v>16.256049999999998</c:v>
                </c:pt>
                <c:pt idx="18">
                  <c:v>17.646740000000001</c:v>
                </c:pt>
                <c:pt idx="19">
                  <c:v>18.574999999999999</c:v>
                </c:pt>
                <c:pt idx="20">
                  <c:v>18.774999999999999</c:v>
                </c:pt>
                <c:pt idx="21">
                  <c:v>19.524999999999999</c:v>
                </c:pt>
                <c:pt idx="22">
                  <c:v>19.675000000000001</c:v>
                </c:pt>
                <c:pt idx="23">
                  <c:v>20.524999999999999</c:v>
                </c:pt>
                <c:pt idx="24">
                  <c:v>20.875</c:v>
                </c:pt>
                <c:pt idx="25">
                  <c:v>20.975000000000001</c:v>
                </c:pt>
                <c:pt idx="26">
                  <c:v>23.6</c:v>
                </c:pt>
                <c:pt idx="27">
                  <c:v>23.774999999999999</c:v>
                </c:pt>
                <c:pt idx="28">
                  <c:v>26.5</c:v>
                </c:pt>
                <c:pt idx="29">
                  <c:v>28.125</c:v>
                </c:pt>
                <c:pt idx="30">
                  <c:v>30.375</c:v>
                </c:pt>
                <c:pt idx="31">
                  <c:v>33.975000000000001</c:v>
                </c:pt>
                <c:pt idx="32">
                  <c:v>35.225000000000001</c:v>
                </c:pt>
                <c:pt idx="33">
                  <c:v>37.674999999999997</c:v>
                </c:pt>
                <c:pt idx="34">
                  <c:v>53.174999999999997</c:v>
                </c:pt>
                <c:pt idx="35">
                  <c:v>55.25</c:v>
                </c:pt>
              </c:numCache>
            </c:numRef>
          </c:val>
        </c:ser>
        <c:dLbls>
          <c:showLegendKey val="0"/>
          <c:showVal val="0"/>
          <c:showCatName val="0"/>
          <c:showSerName val="0"/>
          <c:showPercent val="0"/>
          <c:showBubbleSize val="0"/>
        </c:dLbls>
        <c:gapWidth val="150"/>
        <c:axId val="205385088"/>
        <c:axId val="205391360"/>
      </c:barChart>
      <c:catAx>
        <c:axId val="205385088"/>
        <c:scaling>
          <c:orientation val="minMax"/>
        </c:scaling>
        <c:delete val="0"/>
        <c:axPos val="b"/>
        <c:title>
          <c:tx>
            <c:rich>
              <a:bodyPr/>
              <a:lstStyle/>
              <a:p>
                <a:pPr>
                  <a:defRPr b="0">
                    <a:latin typeface="標楷體" pitchFamily="65" charset="-120"/>
                    <a:ea typeface="標楷體" pitchFamily="65" charset="-120"/>
                    <a:cs typeface="Times New Roman" pitchFamily="18" charset="0"/>
                  </a:defRPr>
                </a:pPr>
                <a:r>
                  <a:rPr lang="zh-TW" altLang="en-US" b="0">
                    <a:latin typeface="標楷體" pitchFamily="65" charset="-120"/>
                    <a:ea typeface="標楷體" pitchFamily="65" charset="-120"/>
                    <a:cs typeface="Times New Roman" pitchFamily="18" charset="0"/>
                  </a:rPr>
                  <a:t>國別</a:t>
                </a:r>
              </a:p>
            </c:rich>
          </c:tx>
          <c:layout>
            <c:manualLayout>
              <c:xMode val="edge"/>
              <c:yMode val="edge"/>
              <c:x val="0.89981420435243864"/>
              <c:y val="0.93333333333333335"/>
            </c:manualLayout>
          </c:layout>
          <c:overlay val="0"/>
        </c:title>
        <c:majorTickMark val="out"/>
        <c:minorTickMark val="none"/>
        <c:tickLblPos val="nextTo"/>
        <c:txPr>
          <a:bodyPr rot="0" vert="eaVert"/>
          <a:lstStyle/>
          <a:p>
            <a:pPr>
              <a:defRPr sz="800">
                <a:latin typeface="Times New Roman" pitchFamily="18" charset="0"/>
                <a:ea typeface="標楷體" pitchFamily="65" charset="-120"/>
                <a:cs typeface="Times New Roman" pitchFamily="18" charset="0"/>
              </a:defRPr>
            </a:pPr>
            <a:endParaRPr lang="zh-TW"/>
          </a:p>
        </c:txPr>
        <c:crossAx val="205391360"/>
        <c:crosses val="autoZero"/>
        <c:auto val="1"/>
        <c:lblAlgn val="ctr"/>
        <c:lblOffset val="100"/>
        <c:noMultiLvlLbl val="0"/>
      </c:catAx>
      <c:valAx>
        <c:axId val="205391360"/>
        <c:scaling>
          <c:orientation val="minMax"/>
        </c:scaling>
        <c:delete val="0"/>
        <c:axPos val="l"/>
        <c:majorGridlines/>
        <c:title>
          <c:tx>
            <c:rich>
              <a:bodyPr rot="0" vert="wordArtVertRtl"/>
              <a:lstStyle/>
              <a:p>
                <a:pPr>
                  <a:defRPr b="0">
                    <a:latin typeface="Times New Roman" pitchFamily="18" charset="0"/>
                    <a:cs typeface="Times New Roman" pitchFamily="18" charset="0"/>
                  </a:defRPr>
                </a:pPr>
                <a:r>
                  <a:rPr lang="zh-TW" altLang="en-US" b="0">
                    <a:latin typeface="Times New Roman" pitchFamily="18" charset="0"/>
                    <a:cs typeface="Times New Roman" pitchFamily="18" charset="0"/>
                  </a:rPr>
                  <a:t>％</a:t>
                </a:r>
              </a:p>
            </c:rich>
          </c:tx>
          <c:layout>
            <c:manualLayout>
              <c:xMode val="edge"/>
              <c:yMode val="edge"/>
              <c:x val="3.8563509279344418E-2"/>
              <c:y val="1.3215995059441099E-3"/>
            </c:manualLayout>
          </c:layout>
          <c:overlay val="0"/>
        </c:title>
        <c:numFmt formatCode="General" sourceLinked="1"/>
        <c:majorTickMark val="out"/>
        <c:minorTickMark val="none"/>
        <c:tickLblPos val="nextTo"/>
        <c:crossAx val="205385088"/>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0.12207429078622066"/>
                  <c:y val="-6.5941943824186153E-3"/>
                </c:manualLayout>
              </c:layout>
              <c:tx>
                <c:rich>
                  <a:bodyPr/>
                  <a:lstStyle/>
                  <a:p>
                    <a:pPr>
                      <a:defRPr sz="878" b="0" i="0" u="none" strike="noStrike" baseline="0">
                        <a:solidFill>
                          <a:srgbClr val="000000"/>
                        </a:solidFill>
                        <a:latin typeface="Arial"/>
                        <a:ea typeface="Arial"/>
                        <a:cs typeface="Arial"/>
                      </a:defRPr>
                    </a:pPr>
                    <a:r>
                      <a:rPr lang="en-US" altLang="zh-TW"/>
                      <a:t>0.6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Sheet1!$A$110:$A$173</c:f>
              <c:strCache>
                <c:ptCount val="64"/>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strCache>
            </c:strRef>
          </c:cat>
          <c:val>
            <c:numRef>
              <c:f>Sheet1!$C$110:$C$175</c:f>
              <c:numCache>
                <c:formatCode>0.0_ </c:formatCode>
                <c:ptCount val="66"/>
                <c:pt idx="0">
                  <c:v>0.55741360089185399</c:v>
                </c:pt>
                <c:pt idx="1">
                  <c:v>0.44345898004434225</c:v>
                </c:pt>
                <c:pt idx="2">
                  <c:v>0</c:v>
                </c:pt>
                <c:pt idx="3">
                  <c:v>-0.33112582781457123</c:v>
                </c:pt>
                <c:pt idx="4">
                  <c:v>-0.77519379844961378</c:v>
                </c:pt>
                <c:pt idx="5">
                  <c:v>-1.5624999999999889</c:v>
                </c:pt>
                <c:pt idx="6">
                  <c:v>-2.3809523809523947</c:v>
                </c:pt>
                <c:pt idx="7">
                  <c:v>-3.1358885017421456</c:v>
                </c:pt>
                <c:pt idx="8">
                  <c:v>-4.0767386091127182</c:v>
                </c:pt>
                <c:pt idx="9">
                  <c:v>-5.1249999999999911</c:v>
                </c:pt>
                <c:pt idx="10">
                  <c:v>-5.2700922266139649</c:v>
                </c:pt>
                <c:pt idx="11">
                  <c:v>-4.4506258692628702</c:v>
                </c:pt>
                <c:pt idx="12">
                  <c:v>-2.3289665211062682</c:v>
                </c:pt>
                <c:pt idx="13">
                  <c:v>-0.14903129657226621</c:v>
                </c:pt>
                <c:pt idx="14">
                  <c:v>1.7910447761193993</c:v>
                </c:pt>
                <c:pt idx="15">
                  <c:v>2.9325513196480912</c:v>
                </c:pt>
                <c:pt idx="16">
                  <c:v>3.5612535612535634</c:v>
                </c:pt>
                <c:pt idx="17">
                  <c:v>3.8514442916093516</c:v>
                </c:pt>
                <c:pt idx="18">
                  <c:v>3.5761589403973559</c:v>
                </c:pt>
                <c:pt idx="19">
                  <c:v>2.9411764705882248</c:v>
                </c:pt>
                <c:pt idx="20">
                  <c:v>2.7329192546583947</c:v>
                </c:pt>
                <c:pt idx="21">
                  <c:v>2.2974607013301007</c:v>
                </c:pt>
                <c:pt idx="22">
                  <c:v>2.0094562647754222</c:v>
                </c:pt>
                <c:pt idx="23">
                  <c:v>1.7381228273464666</c:v>
                </c:pt>
                <c:pt idx="24">
                  <c:v>1.5945330296127658</c:v>
                </c:pt>
                <c:pt idx="25">
                  <c:v>1.457399103139001</c:v>
                </c:pt>
                <c:pt idx="26">
                  <c:v>1.3259668508287303</c:v>
                </c:pt>
                <c:pt idx="27">
                  <c:v>1.3086150490730697</c:v>
                </c:pt>
                <c:pt idx="28">
                  <c:v>1.1840688912809316</c:v>
                </c:pt>
                <c:pt idx="29">
                  <c:v>1.0638297872340496</c:v>
                </c:pt>
                <c:pt idx="30">
                  <c:v>1.1578947368420911</c:v>
                </c:pt>
                <c:pt idx="31">
                  <c:v>1.0405827263267442</c:v>
                </c:pt>
                <c:pt idx="32">
                  <c:v>1.1328527291452284</c:v>
                </c:pt>
                <c:pt idx="33">
                  <c:v>1.1201629327902252</c:v>
                </c:pt>
                <c:pt idx="34">
                  <c:v>1.1077542799597273</c:v>
                </c:pt>
                <c:pt idx="35">
                  <c:v>0.89641434262948128</c:v>
                </c:pt>
                <c:pt idx="36">
                  <c:v>0.59230009871669154</c:v>
                </c:pt>
                <c:pt idx="37">
                  <c:v>0.39254170755642637</c:v>
                </c:pt>
                <c:pt idx="38">
                  <c:v>0</c:v>
                </c:pt>
                <c:pt idx="39">
                  <c:v>-0.19550342130987275</c:v>
                </c:pt>
                <c:pt idx="40">
                  <c:v>-0.39177277179235359</c:v>
                </c:pt>
                <c:pt idx="41">
                  <c:v>-0.39331366764995268</c:v>
                </c:pt>
                <c:pt idx="42">
                  <c:v>-0.59230009871668043</c:v>
                </c:pt>
                <c:pt idx="43">
                  <c:v>-0.69513406156902491</c:v>
                </c:pt>
                <c:pt idx="44">
                  <c:v>-0.59999999999998943</c:v>
                </c:pt>
                <c:pt idx="45">
                  <c:v>-0.50301810865190921</c:v>
                </c:pt>
                <c:pt idx="46">
                  <c:v>-0.30333670374116384</c:v>
                </c:pt>
                <c:pt idx="47">
                  <c:v>-0.20283975659227682</c:v>
                </c:pt>
                <c:pt idx="48">
                  <c:v>0.10162601626015899</c:v>
                </c:pt>
                <c:pt idx="49">
                  <c:v>0.30456852791878042</c:v>
                </c:pt>
                <c:pt idx="50">
                  <c:v>0.40485829959515662</c:v>
                </c:pt>
                <c:pt idx="51">
                  <c:v>0.50403225806452401</c:v>
                </c:pt>
                <c:pt idx="52">
                  <c:v>0.40120361083249012</c:v>
                </c:pt>
                <c:pt idx="53">
                  <c:v>0.19980019980019303</c:v>
                </c:pt>
                <c:pt idx="54">
                  <c:v>0.19940179461614971</c:v>
                </c:pt>
                <c:pt idx="55">
                  <c:v>0.29850746268655914</c:v>
                </c:pt>
                <c:pt idx="56">
                  <c:v>0.19841269841269771</c:v>
                </c:pt>
                <c:pt idx="57">
                  <c:v>0.1980198019801982</c:v>
                </c:pt>
                <c:pt idx="58">
                  <c:v>9.8814229249000185E-2</c:v>
                </c:pt>
                <c:pt idx="59">
                  <c:v>9.8716683119448589E-2</c:v>
                </c:pt>
                <c:pt idx="60">
                  <c:v>9.8619329388549559E-2</c:v>
                </c:pt>
                <c:pt idx="61">
                  <c:v>0</c:v>
                </c:pt>
                <c:pt idx="62">
                  <c:v>9.8522167487669066E-2</c:v>
                </c:pt>
                <c:pt idx="63">
                  <c:v>9.8425196850393526E-2</c:v>
                </c:pt>
                <c:pt idx="64">
                  <c:v>0.49164208456244918</c:v>
                </c:pt>
                <c:pt idx="65">
                  <c:v>0.6</c:v>
                </c:pt>
              </c:numCache>
            </c:numRef>
          </c:val>
        </c:ser>
        <c:dLbls>
          <c:showLegendKey val="0"/>
          <c:showVal val="0"/>
          <c:showCatName val="0"/>
          <c:showSerName val="0"/>
          <c:showPercent val="0"/>
          <c:showBubbleSize val="0"/>
        </c:dLbls>
        <c:gapWidth val="150"/>
        <c:axId val="233539456"/>
        <c:axId val="23925593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7.2901119580661991E-2"/>
                  <c:y val="-6.9045324558310806E-2"/>
                </c:manualLayout>
              </c:layout>
              <c:tx>
                <c:rich>
                  <a:bodyPr/>
                  <a:lstStyle/>
                  <a:p>
                    <a:pPr>
                      <a:defRPr sz="878" b="0" i="0" u="none" strike="noStrike" baseline="0">
                        <a:solidFill>
                          <a:srgbClr val="000000"/>
                        </a:solidFill>
                        <a:latin typeface="Arial"/>
                        <a:ea typeface="Arial"/>
                        <a:cs typeface="Arial"/>
                      </a:defRPr>
                    </a:pPr>
                    <a:r>
                      <a:rPr lang="en-US" altLang="zh-TW"/>
                      <a:t>102.8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Sheet1!$A$110:$A$174</c:f>
              <c:strCache>
                <c:ptCount val="65"/>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strCache>
            </c:strRef>
          </c:cat>
          <c:val>
            <c:numRef>
              <c:f>Sheet1!$B$110:$B$175</c:f>
              <c:numCache>
                <c:formatCode>0.0_ </c:formatCode>
                <c:ptCount val="66"/>
                <c:pt idx="0">
                  <c:v>90.2</c:v>
                </c:pt>
                <c:pt idx="1">
                  <c:v>90.6</c:v>
                </c:pt>
                <c:pt idx="2">
                  <c:v>90.6</c:v>
                </c:pt>
                <c:pt idx="3">
                  <c:v>90.3</c:v>
                </c:pt>
                <c:pt idx="4">
                  <c:v>89.6</c:v>
                </c:pt>
                <c:pt idx="5">
                  <c:v>88.2</c:v>
                </c:pt>
                <c:pt idx="6">
                  <c:v>86.1</c:v>
                </c:pt>
                <c:pt idx="7">
                  <c:v>83.4</c:v>
                </c:pt>
                <c:pt idx="8">
                  <c:v>80</c:v>
                </c:pt>
                <c:pt idx="9">
                  <c:v>75.900000000000006</c:v>
                </c:pt>
                <c:pt idx="10">
                  <c:v>71.900000000000006</c:v>
                </c:pt>
                <c:pt idx="11">
                  <c:v>68.7</c:v>
                </c:pt>
                <c:pt idx="12">
                  <c:v>67.099999999999994</c:v>
                </c:pt>
                <c:pt idx="13">
                  <c:v>67</c:v>
                </c:pt>
                <c:pt idx="14">
                  <c:v>68.2</c:v>
                </c:pt>
                <c:pt idx="15">
                  <c:v>70.2</c:v>
                </c:pt>
                <c:pt idx="16">
                  <c:v>72.7</c:v>
                </c:pt>
                <c:pt idx="17">
                  <c:v>75.5</c:v>
                </c:pt>
                <c:pt idx="18">
                  <c:v>78.2</c:v>
                </c:pt>
                <c:pt idx="19">
                  <c:v>80.5</c:v>
                </c:pt>
                <c:pt idx="20">
                  <c:v>82.7</c:v>
                </c:pt>
                <c:pt idx="21">
                  <c:v>84.6</c:v>
                </c:pt>
                <c:pt idx="22">
                  <c:v>86.3</c:v>
                </c:pt>
                <c:pt idx="23">
                  <c:v>87.8</c:v>
                </c:pt>
                <c:pt idx="24">
                  <c:v>89.2</c:v>
                </c:pt>
                <c:pt idx="25">
                  <c:v>90.5</c:v>
                </c:pt>
                <c:pt idx="26">
                  <c:v>91.7</c:v>
                </c:pt>
                <c:pt idx="27">
                  <c:v>92.9</c:v>
                </c:pt>
                <c:pt idx="28">
                  <c:v>94</c:v>
                </c:pt>
                <c:pt idx="29">
                  <c:v>95</c:v>
                </c:pt>
                <c:pt idx="30">
                  <c:v>96.1</c:v>
                </c:pt>
                <c:pt idx="31">
                  <c:v>97.1</c:v>
                </c:pt>
                <c:pt idx="32">
                  <c:v>98.2</c:v>
                </c:pt>
                <c:pt idx="33">
                  <c:v>99.3</c:v>
                </c:pt>
                <c:pt idx="34">
                  <c:v>100.4</c:v>
                </c:pt>
                <c:pt idx="35">
                  <c:v>101.3</c:v>
                </c:pt>
                <c:pt idx="36">
                  <c:v>101.9</c:v>
                </c:pt>
                <c:pt idx="37">
                  <c:v>102.3</c:v>
                </c:pt>
                <c:pt idx="38">
                  <c:v>102.3</c:v>
                </c:pt>
                <c:pt idx="39">
                  <c:v>102.1</c:v>
                </c:pt>
                <c:pt idx="40">
                  <c:v>101.7</c:v>
                </c:pt>
                <c:pt idx="41">
                  <c:v>101.3</c:v>
                </c:pt>
                <c:pt idx="42">
                  <c:v>100.7</c:v>
                </c:pt>
                <c:pt idx="43">
                  <c:v>100</c:v>
                </c:pt>
                <c:pt idx="44">
                  <c:v>99.4</c:v>
                </c:pt>
                <c:pt idx="45">
                  <c:v>98.9</c:v>
                </c:pt>
                <c:pt idx="46">
                  <c:v>98.6</c:v>
                </c:pt>
                <c:pt idx="47">
                  <c:v>98.4</c:v>
                </c:pt>
                <c:pt idx="48">
                  <c:v>98.5</c:v>
                </c:pt>
                <c:pt idx="49">
                  <c:v>98.8</c:v>
                </c:pt>
                <c:pt idx="50">
                  <c:v>99.2</c:v>
                </c:pt>
                <c:pt idx="51">
                  <c:v>99.7</c:v>
                </c:pt>
                <c:pt idx="52">
                  <c:v>100.1</c:v>
                </c:pt>
                <c:pt idx="53">
                  <c:v>100.3</c:v>
                </c:pt>
                <c:pt idx="54">
                  <c:v>100.5</c:v>
                </c:pt>
                <c:pt idx="55">
                  <c:v>100.8</c:v>
                </c:pt>
                <c:pt idx="56">
                  <c:v>101</c:v>
                </c:pt>
                <c:pt idx="57">
                  <c:v>101.2</c:v>
                </c:pt>
                <c:pt idx="58">
                  <c:v>101.3</c:v>
                </c:pt>
                <c:pt idx="59">
                  <c:v>101.4</c:v>
                </c:pt>
                <c:pt idx="60">
                  <c:v>101.5</c:v>
                </c:pt>
                <c:pt idx="61">
                  <c:v>101.5</c:v>
                </c:pt>
                <c:pt idx="62">
                  <c:v>101.6</c:v>
                </c:pt>
                <c:pt idx="63">
                  <c:v>101.7</c:v>
                </c:pt>
                <c:pt idx="64">
                  <c:v>102.2</c:v>
                </c:pt>
                <c:pt idx="65">
                  <c:v>102.8</c:v>
                </c:pt>
              </c:numCache>
            </c:numRef>
          </c:val>
          <c:smooth val="0"/>
        </c:ser>
        <c:dLbls>
          <c:showLegendKey val="0"/>
          <c:showVal val="0"/>
          <c:showCatName val="0"/>
          <c:showSerName val="0"/>
          <c:showPercent val="0"/>
          <c:showBubbleSize val="0"/>
        </c:dLbls>
        <c:marker val="1"/>
        <c:smooth val="0"/>
        <c:axId val="233174144"/>
        <c:axId val="233537536"/>
      </c:lineChart>
      <c:catAx>
        <c:axId val="2331741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33537536"/>
        <c:crossesAt val="60"/>
        <c:auto val="0"/>
        <c:lblAlgn val="ctr"/>
        <c:lblOffset val="100"/>
        <c:tickLblSkip val="2"/>
        <c:tickMarkSkip val="1"/>
        <c:noMultiLvlLbl val="0"/>
      </c:catAx>
      <c:valAx>
        <c:axId val="23353753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3174144"/>
        <c:crosses val="autoZero"/>
        <c:crossBetween val="between"/>
        <c:majorUnit val="10"/>
        <c:minorUnit val="5"/>
      </c:valAx>
      <c:catAx>
        <c:axId val="233539456"/>
        <c:scaling>
          <c:orientation val="minMax"/>
        </c:scaling>
        <c:delete val="1"/>
        <c:axPos val="b"/>
        <c:majorTickMark val="out"/>
        <c:minorTickMark val="none"/>
        <c:tickLblPos val="nextTo"/>
        <c:crossAx val="239255936"/>
        <c:crosses val="autoZero"/>
        <c:auto val="0"/>
        <c:lblAlgn val="ctr"/>
        <c:lblOffset val="100"/>
        <c:noMultiLvlLbl val="0"/>
      </c:catAx>
      <c:valAx>
        <c:axId val="239255936"/>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335394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99545853948303E-2"/>
          <c:y val="0.10769638315334422"/>
          <c:w val="0.85306107343957271"/>
          <c:h val="0.65018912598750433"/>
        </c:manualLayout>
      </c:layout>
      <c:barChart>
        <c:barDir val="col"/>
        <c:grouping val="clustered"/>
        <c:varyColors val="0"/>
        <c:ser>
          <c:idx val="0"/>
          <c:order val="0"/>
          <c:tx>
            <c:strRef>
              <c:f>工作表1!$B$1</c:f>
              <c:strCache>
                <c:ptCount val="1"/>
                <c:pt idx="0">
                  <c:v>青年失業率比值</c:v>
                </c:pt>
              </c:strCache>
            </c:strRef>
          </c:tx>
          <c:invertIfNegative val="0"/>
          <c:dPt>
            <c:idx val="10"/>
            <c:invertIfNegative val="0"/>
            <c:bubble3D val="0"/>
            <c:spPr>
              <a:solidFill>
                <a:schemeClr val="accent1"/>
              </a:solidFill>
              <a:ln>
                <a:noFill/>
              </a:ln>
            </c:spPr>
          </c:dPt>
          <c:dPt>
            <c:idx val="33"/>
            <c:invertIfNegative val="0"/>
            <c:bubble3D val="0"/>
            <c:spPr>
              <a:pattFill prst="pct50">
                <a:fgClr>
                  <a:schemeClr val="accent2"/>
                </a:fgClr>
                <a:bgClr>
                  <a:schemeClr val="bg1"/>
                </a:bgClr>
              </a:pattFill>
            </c:spPr>
          </c:dPt>
          <c:dLbls>
            <c:dLbl>
              <c:idx val="11"/>
              <c:showLegendKey val="0"/>
              <c:showVal val="1"/>
              <c:showCatName val="0"/>
              <c:showSerName val="0"/>
              <c:showPercent val="0"/>
              <c:showBubbleSize val="0"/>
            </c:dLbl>
            <c:dLbl>
              <c:idx val="33"/>
              <c:tx>
                <c:rich>
                  <a:bodyPr/>
                  <a:lstStyle/>
                  <a:p>
                    <a:r>
                      <a:rPr lang="en-US" altLang="en-US"/>
                      <a:t>2.98 </a:t>
                    </a:r>
                  </a:p>
                </c:rich>
              </c:tx>
              <c:showLegendKey val="0"/>
              <c:showVal val="1"/>
              <c:showCatName val="0"/>
              <c:showSerName val="0"/>
              <c:showPercent val="0"/>
              <c:showBubbleSize val="0"/>
            </c:dLbl>
            <c:showLegendKey val="0"/>
            <c:showVal val="0"/>
            <c:showCatName val="0"/>
            <c:showSerName val="0"/>
            <c:showPercent val="0"/>
            <c:showBubbleSize val="0"/>
          </c:dLbls>
          <c:cat>
            <c:strRef>
              <c:f>工作表1!$A$2:$A$37</c:f>
              <c:strCache>
                <c:ptCount val="36"/>
                <c:pt idx="0">
                  <c:v>瑞士</c:v>
                </c:pt>
                <c:pt idx="1">
                  <c:v>德國</c:v>
                </c:pt>
                <c:pt idx="2">
                  <c:v>以色列</c:v>
                </c:pt>
                <c:pt idx="3">
                  <c:v>荷蘭</c:v>
                </c:pt>
                <c:pt idx="4">
                  <c:v>日本</c:v>
                </c:pt>
                <c:pt idx="5">
                  <c:v>丹麥</c:v>
                </c:pt>
                <c:pt idx="6">
                  <c:v>土耳其</c:v>
                </c:pt>
                <c:pt idx="7">
                  <c:v>墨西哥</c:v>
                </c:pt>
                <c:pt idx="8">
                  <c:v>奧地利</c:v>
                </c:pt>
                <c:pt idx="9">
                  <c:v>加拿大</c:v>
                </c:pt>
                <c:pt idx="10">
                  <c:v>美國</c:v>
                </c:pt>
                <c:pt idx="11">
                  <c:v>OECD平均</c:v>
                </c:pt>
                <c:pt idx="12">
                  <c:v>愛爾蘭</c:v>
                </c:pt>
                <c:pt idx="13">
                  <c:v>愛沙尼亞</c:v>
                </c:pt>
                <c:pt idx="14">
                  <c:v>西班牙</c:v>
                </c:pt>
                <c:pt idx="15">
                  <c:v>冰島</c:v>
                </c:pt>
                <c:pt idx="16">
                  <c:v>澳洲</c:v>
                </c:pt>
                <c:pt idx="17">
                  <c:v>希臘</c:v>
                </c:pt>
                <c:pt idx="18">
                  <c:v>斯洛維尼亞</c:v>
                </c:pt>
                <c:pt idx="19">
                  <c:v>法國</c:v>
                </c:pt>
                <c:pt idx="20">
                  <c:v>葡萄牙</c:v>
                </c:pt>
                <c:pt idx="21">
                  <c:v>斯洛伐克</c:v>
                </c:pt>
                <c:pt idx="22">
                  <c:v>芬蘭</c:v>
                </c:pt>
                <c:pt idx="23">
                  <c:v>智利</c:v>
                </c:pt>
                <c:pt idx="24">
                  <c:v>紐西蘭</c:v>
                </c:pt>
                <c:pt idx="25">
                  <c:v>匈牙利</c:v>
                </c:pt>
                <c:pt idx="26">
                  <c:v>比利時</c:v>
                </c:pt>
                <c:pt idx="27">
                  <c:v>波蘭</c:v>
                </c:pt>
                <c:pt idx="28">
                  <c:v>挪威</c:v>
                </c:pt>
                <c:pt idx="29">
                  <c:v>英國</c:v>
                </c:pt>
                <c:pt idx="30">
                  <c:v>捷克</c:v>
                </c:pt>
                <c:pt idx="31">
                  <c:v>南韓</c:v>
                </c:pt>
                <c:pt idx="32">
                  <c:v>瑞典</c:v>
                </c:pt>
                <c:pt idx="33">
                  <c:v>台灣</c:v>
                </c:pt>
                <c:pt idx="34">
                  <c:v>義大利</c:v>
                </c:pt>
                <c:pt idx="35">
                  <c:v>盧森堡</c:v>
                </c:pt>
              </c:strCache>
            </c:strRef>
          </c:cat>
          <c:val>
            <c:numRef>
              <c:f>工作表1!$B$2:$B$37</c:f>
              <c:numCache>
                <c:formatCode>0.00_ </c:formatCode>
                <c:ptCount val="36"/>
                <c:pt idx="0">
                  <c:v>1.4523809523809523</c:v>
                </c:pt>
                <c:pt idx="1">
                  <c:v>1.4818181818181819</c:v>
                </c:pt>
                <c:pt idx="2">
                  <c:v>1.7524159420289855</c:v>
                </c:pt>
                <c:pt idx="3">
                  <c:v>1.7877358490566038</c:v>
                </c:pt>
                <c:pt idx="4">
                  <c:v>1.8465909090909089</c:v>
                </c:pt>
                <c:pt idx="5">
                  <c:v>1.8866666666666667</c:v>
                </c:pt>
                <c:pt idx="6">
                  <c:v>1.9146341463414636</c:v>
                </c:pt>
                <c:pt idx="7">
                  <c:v>1.9245766</c:v>
                </c:pt>
                <c:pt idx="8">
                  <c:v>1.9829545454545452</c:v>
                </c:pt>
                <c:pt idx="9">
                  <c:v>1.9837958333333332</c:v>
                </c:pt>
                <c:pt idx="10">
                  <c:v>1.9979419753086423</c:v>
                </c:pt>
                <c:pt idx="11">
                  <c:v>2.0278825</c:v>
                </c:pt>
                <c:pt idx="12">
                  <c:v>2.0663265306122449</c:v>
                </c:pt>
                <c:pt idx="13">
                  <c:v>2.0668316831683171</c:v>
                </c:pt>
                <c:pt idx="14">
                  <c:v>2.1185258964143423</c:v>
                </c:pt>
                <c:pt idx="15">
                  <c:v>2.25</c:v>
                </c:pt>
                <c:pt idx="16">
                  <c:v>2.2524269230769227</c:v>
                </c:pt>
                <c:pt idx="17">
                  <c:v>2.2736625514403292</c:v>
                </c:pt>
                <c:pt idx="18">
                  <c:v>2.3061797752808988</c:v>
                </c:pt>
                <c:pt idx="19">
                  <c:v>2.3082524271844655</c:v>
                </c:pt>
                <c:pt idx="20">
                  <c:v>2.3694968553459117</c:v>
                </c:pt>
                <c:pt idx="21">
                  <c:v>2.4267857142857143</c:v>
                </c:pt>
                <c:pt idx="22">
                  <c:v>2.4383116883116882</c:v>
                </c:pt>
                <c:pt idx="23">
                  <c:v>2.5400078124999994</c:v>
                </c:pt>
                <c:pt idx="24">
                  <c:v>2.5574985507246377</c:v>
                </c:pt>
                <c:pt idx="25">
                  <c:v>2.580275229357798</c:v>
                </c:pt>
                <c:pt idx="26">
                  <c:v>2.5888157894736845</c:v>
                </c:pt>
                <c:pt idx="27">
                  <c:v>2.6237623762376239</c:v>
                </c:pt>
                <c:pt idx="28">
                  <c:v>2.6406249999999996</c:v>
                </c:pt>
                <c:pt idx="29">
                  <c:v>2.6550632911392404</c:v>
                </c:pt>
                <c:pt idx="30">
                  <c:v>2.7892857142857141</c:v>
                </c:pt>
                <c:pt idx="31">
                  <c:v>2.8085515624999999</c:v>
                </c:pt>
                <c:pt idx="32">
                  <c:v>2.95</c:v>
                </c:pt>
                <c:pt idx="33">
                  <c:v>2.9858490566037736</c:v>
                </c:pt>
                <c:pt idx="34">
                  <c:v>3.2920560747663554</c:v>
                </c:pt>
                <c:pt idx="35">
                  <c:v>3.642156862745098</c:v>
                </c:pt>
              </c:numCache>
            </c:numRef>
          </c:val>
        </c:ser>
        <c:dLbls>
          <c:showLegendKey val="0"/>
          <c:showVal val="0"/>
          <c:showCatName val="0"/>
          <c:showSerName val="0"/>
          <c:showPercent val="0"/>
          <c:showBubbleSize val="0"/>
        </c:dLbls>
        <c:gapWidth val="150"/>
        <c:axId val="205449856"/>
        <c:axId val="205464320"/>
      </c:barChart>
      <c:catAx>
        <c:axId val="205449856"/>
        <c:scaling>
          <c:orientation val="minMax"/>
        </c:scaling>
        <c:delete val="0"/>
        <c:axPos val="b"/>
        <c:title>
          <c:tx>
            <c:rich>
              <a:bodyPr/>
              <a:lstStyle/>
              <a:p>
                <a:pPr>
                  <a:defRPr b="0">
                    <a:latin typeface="標楷體" pitchFamily="65" charset="-120"/>
                    <a:ea typeface="標楷體" pitchFamily="65" charset="-120"/>
                  </a:defRPr>
                </a:pPr>
                <a:r>
                  <a:rPr lang="zh-TW" altLang="en-US" b="0">
                    <a:latin typeface="標楷體" pitchFamily="65" charset="-120"/>
                    <a:ea typeface="標楷體" pitchFamily="65" charset="-120"/>
                  </a:rPr>
                  <a:t>國別</a:t>
                </a:r>
              </a:p>
            </c:rich>
          </c:tx>
          <c:layout>
            <c:manualLayout>
              <c:xMode val="edge"/>
              <c:yMode val="edge"/>
              <c:x val="0.88205209897895709"/>
              <c:y val="0.91265449403963828"/>
            </c:manualLayout>
          </c:layout>
          <c:overlay val="0"/>
        </c:title>
        <c:majorTickMark val="out"/>
        <c:minorTickMark val="none"/>
        <c:tickLblPos val="nextTo"/>
        <c:txPr>
          <a:bodyPr rot="0" vert="eaVert"/>
          <a:lstStyle/>
          <a:p>
            <a:pPr>
              <a:defRPr sz="800">
                <a:latin typeface="Times New Roman" pitchFamily="18" charset="0"/>
                <a:ea typeface="標楷體" pitchFamily="65" charset="-120"/>
                <a:cs typeface="Times New Roman" pitchFamily="18" charset="0"/>
              </a:defRPr>
            </a:pPr>
            <a:endParaRPr lang="zh-TW"/>
          </a:p>
        </c:txPr>
        <c:crossAx val="205464320"/>
        <c:crosses val="autoZero"/>
        <c:auto val="1"/>
        <c:lblAlgn val="ctr"/>
        <c:lblOffset val="100"/>
        <c:noMultiLvlLbl val="0"/>
      </c:catAx>
      <c:valAx>
        <c:axId val="205464320"/>
        <c:scaling>
          <c:orientation val="minMax"/>
        </c:scaling>
        <c:delete val="0"/>
        <c:axPos val="l"/>
        <c:majorGridlines/>
        <c:numFmt formatCode="0.00_ " sourceLinked="1"/>
        <c:majorTickMark val="out"/>
        <c:minorTickMark val="none"/>
        <c:tickLblPos val="nextTo"/>
        <c:txPr>
          <a:bodyPr/>
          <a:lstStyle/>
          <a:p>
            <a:pPr>
              <a:defRPr>
                <a:latin typeface="Times New Roman" pitchFamily="18" charset="0"/>
                <a:cs typeface="Times New Roman" pitchFamily="18" charset="0"/>
              </a:defRPr>
            </a:pPr>
            <a:endParaRPr lang="zh-TW"/>
          </a:p>
        </c:txPr>
        <c:crossAx val="205449856"/>
        <c:crosses val="autoZero"/>
        <c:crossBetween val="between"/>
      </c:valAx>
    </c:plotArea>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72932098238263E-2"/>
          <c:y val="0.15904601708068225"/>
          <c:w val="0.83296781503179784"/>
          <c:h val="0.61725681130007448"/>
        </c:manualLayout>
      </c:layout>
      <c:barChart>
        <c:barDir val="col"/>
        <c:grouping val="clustered"/>
        <c:varyColors val="0"/>
        <c:ser>
          <c:idx val="0"/>
          <c:order val="0"/>
          <c:tx>
            <c:strRef>
              <c:f>工作表1!$B$1</c:f>
              <c:strCache>
                <c:ptCount val="1"/>
                <c:pt idx="0">
                  <c:v>台灣(左軸)</c:v>
                </c:pt>
              </c:strCache>
            </c:strRef>
          </c:tx>
          <c:invertIfNegative val="0"/>
          <c:cat>
            <c:numRef>
              <c:f>工作表1!$A$2:$A$14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工作表1!$B$2:$B$14</c:f>
              <c:numCache>
                <c:formatCode>General</c:formatCode>
                <c:ptCount val="13"/>
                <c:pt idx="0">
                  <c:v>147</c:v>
                </c:pt>
                <c:pt idx="1">
                  <c:v>201</c:v>
                </c:pt>
                <c:pt idx="2">
                  <c:v>225</c:v>
                </c:pt>
                <c:pt idx="3">
                  <c:v>229</c:v>
                </c:pt>
                <c:pt idx="4" formatCode="#\ ##0">
                  <c:v>230</c:v>
                </c:pt>
                <c:pt idx="5" formatCode="#\ ##0">
                  <c:v>209</c:v>
                </c:pt>
                <c:pt idx="6" formatCode="#\ ##0">
                  <c:v>198</c:v>
                </c:pt>
                <c:pt idx="7" formatCode="#\ ##0">
                  <c:v>191</c:v>
                </c:pt>
                <c:pt idx="8" formatCode="#\ ##0">
                  <c:v>168</c:v>
                </c:pt>
                <c:pt idx="9" formatCode="#\ ##0">
                  <c:v>177</c:v>
                </c:pt>
                <c:pt idx="10" formatCode="#\ ##0">
                  <c:v>161</c:v>
                </c:pt>
                <c:pt idx="11" formatCode="#\ ##0">
                  <c:v>152</c:v>
                </c:pt>
                <c:pt idx="12" formatCode="#\ ##0">
                  <c:v>150</c:v>
                </c:pt>
              </c:numCache>
            </c:numRef>
          </c:val>
        </c:ser>
        <c:dLbls>
          <c:showLegendKey val="0"/>
          <c:showVal val="0"/>
          <c:showCatName val="0"/>
          <c:showSerName val="0"/>
          <c:showPercent val="0"/>
          <c:showBubbleSize val="0"/>
        </c:dLbls>
        <c:gapWidth val="150"/>
        <c:axId val="205866496"/>
        <c:axId val="205873152"/>
      </c:barChart>
      <c:lineChart>
        <c:grouping val="stacked"/>
        <c:varyColors val="0"/>
        <c:ser>
          <c:idx val="1"/>
          <c:order val="1"/>
          <c:tx>
            <c:strRef>
              <c:f>工作表1!$C$1</c:f>
              <c:strCache>
                <c:ptCount val="1"/>
                <c:pt idx="0">
                  <c:v>OECD國家(右軸)</c:v>
                </c:pt>
              </c:strCache>
            </c:strRef>
          </c:tx>
          <c:marker>
            <c:spPr>
              <a:pattFill prst="smCheck">
                <a:fgClr>
                  <a:schemeClr val="accent2"/>
                </a:fgClr>
                <a:bgClr>
                  <a:schemeClr val="bg1"/>
                </a:bgClr>
              </a:pattFill>
            </c:spPr>
          </c:marker>
          <c:cat>
            <c:numRef>
              <c:f>工作表1!$A$2:$A$14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工作表1!$C$2:$C$14</c:f>
              <c:numCache>
                <c:formatCode>General</c:formatCode>
                <c:ptCount val="13"/>
                <c:pt idx="0">
                  <c:v>2294</c:v>
                </c:pt>
                <c:pt idx="1">
                  <c:v>2166</c:v>
                </c:pt>
                <c:pt idx="2">
                  <c:v>1756</c:v>
                </c:pt>
                <c:pt idx="3">
                  <c:v>1877</c:v>
                </c:pt>
                <c:pt idx="4">
                  <c:v>2045</c:v>
                </c:pt>
                <c:pt idx="5">
                  <c:v>2014</c:v>
                </c:pt>
                <c:pt idx="6">
                  <c:v>1799</c:v>
                </c:pt>
                <c:pt idx="7">
                  <c:v>1671</c:v>
                </c:pt>
                <c:pt idx="8">
                  <c:v>1694</c:v>
                </c:pt>
                <c:pt idx="9">
                  <c:v>2374</c:v>
                </c:pt>
                <c:pt idx="10">
                  <c:v>2915</c:v>
                </c:pt>
                <c:pt idx="11">
                  <c:v>2640</c:v>
                </c:pt>
                <c:pt idx="12" formatCode="###\ ##0">
                  <c:v>2631</c:v>
                </c:pt>
              </c:numCache>
            </c:numRef>
          </c:val>
          <c:smooth val="0"/>
        </c:ser>
        <c:dLbls>
          <c:showLegendKey val="0"/>
          <c:showVal val="0"/>
          <c:showCatName val="0"/>
          <c:showSerName val="0"/>
          <c:showPercent val="0"/>
          <c:showBubbleSize val="0"/>
        </c:dLbls>
        <c:marker val="1"/>
        <c:smooth val="0"/>
        <c:axId val="205877248"/>
        <c:axId val="205875072"/>
      </c:lineChart>
      <c:catAx>
        <c:axId val="205866496"/>
        <c:scaling>
          <c:orientation val="minMax"/>
        </c:scaling>
        <c:delete val="0"/>
        <c:axPos val="b"/>
        <c:title>
          <c:tx>
            <c:rich>
              <a:bodyPr/>
              <a:lstStyle/>
              <a:p>
                <a:pPr>
                  <a:defRPr b="0">
                    <a:latin typeface="Times New Roman" pitchFamily="18" charset="0"/>
                    <a:ea typeface="標楷體" pitchFamily="65" charset="-120"/>
                    <a:cs typeface="Times New Roman" pitchFamily="18" charset="0"/>
                  </a:defRPr>
                </a:pPr>
                <a:r>
                  <a:rPr lang="zh-TW" altLang="en-US" b="0">
                    <a:latin typeface="Times New Roman" pitchFamily="18" charset="0"/>
                    <a:ea typeface="標楷體" pitchFamily="65" charset="-120"/>
                    <a:cs typeface="Times New Roman" pitchFamily="18" charset="0"/>
                  </a:rPr>
                  <a:t>年別</a:t>
                </a:r>
              </a:p>
            </c:rich>
          </c:tx>
          <c:layout>
            <c:manualLayout>
              <c:xMode val="edge"/>
              <c:yMode val="edge"/>
              <c:x val="0.85796371732435184"/>
              <c:y val="0.87923421337038754"/>
            </c:manualLayout>
          </c:layout>
          <c:overlay val="0"/>
        </c:title>
        <c:numFmt formatCode="General" sourceLinked="1"/>
        <c:majorTickMark val="out"/>
        <c:minorTickMark val="none"/>
        <c:tickLblPos val="nextTo"/>
        <c:crossAx val="205873152"/>
        <c:crosses val="autoZero"/>
        <c:auto val="1"/>
        <c:lblAlgn val="ctr"/>
        <c:lblOffset val="100"/>
        <c:noMultiLvlLbl val="0"/>
      </c:catAx>
      <c:valAx>
        <c:axId val="205873152"/>
        <c:scaling>
          <c:orientation val="minMax"/>
          <c:max val="250"/>
          <c:min val="100"/>
        </c:scaling>
        <c:delete val="0"/>
        <c:axPos val="l"/>
        <c:majorGridlines/>
        <c:title>
          <c:tx>
            <c:rich>
              <a:bodyPr rot="0" vert="horz"/>
              <a:lstStyle/>
              <a:p>
                <a:pPr>
                  <a:defRPr b="0">
                    <a:latin typeface="標楷體" pitchFamily="65" charset="-120"/>
                    <a:ea typeface="標楷體" pitchFamily="65" charset="-120"/>
                  </a:defRPr>
                </a:pPr>
                <a:r>
                  <a:rPr lang="zh-TW" altLang="en-US" b="0">
                    <a:latin typeface="標楷體" pitchFamily="65" charset="-120"/>
                    <a:ea typeface="標楷體" pitchFamily="65" charset="-120"/>
                  </a:rPr>
                  <a:t>千人</a:t>
                </a:r>
              </a:p>
            </c:rich>
          </c:tx>
          <c:layout>
            <c:manualLayout>
              <c:xMode val="edge"/>
              <c:yMode val="edge"/>
              <c:x val="1.4461315979754157E-2"/>
              <c:y val="5.8754296579800587E-2"/>
            </c:manualLayout>
          </c:layout>
          <c:overlay val="0"/>
        </c:title>
        <c:numFmt formatCode="General" sourceLinked="1"/>
        <c:majorTickMark val="out"/>
        <c:minorTickMark val="none"/>
        <c:tickLblPos val="nextTo"/>
        <c:crossAx val="205866496"/>
        <c:crosses val="autoZero"/>
        <c:crossBetween val="between"/>
        <c:majorUnit val="25"/>
      </c:valAx>
      <c:valAx>
        <c:axId val="205875072"/>
        <c:scaling>
          <c:orientation val="minMax"/>
          <c:min val="1000"/>
        </c:scaling>
        <c:delete val="0"/>
        <c:axPos val="r"/>
        <c:title>
          <c:tx>
            <c:rich>
              <a:bodyPr rot="0" vert="horz"/>
              <a:lstStyle/>
              <a:p>
                <a:pPr algn="r">
                  <a:defRPr b="0">
                    <a:latin typeface="標楷體" pitchFamily="65" charset="-120"/>
                    <a:ea typeface="標楷體" pitchFamily="65" charset="-120"/>
                  </a:defRPr>
                </a:pPr>
                <a:r>
                  <a:rPr lang="zh-TW" altLang="en-US" b="0">
                    <a:latin typeface="標楷體" pitchFamily="65" charset="-120"/>
                    <a:ea typeface="標楷體" pitchFamily="65" charset="-120"/>
                  </a:rPr>
                  <a:t>千人</a:t>
                </a:r>
              </a:p>
            </c:rich>
          </c:tx>
          <c:layout>
            <c:manualLayout>
              <c:xMode val="edge"/>
              <c:yMode val="edge"/>
              <c:x val="0.92764344666454268"/>
              <c:y val="6.0922616871033536E-2"/>
            </c:manualLayout>
          </c:layout>
          <c:overlay val="0"/>
        </c:title>
        <c:numFmt formatCode="General" sourceLinked="1"/>
        <c:majorTickMark val="out"/>
        <c:minorTickMark val="none"/>
        <c:tickLblPos val="nextTo"/>
        <c:crossAx val="205877248"/>
        <c:crosses val="max"/>
        <c:crossBetween val="between"/>
        <c:majorUnit val="500"/>
      </c:valAx>
      <c:catAx>
        <c:axId val="205877248"/>
        <c:scaling>
          <c:orientation val="minMax"/>
        </c:scaling>
        <c:delete val="1"/>
        <c:axPos val="b"/>
        <c:numFmt formatCode="General" sourceLinked="1"/>
        <c:majorTickMark val="out"/>
        <c:minorTickMark val="none"/>
        <c:tickLblPos val="nextTo"/>
        <c:crossAx val="205875072"/>
        <c:crosses val="autoZero"/>
        <c:auto val="1"/>
        <c:lblAlgn val="ctr"/>
        <c:lblOffset val="100"/>
        <c:noMultiLvlLbl val="0"/>
      </c:catAx>
    </c:plotArea>
    <c:legend>
      <c:legendPos val="t"/>
      <c:layout>
        <c:manualLayout>
          <c:xMode val="edge"/>
          <c:yMode val="edge"/>
          <c:x val="0.25689806670044768"/>
          <c:y val="5.1273575323208441E-2"/>
          <c:w val="0.47174255061935044"/>
          <c:h val="7.4691918157070519E-2"/>
        </c:manualLayout>
      </c:layout>
      <c:overlay val="0"/>
      <c:txPr>
        <a:bodyPr/>
        <a:lstStyle/>
        <a:p>
          <a:pPr>
            <a:defRPr>
              <a:latin typeface="Times New Roman" pitchFamily="18" charset="0"/>
              <a:ea typeface="標楷體" pitchFamily="65" charset="-120"/>
              <a:cs typeface="Times New Roman" pitchFamily="18" charset="0"/>
            </a:defRPr>
          </a:pPr>
          <a:endParaRPr lang="zh-TW"/>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工作表1!$B$1</c:f>
              <c:strCache>
                <c:ptCount val="1"/>
                <c:pt idx="0">
                  <c:v>國中及以下</c:v>
                </c:pt>
              </c:strCache>
            </c:strRef>
          </c:tx>
          <c:spPr>
            <a:ln w="9525">
              <a:noFill/>
            </a:ln>
          </c:spPr>
          <c:invertIfNegative val="0"/>
          <c:cat>
            <c:numRef>
              <c:f>工作表1!$A$2:$A$14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工作表1!$B$2:$B$14</c:f>
              <c:numCache>
                <c:formatCode>0.00;[Red]0.00</c:formatCode>
                <c:ptCount val="13"/>
                <c:pt idx="0">
                  <c:v>37.01</c:v>
                </c:pt>
                <c:pt idx="1">
                  <c:v>35.409999999999997</c:v>
                </c:pt>
                <c:pt idx="2">
                  <c:v>33.61</c:v>
                </c:pt>
                <c:pt idx="3">
                  <c:v>32.06</c:v>
                </c:pt>
                <c:pt idx="4">
                  <c:v>30.36</c:v>
                </c:pt>
                <c:pt idx="5">
                  <c:v>28.86</c:v>
                </c:pt>
                <c:pt idx="6">
                  <c:v>27.2</c:v>
                </c:pt>
                <c:pt idx="7">
                  <c:v>25.94</c:v>
                </c:pt>
                <c:pt idx="8">
                  <c:v>24.51</c:v>
                </c:pt>
                <c:pt idx="9">
                  <c:v>23.27</c:v>
                </c:pt>
                <c:pt idx="10">
                  <c:v>22.41</c:v>
                </c:pt>
                <c:pt idx="11">
                  <c:v>21.43</c:v>
                </c:pt>
                <c:pt idx="12">
                  <c:v>20.73</c:v>
                </c:pt>
              </c:numCache>
            </c:numRef>
          </c:val>
        </c:ser>
        <c:ser>
          <c:idx val="1"/>
          <c:order val="1"/>
          <c:tx>
            <c:strRef>
              <c:f>工作表1!$C$1</c:f>
              <c:strCache>
                <c:ptCount val="1"/>
                <c:pt idx="0">
                  <c:v>高中職</c:v>
                </c:pt>
              </c:strCache>
            </c:strRef>
          </c:tx>
          <c:spPr>
            <a:pattFill prst="trellis">
              <a:fgClr>
                <a:schemeClr val="accent6">
                  <a:lumMod val="75000"/>
                </a:schemeClr>
              </a:fgClr>
              <a:bgClr>
                <a:schemeClr val="bg1"/>
              </a:bgClr>
            </a:pattFill>
          </c:spPr>
          <c:invertIfNegative val="0"/>
          <c:cat>
            <c:numRef>
              <c:f>工作表1!$A$2:$A$14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工作表1!$C$2:$C$14</c:f>
              <c:numCache>
                <c:formatCode>0.00;[Red]0.00</c:formatCode>
                <c:ptCount val="13"/>
                <c:pt idx="0">
                  <c:v>35.69</c:v>
                </c:pt>
                <c:pt idx="1">
                  <c:v>36.130000000000003</c:v>
                </c:pt>
                <c:pt idx="2">
                  <c:v>36.51</c:v>
                </c:pt>
                <c:pt idx="3">
                  <c:v>36.700000000000003</c:v>
                </c:pt>
                <c:pt idx="4">
                  <c:v>36.869999999999997</c:v>
                </c:pt>
                <c:pt idx="5">
                  <c:v>36.409999999999997</c:v>
                </c:pt>
                <c:pt idx="6">
                  <c:v>36.08</c:v>
                </c:pt>
                <c:pt idx="7">
                  <c:v>35.89</c:v>
                </c:pt>
                <c:pt idx="8">
                  <c:v>35.32</c:v>
                </c:pt>
                <c:pt idx="9">
                  <c:v>34.67</c:v>
                </c:pt>
                <c:pt idx="10">
                  <c:v>34.28</c:v>
                </c:pt>
                <c:pt idx="11">
                  <c:v>34.14</c:v>
                </c:pt>
                <c:pt idx="12">
                  <c:v>33.83</c:v>
                </c:pt>
              </c:numCache>
            </c:numRef>
          </c:val>
        </c:ser>
        <c:ser>
          <c:idx val="2"/>
          <c:order val="2"/>
          <c:tx>
            <c:strRef>
              <c:f>工作表1!$D$1</c:f>
              <c:strCache>
                <c:ptCount val="1"/>
                <c:pt idx="0">
                  <c:v>大專及以上</c:v>
                </c:pt>
              </c:strCache>
            </c:strRef>
          </c:tx>
          <c:invertIfNegative val="0"/>
          <c:cat>
            <c:numRef>
              <c:f>工作表1!$A$2:$A$14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工作表1!$D$2:$D$14</c:f>
              <c:numCache>
                <c:formatCode>0.00;[Red]0.00</c:formatCode>
                <c:ptCount val="13"/>
                <c:pt idx="0">
                  <c:v>27.3</c:v>
                </c:pt>
                <c:pt idx="1">
                  <c:v>28.46</c:v>
                </c:pt>
                <c:pt idx="2">
                  <c:v>29.88</c:v>
                </c:pt>
                <c:pt idx="3">
                  <c:v>31.24</c:v>
                </c:pt>
                <c:pt idx="4">
                  <c:v>32.770000000000003</c:v>
                </c:pt>
                <c:pt idx="5">
                  <c:v>34.729999999999997</c:v>
                </c:pt>
                <c:pt idx="6">
                  <c:v>36.72</c:v>
                </c:pt>
                <c:pt idx="7">
                  <c:v>38.17</c:v>
                </c:pt>
                <c:pt idx="8">
                  <c:v>40.17</c:v>
                </c:pt>
                <c:pt idx="9">
                  <c:v>42.06</c:v>
                </c:pt>
                <c:pt idx="10">
                  <c:v>43.31</c:v>
                </c:pt>
                <c:pt idx="11">
                  <c:v>44.43</c:v>
                </c:pt>
                <c:pt idx="12">
                  <c:v>45.44</c:v>
                </c:pt>
              </c:numCache>
            </c:numRef>
          </c:val>
        </c:ser>
        <c:dLbls>
          <c:showLegendKey val="0"/>
          <c:showVal val="0"/>
          <c:showCatName val="0"/>
          <c:showSerName val="0"/>
          <c:showPercent val="0"/>
          <c:showBubbleSize val="0"/>
        </c:dLbls>
        <c:gapWidth val="150"/>
        <c:shape val="box"/>
        <c:axId val="205932032"/>
        <c:axId val="205933952"/>
        <c:axId val="0"/>
      </c:bar3DChart>
      <c:catAx>
        <c:axId val="205932032"/>
        <c:scaling>
          <c:orientation val="minMax"/>
        </c:scaling>
        <c:delete val="0"/>
        <c:axPos val="b"/>
        <c:title>
          <c:tx>
            <c:rich>
              <a:bodyPr/>
              <a:lstStyle/>
              <a:p>
                <a:pPr>
                  <a:defRPr b="0">
                    <a:latin typeface="Times New Roman" pitchFamily="18" charset="0"/>
                    <a:ea typeface="標楷體" pitchFamily="65" charset="-120"/>
                    <a:cs typeface="Times New Roman" pitchFamily="18" charset="0"/>
                  </a:defRPr>
                </a:pPr>
                <a:r>
                  <a:rPr lang="zh-TW" altLang="en-US" b="0">
                    <a:latin typeface="Times New Roman" pitchFamily="18" charset="0"/>
                    <a:ea typeface="標楷體" pitchFamily="65" charset="-120"/>
                    <a:cs typeface="Times New Roman" pitchFamily="18" charset="0"/>
                  </a:rPr>
                  <a:t>年別</a:t>
                </a:r>
              </a:p>
            </c:rich>
          </c:tx>
          <c:layout>
            <c:manualLayout>
              <c:xMode val="edge"/>
              <c:yMode val="edge"/>
              <c:x val="0.87205748486641477"/>
              <c:y val="0.90195493365186941"/>
            </c:manualLayout>
          </c:layout>
          <c:overlay val="0"/>
        </c:title>
        <c:numFmt formatCode="General" sourceLinked="1"/>
        <c:majorTickMark val="out"/>
        <c:minorTickMark val="none"/>
        <c:tickLblPos val="nextTo"/>
        <c:crossAx val="205933952"/>
        <c:crosses val="autoZero"/>
        <c:auto val="1"/>
        <c:lblAlgn val="ctr"/>
        <c:lblOffset val="100"/>
        <c:noMultiLvlLbl val="0"/>
      </c:catAx>
      <c:valAx>
        <c:axId val="205933952"/>
        <c:scaling>
          <c:orientation val="minMax"/>
        </c:scaling>
        <c:delete val="0"/>
        <c:axPos val="l"/>
        <c:majorGridlines/>
        <c:numFmt formatCode="0%" sourceLinked="1"/>
        <c:majorTickMark val="out"/>
        <c:minorTickMark val="none"/>
        <c:tickLblPos val="nextTo"/>
        <c:crossAx val="205932032"/>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Sheet1!$A$45:$A$97</c:f>
              <c:strCache>
                <c:ptCount val="5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strCache>
            </c:strRef>
          </c:cat>
          <c:val>
            <c:numRef>
              <c:f>Sheet1!$B$45:$B$98</c:f>
              <c:numCache>
                <c:formatCode>@</c:formatCode>
                <c:ptCount val="54"/>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99.61</c:v>
                </c:pt>
                <c:pt idx="52" formatCode="General">
                  <c:v>104.32</c:v>
                </c:pt>
                <c:pt idx="53" formatCode="General">
                  <c:v>99.45</c:v>
                </c:pt>
              </c:numCache>
            </c:numRef>
          </c:val>
        </c:ser>
        <c:dLbls>
          <c:showLegendKey val="0"/>
          <c:showVal val="0"/>
          <c:showCatName val="0"/>
          <c:showSerName val="0"/>
          <c:showPercent val="0"/>
          <c:showBubbleSize val="0"/>
        </c:dLbls>
        <c:gapWidth val="150"/>
        <c:axId val="240090496"/>
        <c:axId val="2431948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Sheet1!$A$45:$A$96</c:f>
              <c:strCache>
                <c:ptCount val="5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strCache>
            </c:strRef>
          </c:cat>
          <c:val>
            <c:numRef>
              <c:f>Sheet1!$C$45:$C$98</c:f>
              <c:numCache>
                <c:formatCode>@</c:formatCode>
                <c:ptCount val="54"/>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-0.88</c:v>
                </c:pt>
                <c:pt idx="52" formatCode="General">
                  <c:v>-0.27</c:v>
                </c:pt>
                <c:pt idx="53" formatCode="General">
                  <c:v>-0.43</c:v>
                </c:pt>
              </c:numCache>
            </c:numRef>
          </c:val>
          <c:smooth val="0"/>
        </c:ser>
        <c:dLbls>
          <c:showLegendKey val="0"/>
          <c:showVal val="0"/>
          <c:showCatName val="0"/>
          <c:showSerName val="0"/>
          <c:showPercent val="0"/>
          <c:showBubbleSize val="0"/>
        </c:dLbls>
        <c:marker val="1"/>
        <c:smooth val="0"/>
        <c:axId val="118277248"/>
        <c:axId val="118278784"/>
      </c:lineChart>
      <c:catAx>
        <c:axId val="2400904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43194880"/>
        <c:crosses val="autoZero"/>
        <c:auto val="0"/>
        <c:lblAlgn val="ctr"/>
        <c:lblOffset val="100"/>
        <c:tickLblSkip val="3"/>
        <c:tickMarkSkip val="1"/>
        <c:noMultiLvlLbl val="0"/>
      </c:catAx>
      <c:valAx>
        <c:axId val="24319488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0090496"/>
        <c:crosses val="autoZero"/>
        <c:crossBetween val="between"/>
        <c:majorUnit val="10"/>
      </c:valAx>
      <c:catAx>
        <c:axId val="118277248"/>
        <c:scaling>
          <c:orientation val="minMax"/>
        </c:scaling>
        <c:delete val="1"/>
        <c:axPos val="b"/>
        <c:majorTickMark val="out"/>
        <c:minorTickMark val="none"/>
        <c:tickLblPos val="nextTo"/>
        <c:crossAx val="118278784"/>
        <c:crosses val="autoZero"/>
        <c:auto val="0"/>
        <c:lblAlgn val="ctr"/>
        <c:lblOffset val="100"/>
        <c:noMultiLvlLbl val="0"/>
      </c:catAx>
      <c:valAx>
        <c:axId val="11827878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827724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工作表1!$A$15:$A$80</c:f>
              <c:strCache>
                <c:ptCount val="6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工作表1!$B$15:$B$80</c:f>
              <c:numCache>
                <c:formatCode>General</c:formatCode>
                <c:ptCount val="66"/>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-3.72</c:v>
                </c:pt>
                <c:pt idx="64">
                  <c:v>-3.33</c:v>
                </c:pt>
                <c:pt idx="65">
                  <c:v>-1.9</c:v>
                </c:pt>
              </c:numCache>
            </c:numRef>
          </c:val>
          <c:smooth val="0"/>
        </c:ser>
        <c:ser>
          <c:idx val="1"/>
          <c:order val="1"/>
          <c:tx>
            <c:strRef>
              <c:f>工作表1!$C$2</c:f>
              <c:strCache>
                <c:ptCount val="1"/>
                <c:pt idx="0">
                  <c:v>CPI年增率</c:v>
                </c:pt>
              </c:strCache>
            </c:strRef>
          </c:tx>
          <c:marker>
            <c:symbol val="triangle"/>
            <c:size val="4"/>
          </c:marker>
          <c:cat>
            <c:strRef>
              <c:f>工作表1!$A$15:$A$80</c:f>
              <c:strCache>
                <c:ptCount val="6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工作表1!$C$15:$C$80</c:f>
              <c:numCache>
                <c:formatCode>General</c:formatCode>
                <c:ptCount val="66"/>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1.37</c:v>
                </c:pt>
                <c:pt idx="63">
                  <c:v>1.05</c:v>
                </c:pt>
                <c:pt idx="64">
                  <c:v>0.74</c:v>
                </c:pt>
                <c:pt idx="65">
                  <c:v>0.6</c:v>
                </c:pt>
              </c:numCache>
            </c:numRef>
          </c:val>
          <c:smooth val="0"/>
        </c:ser>
        <c:dLbls>
          <c:showLegendKey val="0"/>
          <c:showVal val="0"/>
          <c:showCatName val="0"/>
          <c:showSerName val="0"/>
          <c:showPercent val="0"/>
          <c:showBubbleSize val="0"/>
        </c:dLbls>
        <c:marker val="1"/>
        <c:smooth val="0"/>
        <c:axId val="118940800"/>
        <c:axId val="118942336"/>
      </c:lineChart>
      <c:dateAx>
        <c:axId val="118940800"/>
        <c:scaling>
          <c:orientation val="minMax"/>
        </c:scaling>
        <c:delete val="0"/>
        <c:axPos val="b"/>
        <c:majorTickMark val="none"/>
        <c:minorTickMark val="none"/>
        <c:tickLblPos val="low"/>
        <c:crossAx val="118942336"/>
        <c:crosses val="autoZero"/>
        <c:auto val="0"/>
        <c:lblOffset val="100"/>
        <c:baseTimeUnit val="days"/>
        <c:majorUnit val="3"/>
      </c:dateAx>
      <c:valAx>
        <c:axId val="118942336"/>
        <c:scaling>
          <c:orientation val="minMax"/>
          <c:max val="13"/>
          <c:min val="-15"/>
        </c:scaling>
        <c:delete val="0"/>
        <c:axPos val="l"/>
        <c:majorGridlines/>
        <c:minorGridlines/>
        <c:numFmt formatCode="General" sourceLinked="1"/>
        <c:majorTickMark val="out"/>
        <c:minorTickMark val="none"/>
        <c:tickLblPos val="nextTo"/>
        <c:crossAx val="11894080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6.904770783433492E-2"/>
                  <c:y val="-0.13137829510441629"/>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-1.24</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物價圖!$B$72:$B$137</c:f>
              <c:strCache>
                <c:ptCount val="66"/>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物價圖!$C$72:$C$137</c:f>
              <c:numCache>
                <c:formatCode>0.00</c:formatCode>
                <c:ptCount val="66"/>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-4.96</c:v>
                </c:pt>
                <c:pt idx="62" formatCode="0.00_ ">
                  <c:v>-6.37</c:v>
                </c:pt>
                <c:pt idx="63" formatCode="0.00_ ">
                  <c:v>-7.28</c:v>
                </c:pt>
                <c:pt idx="64" formatCode="0.00_ ">
                  <c:v>-6.68</c:v>
                </c:pt>
                <c:pt idx="65" formatCode="General">
                  <c:v>-3.32</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6.865568033504009E-2"/>
                  <c:y val="0.19936460116398494"/>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-3.32</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物價圖!$B$72:$B$137</c:f>
              <c:strCache>
                <c:ptCount val="66"/>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物價圖!$D$72:$D$137</c:f>
              <c:numCache>
                <c:formatCode>0.00</c:formatCode>
                <c:ptCount val="66"/>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-6.16</c:v>
                </c:pt>
                <c:pt idx="64" formatCode="General">
                  <c:v>-5.74</c:v>
                </c:pt>
                <c:pt idx="65" formatCode="General">
                  <c:v>-3.23</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6.6628152497455378E-2"/>
                  <c:y val="-8.0071423777580045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-1.34</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物價圖!$B$72:$B$137</c:f>
              <c:strCache>
                <c:ptCount val="66"/>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物價圖!$E$72:$E$137</c:f>
              <c:numCache>
                <c:formatCode>0.00</c:formatCode>
                <c:ptCount val="66"/>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-2.82</c:v>
                </c:pt>
                <c:pt idx="62" formatCode="General">
                  <c:v>-3.45</c:v>
                </c:pt>
                <c:pt idx="63" formatCode="General">
                  <c:v>-3.97</c:v>
                </c:pt>
                <c:pt idx="64" formatCode="General">
                  <c:v>-3.09</c:v>
                </c:pt>
                <c:pt idx="65" formatCode="General">
                  <c:v>-1.34</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6.865568033504009E-2"/>
                  <c:y val="8.841264407166495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-3.23</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物價圖!$B$72:$B$137</c:f>
              <c:strCache>
                <c:ptCount val="66"/>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物價圖!$F$72:$F$137</c:f>
              <c:numCache>
                <c:formatCode>0.00</c:formatCode>
                <c:ptCount val="66"/>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c:v>
                </c:pt>
                <c:pt idx="64" formatCode="General">
                  <c:v>-2.11</c:v>
                </c:pt>
                <c:pt idx="65" formatCode="General">
                  <c:v>-1.24</c:v>
                </c:pt>
              </c:numCache>
            </c:numRef>
          </c:val>
          <c:smooth val="0"/>
        </c:ser>
        <c:dLbls>
          <c:showLegendKey val="0"/>
          <c:showVal val="0"/>
          <c:showCatName val="0"/>
          <c:showSerName val="0"/>
          <c:showPercent val="0"/>
          <c:showBubbleSize val="0"/>
        </c:dLbls>
        <c:marker val="1"/>
        <c:smooth val="0"/>
        <c:axId val="121016704"/>
        <c:axId val="121018240"/>
      </c:lineChart>
      <c:catAx>
        <c:axId val="1210167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21018240"/>
        <c:crosses val="autoZero"/>
        <c:auto val="1"/>
        <c:lblAlgn val="ctr"/>
        <c:lblOffset val="0"/>
        <c:tickLblSkip val="3"/>
        <c:tickMarkSkip val="1"/>
        <c:noMultiLvlLbl val="0"/>
      </c:catAx>
      <c:valAx>
        <c:axId val="12101824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210167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原油價格!$B$68:$B$121</c:f>
              <c:numCache>
                <c:formatCode>General</c:formatCode>
                <c:ptCount val="54"/>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原油價格!$C$68:$C$121</c:f>
              <c:numCache>
                <c:formatCode>General</c:formatCode>
                <c:ptCount val="54"/>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numCache>
            </c:numRef>
          </c:val>
          <c:smooth val="0"/>
        </c:ser>
        <c:ser>
          <c:idx val="0"/>
          <c:order val="2"/>
          <c:tx>
            <c:strRef>
              <c:f>原油價格!$D$7</c:f>
              <c:strCache>
                <c:ptCount val="1"/>
                <c:pt idx="0">
                  <c:v>北海布蘭特</c:v>
                </c:pt>
              </c:strCache>
            </c:strRef>
          </c:tx>
          <c:cat>
            <c:strRef>
              <c:f>原油價格!$A$8:$A$121</c:f>
              <c:strCache>
                <c:ptCount val="11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strCache>
            </c:strRef>
          </c:cat>
          <c:val>
            <c:numRef>
              <c:f>原油價格!$D$68:$D$121</c:f>
              <c:numCache>
                <c:formatCode>General</c:formatCode>
                <c:ptCount val="54"/>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numCache>
            </c:numRef>
          </c:val>
          <c:smooth val="0"/>
        </c:ser>
        <c:dLbls>
          <c:showLegendKey val="0"/>
          <c:showVal val="0"/>
          <c:showCatName val="0"/>
          <c:showSerName val="0"/>
          <c:showPercent val="0"/>
          <c:showBubbleSize val="0"/>
        </c:dLbls>
        <c:marker val="1"/>
        <c:smooth val="0"/>
        <c:axId val="121083776"/>
        <c:axId val="121085312"/>
      </c:lineChart>
      <c:catAx>
        <c:axId val="121083776"/>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21085312"/>
        <c:crosses val="autoZero"/>
        <c:auto val="1"/>
        <c:lblAlgn val="ctr"/>
        <c:lblOffset val="100"/>
        <c:tickLblSkip val="2"/>
        <c:tickMarkSkip val="1"/>
        <c:noMultiLvlLbl val="0"/>
      </c:catAx>
      <c:valAx>
        <c:axId val="12108531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21083776"/>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Sheet1!$A$3:$A$80</c:f>
              <c:strCache>
                <c:ptCount val="7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strCache>
            </c:strRef>
          </c:cat>
          <c:val>
            <c:numRef>
              <c:f>Sheet1!$B$3:$B$80</c:f>
              <c:numCache>
                <c:formatCode>General</c:formatCode>
                <c:ptCount val="78"/>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Sheet1!$A$3:$A$80</c:f>
              <c:strCache>
                <c:ptCount val="7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strCache>
            </c:strRef>
          </c:cat>
          <c:val>
            <c:numRef>
              <c:f>Sheet1!$C$3:$C$80</c:f>
              <c:numCache>
                <c:formatCode>General</c:formatCode>
                <c:ptCount val="78"/>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Sheet1!$A$3:$A$80</c:f>
              <c:strCache>
                <c:ptCount val="7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strCache>
            </c:strRef>
          </c:cat>
          <c:val>
            <c:numRef>
              <c:f>Sheet1!$D$3:$D$80</c:f>
              <c:numCache>
                <c:formatCode>General</c:formatCode>
                <c:ptCount val="78"/>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numCache>
            </c:numRef>
          </c:val>
          <c:smooth val="0"/>
        </c:ser>
        <c:dLbls>
          <c:showLegendKey val="0"/>
          <c:showVal val="0"/>
          <c:showCatName val="0"/>
          <c:showSerName val="0"/>
          <c:showPercent val="0"/>
          <c:showBubbleSize val="0"/>
        </c:dLbls>
        <c:marker val="1"/>
        <c:smooth val="0"/>
        <c:axId val="121472896"/>
        <c:axId val="138096640"/>
      </c:lineChart>
      <c:catAx>
        <c:axId val="1214728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38096640"/>
        <c:crosses val="autoZero"/>
        <c:auto val="1"/>
        <c:lblAlgn val="ctr"/>
        <c:lblOffset val="100"/>
        <c:tickLblSkip val="3"/>
        <c:tickMarkSkip val="1"/>
        <c:noMultiLvlLbl val="0"/>
      </c:catAx>
      <c:valAx>
        <c:axId val="138096640"/>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2147289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988347952942936"/>
                  <c:y val="-9.7916991962406927E-2"/>
                </c:manualLayout>
              </c:layout>
              <c:tx>
                <c:rich>
                  <a:bodyPr/>
                  <a:lstStyle/>
                  <a:p>
                    <a:pPr>
                      <a:defRPr sz="900" b="0" i="0" u="none" strike="noStrike" baseline="0">
                        <a:solidFill>
                          <a:srgbClr val="FF00FF"/>
                        </a:solidFill>
                        <a:latin typeface="Arial"/>
                        <a:ea typeface="Arial"/>
                        <a:cs typeface="Arial"/>
                      </a:defRPr>
                    </a:pPr>
                    <a:r>
                      <a:rPr lang="en-US" altLang="zh-TW"/>
                      <a:t>7.89
(102/6)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'M2&amp;M1B'!$B$151:$B$216</c:f>
              <c:strCache>
                <c:ptCount val="6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'M2&amp;M1B'!$C$151:$C$216</c:f>
              <c:numCache>
                <c:formatCode>0.00_ </c:formatCode>
                <c:ptCount val="66"/>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4.82
(102/6)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'M2&amp;M1B'!$B$151:$B$216</c:f>
              <c:strCache>
                <c:ptCount val="6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strCache>
            </c:strRef>
          </c:cat>
          <c:val>
            <c:numRef>
              <c:f>'M2&amp;M1B'!$D$151:$D$216</c:f>
              <c:numCache>
                <c:formatCode>0.00_ </c:formatCode>
                <c:ptCount val="66"/>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numCache>
            </c:numRef>
          </c:val>
          <c:smooth val="0"/>
        </c:ser>
        <c:dLbls>
          <c:showLegendKey val="0"/>
          <c:showVal val="0"/>
          <c:showCatName val="0"/>
          <c:showSerName val="0"/>
          <c:showPercent val="0"/>
          <c:showBubbleSize val="0"/>
        </c:dLbls>
        <c:marker val="1"/>
        <c:smooth val="0"/>
        <c:axId val="121464704"/>
        <c:axId val="121466240"/>
      </c:lineChart>
      <c:catAx>
        <c:axId val="1214647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21466240"/>
        <c:crossesAt val="0"/>
        <c:auto val="1"/>
        <c:lblAlgn val="ctr"/>
        <c:lblOffset val="100"/>
        <c:tickLblSkip val="3"/>
        <c:tickMarkSkip val="5"/>
        <c:noMultiLvlLbl val="0"/>
      </c:catAx>
      <c:valAx>
        <c:axId val="121466240"/>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214647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Sheet5!$I$86:$I$139</c:f>
              <c:strCache>
                <c:ptCount val="5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strCache>
            </c:strRef>
          </c:cat>
          <c:val>
            <c:numRef>
              <c:f>Sheet5!$J$86:$J$139</c:f>
              <c:numCache>
                <c:formatCode>0.000_ </c:formatCode>
                <c:ptCount val="54"/>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Sheet5!$I$86:$I$139</c:f>
              <c:strCache>
                <c:ptCount val="5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strCache>
            </c:strRef>
          </c:cat>
          <c:val>
            <c:numRef>
              <c:f>Sheet5!$K$86:$K$139</c:f>
              <c:numCache>
                <c:formatCode>0.00_ </c:formatCode>
                <c:ptCount val="54"/>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numCache>
            </c:numRef>
          </c:val>
          <c:smooth val="0"/>
        </c:ser>
        <c:dLbls>
          <c:showLegendKey val="0"/>
          <c:showVal val="0"/>
          <c:showCatName val="0"/>
          <c:showSerName val="0"/>
          <c:showPercent val="0"/>
          <c:showBubbleSize val="0"/>
        </c:dLbls>
        <c:marker val="1"/>
        <c:smooth val="0"/>
        <c:axId val="142582912"/>
        <c:axId val="142584832"/>
      </c:lineChart>
      <c:catAx>
        <c:axId val="1425829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2584832"/>
        <c:crosses val="autoZero"/>
        <c:auto val="1"/>
        <c:lblAlgn val="ctr"/>
        <c:lblOffset val="100"/>
        <c:tickLblSkip val="3"/>
        <c:tickMarkSkip val="6"/>
        <c:noMultiLvlLbl val="0"/>
      </c:catAx>
      <c:valAx>
        <c:axId val="14258483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258291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0.82658</cdr:x>
      <cdr:y>0.05822</cdr:y>
    </cdr:from>
    <cdr:to>
      <cdr:x>0.99934</cdr:x>
      <cdr:y>0.20023</cdr:y>
    </cdr:to>
    <cdr:sp macro="" textlink="">
      <cdr:nvSpPr>
        <cdr:cNvPr id="2" name="文字方塊 1"/>
        <cdr:cNvSpPr txBox="1"/>
      </cdr:nvSpPr>
      <cdr:spPr>
        <a:xfrm xmlns:a="http://schemas.openxmlformats.org/drawingml/2006/main">
          <a:off x="2843784" y="156201"/>
          <a:ext cx="594360" cy="380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4,066.06</a:t>
          </a:r>
        </a:p>
        <a:p xmlns:a="http://schemas.openxmlformats.org/drawingml/2006/main">
          <a:pPr>
            <a:lnSpc>
              <a:spcPts val="960"/>
            </a:lnSpc>
          </a:pP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7,988.80</a:t>
          </a:r>
        </a:p>
        <a:p xmlns:a="http://schemas.openxmlformats.org/drawingml/2006/main">
          <a:pPr algn="ctr"/>
          <a:r>
            <a:rPr lang="en-US" altLang="zh-TW">
              <a:solidFill>
                <a:sysClr val="windowText" lastClr="000000"/>
              </a:solidFill>
            </a:rPr>
            <a:t>(102/6)</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0.8073</cdr:x>
      <cdr:y>0.20929</cdr:y>
    </cdr:from>
    <cdr:to>
      <cdr:x>0.90514</cdr:x>
      <cdr:y>0.32373</cdr:y>
    </cdr:to>
    <cdr:sp macro="" textlink="">
      <cdr:nvSpPr>
        <cdr:cNvPr id="2" name="文字方塊 1"/>
        <cdr:cNvSpPr txBox="1"/>
      </cdr:nvSpPr>
      <cdr:spPr>
        <a:xfrm xmlns:a="http://schemas.openxmlformats.org/drawingml/2006/main">
          <a:off x="5055070" y="420354"/>
          <a:ext cx="612648"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99.45</a:t>
          </a:r>
          <a:endParaRPr lang="zh-TW" altLang="en-US" sz="1100" b="1"/>
        </a:p>
      </cdr:txBody>
    </cdr:sp>
  </cdr:relSizeAnchor>
  <cdr:relSizeAnchor xmlns:cdr="http://schemas.openxmlformats.org/drawingml/2006/chartDrawing">
    <cdr:from>
      <cdr:x>0.81172</cdr:x>
      <cdr:y>0.5702</cdr:y>
    </cdr:from>
    <cdr:to>
      <cdr:x>0.88526</cdr:x>
      <cdr:y>0.69344</cdr:y>
    </cdr:to>
    <cdr:sp macro="" textlink="">
      <cdr:nvSpPr>
        <cdr:cNvPr id="4" name="文字方塊 3"/>
        <cdr:cNvSpPr txBox="1"/>
      </cdr:nvSpPr>
      <cdr:spPr>
        <a:xfrm xmlns:a="http://schemas.openxmlformats.org/drawingml/2006/main">
          <a:off x="5082746" y="1145250"/>
          <a:ext cx="460488" cy="2475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-0.43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5.65</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0.90045</cdr:x>
      <cdr:y>0.61288</cdr:y>
    </cdr:from>
    <cdr:to>
      <cdr:x>0.98748</cdr:x>
      <cdr:y>0.72007</cdr:y>
    </cdr:to>
    <cdr:sp macro="" textlink="">
      <cdr:nvSpPr>
        <cdr:cNvPr id="1026" name="Text Box 2"/>
        <cdr:cNvSpPr txBox="1">
          <a:spLocks xmlns:a="http://schemas.openxmlformats.org/drawingml/2006/main" noChangeArrowheads="1"/>
        </cdr:cNvSpPr>
      </cdr:nvSpPr>
      <cdr:spPr bwMode="auto">
        <a:xfrm xmlns:a="http://schemas.openxmlformats.org/drawingml/2006/main">
          <a:off x="5544048" y="2096895"/>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6.49</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6</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6.79</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6</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0.91362</cdr:x>
      <cdr:y>0.6007</cdr:y>
    </cdr:from>
    <cdr:to>
      <cdr:x>0.97746</cdr:x>
      <cdr:y>0.66706</cdr:y>
    </cdr:to>
    <cdr:sp macro="" textlink="">
      <cdr:nvSpPr>
        <cdr:cNvPr id="1025" name="Line 1"/>
        <cdr:cNvSpPr>
          <a:spLocks xmlns:a="http://schemas.openxmlformats.org/drawingml/2006/main" noChangeShapeType="1"/>
        </cdr:cNvSpPr>
      </cdr:nvSpPr>
      <cdr:spPr bwMode="auto">
        <a:xfrm xmlns:a="http://schemas.openxmlformats.org/drawingml/2006/main" flipV="1">
          <a:off x="2930331" y="1615043"/>
          <a:ext cx="204755" cy="17840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0.83854</cdr:x>
      <cdr:y>0.25949</cdr:y>
    </cdr:from>
    <cdr:to>
      <cdr:x>0.93729</cdr:x>
      <cdr:y>0.3164</cdr:y>
    </cdr:to>
    <cdr:sp macro="" textlink="">
      <cdr:nvSpPr>
        <cdr:cNvPr id="1026" name="Text Box 2"/>
        <cdr:cNvSpPr txBox="1">
          <a:spLocks xmlns:a="http://schemas.openxmlformats.org/drawingml/2006/main" noChangeArrowheads="1"/>
        </cdr:cNvSpPr>
      </cdr:nvSpPr>
      <cdr:spPr bwMode="auto">
        <a:xfrm xmlns:a="http://schemas.openxmlformats.org/drawingml/2006/main">
          <a:off x="2690060" y="697989"/>
          <a:ext cx="316792"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0.65585</cdr:y>
    </cdr:from>
    <cdr:to>
      <cdr:x>0.93281</cdr:x>
      <cdr:y>0.73535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6725" y="1764151"/>
          <a:ext cx="225748"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0.90005</cdr:x>
      <cdr:y>0.42126</cdr:y>
    </cdr:from>
    <cdr:to>
      <cdr:x>0.96635</cdr:x>
      <cdr:y>0.49911</cdr:y>
    </cdr:to>
    <cdr:sp macro="" textlink="">
      <cdr:nvSpPr>
        <cdr:cNvPr id="1028" name="Line 4"/>
        <cdr:cNvSpPr>
          <a:spLocks xmlns:a="http://schemas.openxmlformats.org/drawingml/2006/main" noChangeShapeType="1"/>
        </cdr:cNvSpPr>
      </cdr:nvSpPr>
      <cdr:spPr bwMode="auto">
        <a:xfrm xmlns:a="http://schemas.openxmlformats.org/drawingml/2006/main">
          <a:off x="2886807" y="1132595"/>
          <a:ext cx="212653" cy="20931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0.86</a:t>
          </a:r>
        </a:p>
        <a:p xmlns:a="http://schemas.openxmlformats.org/drawingml/2006/main">
          <a:pPr algn="ctr">
            <a:lnSpc>
              <a:spcPts val="960"/>
            </a:lnSpc>
          </a:pP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26.05</a:t>
          </a:r>
        </a:p>
        <a:p xmlns:a="http://schemas.openxmlformats.org/drawingml/2006/main">
          <a:pPr>
            <a:lnSpc>
              <a:spcPts val="960"/>
            </a:lnSpc>
          </a:pP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5.94</a:t>
          </a:r>
        </a:p>
        <a:p xmlns:a="http://schemas.openxmlformats.org/drawingml/2006/main">
          <a:pPr algn="ctr">
            <a:lnSpc>
              <a:spcPts val="960"/>
            </a:lnSpc>
          </a:pP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3.54</a:t>
          </a:r>
        </a:p>
        <a:p xmlns:a="http://schemas.openxmlformats.org/drawingml/2006/main">
          <a:pPr algn="ctr"/>
          <a:r>
            <a:rPr lang="en-US" altLang="zh-TW" sz="800">
              <a:latin typeface="Arial" pitchFamily="34" charset="0"/>
              <a:cs typeface="Arial" pitchFamily="34" charset="0"/>
            </a:rPr>
            <a:t>(102/6)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EF22-A88C-4F4F-992D-3606483F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1</Pages>
  <Words>8429</Words>
  <Characters>48046</Characters>
  <Application>Microsoft Office Word</Application>
  <DocSecurity>0</DocSecurity>
  <Lines>400</Lines>
  <Paragraphs>112</Paragraphs>
  <ScaleCrop>false</ScaleCrop>
  <Company>Ministry of Economic Affairs,R.O.C.</Company>
  <LinksUpToDate>false</LinksUpToDate>
  <CharactersWithSpaces>56363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林美鳳</dc:creator>
  <cp:lastModifiedBy>mflin</cp:lastModifiedBy>
  <cp:revision>211</cp:revision>
  <cp:lastPrinted>2013-07-31T09:31:00Z</cp:lastPrinted>
  <dcterms:created xsi:type="dcterms:W3CDTF">2013-07-08T07:45:00Z</dcterms:created>
  <dcterms:modified xsi:type="dcterms:W3CDTF">2013-07-31T09:33:00Z</dcterms:modified>
</cp:coreProperties>
</file>