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CF9D" w14:textId="77777777" w:rsidR="00E720B6" w:rsidRDefault="00AD371E">
      <w:pPr>
        <w:spacing w:line="560" w:lineRule="exact"/>
        <w:jc w:val="center"/>
        <w:rPr>
          <w:rFonts w:eastAsia="標楷體"/>
          <w:b/>
          <w:color w:val="000000"/>
          <w:sz w:val="36"/>
        </w:rPr>
      </w:pPr>
      <w:r>
        <w:rPr>
          <w:rFonts w:eastAsia="標楷體"/>
          <w:b/>
          <w:color w:val="000000"/>
          <w:sz w:val="36"/>
        </w:rPr>
        <w:t>新</w:t>
      </w:r>
      <w:r>
        <w:rPr>
          <w:rFonts w:eastAsia="標楷體"/>
          <w:b/>
          <w:color w:val="000000"/>
          <w:sz w:val="36"/>
        </w:rPr>
        <w:t xml:space="preserve">  </w:t>
      </w:r>
      <w:r>
        <w:rPr>
          <w:rFonts w:eastAsia="標楷體"/>
          <w:b/>
          <w:color w:val="000000"/>
          <w:sz w:val="36"/>
        </w:rPr>
        <w:t>聞</w:t>
      </w:r>
      <w:r>
        <w:rPr>
          <w:rFonts w:eastAsia="標楷體"/>
          <w:b/>
          <w:color w:val="000000"/>
          <w:sz w:val="36"/>
        </w:rPr>
        <w:t xml:space="preserve">  </w:t>
      </w:r>
      <w:r>
        <w:rPr>
          <w:rFonts w:eastAsia="標楷體"/>
          <w:b/>
          <w:color w:val="000000"/>
          <w:sz w:val="36"/>
        </w:rPr>
        <w:t>稿</w:t>
      </w:r>
    </w:p>
    <w:p w14:paraId="592FA2A2" w14:textId="77777777" w:rsidR="00E720B6" w:rsidRDefault="00AD371E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114</w:t>
      </w:r>
      <w:r>
        <w:rPr>
          <w:rFonts w:ascii="Times New Roman" w:hAnsi="Times New Roman"/>
          <w:color w:val="000000"/>
        </w:rPr>
        <w:t>年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月</w:t>
      </w:r>
      <w:r>
        <w:rPr>
          <w:rFonts w:ascii="Times New Roman" w:hAnsi="Times New Roman"/>
          <w:color w:val="000000"/>
        </w:rPr>
        <w:t>29</w:t>
      </w:r>
      <w:r>
        <w:rPr>
          <w:rFonts w:ascii="Times New Roman" w:hAnsi="Times New Roman"/>
          <w:color w:val="000000"/>
        </w:rPr>
        <w:t>日</w:t>
      </w:r>
    </w:p>
    <w:p w14:paraId="137F1093" w14:textId="77777777" w:rsidR="00E720B6" w:rsidRDefault="00AD371E">
      <w:pPr>
        <w:spacing w:line="500" w:lineRule="exact"/>
        <w:ind w:left="480" w:firstLine="640"/>
        <w:jc w:val="both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t>經濟部投資審議會於本（</w:t>
      </w:r>
      <w:r>
        <w:rPr>
          <w:rFonts w:eastAsia="標楷體"/>
          <w:color w:val="000000"/>
          <w:sz w:val="32"/>
        </w:rPr>
        <w:t>114</w:t>
      </w:r>
      <w:r>
        <w:rPr>
          <w:rFonts w:eastAsia="標楷體"/>
          <w:color w:val="000000"/>
          <w:sz w:val="32"/>
        </w:rPr>
        <w:t>）年</w:t>
      </w:r>
      <w:r>
        <w:rPr>
          <w:rFonts w:eastAsia="標楷體"/>
          <w:color w:val="000000"/>
          <w:sz w:val="32"/>
        </w:rPr>
        <w:t>4</w:t>
      </w:r>
      <w:r>
        <w:rPr>
          <w:rFonts w:eastAsia="標楷體"/>
          <w:color w:val="000000"/>
          <w:sz w:val="32"/>
        </w:rPr>
        <w:t>月</w:t>
      </w:r>
      <w:r>
        <w:rPr>
          <w:rFonts w:eastAsia="標楷體"/>
          <w:color w:val="000000"/>
          <w:sz w:val="32"/>
        </w:rPr>
        <w:t>29</w:t>
      </w:r>
      <w:r>
        <w:rPr>
          <w:rFonts w:eastAsia="標楷體"/>
          <w:color w:val="000000"/>
          <w:sz w:val="32"/>
        </w:rPr>
        <w:t>日召開第</w:t>
      </w:r>
      <w:r>
        <w:rPr>
          <w:rFonts w:eastAsia="標楷體"/>
          <w:color w:val="000000"/>
          <w:sz w:val="32"/>
        </w:rPr>
        <w:t>19</w:t>
      </w:r>
      <w:r>
        <w:rPr>
          <w:rFonts w:eastAsia="標楷體"/>
          <w:color w:val="000000"/>
          <w:sz w:val="32"/>
        </w:rPr>
        <w:t>次會議，會中計核准重大投資案件計</w:t>
      </w:r>
      <w:r>
        <w:rPr>
          <w:rFonts w:eastAsia="標楷體"/>
          <w:color w:val="000000"/>
          <w:sz w:val="32"/>
        </w:rPr>
        <w:t>6</w:t>
      </w:r>
      <w:r>
        <w:rPr>
          <w:rFonts w:eastAsia="標楷體"/>
          <w:color w:val="000000"/>
          <w:sz w:val="32"/>
        </w:rPr>
        <w:t>件。</w:t>
      </w:r>
    </w:p>
    <w:p w14:paraId="0CAB8437" w14:textId="77777777" w:rsidR="00E720B6" w:rsidRDefault="00AD371E">
      <w:pPr>
        <w:numPr>
          <w:ilvl w:val="0"/>
          <w:numId w:val="3"/>
        </w:numPr>
        <w:tabs>
          <w:tab w:val="left" w:pos="622"/>
        </w:tabs>
        <w:spacing w:before="120" w:after="120" w:line="520" w:lineRule="exact"/>
        <w:ind w:left="641" w:hanging="641"/>
        <w:jc w:val="both"/>
        <w:rPr>
          <w:rFonts w:eastAsia="標楷體"/>
          <w:b/>
          <w:color w:val="000000"/>
          <w:sz w:val="32"/>
        </w:rPr>
      </w:pPr>
      <w:r>
        <w:rPr>
          <w:rFonts w:eastAsia="標楷體"/>
          <w:b/>
          <w:color w:val="000000"/>
          <w:sz w:val="32"/>
        </w:rPr>
        <w:t>本次會議核准投資案統計</w:t>
      </w:r>
      <w:r>
        <w:rPr>
          <w:rFonts w:eastAsia="標楷體"/>
          <w:b/>
          <w:color w:val="000000"/>
          <w:sz w:val="32"/>
        </w:rPr>
        <w:t xml:space="preserve">        </w:t>
      </w:r>
    </w:p>
    <w:tbl>
      <w:tblPr>
        <w:tblW w:w="9203" w:type="dxa"/>
        <w:tblInd w:w="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937"/>
        <w:gridCol w:w="5386"/>
      </w:tblGrid>
      <w:tr w:rsidR="00E720B6" w14:paraId="13F657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BD6EC" w14:textId="77777777" w:rsidR="00E720B6" w:rsidRDefault="00AD371E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區</w:t>
            </w:r>
            <w:r>
              <w:rPr>
                <w:rFonts w:eastAsia="標楷體"/>
                <w:color w:val="000000"/>
                <w:sz w:val="32"/>
              </w:rPr>
              <w:t xml:space="preserve">     </w:t>
            </w:r>
            <w:r>
              <w:rPr>
                <w:rFonts w:eastAsia="標楷體"/>
                <w:color w:val="000000"/>
                <w:sz w:val="32"/>
              </w:rPr>
              <w:t>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0E445" w14:textId="77777777" w:rsidR="00E720B6" w:rsidRDefault="00AD371E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件數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1D7F2" w14:textId="77777777" w:rsidR="00E720B6" w:rsidRDefault="00AD371E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投資金額</w:t>
            </w:r>
          </w:p>
        </w:tc>
      </w:tr>
      <w:tr w:rsidR="00E720B6" w14:paraId="38A670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980C8" w14:textId="77777777" w:rsidR="00E720B6" w:rsidRDefault="00AD371E">
            <w:pPr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32"/>
              </w:rPr>
            </w:pPr>
            <w:r>
              <w:rPr>
                <w:rFonts w:eastAsia="標楷體"/>
                <w:bCs/>
                <w:color w:val="000000"/>
                <w:sz w:val="32"/>
              </w:rPr>
              <w:t>僑外投資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E5A36" w14:textId="77777777" w:rsidR="00E720B6" w:rsidRDefault="00AD371E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3</w:t>
            </w:r>
            <w:r>
              <w:rPr>
                <w:rFonts w:eastAsia="標楷體"/>
                <w:color w:val="000000"/>
                <w:sz w:val="32"/>
              </w:rPr>
              <w:t>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7B6A4" w14:textId="77777777" w:rsidR="00E720B6" w:rsidRDefault="00AD371E">
            <w:pPr>
              <w:snapToGrid w:val="0"/>
              <w:spacing w:line="460" w:lineRule="exact"/>
              <w:jc w:val="right"/>
            </w:pPr>
            <w:r>
              <w:rPr>
                <w:rFonts w:eastAsia="標楷體"/>
                <w:color w:val="000000"/>
                <w:sz w:val="32"/>
              </w:rPr>
              <w:t>新臺幣</w:t>
            </w:r>
            <w:r>
              <w:rPr>
                <w:rFonts w:eastAsia="標楷體"/>
                <w:color w:val="000000"/>
                <w:sz w:val="32"/>
              </w:rPr>
              <w:t>136</w:t>
            </w:r>
            <w:r>
              <w:rPr>
                <w:rFonts w:eastAsia="標楷體"/>
                <w:color w:val="000000"/>
                <w:sz w:val="32"/>
              </w:rPr>
              <w:t>億</w:t>
            </w:r>
            <w:r>
              <w:rPr>
                <w:rFonts w:eastAsia="標楷體"/>
                <w:color w:val="000000"/>
                <w:sz w:val="32"/>
              </w:rPr>
              <w:t>4,062</w:t>
            </w:r>
            <w:r>
              <w:rPr>
                <w:rFonts w:eastAsia="標楷體"/>
                <w:color w:val="000000"/>
                <w:sz w:val="32"/>
              </w:rPr>
              <w:t>萬</w:t>
            </w:r>
            <w:r>
              <w:rPr>
                <w:rFonts w:eastAsia="標楷體"/>
                <w:color w:val="000000"/>
                <w:sz w:val="32"/>
              </w:rPr>
              <w:t>4,160</w:t>
            </w:r>
            <w:r>
              <w:rPr>
                <w:rFonts w:eastAsia="標楷體"/>
                <w:color w:val="000000"/>
                <w:sz w:val="32"/>
              </w:rPr>
              <w:t>元</w:t>
            </w:r>
          </w:p>
        </w:tc>
      </w:tr>
      <w:tr w:rsidR="00E720B6" w14:paraId="2091F3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9089E" w14:textId="77777777" w:rsidR="00E720B6" w:rsidRDefault="00AD371E">
            <w:pPr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32"/>
              </w:rPr>
            </w:pPr>
            <w:r>
              <w:rPr>
                <w:rFonts w:eastAsia="標楷體"/>
                <w:bCs/>
                <w:color w:val="000000"/>
                <w:sz w:val="32"/>
              </w:rPr>
              <w:t>對外投資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C72B0" w14:textId="77777777" w:rsidR="00E720B6" w:rsidRDefault="00AD371E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3</w:t>
            </w:r>
            <w:r>
              <w:rPr>
                <w:rFonts w:eastAsia="標楷體"/>
                <w:color w:val="000000"/>
                <w:sz w:val="32"/>
              </w:rPr>
              <w:t>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882E2" w14:textId="77777777" w:rsidR="00E720B6" w:rsidRDefault="00AD371E">
            <w:pPr>
              <w:snapToGrid w:val="0"/>
              <w:spacing w:line="460" w:lineRule="exact"/>
              <w:jc w:val="righ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約美金</w:t>
            </w:r>
            <w:r>
              <w:rPr>
                <w:rFonts w:eastAsia="標楷體"/>
                <w:color w:val="000000"/>
                <w:sz w:val="32"/>
                <w:szCs w:val="32"/>
              </w:rPr>
              <w:t>9</w:t>
            </w:r>
            <w:r>
              <w:rPr>
                <w:rFonts w:eastAsia="標楷體"/>
                <w:color w:val="000000"/>
                <w:sz w:val="32"/>
                <w:szCs w:val="32"/>
              </w:rPr>
              <w:t>億</w:t>
            </w:r>
            <w:r>
              <w:rPr>
                <w:rFonts w:eastAsia="標楷體"/>
                <w:color w:val="000000"/>
                <w:sz w:val="32"/>
                <w:szCs w:val="32"/>
              </w:rPr>
              <w:t>9,889</w:t>
            </w:r>
            <w:r>
              <w:rPr>
                <w:rFonts w:eastAsia="標楷體"/>
                <w:color w:val="000000"/>
                <w:sz w:val="32"/>
                <w:szCs w:val="32"/>
              </w:rPr>
              <w:t>萬元</w:t>
            </w:r>
          </w:p>
        </w:tc>
      </w:tr>
    </w:tbl>
    <w:p w14:paraId="1A40791F" w14:textId="77777777" w:rsidR="00E720B6" w:rsidRDefault="00AD371E">
      <w:pPr>
        <w:snapToGrid w:val="0"/>
        <w:ind w:left="850" w:right="223" w:hanging="490"/>
        <w:jc w:val="both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註</w:t>
      </w:r>
      <w:proofErr w:type="gramEnd"/>
      <w:r>
        <w:rPr>
          <w:rFonts w:eastAsia="標楷體"/>
          <w:color w:val="000000"/>
        </w:rPr>
        <w:t>：本表匯率係以中央銀行</w:t>
      </w:r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月美元兌日圓之平均匯率</w:t>
      </w:r>
      <w:r>
        <w:rPr>
          <w:rFonts w:eastAsia="標楷體"/>
          <w:color w:val="000000"/>
        </w:rPr>
        <w:t>149.11</w:t>
      </w:r>
    </w:p>
    <w:p w14:paraId="36735D79" w14:textId="77777777" w:rsidR="00E720B6" w:rsidRDefault="00AD371E">
      <w:pPr>
        <w:numPr>
          <w:ilvl w:val="0"/>
          <w:numId w:val="3"/>
        </w:numPr>
        <w:tabs>
          <w:tab w:val="left" w:pos="622"/>
        </w:tabs>
        <w:spacing w:before="240" w:after="120" w:line="520" w:lineRule="exact"/>
        <w:ind w:left="641" w:hanging="641"/>
        <w:jc w:val="both"/>
        <w:rPr>
          <w:rFonts w:eastAsia="標楷體"/>
          <w:b/>
          <w:color w:val="000000"/>
          <w:sz w:val="32"/>
        </w:rPr>
      </w:pPr>
      <w:r>
        <w:rPr>
          <w:rFonts w:eastAsia="標楷體"/>
          <w:b/>
          <w:color w:val="000000"/>
          <w:sz w:val="32"/>
        </w:rPr>
        <w:t>本次會議核准投資案摘要</w:t>
      </w:r>
    </w:p>
    <w:p w14:paraId="02D5C22D" w14:textId="77777777" w:rsidR="00E720B6" w:rsidRDefault="00AD371E">
      <w:pPr>
        <w:pStyle w:val="af2"/>
        <w:numPr>
          <w:ilvl w:val="0"/>
          <w:numId w:val="4"/>
        </w:numPr>
        <w:spacing w:before="120" w:after="120" w:line="460" w:lineRule="exact"/>
        <w:ind w:left="1123" w:hanging="482"/>
        <w:jc w:val="both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僑外投資部分</w:t>
      </w:r>
    </w:p>
    <w:p w14:paraId="5D86FC4E" w14:textId="77777777" w:rsidR="00E720B6" w:rsidRDefault="00AD371E">
      <w:pPr>
        <w:pStyle w:val="af2"/>
        <w:numPr>
          <w:ilvl w:val="0"/>
          <w:numId w:val="5"/>
        </w:numPr>
        <w:spacing w:before="60" w:after="60" w:line="480" w:lineRule="exact"/>
        <w:ind w:left="1701" w:hanging="964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英屬開</w:t>
      </w:r>
      <w:proofErr w:type="gramStart"/>
      <w:r>
        <w:rPr>
          <w:rFonts w:eastAsia="標楷體"/>
          <w:color w:val="000000"/>
          <w:sz w:val="32"/>
          <w:szCs w:val="32"/>
        </w:rPr>
        <w:t>曼</w:t>
      </w:r>
      <w:proofErr w:type="gramEnd"/>
      <w:r>
        <w:rPr>
          <w:rFonts w:eastAsia="標楷體"/>
          <w:color w:val="000000"/>
          <w:sz w:val="32"/>
          <w:szCs w:val="32"/>
        </w:rPr>
        <w:t>群島商</w:t>
      </w:r>
      <w:r>
        <w:rPr>
          <w:rFonts w:eastAsia="標楷體"/>
          <w:color w:val="000000"/>
          <w:sz w:val="32"/>
          <w:szCs w:val="32"/>
        </w:rPr>
        <w:t xml:space="preserve">STONEPEAK </w:t>
      </w:r>
      <w:r>
        <w:rPr>
          <w:rFonts w:eastAsia="標楷體"/>
          <w:color w:val="000000"/>
          <w:sz w:val="32"/>
          <w:szCs w:val="32"/>
        </w:rPr>
        <w:t xml:space="preserve">OCEANVIEW </w:t>
      </w:r>
      <w:r>
        <w:rPr>
          <w:rFonts w:eastAsia="標楷體"/>
          <w:color w:val="000000"/>
          <w:sz w:val="32"/>
          <w:szCs w:val="32"/>
        </w:rPr>
        <w:t>（</w:t>
      </w:r>
      <w:r>
        <w:rPr>
          <w:rFonts w:eastAsia="標楷體"/>
          <w:color w:val="000000"/>
          <w:sz w:val="32"/>
          <w:szCs w:val="32"/>
        </w:rPr>
        <w:t>CAYMAN</w:t>
      </w:r>
      <w:r>
        <w:rPr>
          <w:rFonts w:eastAsia="標楷體"/>
          <w:color w:val="000000"/>
          <w:sz w:val="32"/>
          <w:szCs w:val="32"/>
        </w:rPr>
        <w:t>）</w:t>
      </w:r>
      <w:r>
        <w:rPr>
          <w:rFonts w:eastAsia="標楷體"/>
          <w:color w:val="000000"/>
          <w:sz w:val="32"/>
          <w:szCs w:val="32"/>
        </w:rPr>
        <w:t xml:space="preserve"> HOLDINGS COMPANY</w:t>
      </w:r>
      <w:r>
        <w:rPr>
          <w:rFonts w:eastAsia="標楷體"/>
          <w:color w:val="000000"/>
          <w:sz w:val="32"/>
          <w:szCs w:val="32"/>
        </w:rPr>
        <w:t>以新臺幣</w:t>
      </w:r>
      <w:r>
        <w:rPr>
          <w:rFonts w:eastAsia="標楷體"/>
          <w:color w:val="000000"/>
          <w:sz w:val="32"/>
          <w:szCs w:val="32"/>
        </w:rPr>
        <w:t>87</w:t>
      </w:r>
      <w:r>
        <w:rPr>
          <w:rFonts w:eastAsia="標楷體"/>
          <w:color w:val="000000"/>
          <w:sz w:val="32"/>
          <w:szCs w:val="32"/>
        </w:rPr>
        <w:t>億</w:t>
      </w:r>
      <w:r>
        <w:rPr>
          <w:rFonts w:eastAsia="標楷體"/>
          <w:color w:val="000000"/>
          <w:sz w:val="32"/>
          <w:szCs w:val="32"/>
        </w:rPr>
        <w:t>5,000</w:t>
      </w:r>
      <w:r>
        <w:rPr>
          <w:rFonts w:eastAsia="標楷體"/>
          <w:color w:val="000000"/>
          <w:sz w:val="32"/>
          <w:szCs w:val="32"/>
        </w:rPr>
        <w:t>萬元增資巔峰海景投資股份有限公司，並以其中新臺幣</w:t>
      </w:r>
      <w:r>
        <w:rPr>
          <w:rFonts w:eastAsia="標楷體"/>
          <w:color w:val="000000"/>
          <w:sz w:val="32"/>
          <w:szCs w:val="32"/>
        </w:rPr>
        <w:t>83</w:t>
      </w:r>
      <w:r>
        <w:rPr>
          <w:rFonts w:eastAsia="標楷體"/>
          <w:color w:val="000000"/>
          <w:sz w:val="32"/>
          <w:szCs w:val="32"/>
        </w:rPr>
        <w:t>億元增加</w:t>
      </w:r>
      <w:proofErr w:type="gramStart"/>
      <w:r>
        <w:rPr>
          <w:rFonts w:eastAsia="標楷體"/>
          <w:color w:val="000000"/>
          <w:sz w:val="32"/>
          <w:szCs w:val="32"/>
        </w:rPr>
        <w:t>轉投資海能國際</w:t>
      </w:r>
      <w:proofErr w:type="gramEnd"/>
      <w:r>
        <w:rPr>
          <w:rFonts w:eastAsia="標楷體"/>
          <w:color w:val="000000"/>
          <w:sz w:val="32"/>
          <w:szCs w:val="32"/>
        </w:rPr>
        <w:t>投資股份有限公司，從事風力發電業務。</w:t>
      </w:r>
    </w:p>
    <w:p w14:paraId="1E8A32E1" w14:textId="77777777" w:rsidR="00E720B6" w:rsidRDefault="00AD371E">
      <w:pPr>
        <w:pStyle w:val="af2"/>
        <w:numPr>
          <w:ilvl w:val="0"/>
          <w:numId w:val="5"/>
        </w:numPr>
        <w:spacing w:before="60" w:after="60" w:line="480" w:lineRule="exact"/>
        <w:ind w:left="1701" w:hanging="964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荷蘭商艾士麥股份有限公司</w:t>
      </w:r>
      <w:proofErr w:type="gramStart"/>
      <w:r>
        <w:rPr>
          <w:rFonts w:eastAsia="標楷體"/>
          <w:color w:val="000000"/>
          <w:sz w:val="32"/>
          <w:szCs w:val="32"/>
        </w:rPr>
        <w:t>（</w:t>
      </w:r>
      <w:proofErr w:type="gramEnd"/>
      <w:r>
        <w:rPr>
          <w:rFonts w:eastAsia="標楷體"/>
          <w:color w:val="000000"/>
          <w:sz w:val="32"/>
          <w:szCs w:val="32"/>
        </w:rPr>
        <w:t>ASML HOLDING N.V.</w:t>
      </w:r>
      <w:r>
        <w:rPr>
          <w:rFonts w:eastAsia="標楷體"/>
          <w:color w:val="000000"/>
          <w:sz w:val="32"/>
          <w:szCs w:val="32"/>
        </w:rPr>
        <w:t>）以新臺幣</w:t>
      </w:r>
      <w:r>
        <w:rPr>
          <w:rFonts w:eastAsia="標楷體"/>
          <w:color w:val="000000"/>
          <w:sz w:val="32"/>
          <w:szCs w:val="32"/>
        </w:rPr>
        <w:t>26</w:t>
      </w:r>
      <w:r>
        <w:rPr>
          <w:rFonts w:eastAsia="標楷體"/>
          <w:color w:val="000000"/>
          <w:sz w:val="32"/>
          <w:szCs w:val="32"/>
        </w:rPr>
        <w:t>億</w:t>
      </w:r>
      <w:r>
        <w:rPr>
          <w:rFonts w:eastAsia="標楷體"/>
          <w:color w:val="000000"/>
          <w:sz w:val="32"/>
          <w:szCs w:val="32"/>
        </w:rPr>
        <w:t>1,982</w:t>
      </w:r>
      <w:r>
        <w:rPr>
          <w:rFonts w:eastAsia="標楷體"/>
          <w:color w:val="000000"/>
          <w:sz w:val="32"/>
          <w:szCs w:val="32"/>
        </w:rPr>
        <w:t>萬</w:t>
      </w:r>
      <w:r>
        <w:rPr>
          <w:rFonts w:eastAsia="標楷體"/>
          <w:color w:val="000000"/>
          <w:sz w:val="32"/>
          <w:szCs w:val="32"/>
        </w:rPr>
        <w:t>4,000</w:t>
      </w:r>
      <w:r>
        <w:rPr>
          <w:rFonts w:eastAsia="標楷體"/>
          <w:color w:val="000000"/>
          <w:sz w:val="32"/>
          <w:szCs w:val="32"/>
        </w:rPr>
        <w:t>元</w:t>
      </w:r>
      <w:proofErr w:type="gramStart"/>
      <w:r>
        <w:rPr>
          <w:rFonts w:eastAsia="標楷體"/>
          <w:color w:val="000000"/>
          <w:sz w:val="32"/>
          <w:szCs w:val="32"/>
        </w:rPr>
        <w:t>增資西盟科技</w:t>
      </w:r>
      <w:proofErr w:type="gramEnd"/>
      <w:r>
        <w:rPr>
          <w:rFonts w:eastAsia="標楷體"/>
          <w:color w:val="000000"/>
          <w:sz w:val="32"/>
          <w:szCs w:val="32"/>
        </w:rPr>
        <w:t>股份有限公司，從事經營半導體雷射光源設備安裝及零組件銷售、維修業務。</w:t>
      </w:r>
    </w:p>
    <w:p w14:paraId="36CE937E" w14:textId="77777777" w:rsidR="00E720B6" w:rsidRDefault="00AD371E">
      <w:pPr>
        <w:pStyle w:val="af2"/>
        <w:numPr>
          <w:ilvl w:val="0"/>
          <w:numId w:val="5"/>
        </w:numPr>
        <w:spacing w:before="60" w:after="60" w:line="480" w:lineRule="exact"/>
        <w:ind w:left="1701" w:hanging="964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日商住友商事株式會社（</w:t>
      </w:r>
      <w:r>
        <w:rPr>
          <w:rFonts w:eastAsia="標楷體"/>
          <w:color w:val="000000"/>
          <w:sz w:val="32"/>
          <w:szCs w:val="32"/>
        </w:rPr>
        <w:t>SUMITOMO CORPORATION</w:t>
      </w:r>
      <w:r>
        <w:rPr>
          <w:rFonts w:eastAsia="標楷體"/>
          <w:color w:val="000000"/>
          <w:sz w:val="32"/>
          <w:szCs w:val="32"/>
        </w:rPr>
        <w:t>）以新臺幣</w:t>
      </w:r>
      <w:r>
        <w:rPr>
          <w:rFonts w:eastAsia="標楷體"/>
          <w:color w:val="000000"/>
          <w:sz w:val="32"/>
          <w:szCs w:val="32"/>
        </w:rPr>
        <w:t>22</w:t>
      </w:r>
      <w:r>
        <w:rPr>
          <w:rFonts w:eastAsia="標楷體"/>
          <w:color w:val="000000"/>
          <w:sz w:val="32"/>
          <w:szCs w:val="32"/>
        </w:rPr>
        <w:t>億</w:t>
      </w:r>
      <w:r>
        <w:rPr>
          <w:rFonts w:eastAsia="標楷體"/>
          <w:color w:val="000000"/>
          <w:sz w:val="32"/>
          <w:szCs w:val="32"/>
        </w:rPr>
        <w:t>7,080</w:t>
      </w:r>
      <w:r>
        <w:rPr>
          <w:rFonts w:eastAsia="標楷體"/>
          <w:color w:val="000000"/>
          <w:sz w:val="32"/>
          <w:szCs w:val="32"/>
        </w:rPr>
        <w:t>萬</w:t>
      </w:r>
      <w:r>
        <w:rPr>
          <w:rFonts w:eastAsia="標楷體"/>
          <w:color w:val="000000"/>
          <w:sz w:val="32"/>
          <w:szCs w:val="32"/>
        </w:rPr>
        <w:t>160</w:t>
      </w:r>
      <w:r>
        <w:rPr>
          <w:rFonts w:eastAsia="標楷體"/>
          <w:color w:val="000000"/>
          <w:sz w:val="32"/>
          <w:szCs w:val="32"/>
        </w:rPr>
        <w:t>元，增資台灣國際住商電子股份</w:t>
      </w:r>
      <w:r>
        <w:rPr>
          <w:rFonts w:eastAsia="標楷體"/>
          <w:color w:val="000000"/>
          <w:sz w:val="32"/>
          <w:szCs w:val="32"/>
        </w:rPr>
        <w:t>有限公司，從事半導體材料及電子零件材料之進出口貿易、銷售業務。</w:t>
      </w:r>
    </w:p>
    <w:p w14:paraId="2DFD13A1" w14:textId="77777777" w:rsidR="00E720B6" w:rsidRDefault="00AD371E">
      <w:pPr>
        <w:pStyle w:val="af2"/>
        <w:numPr>
          <w:ilvl w:val="0"/>
          <w:numId w:val="4"/>
        </w:numPr>
        <w:spacing w:before="120" w:after="120" w:line="460" w:lineRule="exact"/>
        <w:ind w:left="1123" w:hanging="482"/>
        <w:jc w:val="both"/>
      </w:pPr>
      <w:r>
        <w:rPr>
          <w:rFonts w:eastAsia="標楷體"/>
          <w:b/>
          <w:bCs/>
          <w:color w:val="000000"/>
          <w:sz w:val="32"/>
        </w:rPr>
        <w:t>對外</w:t>
      </w:r>
      <w:r>
        <w:rPr>
          <w:rFonts w:eastAsia="標楷體"/>
          <w:b/>
          <w:color w:val="000000"/>
          <w:sz w:val="32"/>
          <w:szCs w:val="32"/>
        </w:rPr>
        <w:t>投資部分</w:t>
      </w:r>
    </w:p>
    <w:p w14:paraId="60E6CC92" w14:textId="5DFD7D67" w:rsidR="00E720B6" w:rsidRDefault="00AD371E">
      <w:pPr>
        <w:pStyle w:val="af2"/>
        <w:numPr>
          <w:ilvl w:val="0"/>
          <w:numId w:val="6"/>
        </w:numPr>
        <w:spacing w:before="60" w:after="60" w:line="480" w:lineRule="exact"/>
        <w:ind w:left="1701" w:hanging="964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宏碁股份有限公司以</w:t>
      </w:r>
      <w:r>
        <w:rPr>
          <w:rFonts w:eastAsia="標楷體"/>
          <w:color w:val="000000"/>
          <w:sz w:val="32"/>
          <w:szCs w:val="32"/>
        </w:rPr>
        <w:t>8,604</w:t>
      </w:r>
      <w:r>
        <w:rPr>
          <w:rFonts w:eastAsia="標楷體"/>
          <w:color w:val="000000"/>
          <w:sz w:val="32"/>
          <w:szCs w:val="32"/>
        </w:rPr>
        <w:t>萬</w:t>
      </w:r>
      <w:r>
        <w:rPr>
          <w:rFonts w:eastAsia="標楷體"/>
          <w:color w:val="000000"/>
          <w:sz w:val="32"/>
          <w:szCs w:val="32"/>
        </w:rPr>
        <w:t>8,632.55</w:t>
      </w:r>
      <w:r>
        <w:rPr>
          <w:rFonts w:eastAsia="標楷體"/>
          <w:color w:val="000000"/>
          <w:sz w:val="32"/>
          <w:szCs w:val="32"/>
        </w:rPr>
        <w:t>美元取得英屬開曼群</w:t>
      </w:r>
      <w:r>
        <w:rPr>
          <w:rFonts w:eastAsia="標楷體"/>
          <w:color w:val="000000"/>
          <w:sz w:val="32"/>
          <w:szCs w:val="32"/>
        </w:rPr>
        <w:lastRenderedPageBreak/>
        <w:t>島</w:t>
      </w:r>
      <w:r>
        <w:rPr>
          <w:rFonts w:eastAsia="標楷體"/>
          <w:color w:val="000000"/>
          <w:sz w:val="32"/>
          <w:szCs w:val="32"/>
        </w:rPr>
        <w:t>EMBEDDED CITY LIMITED</w:t>
      </w:r>
      <w:r>
        <w:rPr>
          <w:rFonts w:eastAsia="標楷體"/>
          <w:color w:val="000000"/>
          <w:sz w:val="32"/>
          <w:szCs w:val="32"/>
        </w:rPr>
        <w:t>之</w:t>
      </w:r>
      <w:r>
        <w:rPr>
          <w:rFonts w:eastAsia="標楷體"/>
          <w:color w:val="000000"/>
          <w:sz w:val="32"/>
          <w:szCs w:val="32"/>
        </w:rPr>
        <w:t>100</w:t>
      </w:r>
      <w:r>
        <w:rPr>
          <w:rFonts w:eastAsia="標楷體"/>
          <w:color w:val="000000"/>
          <w:sz w:val="32"/>
          <w:szCs w:val="32"/>
        </w:rPr>
        <w:t>％股權，間接取得臺灣振</w:t>
      </w:r>
      <w:r w:rsidR="004662CF">
        <w:rPr>
          <w:rFonts w:eastAsia="標楷體" w:hint="eastAsia"/>
          <w:color w:val="000000"/>
          <w:sz w:val="32"/>
          <w:szCs w:val="32"/>
        </w:rPr>
        <w:t>樺</w:t>
      </w:r>
      <w:r>
        <w:rPr>
          <w:rFonts w:eastAsia="標楷體"/>
          <w:color w:val="000000"/>
          <w:sz w:val="32"/>
          <w:szCs w:val="32"/>
        </w:rPr>
        <w:t>電子股份有限公司股權，從事經營</w:t>
      </w:r>
      <w:r>
        <w:rPr>
          <w:rFonts w:eastAsia="標楷體"/>
          <w:color w:val="000000"/>
          <w:sz w:val="32"/>
          <w:szCs w:val="32"/>
        </w:rPr>
        <w:t>POS</w:t>
      </w:r>
      <w:r>
        <w:rPr>
          <w:rFonts w:eastAsia="標楷體"/>
          <w:color w:val="000000"/>
          <w:sz w:val="32"/>
          <w:szCs w:val="32"/>
        </w:rPr>
        <w:t>系統、</w:t>
      </w:r>
      <w:r>
        <w:rPr>
          <w:rFonts w:eastAsia="標楷體"/>
          <w:color w:val="000000"/>
          <w:sz w:val="32"/>
          <w:szCs w:val="32"/>
        </w:rPr>
        <w:t>KIOSK</w:t>
      </w:r>
      <w:r>
        <w:rPr>
          <w:rFonts w:eastAsia="標楷體"/>
          <w:color w:val="000000"/>
          <w:sz w:val="32"/>
          <w:szCs w:val="32"/>
        </w:rPr>
        <w:t>多媒體事務機及工業電腦應用之業務。</w:t>
      </w:r>
    </w:p>
    <w:p w14:paraId="1142E904" w14:textId="77777777" w:rsidR="00E720B6" w:rsidRDefault="00AD371E">
      <w:pPr>
        <w:pStyle w:val="af2"/>
        <w:numPr>
          <w:ilvl w:val="0"/>
          <w:numId w:val="6"/>
        </w:numPr>
        <w:spacing w:before="60" w:after="60" w:line="480" w:lineRule="exact"/>
        <w:ind w:left="1701" w:hanging="964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國巨股份有限公司以日幣</w:t>
      </w:r>
      <w:r>
        <w:rPr>
          <w:rFonts w:eastAsia="標楷體"/>
          <w:color w:val="000000"/>
          <w:sz w:val="32"/>
          <w:szCs w:val="32"/>
        </w:rPr>
        <w:t>777</w:t>
      </w:r>
      <w:r>
        <w:rPr>
          <w:rFonts w:eastAsia="標楷體"/>
          <w:color w:val="000000"/>
          <w:sz w:val="32"/>
          <w:szCs w:val="32"/>
        </w:rPr>
        <w:t>億</w:t>
      </w:r>
      <w:r>
        <w:rPr>
          <w:rFonts w:eastAsia="標楷體"/>
          <w:color w:val="000000"/>
          <w:sz w:val="32"/>
          <w:szCs w:val="32"/>
        </w:rPr>
        <w:t>9,710</w:t>
      </w:r>
      <w:r>
        <w:rPr>
          <w:rFonts w:eastAsia="標楷體"/>
          <w:color w:val="000000"/>
          <w:sz w:val="32"/>
          <w:szCs w:val="32"/>
        </w:rPr>
        <w:t>萬</w:t>
      </w:r>
      <w:r>
        <w:rPr>
          <w:rFonts w:eastAsia="標楷體"/>
          <w:color w:val="000000"/>
          <w:sz w:val="32"/>
          <w:szCs w:val="32"/>
        </w:rPr>
        <w:t>6,828</w:t>
      </w:r>
      <w:r>
        <w:rPr>
          <w:rFonts w:eastAsia="標楷體"/>
          <w:color w:val="000000"/>
          <w:sz w:val="32"/>
          <w:szCs w:val="32"/>
        </w:rPr>
        <w:t>元（約折合</w:t>
      </w:r>
      <w:r>
        <w:rPr>
          <w:rFonts w:eastAsia="標楷體"/>
          <w:color w:val="000000"/>
          <w:sz w:val="32"/>
          <w:szCs w:val="32"/>
        </w:rPr>
        <w:t>5</w:t>
      </w:r>
      <w:r>
        <w:rPr>
          <w:rFonts w:eastAsia="標楷體"/>
          <w:color w:val="000000"/>
          <w:sz w:val="32"/>
          <w:szCs w:val="32"/>
        </w:rPr>
        <w:t>億</w:t>
      </w:r>
      <w:r>
        <w:rPr>
          <w:rFonts w:eastAsia="標楷體"/>
          <w:color w:val="000000"/>
          <w:sz w:val="32"/>
          <w:szCs w:val="32"/>
        </w:rPr>
        <w:t>2,174</w:t>
      </w:r>
      <w:r>
        <w:rPr>
          <w:rFonts w:eastAsia="標楷體"/>
          <w:color w:val="000000"/>
          <w:sz w:val="32"/>
          <w:szCs w:val="32"/>
        </w:rPr>
        <w:t>萬</w:t>
      </w:r>
      <w:r>
        <w:rPr>
          <w:rFonts w:eastAsia="標楷體"/>
          <w:color w:val="000000"/>
          <w:sz w:val="32"/>
          <w:szCs w:val="32"/>
        </w:rPr>
        <w:t>3,054</w:t>
      </w:r>
      <w:r>
        <w:rPr>
          <w:rFonts w:eastAsia="標楷體"/>
          <w:color w:val="000000"/>
          <w:sz w:val="32"/>
          <w:szCs w:val="32"/>
        </w:rPr>
        <w:t>美元），公開收購日本上市公司</w:t>
      </w:r>
      <w:r>
        <w:rPr>
          <w:rFonts w:eastAsia="標楷體"/>
          <w:color w:val="000000"/>
          <w:sz w:val="32"/>
          <w:szCs w:val="32"/>
        </w:rPr>
        <w:t>SHIBAURA ELECTRONICS CO., LTD.</w:t>
      </w:r>
      <w:r>
        <w:rPr>
          <w:rFonts w:eastAsia="標楷體"/>
          <w:color w:val="000000"/>
          <w:sz w:val="32"/>
          <w:szCs w:val="32"/>
        </w:rPr>
        <w:t>最高</w:t>
      </w:r>
      <w:r>
        <w:rPr>
          <w:rFonts w:eastAsia="標楷體"/>
          <w:color w:val="000000"/>
          <w:sz w:val="32"/>
          <w:szCs w:val="32"/>
        </w:rPr>
        <w:t>100</w:t>
      </w:r>
      <w:r>
        <w:rPr>
          <w:rFonts w:eastAsia="標楷體"/>
          <w:color w:val="000000"/>
          <w:sz w:val="32"/>
          <w:szCs w:val="32"/>
        </w:rPr>
        <w:t>％股權，從事經營熱敏</w:t>
      </w:r>
      <w:r>
        <w:rPr>
          <w:rFonts w:eastAsia="標楷體"/>
          <w:color w:val="000000"/>
          <w:sz w:val="32"/>
          <w:szCs w:val="32"/>
        </w:rPr>
        <w:t>電阻感測器製造及銷售業務。</w:t>
      </w:r>
    </w:p>
    <w:p w14:paraId="4EF1E81D" w14:textId="77777777" w:rsidR="00E720B6" w:rsidRDefault="00AD371E">
      <w:pPr>
        <w:pStyle w:val="af2"/>
        <w:numPr>
          <w:ilvl w:val="0"/>
          <w:numId w:val="6"/>
        </w:numPr>
        <w:spacing w:before="60" w:after="60" w:line="480" w:lineRule="exact"/>
        <w:ind w:left="1701" w:hanging="964"/>
        <w:jc w:val="both"/>
        <w:rPr>
          <w:rFonts w:eastAsia="標楷體"/>
          <w:color w:val="000000"/>
          <w:sz w:val="32"/>
          <w:szCs w:val="32"/>
        </w:rPr>
      </w:pPr>
      <w:proofErr w:type="gramStart"/>
      <w:r>
        <w:rPr>
          <w:rFonts w:eastAsia="標楷體"/>
          <w:color w:val="000000"/>
          <w:sz w:val="32"/>
          <w:szCs w:val="32"/>
        </w:rPr>
        <w:t>祥</w:t>
      </w:r>
      <w:proofErr w:type="gramEnd"/>
      <w:r>
        <w:rPr>
          <w:rFonts w:eastAsia="標楷體"/>
          <w:color w:val="000000"/>
          <w:sz w:val="32"/>
          <w:szCs w:val="32"/>
        </w:rPr>
        <w:t>碩科技股份有限公司以</w:t>
      </w:r>
      <w:r>
        <w:rPr>
          <w:rFonts w:eastAsia="標楷體"/>
          <w:color w:val="000000"/>
          <w:sz w:val="32"/>
          <w:szCs w:val="32"/>
        </w:rPr>
        <w:t>3</w:t>
      </w:r>
      <w:r>
        <w:rPr>
          <w:rFonts w:eastAsia="標楷體"/>
          <w:color w:val="000000"/>
          <w:sz w:val="32"/>
          <w:szCs w:val="32"/>
        </w:rPr>
        <w:t>億</w:t>
      </w:r>
      <w:r>
        <w:rPr>
          <w:rFonts w:eastAsia="標楷體"/>
          <w:color w:val="000000"/>
          <w:sz w:val="32"/>
          <w:szCs w:val="32"/>
        </w:rPr>
        <w:t>9,109</w:t>
      </w:r>
      <w:r>
        <w:rPr>
          <w:rFonts w:eastAsia="標楷體"/>
          <w:color w:val="000000"/>
          <w:sz w:val="32"/>
          <w:szCs w:val="32"/>
        </w:rPr>
        <w:t>萬</w:t>
      </w:r>
      <w:r>
        <w:rPr>
          <w:rFonts w:eastAsia="標楷體"/>
          <w:color w:val="000000"/>
          <w:sz w:val="32"/>
          <w:szCs w:val="32"/>
        </w:rPr>
        <w:t>8,800</w:t>
      </w:r>
      <w:r>
        <w:rPr>
          <w:rFonts w:eastAsia="標楷體"/>
          <w:color w:val="000000"/>
          <w:sz w:val="32"/>
          <w:szCs w:val="32"/>
        </w:rPr>
        <w:t>美元，取得美國</w:t>
      </w:r>
      <w:r>
        <w:rPr>
          <w:rFonts w:eastAsia="標楷體"/>
          <w:color w:val="000000"/>
          <w:sz w:val="32"/>
          <w:szCs w:val="32"/>
        </w:rPr>
        <w:t>TECHPOINT, INC.</w:t>
      </w:r>
      <w:r>
        <w:rPr>
          <w:rFonts w:eastAsia="標楷體"/>
          <w:color w:val="000000"/>
          <w:sz w:val="32"/>
          <w:szCs w:val="32"/>
        </w:rPr>
        <w:t>之</w:t>
      </w:r>
      <w:r>
        <w:rPr>
          <w:rFonts w:eastAsia="標楷體"/>
          <w:color w:val="000000"/>
          <w:sz w:val="32"/>
          <w:szCs w:val="32"/>
        </w:rPr>
        <w:t>100</w:t>
      </w:r>
      <w:r>
        <w:rPr>
          <w:rFonts w:eastAsia="標楷體"/>
          <w:color w:val="000000"/>
          <w:sz w:val="32"/>
          <w:szCs w:val="32"/>
        </w:rPr>
        <w:t>％股權，從事積體電路設計業務。</w:t>
      </w:r>
    </w:p>
    <w:p w14:paraId="31627A13" w14:textId="77777777" w:rsidR="00E720B6" w:rsidRDefault="00E720B6">
      <w:pPr>
        <w:pStyle w:val="af2"/>
        <w:spacing w:before="60" w:after="60" w:line="480" w:lineRule="exact"/>
        <w:ind w:left="1701"/>
        <w:jc w:val="both"/>
        <w:rPr>
          <w:rFonts w:eastAsia="標楷體"/>
          <w:color w:val="000000"/>
          <w:sz w:val="32"/>
          <w:szCs w:val="32"/>
        </w:rPr>
      </w:pPr>
    </w:p>
    <w:p w14:paraId="29F20711" w14:textId="77777777" w:rsidR="00E720B6" w:rsidRDefault="00AD371E">
      <w:pPr>
        <w:spacing w:line="480" w:lineRule="exac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發言人：投資審議司楊惠閔專門委員</w:t>
      </w:r>
    </w:p>
    <w:p w14:paraId="4505DAB0" w14:textId="77777777" w:rsidR="00E720B6" w:rsidRDefault="00AD371E">
      <w:pPr>
        <w:spacing w:line="480" w:lineRule="exac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聯絡電話：</w:t>
      </w:r>
      <w:r>
        <w:rPr>
          <w:rFonts w:eastAsia="標楷體"/>
          <w:color w:val="000000"/>
          <w:sz w:val="32"/>
          <w:szCs w:val="32"/>
        </w:rPr>
        <w:t>02-3343-5700</w:t>
      </w:r>
      <w:r>
        <w:rPr>
          <w:rFonts w:eastAsia="標楷體"/>
          <w:color w:val="000000"/>
          <w:sz w:val="32"/>
          <w:szCs w:val="32"/>
        </w:rPr>
        <w:t>分機</w:t>
      </w:r>
      <w:r>
        <w:rPr>
          <w:rFonts w:eastAsia="標楷體"/>
          <w:color w:val="000000"/>
          <w:sz w:val="32"/>
          <w:szCs w:val="32"/>
        </w:rPr>
        <w:t>739</w:t>
      </w:r>
      <w:r>
        <w:rPr>
          <w:rFonts w:eastAsia="標楷體"/>
          <w:color w:val="000000"/>
          <w:sz w:val="32"/>
          <w:szCs w:val="32"/>
        </w:rPr>
        <w:t>、</w:t>
      </w:r>
      <w:r>
        <w:rPr>
          <w:rFonts w:eastAsia="標楷體"/>
          <w:color w:val="000000"/>
          <w:sz w:val="32"/>
          <w:szCs w:val="32"/>
        </w:rPr>
        <w:t>0900-619-670</w:t>
      </w:r>
    </w:p>
    <w:p w14:paraId="0CA35EAB" w14:textId="77777777" w:rsidR="00E720B6" w:rsidRDefault="00AD371E">
      <w:pPr>
        <w:spacing w:line="480" w:lineRule="exac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電子郵件信箱：</w:t>
      </w:r>
      <w:r>
        <w:rPr>
          <w:rFonts w:eastAsia="標楷體"/>
          <w:color w:val="000000"/>
          <w:sz w:val="32"/>
          <w:szCs w:val="32"/>
        </w:rPr>
        <w:t>huimin@moea.gov.tw</w:t>
      </w:r>
    </w:p>
    <w:p w14:paraId="72737998" w14:textId="77777777" w:rsidR="00E720B6" w:rsidRDefault="00AD371E">
      <w:pPr>
        <w:spacing w:line="480" w:lineRule="exac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業務聯絡人：投資審議司劉浩然科長</w:t>
      </w:r>
    </w:p>
    <w:p w14:paraId="530CB441" w14:textId="77777777" w:rsidR="00E720B6" w:rsidRDefault="00AD371E">
      <w:pPr>
        <w:spacing w:line="480" w:lineRule="exac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聯絡電話：</w:t>
      </w:r>
      <w:r>
        <w:rPr>
          <w:rFonts w:eastAsia="標楷體"/>
          <w:color w:val="000000"/>
          <w:sz w:val="32"/>
          <w:szCs w:val="32"/>
        </w:rPr>
        <w:t>02-3343-5700</w:t>
      </w:r>
      <w:r>
        <w:rPr>
          <w:rFonts w:eastAsia="標楷體"/>
          <w:color w:val="000000"/>
          <w:sz w:val="32"/>
          <w:szCs w:val="32"/>
        </w:rPr>
        <w:t>分機</w:t>
      </w:r>
      <w:r>
        <w:rPr>
          <w:rFonts w:eastAsia="標楷體"/>
          <w:color w:val="000000"/>
          <w:sz w:val="32"/>
          <w:szCs w:val="32"/>
        </w:rPr>
        <w:t>731</w:t>
      </w:r>
      <w:r>
        <w:rPr>
          <w:rFonts w:eastAsia="標楷體"/>
          <w:color w:val="000000"/>
          <w:sz w:val="32"/>
          <w:szCs w:val="32"/>
        </w:rPr>
        <w:t>、</w:t>
      </w:r>
      <w:r>
        <w:rPr>
          <w:rFonts w:eastAsia="標楷體"/>
          <w:color w:val="000000"/>
          <w:sz w:val="32"/>
          <w:szCs w:val="32"/>
        </w:rPr>
        <w:t>0921-513-070</w:t>
      </w:r>
    </w:p>
    <w:p w14:paraId="296BFB27" w14:textId="77777777" w:rsidR="00E720B6" w:rsidRDefault="00AD371E">
      <w:pPr>
        <w:spacing w:line="480" w:lineRule="exact"/>
        <w:jc w:val="both"/>
      </w:pPr>
      <w:r>
        <w:rPr>
          <w:rFonts w:eastAsia="標楷體"/>
          <w:color w:val="000000"/>
          <w:sz w:val="32"/>
          <w:szCs w:val="32"/>
        </w:rPr>
        <w:t>電子郵件信箱：</w:t>
      </w:r>
      <w:r>
        <w:rPr>
          <w:rFonts w:eastAsia="標楷體"/>
          <w:color w:val="000000"/>
          <w:sz w:val="32"/>
          <w:szCs w:val="32"/>
        </w:rPr>
        <w:t>hjliu3@moea.gov.tw</w:t>
      </w:r>
    </w:p>
    <w:sectPr w:rsidR="00E720B6">
      <w:footerReference w:type="default" r:id="rId7"/>
      <w:pgSz w:w="11906" w:h="16838"/>
      <w:pgMar w:top="1361" w:right="1021" w:bottom="1021" w:left="1021" w:header="851" w:footer="794" w:gutter="0"/>
      <w:cols w:space="720"/>
      <w:docGrid w:type="lines" w:linePitch="6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E624" w14:textId="77777777" w:rsidR="00AD371E" w:rsidRDefault="00AD371E">
      <w:r>
        <w:separator/>
      </w:r>
    </w:p>
  </w:endnote>
  <w:endnote w:type="continuationSeparator" w:id="0">
    <w:p w14:paraId="2DE624EE" w14:textId="77777777" w:rsidR="00AD371E" w:rsidRDefault="00AD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新細明體, PMingLiU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CA6B" w14:textId="77777777" w:rsidR="0010525B" w:rsidRDefault="00AD371E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5AF2563" w14:textId="77777777" w:rsidR="0010525B" w:rsidRDefault="00AD37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BFF2" w14:textId="77777777" w:rsidR="00AD371E" w:rsidRDefault="00AD371E">
      <w:r>
        <w:rPr>
          <w:color w:val="000000"/>
        </w:rPr>
        <w:separator/>
      </w:r>
    </w:p>
  </w:footnote>
  <w:footnote w:type="continuationSeparator" w:id="0">
    <w:p w14:paraId="02ECE8C8" w14:textId="77777777" w:rsidR="00AD371E" w:rsidRDefault="00AD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7056"/>
    <w:multiLevelType w:val="multilevel"/>
    <w:tmpl w:val="CB8AE822"/>
    <w:lvl w:ilvl="0">
      <w:start w:val="1"/>
      <w:numFmt w:val="taiwaneseCountingThousand"/>
      <w:lvlText w:val="%1、"/>
      <w:lvlJc w:val="left"/>
      <w:pPr>
        <w:ind w:left="1121" w:hanging="480"/>
      </w:pPr>
      <w:rPr>
        <w:rFonts w:ascii="標楷體" w:eastAsia="標楷體" w:hAnsi="標楷體"/>
        <w:b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1601" w:hanging="480"/>
      </w:pPr>
    </w:lvl>
    <w:lvl w:ilvl="2">
      <w:start w:val="1"/>
      <w:numFmt w:val="lowerRoman"/>
      <w:lvlText w:val="%3."/>
      <w:lvlJc w:val="right"/>
      <w:pPr>
        <w:ind w:left="2081" w:hanging="480"/>
      </w:pPr>
    </w:lvl>
    <w:lvl w:ilvl="3">
      <w:start w:val="1"/>
      <w:numFmt w:val="decimal"/>
      <w:lvlText w:val="%4."/>
      <w:lvlJc w:val="left"/>
      <w:pPr>
        <w:ind w:left="2561" w:hanging="480"/>
      </w:pPr>
    </w:lvl>
    <w:lvl w:ilvl="4">
      <w:start w:val="1"/>
      <w:numFmt w:val="ideographTraditional"/>
      <w:lvlText w:val="%5、"/>
      <w:lvlJc w:val="left"/>
      <w:pPr>
        <w:ind w:left="3041" w:hanging="480"/>
      </w:pPr>
    </w:lvl>
    <w:lvl w:ilvl="5">
      <w:start w:val="1"/>
      <w:numFmt w:val="lowerRoman"/>
      <w:lvlText w:val="%6."/>
      <w:lvlJc w:val="right"/>
      <w:pPr>
        <w:ind w:left="3521" w:hanging="480"/>
      </w:pPr>
    </w:lvl>
    <w:lvl w:ilvl="6">
      <w:start w:val="1"/>
      <w:numFmt w:val="decimal"/>
      <w:lvlText w:val="%7."/>
      <w:lvlJc w:val="left"/>
      <w:pPr>
        <w:ind w:left="4001" w:hanging="480"/>
      </w:pPr>
    </w:lvl>
    <w:lvl w:ilvl="7">
      <w:start w:val="1"/>
      <w:numFmt w:val="ideographTraditional"/>
      <w:lvlText w:val="%8、"/>
      <w:lvlJc w:val="left"/>
      <w:pPr>
        <w:ind w:left="4481" w:hanging="480"/>
      </w:pPr>
    </w:lvl>
    <w:lvl w:ilvl="8">
      <w:start w:val="1"/>
      <w:numFmt w:val="lowerRoman"/>
      <w:lvlText w:val="%9."/>
      <w:lvlJc w:val="right"/>
      <w:pPr>
        <w:ind w:left="4961" w:hanging="480"/>
      </w:pPr>
    </w:lvl>
  </w:abstractNum>
  <w:abstractNum w:abstractNumId="1" w15:restartNumberingAfterBreak="0">
    <w:nsid w:val="10F40E58"/>
    <w:multiLevelType w:val="multilevel"/>
    <w:tmpl w:val="E08621A4"/>
    <w:styleLink w:val="WW8Num5"/>
    <w:lvl w:ilvl="0">
      <w:start w:val="1"/>
      <w:numFmt w:val="japaneseCounting"/>
      <w:lvlText w:val="%1、"/>
      <w:lvlJc w:val="left"/>
      <w:pPr>
        <w:ind w:left="1121" w:hanging="480"/>
      </w:pPr>
      <w:rPr>
        <w:rFonts w:eastAsia="標楷體"/>
        <w:b/>
        <w:color w:val="000000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1601" w:hanging="480"/>
      </w:pPr>
    </w:lvl>
    <w:lvl w:ilvl="2">
      <w:start w:val="1"/>
      <w:numFmt w:val="lowerRoman"/>
      <w:lvlText w:val="%3."/>
      <w:lvlJc w:val="right"/>
      <w:pPr>
        <w:ind w:left="2081" w:hanging="480"/>
      </w:pPr>
    </w:lvl>
    <w:lvl w:ilvl="3">
      <w:start w:val="1"/>
      <w:numFmt w:val="decimal"/>
      <w:lvlText w:val="%4."/>
      <w:lvlJc w:val="left"/>
      <w:pPr>
        <w:ind w:left="2561" w:hanging="480"/>
      </w:pPr>
    </w:lvl>
    <w:lvl w:ilvl="4">
      <w:start w:val="1"/>
      <w:numFmt w:val="ideographTraditional"/>
      <w:lvlText w:val="%5、"/>
      <w:lvlJc w:val="left"/>
      <w:pPr>
        <w:ind w:left="3041" w:hanging="480"/>
      </w:pPr>
    </w:lvl>
    <w:lvl w:ilvl="5">
      <w:start w:val="1"/>
      <w:numFmt w:val="lowerRoman"/>
      <w:lvlText w:val="%6."/>
      <w:lvlJc w:val="right"/>
      <w:pPr>
        <w:ind w:left="3521" w:hanging="480"/>
      </w:pPr>
    </w:lvl>
    <w:lvl w:ilvl="6">
      <w:start w:val="1"/>
      <w:numFmt w:val="decimal"/>
      <w:lvlText w:val="%7."/>
      <w:lvlJc w:val="left"/>
      <w:pPr>
        <w:ind w:left="4001" w:hanging="480"/>
      </w:pPr>
    </w:lvl>
    <w:lvl w:ilvl="7">
      <w:start w:val="1"/>
      <w:numFmt w:val="ideographTraditional"/>
      <w:lvlText w:val="%8、"/>
      <w:lvlJc w:val="left"/>
      <w:pPr>
        <w:ind w:left="4481" w:hanging="480"/>
      </w:pPr>
    </w:lvl>
    <w:lvl w:ilvl="8">
      <w:start w:val="1"/>
      <w:numFmt w:val="lowerRoman"/>
      <w:lvlText w:val="%9."/>
      <w:lvlJc w:val="right"/>
      <w:pPr>
        <w:ind w:left="4961" w:hanging="480"/>
      </w:pPr>
    </w:lvl>
  </w:abstractNum>
  <w:abstractNum w:abstractNumId="2" w15:restartNumberingAfterBreak="0">
    <w:nsid w:val="1D131BC4"/>
    <w:multiLevelType w:val="multilevel"/>
    <w:tmpl w:val="D04205F6"/>
    <w:lvl w:ilvl="0">
      <w:start w:val="1"/>
      <w:numFmt w:val="taiwaneseCountingThousand"/>
      <w:suff w:val="nothing"/>
      <w:lvlText w:val="（%1）"/>
      <w:lvlJc w:val="left"/>
      <w:pPr>
        <w:ind w:left="6718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82215D"/>
    <w:multiLevelType w:val="multilevel"/>
    <w:tmpl w:val="46C694FA"/>
    <w:lvl w:ilvl="0">
      <w:start w:val="1"/>
      <w:numFmt w:val="taiwaneseCountingThousand"/>
      <w:suff w:val="nothing"/>
      <w:lvlText w:val="（%1）"/>
      <w:lvlJc w:val="left"/>
      <w:pPr>
        <w:ind w:left="6718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D22A6"/>
    <w:multiLevelType w:val="multilevel"/>
    <w:tmpl w:val="00C6F448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62A34B9F"/>
    <w:multiLevelType w:val="multilevel"/>
    <w:tmpl w:val="AE6E5F8A"/>
    <w:lvl w:ilvl="0">
      <w:start w:val="1"/>
      <w:numFmt w:val="ideographLegalTraditional"/>
      <w:lvlText w:val="%1、"/>
      <w:lvlJc w:val="left"/>
      <w:pPr>
        <w:ind w:left="622" w:hanging="480"/>
      </w:pPr>
      <w:rPr>
        <w:color w:val="000000"/>
        <w:sz w:val="32"/>
        <w:szCs w:val="32"/>
        <w:lang w:val="en-US"/>
      </w:rPr>
    </w:lvl>
    <w:lvl w:ilvl="1">
      <w:start w:val="1"/>
      <w:numFmt w:val="taiwaneseCountingThousand"/>
      <w:lvlText w:val="%2、"/>
      <w:lvlJc w:val="left"/>
      <w:pPr>
        <w:ind w:left="622" w:hanging="480"/>
      </w:pPr>
      <w:rPr>
        <w:b/>
        <w:color w:val="000000"/>
        <w:sz w:val="32"/>
        <w:szCs w:val="32"/>
        <w:lang w:val="en-US"/>
      </w:rPr>
    </w:lvl>
    <w:lvl w:ilvl="2">
      <w:start w:val="1"/>
      <w:numFmt w:val="decimal"/>
      <w:lvlText w:val="%3."/>
      <w:lvlJc w:val="left"/>
      <w:pPr>
        <w:ind w:left="1756" w:hanging="480"/>
      </w:pPr>
      <w:rPr>
        <w:rFonts w:ascii="Arial" w:hAnsi="Arial" w:cs="Arial"/>
        <w:b w:val="0"/>
        <w:color w:val="000000"/>
        <w:sz w:val="32"/>
        <w:szCs w:val="32"/>
      </w:r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taiwaneseCountingThousand"/>
      <w:lvlText w:val="（%5）"/>
      <w:lvlJc w:val="left"/>
      <w:pPr>
        <w:ind w:left="3142" w:hanging="10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20B6"/>
    <w:rsid w:val="004662CF"/>
    <w:rsid w:val="009D1EBA"/>
    <w:rsid w:val="00AD371E"/>
    <w:rsid w:val="00E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F90B"/>
  <w15:docId w15:val="{7EAD4C08-30D7-47DA-930D-89B42037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560" w:lineRule="exact"/>
      <w:ind w:left="360"/>
      <w:jc w:val="both"/>
    </w:pPr>
    <w:rPr>
      <w:rFonts w:ascii="標楷體" w:eastAsia="標楷體" w:hAnsi="標楷體"/>
      <w:sz w:val="32"/>
    </w:rPr>
  </w:style>
  <w:style w:type="paragraph" w:styleId="20">
    <w:name w:val="Body Text Indent 2"/>
    <w:basedOn w:val="a"/>
    <w:pPr>
      <w:spacing w:line="560" w:lineRule="exact"/>
      <w:ind w:left="840"/>
      <w:jc w:val="both"/>
    </w:pPr>
    <w:rPr>
      <w:rFonts w:ascii="標楷體" w:eastAsia="標楷體" w:hAnsi="標楷體"/>
      <w:sz w:val="32"/>
    </w:rPr>
  </w:style>
  <w:style w:type="paragraph" w:styleId="21">
    <w:name w:val="Body Text 2"/>
    <w:basedOn w:val="a"/>
    <w:rPr>
      <w:rFonts w:ascii="標楷體" w:eastAsia="標楷體" w:hAnsi="標楷體"/>
      <w:sz w:val="32"/>
    </w:rPr>
  </w:style>
  <w:style w:type="paragraph" w:styleId="3">
    <w:name w:val="Body Text 3"/>
    <w:basedOn w:val="a"/>
    <w:pPr>
      <w:jc w:val="both"/>
    </w:pPr>
    <w:rPr>
      <w:rFonts w:ascii="標楷體" w:eastAsia="標楷體" w:hAnsi="標楷體"/>
      <w:sz w:val="32"/>
    </w:rPr>
  </w:style>
  <w:style w:type="paragraph" w:styleId="a5">
    <w:name w:val="Date"/>
    <w:basedOn w:val="a"/>
    <w:next w:val="a"/>
    <w:pPr>
      <w:jc w:val="right"/>
    </w:pPr>
    <w:rPr>
      <w:rFonts w:ascii="標楷體" w:eastAsia="標楷體" w:hAnsi="標楷體"/>
      <w:sz w:val="3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ind w:left="960"/>
      <w:jc w:val="both"/>
    </w:pPr>
    <w:rPr>
      <w:rFonts w:ascii="標楷體" w:eastAsia="標楷體" w:hAnsi="標楷體"/>
      <w:sz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Emphasis"/>
    <w:rPr>
      <w:b w:val="0"/>
      <w:bCs w:val="0"/>
      <w:i w:val="0"/>
      <w:iCs w:val="0"/>
      <w:color w:val="CC0033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ocument Map"/>
    <w:basedOn w:val="a"/>
    <w:pPr>
      <w:shd w:val="clear" w:color="auto" w:fill="000080"/>
    </w:pPr>
    <w:rPr>
      <w:rFonts w:ascii="Arial" w:hAnsi="Arial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w-13c-en1">
    <w:name w:val="w-13c-en1"/>
    <w:rPr>
      <w:rFonts w:ascii="Arial" w:hAnsi="Arial" w:cs="Arial"/>
      <w:sz w:val="20"/>
      <w:szCs w:val="20"/>
    </w:rPr>
  </w:style>
  <w:style w:type="character" w:styleId="af1">
    <w:name w:val="Hyperlink"/>
    <w:rPr>
      <w:color w:val="0000FF"/>
      <w:u w:val="single"/>
    </w:rPr>
  </w:style>
  <w:style w:type="paragraph" w:styleId="af2">
    <w:name w:val="List Paragraph"/>
    <w:basedOn w:val="a"/>
    <w:pPr>
      <w:ind w:left="480"/>
    </w:pPr>
  </w:style>
  <w:style w:type="character" w:customStyle="1" w:styleId="22">
    <w:name w:val="標題 2 字元"/>
    <w:rPr>
      <w:rFonts w:ascii="新細明體" w:hAnsi="新細明體" w:cs="新細明體"/>
      <w:b/>
      <w:bCs/>
      <w:sz w:val="36"/>
      <w:szCs w:val="36"/>
    </w:rPr>
  </w:style>
  <w:style w:type="paragraph" w:styleId="af3">
    <w:name w:val="Quote"/>
    <w:basedOn w:val="a"/>
    <w:next w:val="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4">
    <w:name w:val="引文 字元"/>
    <w:rPr>
      <w:i/>
      <w:iCs/>
      <w:color w:val="404040"/>
      <w:kern w:val="3"/>
      <w:sz w:val="24"/>
      <w:szCs w:val="24"/>
    </w:rPr>
  </w:style>
  <w:style w:type="paragraph" w:customStyle="1" w:styleId="cjk">
    <w:name w:val="cjk"/>
    <w:basedOn w:val="a"/>
    <w:pPr>
      <w:widowControl/>
      <w:spacing w:before="100" w:after="142" w:line="276" w:lineRule="auto"/>
    </w:pPr>
    <w:rPr>
      <w:rFonts w:ascii="新細明體" w:hAnsi="新細明體" w:cs="新細明體"/>
      <w:color w:val="000000"/>
      <w:kern w:val="0"/>
    </w:rPr>
  </w:style>
  <w:style w:type="character" w:styleId="af5">
    <w:name w:val="Unresolved Mention"/>
    <w:rPr>
      <w:color w:val="605E5C"/>
      <w:shd w:val="clear" w:color="auto" w:fill="E1DFDD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新細明體, PMingLiU"/>
      <w:kern w:val="3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customStyle="1" w:styleId="af6">
    <w:name w:val="頁尾 字元"/>
    <w:rPr>
      <w:kern w:val="3"/>
    </w:rPr>
  </w:style>
  <w:style w:type="numbering" w:customStyle="1" w:styleId="1">
    <w:name w:val="樣式1"/>
    <w:basedOn w:val="a2"/>
    <w:pPr>
      <w:numPr>
        <w:numId w:val="1"/>
      </w:numPr>
    </w:pPr>
  </w:style>
  <w:style w:type="numbering" w:customStyle="1" w:styleId="WW8Num5">
    <w:name w:val="WW8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英業達股份有限公司申請對外增資英業達集團（香港）有限公司暨間接對大陸地區增資英業達集團（上海）電子技術有限公司案</dc:title>
  <dc:subject/>
  <dc:creator>cysu</dc:creator>
  <cp:lastModifiedBy>鄭羽祺</cp:lastModifiedBy>
  <cp:revision>2</cp:revision>
  <cp:lastPrinted>2025-04-25T07:08:00Z</cp:lastPrinted>
  <dcterms:created xsi:type="dcterms:W3CDTF">2025-04-29T09:40:00Z</dcterms:created>
  <dcterms:modified xsi:type="dcterms:W3CDTF">2025-04-29T09:40:00Z</dcterms:modified>
</cp:coreProperties>
</file>