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69EA" w14:textId="421216C7" w:rsidR="00B3774D" w:rsidRDefault="009569B3">
      <w:pPr>
        <w:spacing w:after="0" w:line="54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/>
          <w:b/>
          <w:bCs/>
          <w:sz w:val="36"/>
          <w:szCs w:val="36"/>
        </w:rPr>
        <w:t>年</w:t>
      </w:r>
      <w:r w:rsidR="00A9311F">
        <w:rPr>
          <w:rFonts w:ascii="Times New Roman" w:eastAsia="標楷體" w:hAnsi="Times New Roman" w:hint="eastAsia"/>
          <w:b/>
          <w:bCs/>
          <w:sz w:val="36"/>
          <w:szCs w:val="36"/>
        </w:rPr>
        <w:t>5</w:t>
      </w:r>
      <w:r>
        <w:rPr>
          <w:rFonts w:ascii="Times New Roman" w:eastAsia="標楷體" w:hAnsi="Times New Roman"/>
          <w:b/>
          <w:bCs/>
          <w:sz w:val="36"/>
          <w:szCs w:val="36"/>
        </w:rPr>
        <w:t>月核准僑外投資、陸資來</w:t>
      </w: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投資、國外投資、對中國大陸投資統計情形</w:t>
      </w:r>
    </w:p>
    <w:p w14:paraId="21DE0D00" w14:textId="77777777" w:rsidR="00B3774D" w:rsidRDefault="009569B3">
      <w:pPr>
        <w:spacing w:before="360" w:after="360" w:line="340" w:lineRule="exact"/>
        <w:ind w:left="720" w:hanging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備註：本部</w:t>
      </w:r>
      <w:proofErr w:type="gramStart"/>
      <w:r>
        <w:rPr>
          <w:rFonts w:ascii="Times New Roman" w:eastAsia="標楷體" w:hAnsi="Times New Roman"/>
        </w:rPr>
        <w:t>投審司發布</w:t>
      </w:r>
      <w:proofErr w:type="gramEnd"/>
      <w:r>
        <w:rPr>
          <w:rFonts w:ascii="Times New Roman" w:eastAsia="標楷體" w:hAnsi="Times New Roman"/>
        </w:rPr>
        <w:t>之僑外投資、陸資投資、對外投資、對中國大陸投資</w:t>
      </w:r>
      <w:proofErr w:type="gramStart"/>
      <w:r>
        <w:rPr>
          <w:rFonts w:ascii="Times New Roman" w:eastAsia="標楷體" w:hAnsi="Times New Roman"/>
        </w:rPr>
        <w:t>統計均為</w:t>
      </w:r>
      <w:proofErr w:type="gramEnd"/>
      <w:r>
        <w:rPr>
          <w:rFonts w:ascii="Times New Roman" w:eastAsia="標楷體" w:hAnsi="Times New Roman"/>
        </w:rPr>
        <w:t>「股本投資」統計。</w:t>
      </w:r>
    </w:p>
    <w:p w14:paraId="5EA58E6B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根據本部</w:t>
      </w:r>
      <w:proofErr w:type="gramStart"/>
      <w:r>
        <w:rPr>
          <w:rFonts w:ascii="Times New Roman" w:eastAsia="標楷體" w:hAnsi="Times New Roman"/>
          <w:sz w:val="32"/>
          <w:szCs w:val="32"/>
        </w:rPr>
        <w:t>投審司統計</w:t>
      </w:r>
      <w:proofErr w:type="gramEnd"/>
      <w:r>
        <w:rPr>
          <w:rFonts w:ascii="Times New Roman" w:eastAsia="標楷體" w:hAnsi="Times New Roman"/>
          <w:sz w:val="32"/>
          <w:szCs w:val="32"/>
        </w:rPr>
        <w:t>，僑外來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投資、陸資來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投資、對外投資、對中國大陸投資情形分述如下：</w:t>
      </w:r>
    </w:p>
    <w:p w14:paraId="10557B69" w14:textId="7415A5D0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壹、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 w:rsidR="00A9311F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月整體來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投資情形</w:t>
      </w:r>
    </w:p>
    <w:p w14:paraId="3A6C2B22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僑外來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</w:t>
      </w:r>
    </w:p>
    <w:p w14:paraId="62BF95D6" w14:textId="4C0D7CB5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A9311F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月單月核准僑外投資件數為</w:t>
      </w:r>
      <w:r w:rsidR="00A9311F">
        <w:rPr>
          <w:rFonts w:ascii="Times New Roman" w:eastAsia="標楷體" w:hAnsi="Times New Roman" w:hint="eastAsia"/>
          <w:sz w:val="32"/>
          <w:szCs w:val="32"/>
        </w:rPr>
        <w:t>183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A9311F">
        <w:rPr>
          <w:rFonts w:ascii="Times New Roman" w:eastAsia="標楷體" w:hAnsi="Times New Roman" w:hint="eastAsia"/>
          <w:sz w:val="32"/>
          <w:szCs w:val="32"/>
        </w:rPr>
        <w:t>11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9311F">
        <w:rPr>
          <w:rFonts w:ascii="Times New Roman" w:eastAsia="標楷體" w:hAnsi="Times New Roman" w:hint="eastAsia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,</w:t>
      </w:r>
      <w:r w:rsidR="00A9311F">
        <w:rPr>
          <w:rFonts w:ascii="Times New Roman" w:eastAsia="標楷體" w:hAnsi="Times New Roman" w:hint="eastAsia"/>
          <w:sz w:val="32"/>
          <w:szCs w:val="32"/>
        </w:rPr>
        <w:t>466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9311F"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A9311F">
        <w:rPr>
          <w:rFonts w:ascii="Times New Roman" w:eastAsia="標楷體" w:hAnsi="Times New Roman" w:hint="eastAsia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月核准僑外投資件數為</w:t>
      </w:r>
      <w:r w:rsidR="00A9311F">
        <w:rPr>
          <w:rFonts w:ascii="Times New Roman" w:eastAsia="標楷體" w:hAnsi="Times New Roman" w:hint="eastAsia"/>
          <w:sz w:val="32"/>
          <w:szCs w:val="32"/>
        </w:rPr>
        <w:t>979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A9311F">
        <w:rPr>
          <w:rFonts w:ascii="Times New Roman" w:eastAsia="標楷體" w:hAnsi="Times New Roman" w:hint="eastAsia"/>
          <w:sz w:val="32"/>
          <w:szCs w:val="32"/>
        </w:rPr>
        <w:t>84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9311F">
        <w:rPr>
          <w:rFonts w:ascii="Times New Roman" w:eastAsia="標楷體" w:hAnsi="Times New Roman" w:hint="eastAsia"/>
          <w:sz w:val="32"/>
          <w:szCs w:val="32"/>
        </w:rPr>
        <w:t>3</w:t>
      </w:r>
      <w:r w:rsidR="00A9311F">
        <w:rPr>
          <w:rFonts w:ascii="Times New Roman" w:eastAsia="標楷體" w:hAnsi="Times New Roman"/>
          <w:sz w:val="32"/>
          <w:szCs w:val="32"/>
        </w:rPr>
        <w:t>,316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9311F">
        <w:rPr>
          <w:rFonts w:ascii="Times New Roman" w:eastAsia="標楷體" w:hAnsi="Times New Roman" w:hint="eastAsia"/>
          <w:sz w:val="32"/>
          <w:szCs w:val="32"/>
        </w:rPr>
        <w:t>1</w:t>
      </w:r>
      <w:r w:rsidR="00A9311F"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元，較上年同期增加</w:t>
      </w:r>
      <w:r w:rsidR="00A9311F">
        <w:rPr>
          <w:rFonts w:ascii="Times New Roman" w:eastAsia="標楷體" w:hAnsi="Times New Roman"/>
          <w:sz w:val="32"/>
          <w:szCs w:val="32"/>
        </w:rPr>
        <w:t>53</w:t>
      </w:r>
      <w:r>
        <w:rPr>
          <w:rFonts w:ascii="Times New Roman" w:eastAsia="標楷體" w:hAnsi="Times New Roman"/>
          <w:sz w:val="32"/>
          <w:szCs w:val="32"/>
        </w:rPr>
        <w:t>.</w:t>
      </w:r>
      <w:r w:rsidR="00A9311F">
        <w:rPr>
          <w:rFonts w:ascii="Times New Roman" w:eastAsia="標楷體" w:hAnsi="Times New Roman"/>
          <w:sz w:val="32"/>
          <w:szCs w:val="32"/>
        </w:rPr>
        <w:t>82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，主要</w:t>
      </w:r>
      <w:r w:rsidR="00BD693C">
        <w:rPr>
          <w:rFonts w:ascii="Times New Roman" w:eastAsia="標楷體" w:hAnsi="Times New Roman" w:hint="eastAsia"/>
          <w:sz w:val="32"/>
          <w:szCs w:val="32"/>
        </w:rPr>
        <w:t>係</w:t>
      </w:r>
      <w:r>
        <w:rPr>
          <w:rFonts w:ascii="Times New Roman" w:eastAsia="標楷體" w:hAnsi="Times New Roman"/>
          <w:sz w:val="32"/>
          <w:szCs w:val="32"/>
        </w:rPr>
        <w:t>因</w:t>
      </w:r>
      <w:r w:rsidR="00BD693C">
        <w:rPr>
          <w:rFonts w:ascii="Times New Roman" w:eastAsia="標楷體" w:hAnsi="Times New Roman" w:hint="eastAsia"/>
          <w:sz w:val="32"/>
          <w:szCs w:val="32"/>
        </w:rPr>
        <w:t>115</w:t>
      </w:r>
      <w:r w:rsidR="00BD693C">
        <w:rPr>
          <w:rFonts w:ascii="Times New Roman" w:eastAsia="標楷體" w:hAnsi="Times New Roman" w:hint="eastAsia"/>
          <w:sz w:val="32"/>
          <w:szCs w:val="32"/>
        </w:rPr>
        <w:t>年</w:t>
      </w:r>
      <w:r w:rsidR="00BD693C">
        <w:rPr>
          <w:rFonts w:ascii="Times New Roman" w:eastAsia="標楷體" w:hAnsi="Times New Roman" w:hint="eastAsia"/>
          <w:sz w:val="32"/>
          <w:szCs w:val="32"/>
        </w:rPr>
        <w:t>1-5</w:t>
      </w:r>
      <w:r w:rsidR="00BD693C"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核准新加坡商</w:t>
      </w:r>
      <w:r>
        <w:rPr>
          <w:rFonts w:ascii="Times New Roman" w:eastAsia="標楷體" w:hAnsi="Times New Roman"/>
          <w:sz w:val="32"/>
          <w:szCs w:val="32"/>
        </w:rPr>
        <w:t>MICRON SEMICONDUCTOR ASIA PTE. LTD.</w:t>
      </w:r>
      <w:r>
        <w:rPr>
          <w:rFonts w:ascii="Times New Roman" w:eastAsia="標楷體" w:hAnsi="Times New Roman"/>
          <w:sz w:val="32"/>
          <w:szCs w:val="32"/>
        </w:rPr>
        <w:t>以對台灣美光記憶體股份有限公司之貨幣債權約美金</w:t>
      </w:r>
      <w:r>
        <w:rPr>
          <w:rFonts w:ascii="Times New Roman" w:eastAsia="標楷體" w:hAnsi="Times New Roman"/>
          <w:sz w:val="32"/>
          <w:szCs w:val="32"/>
        </w:rPr>
        <w:t>43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3,000</w:t>
      </w:r>
      <w:r>
        <w:rPr>
          <w:rFonts w:ascii="Times New Roman" w:eastAsia="標楷體" w:hAnsi="Times New Roman"/>
          <w:sz w:val="32"/>
          <w:szCs w:val="32"/>
        </w:rPr>
        <w:t>萬元，用以認購增資股份</w:t>
      </w:r>
      <w:r w:rsidR="00106EF9">
        <w:rPr>
          <w:rFonts w:ascii="Times New Roman" w:eastAsia="標楷體" w:hAnsi="Times New Roman" w:hint="eastAsia"/>
          <w:sz w:val="32"/>
          <w:szCs w:val="32"/>
        </w:rPr>
        <w:t>、</w:t>
      </w:r>
      <w:r w:rsidR="00BD693C" w:rsidRPr="008C7991">
        <w:rPr>
          <w:rFonts w:eastAsia="標楷體" w:hint="eastAsia"/>
          <w:color w:val="000000"/>
          <w:sz w:val="32"/>
          <w:szCs w:val="32"/>
        </w:rPr>
        <w:t>美商</w:t>
      </w:r>
      <w:r w:rsidR="00BD693C" w:rsidRPr="0029641F">
        <w:rPr>
          <w:rFonts w:ascii="Times New Roman" w:eastAsia="標楷體" w:hAnsi="Times New Roman" w:hint="eastAsia"/>
          <w:sz w:val="32"/>
          <w:szCs w:val="32"/>
        </w:rPr>
        <w:t>MICROSOFT CORPORATION</w:t>
      </w:r>
      <w:r w:rsidR="0029641F">
        <w:rPr>
          <w:rFonts w:eastAsia="標楷體" w:hint="eastAsia"/>
          <w:color w:val="000000"/>
          <w:sz w:val="32"/>
          <w:szCs w:val="32"/>
        </w:rPr>
        <w:t>約</w:t>
      </w:r>
      <w:r w:rsidR="00BD693C" w:rsidRPr="00BE08AA">
        <w:rPr>
          <w:rFonts w:eastAsia="標楷體"/>
          <w:color w:val="000000"/>
          <w:sz w:val="32"/>
          <w:szCs w:val="32"/>
        </w:rPr>
        <w:t>以</w:t>
      </w:r>
      <w:r w:rsidR="0029641F" w:rsidRPr="00732C23">
        <w:rPr>
          <w:rFonts w:ascii="Times New Roman" w:eastAsia="標楷體" w:hAnsi="Times New Roman"/>
          <w:color w:val="000000"/>
          <w:sz w:val="32"/>
          <w:szCs w:val="32"/>
        </w:rPr>
        <w:t>美金</w:t>
      </w:r>
      <w:r w:rsidR="0029641F" w:rsidRPr="00732C23">
        <w:rPr>
          <w:rFonts w:ascii="Times New Roman" w:eastAsia="標楷體" w:hAnsi="Times New Roman"/>
          <w:color w:val="000000"/>
          <w:sz w:val="32"/>
          <w:szCs w:val="32"/>
        </w:rPr>
        <w:t>2</w:t>
      </w:r>
      <w:r w:rsidR="00BD693C" w:rsidRPr="00732C23">
        <w:rPr>
          <w:rFonts w:ascii="Times New Roman" w:eastAsia="標楷體" w:hAnsi="Times New Roman"/>
          <w:color w:val="000000"/>
          <w:sz w:val="32"/>
          <w:szCs w:val="32"/>
        </w:rPr>
        <w:t>億</w:t>
      </w:r>
      <w:r w:rsidR="0029641F" w:rsidRPr="00732C23">
        <w:rPr>
          <w:rFonts w:ascii="Times New Roman" w:eastAsia="標楷體" w:hAnsi="Times New Roman"/>
          <w:color w:val="000000"/>
          <w:sz w:val="32"/>
          <w:szCs w:val="32"/>
        </w:rPr>
        <w:t>7,294</w:t>
      </w:r>
      <w:r w:rsidR="0029641F" w:rsidRPr="00732C23">
        <w:rPr>
          <w:rFonts w:ascii="Times New Roman" w:eastAsia="標楷體" w:hAnsi="Times New Roman"/>
          <w:color w:val="000000"/>
          <w:sz w:val="32"/>
          <w:szCs w:val="32"/>
        </w:rPr>
        <w:t>萬</w:t>
      </w:r>
      <w:r w:rsidR="00BD693C" w:rsidRPr="00732C23">
        <w:rPr>
          <w:rFonts w:ascii="Times New Roman" w:eastAsia="標楷體" w:hAnsi="Times New Roman"/>
          <w:color w:val="000000"/>
          <w:sz w:val="32"/>
          <w:szCs w:val="32"/>
        </w:rPr>
        <w:t>元增資台灣微軟營運有限公司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及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丹麥商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ORSTED WIND POWER TW HOLDING A/S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約以美金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2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億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2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,2</w:t>
      </w:r>
      <w:r w:rsidR="00106EF9" w:rsidRPr="00732C23">
        <w:rPr>
          <w:rFonts w:ascii="Times New Roman" w:eastAsia="標楷體" w:hAnsi="Times New Roman"/>
          <w:color w:val="000000"/>
          <w:sz w:val="32"/>
          <w:szCs w:val="32"/>
        </w:rPr>
        <w:t>15</w:t>
      </w:r>
      <w:r w:rsidR="00106EF9">
        <w:rPr>
          <w:rFonts w:eastAsia="標楷體" w:hint="eastAsia"/>
          <w:color w:val="000000"/>
          <w:sz w:val="32"/>
          <w:szCs w:val="32"/>
        </w:rPr>
        <w:t>萬</w:t>
      </w:r>
      <w:r w:rsidR="00106EF9" w:rsidRPr="00977EC7">
        <w:rPr>
          <w:rFonts w:eastAsia="標楷體" w:hint="eastAsia"/>
          <w:color w:val="000000"/>
          <w:sz w:val="32"/>
          <w:szCs w:val="32"/>
        </w:rPr>
        <w:t>元</w:t>
      </w:r>
      <w:proofErr w:type="gramStart"/>
      <w:r w:rsidR="00106EF9">
        <w:rPr>
          <w:rFonts w:eastAsia="標楷體" w:hint="eastAsia"/>
          <w:color w:val="000000"/>
          <w:sz w:val="32"/>
          <w:szCs w:val="32"/>
        </w:rPr>
        <w:t>增資</w:t>
      </w:r>
      <w:r w:rsidR="00106EF9" w:rsidRPr="00106EF9">
        <w:rPr>
          <w:rFonts w:eastAsia="標楷體" w:hint="eastAsia"/>
          <w:color w:val="000000"/>
          <w:sz w:val="32"/>
          <w:szCs w:val="32"/>
        </w:rPr>
        <w:t>沃旭西北</w:t>
      </w:r>
      <w:proofErr w:type="gramEnd"/>
      <w:r w:rsidR="00106EF9" w:rsidRPr="00106EF9">
        <w:rPr>
          <w:rFonts w:eastAsia="標楷體" w:hint="eastAsia"/>
          <w:color w:val="000000"/>
          <w:sz w:val="32"/>
          <w:szCs w:val="32"/>
        </w:rPr>
        <w:t>大彰化控股股份有限公司</w:t>
      </w:r>
      <w:r>
        <w:rPr>
          <w:rFonts w:ascii="Times New Roman" w:eastAsia="標楷體" w:hAnsi="Times New Roman"/>
          <w:sz w:val="32"/>
          <w:szCs w:val="32"/>
        </w:rPr>
        <w:t>所致。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A9311F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月核准僑外投資新設公司件數為</w:t>
      </w:r>
      <w:r>
        <w:rPr>
          <w:rFonts w:ascii="Times New Roman" w:eastAsia="標楷體" w:hAnsi="Times New Roman"/>
          <w:sz w:val="32"/>
          <w:szCs w:val="32"/>
        </w:rPr>
        <w:t>12</w:t>
      </w:r>
      <w:r w:rsidR="00A9311F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件，投資金額約美金</w:t>
      </w:r>
      <w:r w:rsidR="00A9311F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</w:t>
      </w:r>
      <w:r w:rsidR="00A9311F">
        <w:rPr>
          <w:rFonts w:ascii="Times New Roman" w:eastAsia="標楷體" w:hAnsi="Times New Roman"/>
          <w:sz w:val="32"/>
          <w:szCs w:val="32"/>
        </w:rPr>
        <w:t>120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5,</w:t>
      </w:r>
      <w:r w:rsidR="00A9311F">
        <w:rPr>
          <w:rFonts w:ascii="Times New Roman" w:eastAsia="標楷體" w:hAnsi="Times New Roman"/>
          <w:sz w:val="32"/>
          <w:szCs w:val="32"/>
        </w:rPr>
        <w:t>948</w:t>
      </w:r>
      <w:r>
        <w:rPr>
          <w:rFonts w:ascii="Times New Roman" w:eastAsia="標楷體" w:hAnsi="Times New Roman"/>
          <w:sz w:val="32"/>
          <w:szCs w:val="32"/>
        </w:rPr>
        <w:t>元。</w:t>
      </w:r>
    </w:p>
    <w:p w14:paraId="609F1251" w14:textId="77777777" w:rsidR="00F20977" w:rsidRDefault="00F20977">
      <w:pPr>
        <w:widowControl/>
        <w:suppressAutoHyphens w:val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14:paraId="4A0B5E91" w14:textId="6985D341" w:rsidR="00B3774D" w:rsidRDefault="009569B3" w:rsidP="00F20977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3E523C"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月僑外投資前五大地區統計表</w:t>
      </w:r>
    </w:p>
    <w:p w14:paraId="3137C634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675"/>
        <w:gridCol w:w="1386"/>
        <w:gridCol w:w="1377"/>
        <w:gridCol w:w="1528"/>
        <w:gridCol w:w="1176"/>
      </w:tblGrid>
      <w:tr w:rsidR="00B3774D" w14:paraId="13F679E7" w14:textId="77777777">
        <w:tc>
          <w:tcPr>
            <w:tcW w:w="2235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977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68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97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DFCF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3761EE0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81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569D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5908973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10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963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61A29721" w14:textId="77777777" w:rsidTr="00733DAC">
        <w:tc>
          <w:tcPr>
            <w:tcW w:w="2235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614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53E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2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DC4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B96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A04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733DAC" w14:paraId="4E83874B" w14:textId="77777777" w:rsidTr="00733DAC"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85D" w14:textId="77777777" w:rsidR="00733DAC" w:rsidRDefault="00733DAC" w:rsidP="00733DAC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新加坡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866C" w14:textId="151F81E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81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D7BF" w14:textId="321F84D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hint="eastAsia"/>
                <w:color w:val="000000"/>
              </w:rPr>
              <w:t>5</w:t>
            </w:r>
            <w:r w:rsidRPr="00733DAC">
              <w:rPr>
                <w:rFonts w:ascii="標楷體" w:eastAsia="標楷體" w:hAnsi="標楷體"/>
                <w:color w:val="000000"/>
              </w:rPr>
              <w:t>,</w:t>
            </w:r>
            <w:r w:rsidRPr="00733DAC">
              <w:rPr>
                <w:rFonts w:ascii="標楷體" w:eastAsia="標楷體" w:hAnsi="標楷體" w:hint="eastAsia"/>
                <w:color w:val="000000"/>
              </w:rPr>
              <w:t>315</w:t>
            </w:r>
            <w:r w:rsidRPr="00733DAC">
              <w:rPr>
                <w:rFonts w:ascii="標楷體" w:eastAsia="標楷體" w:hAnsi="標楷體"/>
                <w:color w:val="000000"/>
              </w:rPr>
              <w:t>,</w:t>
            </w:r>
            <w:r w:rsidRPr="00733DAC">
              <w:rPr>
                <w:rFonts w:ascii="標楷體" w:eastAsia="標楷體" w:hAnsi="標楷體" w:hint="eastAsia"/>
                <w:color w:val="000000"/>
              </w:rPr>
              <w:t>927</w:t>
            </w:r>
            <w:r w:rsidRPr="00733DAC">
              <w:rPr>
                <w:rFonts w:ascii="標楷體" w:eastAsia="標楷體" w:hAnsi="標楷體"/>
                <w:color w:val="000000"/>
              </w:rPr>
              <w:t xml:space="preserve"> </w:t>
            </w:r>
            <w:r w:rsidRPr="00733DAC">
              <w:rPr>
                <w:rFonts w:ascii="標楷體" w:eastAsia="標楷體" w:hAnsi="標楷體"/>
              </w:rPr>
              <w:t>(63.04)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6D44" w14:textId="00754635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298,293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89FE" w14:textId="19221931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5,017,634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A945" w14:textId="1AAB7EA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1682.12%</w:t>
            </w:r>
          </w:p>
        </w:tc>
      </w:tr>
      <w:tr w:rsidR="00733DAC" w14:paraId="366D67F2" w14:textId="77777777" w:rsidTr="00733DAC"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302C" w14:textId="77777777" w:rsidR="00733DAC" w:rsidRDefault="00733DAC" w:rsidP="00733DAC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加勒比海英國屬地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DF5B" w14:textId="08C4543A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68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5198" w14:textId="70FD4949" w:rsidR="00733DAC" w:rsidRPr="00733DAC" w:rsidRDefault="00733DAC" w:rsidP="00733DAC">
            <w:pPr>
              <w:pStyle w:val="Textbody"/>
              <w:spacing w:line="400" w:lineRule="exact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733DAC"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733DAC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733DAC">
              <w:rPr>
                <w:rFonts w:cs="Times New Roman" w:hint="eastAsia"/>
                <w:color w:val="000000"/>
                <w:sz w:val="24"/>
                <w:szCs w:val="24"/>
              </w:rPr>
              <w:t>004</w:t>
            </w:r>
            <w:r w:rsidRPr="00733DAC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733DAC">
              <w:rPr>
                <w:rFonts w:cs="Times New Roman" w:hint="eastAsia"/>
                <w:color w:val="000000"/>
                <w:sz w:val="24"/>
                <w:szCs w:val="24"/>
              </w:rPr>
              <w:t>22</w:t>
            </w:r>
            <w:r w:rsidR="00B077BF"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733D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0F8DFC28" w14:textId="35721AA2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/>
              </w:rPr>
              <w:t>(11.91)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188" w14:textId="2E82CD6F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643,715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9EE" w14:textId="7E7D8472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360,509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D79C" w14:textId="11D7C0D8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56.00%</w:t>
            </w:r>
          </w:p>
        </w:tc>
      </w:tr>
      <w:tr w:rsidR="00733DAC" w14:paraId="66F08963" w14:textId="77777777" w:rsidTr="00733DAC"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7486" w14:textId="77777777" w:rsidR="00733DAC" w:rsidRDefault="00733DAC" w:rsidP="00733DAC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08B5" w14:textId="20C07F53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125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BAEF" w14:textId="762D120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hint="eastAsia"/>
              </w:rPr>
              <w:t>747</w:t>
            </w:r>
            <w:r w:rsidRPr="00733DAC">
              <w:rPr>
                <w:rFonts w:ascii="標楷體" w:eastAsia="標楷體" w:hAnsi="標楷體"/>
              </w:rPr>
              <w:t>,</w:t>
            </w:r>
            <w:r w:rsidRPr="00733DAC">
              <w:rPr>
                <w:rFonts w:ascii="標楷體" w:eastAsia="標楷體" w:hAnsi="標楷體" w:hint="eastAsia"/>
              </w:rPr>
              <w:t>742</w:t>
            </w:r>
            <w:r w:rsidRPr="00733DAC">
              <w:rPr>
                <w:rFonts w:ascii="標楷體" w:eastAsia="標楷體" w:hAnsi="標楷體"/>
              </w:rPr>
              <w:t xml:space="preserve"> (8.87)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18A0" w14:textId="5B89CD08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189,783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75A4" w14:textId="64C611D5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557,959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BAF1" w14:textId="3625039F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294.00%</w:t>
            </w:r>
          </w:p>
        </w:tc>
      </w:tr>
      <w:tr w:rsidR="00733DAC" w14:paraId="7F018C50" w14:textId="77777777" w:rsidTr="00733DAC"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9300" w14:textId="083717C7" w:rsidR="00733DAC" w:rsidRDefault="00733DAC" w:rsidP="00733DAC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英國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4064" w14:textId="4687475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23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0A8E" w14:textId="3A190CA7" w:rsidR="00733DAC" w:rsidRPr="00733DAC" w:rsidRDefault="00733DAC" w:rsidP="00733DAC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 w:rsidRPr="00733DAC">
              <w:rPr>
                <w:rFonts w:cs="Times New Roman" w:hint="eastAsia"/>
                <w:sz w:val="24"/>
                <w:szCs w:val="24"/>
              </w:rPr>
              <w:t>310</w:t>
            </w:r>
            <w:r w:rsidRPr="00733DAC">
              <w:rPr>
                <w:rFonts w:cs="Times New Roman"/>
                <w:sz w:val="24"/>
                <w:szCs w:val="24"/>
              </w:rPr>
              <w:t>,</w:t>
            </w:r>
            <w:r w:rsidRPr="00733DAC">
              <w:rPr>
                <w:rFonts w:cs="Times New Roman" w:hint="eastAsia"/>
                <w:sz w:val="24"/>
                <w:szCs w:val="24"/>
              </w:rPr>
              <w:t>797</w:t>
            </w:r>
            <w:r w:rsidRPr="00733DA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07BB557" w14:textId="7FAB32FA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/>
              </w:rPr>
              <w:t>(3.69)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9696" w14:textId="1573EC98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300,241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B303" w14:textId="2D7E0847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10,556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4E9C" w14:textId="7B8AE3B4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3.52%</w:t>
            </w:r>
          </w:p>
        </w:tc>
      </w:tr>
      <w:tr w:rsidR="00733DAC" w14:paraId="07EB5881" w14:textId="77777777" w:rsidTr="00733DAC"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CA80" w14:textId="4497E244" w:rsidR="00733DAC" w:rsidRDefault="00733DAC" w:rsidP="00733DAC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丹麥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9100" w14:textId="74B08BAC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9AA0" w14:textId="6E073D67" w:rsidR="00733DAC" w:rsidRPr="00733DAC" w:rsidRDefault="00733DAC" w:rsidP="00733DAC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 w:rsidRPr="00733DAC">
              <w:rPr>
                <w:rFonts w:cs="Times New Roman" w:hint="eastAsia"/>
                <w:sz w:val="24"/>
                <w:szCs w:val="24"/>
              </w:rPr>
              <w:t>220</w:t>
            </w:r>
            <w:r w:rsidRPr="00733DAC">
              <w:rPr>
                <w:rFonts w:cs="Times New Roman"/>
                <w:sz w:val="24"/>
                <w:szCs w:val="24"/>
              </w:rPr>
              <w:t>,</w:t>
            </w:r>
            <w:r w:rsidRPr="00733DAC">
              <w:rPr>
                <w:rFonts w:cs="Times New Roman" w:hint="eastAsia"/>
                <w:sz w:val="24"/>
                <w:szCs w:val="24"/>
              </w:rPr>
              <w:t>774</w:t>
            </w:r>
            <w:r w:rsidRPr="00733DA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50095B5" w14:textId="34F66161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/>
              </w:rPr>
              <w:t>(2.62)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39B0" w14:textId="3D4D11FE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2,096,689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F55E" w14:textId="294EBE17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-1,875,915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0E96" w14:textId="4A9EF2DE" w:rsidR="00733DAC" w:rsidRPr="00733DAC" w:rsidRDefault="00733DAC" w:rsidP="00733DAC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33DAC">
              <w:rPr>
                <w:rFonts w:ascii="標楷體" w:eastAsia="標楷體" w:hAnsi="標楷體" w:cs="Calibri"/>
              </w:rPr>
              <w:t>-89.47%</w:t>
            </w:r>
          </w:p>
        </w:tc>
      </w:tr>
      <w:tr w:rsidR="00B3774D" w14:paraId="542058A2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EF54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77F52700" w14:textId="4F323AAD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BC75D1"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月僑外投資前五大業別統計表</w:t>
      </w:r>
    </w:p>
    <w:p w14:paraId="12E6174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753"/>
        <w:gridCol w:w="1391"/>
        <w:gridCol w:w="1296"/>
        <w:gridCol w:w="1527"/>
        <w:gridCol w:w="1176"/>
      </w:tblGrid>
      <w:tr w:rsidR="00B3774D" w14:paraId="50DCB6D4" w14:textId="77777777">
        <w:tc>
          <w:tcPr>
            <w:tcW w:w="2231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9E0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63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B5A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C793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A4C0834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667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4E421A25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10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D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BCFE8B4" w14:textId="77777777" w:rsidTr="00A91947">
        <w:tc>
          <w:tcPr>
            <w:tcW w:w="2231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C6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B001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087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22A9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E48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0E4F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A91947" w14:paraId="59D4C005" w14:textId="77777777" w:rsidTr="00A91947"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32E7" w14:textId="77777777" w:rsidR="00A91947" w:rsidRDefault="00A91947" w:rsidP="00A91947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電子零組件製造業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CF51" w14:textId="2087810A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17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1297" w14:textId="425951C6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hint="eastAsia"/>
              </w:rPr>
              <w:t>4</w:t>
            </w:r>
            <w:r w:rsidR="008800AE">
              <w:rPr>
                <w:rFonts w:ascii="標楷體" w:eastAsia="標楷體" w:hAnsi="標楷體"/>
              </w:rPr>
              <w:t>,</w:t>
            </w:r>
            <w:r w:rsidRPr="00A91947">
              <w:rPr>
                <w:rFonts w:ascii="標楷體" w:eastAsia="標楷體" w:hAnsi="標楷體" w:hint="eastAsia"/>
              </w:rPr>
              <w:t>514</w:t>
            </w:r>
            <w:r w:rsidR="008800AE">
              <w:rPr>
                <w:rFonts w:ascii="標楷體" w:eastAsia="標楷體" w:hAnsi="標楷體"/>
              </w:rPr>
              <w:t>,</w:t>
            </w:r>
            <w:r w:rsidRPr="00A91947">
              <w:rPr>
                <w:rFonts w:ascii="標楷體" w:eastAsia="標楷體" w:hAnsi="標楷體" w:hint="eastAsia"/>
              </w:rPr>
              <w:t>489</w:t>
            </w:r>
            <w:r w:rsidRPr="00A91947">
              <w:rPr>
                <w:rFonts w:ascii="標楷體" w:eastAsia="標楷體" w:hAnsi="標楷體"/>
              </w:rPr>
              <w:t xml:space="preserve"> (53.53)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597" w14:textId="7085C220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200,503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9B5" w14:textId="70041E91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4,313,986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FC60" w14:textId="7BA7820E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2151.58%</w:t>
            </w:r>
          </w:p>
        </w:tc>
      </w:tr>
      <w:tr w:rsidR="00A91947" w14:paraId="09BAC257" w14:textId="77777777" w:rsidTr="00A91947"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7527" w14:textId="77777777" w:rsidR="00A91947" w:rsidRDefault="00A91947" w:rsidP="00A91947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金融及保險業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443D" w14:textId="639FB7F7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78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C7A7" w14:textId="429E51D9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hint="eastAsia"/>
              </w:rPr>
              <w:t>1</w:t>
            </w:r>
            <w:r w:rsidR="008800AE">
              <w:rPr>
                <w:rFonts w:ascii="標楷體" w:eastAsia="標楷體" w:hAnsi="標楷體"/>
              </w:rPr>
              <w:t>,</w:t>
            </w:r>
            <w:r w:rsidRPr="00A91947">
              <w:rPr>
                <w:rFonts w:ascii="標楷體" w:eastAsia="標楷體" w:hAnsi="標楷體" w:hint="eastAsia"/>
              </w:rPr>
              <w:t>986</w:t>
            </w:r>
            <w:r w:rsidR="008800AE">
              <w:rPr>
                <w:rFonts w:ascii="標楷體" w:eastAsia="標楷體" w:hAnsi="標楷體"/>
              </w:rPr>
              <w:t>,</w:t>
            </w:r>
            <w:r w:rsidRPr="00A91947">
              <w:rPr>
                <w:rFonts w:ascii="標楷體" w:eastAsia="標楷體" w:hAnsi="標楷體" w:hint="eastAsia"/>
              </w:rPr>
              <w:t>565</w:t>
            </w:r>
            <w:r w:rsidRPr="00A91947">
              <w:rPr>
                <w:rFonts w:ascii="標楷體" w:eastAsia="標楷體" w:hAnsi="標楷體"/>
              </w:rPr>
              <w:t xml:space="preserve"> (23.56)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364C" w14:textId="6B1052D4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3,709,822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D946" w14:textId="6A5F0B5C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-1,723,257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4034" w14:textId="4D305073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-46.45%</w:t>
            </w:r>
          </w:p>
        </w:tc>
      </w:tr>
      <w:tr w:rsidR="00A91947" w14:paraId="390560D4" w14:textId="77777777" w:rsidTr="00A91947"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46F7" w14:textId="77777777" w:rsidR="00A91947" w:rsidRDefault="00A91947" w:rsidP="00A91947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專業、科學及技術服務業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6E3" w14:textId="10027A08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155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FE2E" w14:textId="4EB6D39D" w:rsidR="00A91947" w:rsidRPr="00A91947" w:rsidRDefault="00A91947" w:rsidP="00A91947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 w:rsidRPr="00A91947">
              <w:rPr>
                <w:rFonts w:cs="Times New Roman" w:hint="eastAsia"/>
                <w:sz w:val="24"/>
                <w:szCs w:val="24"/>
              </w:rPr>
              <w:t>508</w:t>
            </w:r>
            <w:r w:rsidR="008800AE">
              <w:rPr>
                <w:rFonts w:cs="Times New Roman"/>
                <w:sz w:val="24"/>
                <w:szCs w:val="24"/>
              </w:rPr>
              <w:t>,</w:t>
            </w:r>
            <w:r w:rsidRPr="00A91947">
              <w:rPr>
                <w:rFonts w:cs="Times New Roman" w:hint="eastAsia"/>
                <w:sz w:val="24"/>
                <w:szCs w:val="24"/>
              </w:rPr>
              <w:t>496</w:t>
            </w:r>
            <w:r w:rsidRPr="00A9194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E6E21FF" w14:textId="390850A0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/>
              </w:rPr>
              <w:t>(6.03)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1412" w14:textId="66F76B6F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97,678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C79D" w14:textId="644E37A0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410,818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A0B" w14:textId="7BD99E01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420.59%</w:t>
            </w:r>
          </w:p>
        </w:tc>
      </w:tr>
      <w:tr w:rsidR="00A91947" w14:paraId="4C2AFF46" w14:textId="77777777" w:rsidTr="00A91947"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DC6" w14:textId="77777777" w:rsidR="00A91947" w:rsidRDefault="00A91947" w:rsidP="00A91947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批發及零售業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06B7" w14:textId="6C107C1C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323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992E" w14:textId="56E10972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hint="eastAsia"/>
              </w:rPr>
              <w:t>504</w:t>
            </w:r>
            <w:r w:rsidR="008800AE">
              <w:rPr>
                <w:rFonts w:ascii="標楷體" w:eastAsia="標楷體" w:hAnsi="標楷體"/>
              </w:rPr>
              <w:t>,</w:t>
            </w:r>
            <w:r w:rsidRPr="00A91947">
              <w:rPr>
                <w:rFonts w:ascii="標楷體" w:eastAsia="標楷體" w:hAnsi="標楷體" w:hint="eastAsia"/>
              </w:rPr>
              <w:t>681</w:t>
            </w:r>
            <w:r w:rsidRPr="00A91947">
              <w:rPr>
                <w:rFonts w:ascii="標楷體" w:eastAsia="標楷體" w:hAnsi="標楷體"/>
              </w:rPr>
              <w:t xml:space="preserve"> </w:t>
            </w:r>
          </w:p>
          <w:p w14:paraId="33B45FB9" w14:textId="1235C2BB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/>
              </w:rPr>
              <w:t xml:space="preserve">(5.98) 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0C3B" w14:textId="312A759D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464,590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0CFA" w14:textId="2DB13599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40,092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889E" w14:textId="0288AFD6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8.63%</w:t>
            </w:r>
          </w:p>
        </w:tc>
      </w:tr>
      <w:tr w:rsidR="00A91947" w14:paraId="7BC3CA85" w14:textId="77777777" w:rsidTr="00A91947"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D28" w14:textId="1B320974" w:rsidR="00A91947" w:rsidRDefault="00A91947" w:rsidP="00A91947">
            <w:pPr>
              <w:spacing w:after="0" w:line="380" w:lineRule="exact"/>
              <w:jc w:val="both"/>
              <w:rPr>
                <w:rFonts w:hint="eastAsia"/>
              </w:rPr>
            </w:pPr>
            <w:r w:rsidRPr="00BC75D1">
              <w:rPr>
                <w:rFonts w:ascii="Times New Roman" w:eastAsia="標楷體" w:hAnsi="Times New Roman" w:hint="eastAsia"/>
              </w:rPr>
              <w:t>資訊及通訊傳播業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F15F" w14:textId="0183D141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108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9B2F" w14:textId="12344B56" w:rsidR="00A91947" w:rsidRPr="00A91947" w:rsidRDefault="00A91947" w:rsidP="00A91947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 w:rsidRPr="00A91947">
              <w:rPr>
                <w:rFonts w:cs="Times New Roman" w:hint="eastAsia"/>
                <w:sz w:val="24"/>
                <w:szCs w:val="24"/>
              </w:rPr>
              <w:t>366</w:t>
            </w:r>
            <w:r w:rsidR="008800AE">
              <w:rPr>
                <w:rFonts w:cs="Times New Roman"/>
                <w:sz w:val="24"/>
                <w:szCs w:val="24"/>
              </w:rPr>
              <w:t>,</w:t>
            </w:r>
            <w:r w:rsidRPr="00A91947">
              <w:rPr>
                <w:rFonts w:cs="Times New Roman" w:hint="eastAsia"/>
                <w:sz w:val="24"/>
                <w:szCs w:val="24"/>
              </w:rPr>
              <w:t>689</w:t>
            </w:r>
            <w:r w:rsidRPr="00A9194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E373376" w14:textId="6252E542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/>
              </w:rPr>
              <w:t>(4.35)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2A76" w14:textId="1A9E6896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373,888</w:t>
            </w:r>
          </w:p>
        </w:tc>
        <w:tc>
          <w:tcPr>
            <w:tcW w:w="153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9642" w14:textId="18F58FAE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-7,198</w:t>
            </w:r>
          </w:p>
        </w:tc>
        <w:tc>
          <w:tcPr>
            <w:tcW w:w="107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2DF3" w14:textId="4D0471FD" w:rsidR="00A91947" w:rsidRPr="00A91947" w:rsidRDefault="00A91947" w:rsidP="00A91947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91947">
              <w:rPr>
                <w:rFonts w:ascii="標楷體" w:eastAsia="標楷體" w:hAnsi="標楷體" w:cs="Calibri"/>
              </w:rPr>
              <w:t>-1.93%</w:t>
            </w:r>
          </w:p>
        </w:tc>
      </w:tr>
      <w:tr w:rsidR="00B3774D" w14:paraId="477D991E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4B47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3867E1D3" w14:textId="77777777" w:rsidR="00A10636" w:rsidRDefault="00A10636">
      <w:pPr>
        <w:rPr>
          <w:rFonts w:hint="eastAsia"/>
        </w:rPr>
        <w:sectPr w:rsidR="00A10636"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</w:p>
    <w:p w14:paraId="044F31E6" w14:textId="77777777" w:rsidR="00B3774D" w:rsidRDefault="009569B3">
      <w:pPr>
        <w:widowControl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</w:t>
      </w:r>
    </w:p>
    <w:p w14:paraId="6D39FAA7" w14:textId="1D5763F5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D1615A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月單月核准陸資投資件數為</w:t>
      </w:r>
      <w:r w:rsidR="00D1615A"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 w:rsidR="00D1615A"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D1615A">
        <w:rPr>
          <w:rFonts w:ascii="Times New Roman" w:eastAsia="標楷體" w:hAnsi="Times New Roman" w:hint="eastAsia"/>
          <w:sz w:val="32"/>
          <w:szCs w:val="32"/>
        </w:rPr>
        <w:t>3,</w:t>
      </w:r>
      <w:r w:rsidR="00D1615A">
        <w:rPr>
          <w:rFonts w:ascii="Times New Roman" w:eastAsia="標楷體" w:hAnsi="Times New Roman"/>
          <w:sz w:val="32"/>
          <w:szCs w:val="32"/>
        </w:rPr>
        <w:t>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D1615A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月核准陸資來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投資件數為</w:t>
      </w:r>
      <w:r w:rsidR="00D1615A">
        <w:rPr>
          <w:rFonts w:ascii="Times New Roman" w:eastAsia="標楷體" w:hAnsi="Times New Roman"/>
          <w:sz w:val="32"/>
          <w:szCs w:val="32"/>
        </w:rPr>
        <w:t>8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</w:t>
      </w:r>
      <w:r w:rsidR="00D1615A">
        <w:rPr>
          <w:rFonts w:ascii="Times New Roman" w:eastAsia="標楷體" w:hAnsi="Times New Roman"/>
          <w:sz w:val="32"/>
          <w:szCs w:val="32"/>
        </w:rPr>
        <w:t>13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D1615A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元，較上年減少</w:t>
      </w:r>
      <w:r>
        <w:rPr>
          <w:rFonts w:ascii="Times New Roman" w:eastAsia="標楷體" w:hAnsi="Times New Roman"/>
          <w:sz w:val="32"/>
          <w:szCs w:val="32"/>
        </w:rPr>
        <w:t>98.8</w:t>
      </w:r>
      <w:r w:rsidR="00D1615A"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6451B80D" w14:textId="1D7FD4C4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 xml:space="preserve">3   </w:t>
      </w:r>
      <w:r>
        <w:rPr>
          <w:rFonts w:ascii="Times New Roman" w:eastAsia="標楷體" w:hAnsi="Times New Roman"/>
          <w:sz w:val="28"/>
          <w:szCs w:val="28"/>
        </w:rPr>
        <w:t>截至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 w:rsidR="006E34FF"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月陸資來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投資業別統計表</w:t>
      </w:r>
    </w:p>
    <w:p w14:paraId="2E0EAD68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276"/>
        <w:gridCol w:w="1559"/>
        <w:gridCol w:w="1213"/>
      </w:tblGrid>
      <w:tr w:rsidR="00B3774D" w14:paraId="0B56AC8A" w14:textId="77777777">
        <w:trPr>
          <w:trHeight w:val="574"/>
        </w:trPr>
        <w:tc>
          <w:tcPr>
            <w:tcW w:w="2689" w:type="dxa"/>
            <w:tcBorders>
              <w:top w:val="single" w:sz="4" w:space="0" w:color="E97132"/>
              <w:left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2AB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E109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276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A5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DDC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213" w:type="dxa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54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</w:tr>
      <w:tr w:rsidR="006E34FF" w14:paraId="1115919D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D226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電子零組件製造業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AF22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67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6F16" w14:textId="2C78C7AE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4.06%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809F" w14:textId="4DEC5EB9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782,846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47AC" w14:textId="5026D834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26.12%</w:t>
            </w:r>
          </w:p>
        </w:tc>
      </w:tr>
      <w:tr w:rsidR="006E34FF" w14:paraId="63750817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FEE4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批發及零售業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35E9" w14:textId="6E27D56E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1,098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179E" w14:textId="47A17077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66.59%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D86C" w14:textId="012A0102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767,648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80C5" w14:textId="078E30B0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25.61%</w:t>
            </w:r>
          </w:p>
        </w:tc>
      </w:tr>
      <w:tr w:rsidR="006E34FF" w14:paraId="6A997315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4462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銀行業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17E7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CA83" w14:textId="00398865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0.18%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FC60" w14:textId="3511C316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201,441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C139" w14:textId="1BA1FB58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6.72%</w:t>
            </w:r>
          </w:p>
        </w:tc>
      </w:tr>
      <w:tr w:rsidR="006E34FF" w14:paraId="6129911C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E27E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資訊軟體服務業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CAE6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115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C34" w14:textId="5C29C941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6.97%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07C8" w14:textId="79612647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153,977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42AC" w14:textId="51A13FCD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5.14%</w:t>
            </w:r>
          </w:p>
        </w:tc>
      </w:tr>
      <w:tr w:rsidR="006E34FF" w14:paraId="7712537F" w14:textId="77777777"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BABD" w14:textId="77777777" w:rsidR="006E34FF" w:rsidRDefault="006E34FF" w:rsidP="006E34FF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港埠業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6CA" w14:textId="77777777" w:rsidR="006E34FF" w:rsidRDefault="006E34FF" w:rsidP="006E34FF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8AB6" w14:textId="180954F7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0.06%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553" w14:textId="4FF7E022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139,108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E8B5" w14:textId="082469B4" w:rsidR="006E34FF" w:rsidRPr="006E34FF" w:rsidRDefault="006E34FF" w:rsidP="006E34F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6E34FF">
              <w:rPr>
                <w:rFonts w:ascii="標楷體" w:eastAsia="標楷體" w:hAnsi="標楷體" w:cs="Calibri" w:hint="eastAsia"/>
              </w:rPr>
              <w:t>4.64%</w:t>
            </w:r>
          </w:p>
        </w:tc>
      </w:tr>
    </w:tbl>
    <w:p w14:paraId="151A3722" w14:textId="77777777" w:rsidR="00B3774D" w:rsidRDefault="009569B3">
      <w:pPr>
        <w:spacing w:after="0" w:line="380" w:lineRule="exact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註</w:t>
      </w:r>
      <w:proofErr w:type="gramEnd"/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98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日起開放陸資來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投資</w:t>
      </w:r>
    </w:p>
    <w:p w14:paraId="29C1E0E7" w14:textId="77777777" w:rsidR="00B3774D" w:rsidRDefault="00B3774D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0DDDD7AF" w14:textId="77777777" w:rsidR="00B3774D" w:rsidRDefault="00B3774D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12A81F48" w14:textId="3CA52256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貳、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 w:rsidR="00FB694C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月整體對外投資情形</w:t>
      </w:r>
    </w:p>
    <w:p w14:paraId="56C4C44D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對外投資</w:t>
      </w:r>
    </w:p>
    <w:p w14:paraId="55ABB22F" w14:textId="329B14D8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FB694C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月份單月核准（備）對外投資件數為</w:t>
      </w:r>
      <w:r w:rsidR="00FB694C">
        <w:rPr>
          <w:rFonts w:ascii="Times New Roman" w:eastAsia="標楷體" w:hAnsi="Times New Roman"/>
          <w:sz w:val="32"/>
          <w:szCs w:val="32"/>
        </w:rPr>
        <w:t>64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15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FB694C"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,</w:t>
      </w:r>
      <w:r w:rsidR="00FB694C">
        <w:rPr>
          <w:rFonts w:ascii="Times New Roman" w:eastAsia="標楷體" w:hAnsi="Times New Roman"/>
          <w:sz w:val="32"/>
          <w:szCs w:val="32"/>
        </w:rPr>
        <w:t>653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FB694C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FB694C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月核准（備）對外投資件數為</w:t>
      </w:r>
      <w:r w:rsidR="00FB694C">
        <w:rPr>
          <w:rFonts w:ascii="Times New Roman" w:eastAsia="標楷體" w:hAnsi="Times New Roman"/>
          <w:sz w:val="32"/>
          <w:szCs w:val="32"/>
        </w:rPr>
        <w:t>271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3</w:t>
      </w:r>
      <w:r w:rsidR="00FB694C">
        <w:rPr>
          <w:rFonts w:ascii="Times New Roman" w:eastAsia="標楷體" w:hAnsi="Times New Roman"/>
          <w:sz w:val="32"/>
          <w:szCs w:val="32"/>
        </w:rPr>
        <w:t>56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FB694C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</w:t>
      </w:r>
      <w:r w:rsidR="00FB694C">
        <w:rPr>
          <w:rFonts w:ascii="Times New Roman" w:eastAsia="標楷體" w:hAnsi="Times New Roman"/>
          <w:sz w:val="32"/>
          <w:szCs w:val="32"/>
        </w:rPr>
        <w:t>109</w:t>
      </w:r>
      <w:r>
        <w:rPr>
          <w:rFonts w:ascii="Times New Roman" w:eastAsia="標楷體" w:hAnsi="Times New Roman"/>
          <w:sz w:val="32"/>
          <w:szCs w:val="32"/>
        </w:rPr>
        <w:t>萬元，較上年同期增加</w:t>
      </w:r>
      <w:r>
        <w:rPr>
          <w:rFonts w:ascii="Times New Roman" w:eastAsia="標楷體" w:hAnsi="Times New Roman"/>
          <w:sz w:val="32"/>
          <w:szCs w:val="32"/>
        </w:rPr>
        <w:t>1</w:t>
      </w:r>
      <w:r w:rsidR="00FB694C">
        <w:rPr>
          <w:rFonts w:ascii="Times New Roman" w:eastAsia="標楷體" w:hAnsi="Times New Roman"/>
          <w:sz w:val="32"/>
          <w:szCs w:val="32"/>
        </w:rPr>
        <w:t>33.94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，主要係因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29641F">
        <w:rPr>
          <w:rFonts w:ascii="Times New Roman" w:eastAsia="標楷體" w:hAnsi="Times New Roman" w:hint="eastAsia"/>
          <w:sz w:val="32"/>
          <w:szCs w:val="32"/>
        </w:rPr>
        <w:t>1-5</w:t>
      </w:r>
      <w:r>
        <w:rPr>
          <w:rFonts w:ascii="Times New Roman" w:eastAsia="標楷體" w:hAnsi="Times New Roman"/>
          <w:sz w:val="32"/>
          <w:szCs w:val="32"/>
        </w:rPr>
        <w:t>月核准台灣積體電路製造股份有限公司以美金</w:t>
      </w:r>
      <w:r>
        <w:rPr>
          <w:rFonts w:ascii="Times New Roman" w:eastAsia="標楷體" w:hAnsi="Times New Roman"/>
          <w:sz w:val="32"/>
          <w:szCs w:val="32"/>
        </w:rPr>
        <w:t>300</w:t>
      </w:r>
      <w:r>
        <w:rPr>
          <w:rFonts w:ascii="Times New Roman" w:eastAsia="標楷體" w:hAnsi="Times New Roman"/>
          <w:sz w:val="32"/>
          <w:szCs w:val="32"/>
        </w:rPr>
        <w:t>億元增資英屬維京群島</w:t>
      </w:r>
      <w:r>
        <w:rPr>
          <w:rFonts w:ascii="Times New Roman" w:eastAsia="標楷體" w:hAnsi="Times New Roman"/>
          <w:sz w:val="32"/>
          <w:szCs w:val="32"/>
        </w:rPr>
        <w:t>TSMC GLOBAL LTD.</w:t>
      </w:r>
      <w:r w:rsidR="0029641F">
        <w:rPr>
          <w:rFonts w:ascii="Times New Roman" w:eastAsia="標楷體" w:hAnsi="Times New Roman" w:hint="eastAsia"/>
          <w:sz w:val="32"/>
          <w:szCs w:val="32"/>
        </w:rPr>
        <w:t>、</w:t>
      </w:r>
      <w:proofErr w:type="gramStart"/>
      <w:r w:rsidR="0029641F" w:rsidRPr="00860C0E">
        <w:rPr>
          <w:rFonts w:eastAsia="標楷體" w:hint="eastAsia"/>
          <w:color w:val="000000"/>
          <w:sz w:val="32"/>
          <w:szCs w:val="32"/>
        </w:rPr>
        <w:t>緯穎科技</w:t>
      </w:r>
      <w:proofErr w:type="gramEnd"/>
      <w:r w:rsidR="0029641F" w:rsidRPr="00860C0E">
        <w:rPr>
          <w:rFonts w:eastAsia="標楷體" w:hint="eastAsia"/>
          <w:color w:val="000000"/>
          <w:sz w:val="32"/>
          <w:szCs w:val="32"/>
        </w:rPr>
        <w:t>服務股份有</w:t>
      </w:r>
      <w:r w:rsidR="0029641F" w:rsidRPr="00860C0E">
        <w:rPr>
          <w:rFonts w:eastAsia="標楷體" w:hint="eastAsia"/>
          <w:color w:val="000000"/>
          <w:sz w:val="32"/>
          <w:szCs w:val="32"/>
        </w:rPr>
        <w:lastRenderedPageBreak/>
        <w:t>限公司以美金</w:t>
      </w:r>
      <w:r w:rsidR="0029641F" w:rsidRPr="00D910E8">
        <w:rPr>
          <w:rFonts w:ascii="Times New Roman" w:eastAsia="標楷體" w:hAnsi="Times New Roman" w:hint="eastAsia"/>
          <w:sz w:val="32"/>
          <w:szCs w:val="32"/>
        </w:rPr>
        <w:t>5</w:t>
      </w:r>
      <w:r w:rsidR="0029641F" w:rsidRPr="00860C0E">
        <w:rPr>
          <w:rFonts w:eastAsia="標楷體" w:hint="eastAsia"/>
          <w:color w:val="000000"/>
          <w:sz w:val="32"/>
          <w:szCs w:val="32"/>
        </w:rPr>
        <w:t>億元增資美國</w:t>
      </w:r>
      <w:r w:rsidR="0029641F" w:rsidRPr="0029641F">
        <w:rPr>
          <w:rFonts w:ascii="Times New Roman" w:eastAsia="標楷體" w:hAnsi="Times New Roman" w:hint="eastAsia"/>
          <w:sz w:val="32"/>
          <w:szCs w:val="32"/>
        </w:rPr>
        <w:t>WIWYNN INTERNATIONAL CORPORATION</w:t>
      </w:r>
      <w:r w:rsidR="0029641F">
        <w:rPr>
          <w:rFonts w:eastAsia="標楷體" w:hint="eastAsia"/>
          <w:color w:val="000000"/>
          <w:sz w:val="32"/>
          <w:szCs w:val="32"/>
        </w:rPr>
        <w:t>及</w:t>
      </w:r>
      <w:r w:rsidR="00106EF9" w:rsidRPr="00106EF9">
        <w:rPr>
          <w:rFonts w:eastAsia="標楷體" w:hint="eastAsia"/>
          <w:color w:val="000000"/>
          <w:sz w:val="32"/>
          <w:szCs w:val="32"/>
        </w:rPr>
        <w:t>華碩電腦股份有限公司以美金</w:t>
      </w:r>
      <w:r w:rsidR="00106EF9" w:rsidRPr="00106EF9">
        <w:rPr>
          <w:rFonts w:ascii="Times New Roman" w:eastAsia="標楷體" w:hAnsi="Times New Roman"/>
          <w:color w:val="000000"/>
          <w:sz w:val="32"/>
          <w:szCs w:val="32"/>
        </w:rPr>
        <w:t>5</w:t>
      </w:r>
      <w:r w:rsidR="00106EF9" w:rsidRPr="00106EF9">
        <w:rPr>
          <w:rFonts w:eastAsia="標楷體" w:hint="eastAsia"/>
          <w:color w:val="000000"/>
          <w:sz w:val="32"/>
          <w:szCs w:val="32"/>
        </w:rPr>
        <w:t>億元增資新加坡</w:t>
      </w:r>
      <w:r w:rsidR="00106EF9" w:rsidRPr="00106EF9">
        <w:rPr>
          <w:rFonts w:ascii="Times New Roman" w:eastAsia="標楷體" w:hAnsi="Times New Roman"/>
          <w:color w:val="000000"/>
          <w:sz w:val="32"/>
          <w:szCs w:val="32"/>
        </w:rPr>
        <w:t>ASUS GLOBAL PTE. LTD.</w:t>
      </w:r>
      <w:r>
        <w:rPr>
          <w:rFonts w:ascii="Times New Roman" w:eastAsia="標楷體" w:hAnsi="Times New Roman"/>
          <w:sz w:val="32"/>
          <w:szCs w:val="32"/>
        </w:rPr>
        <w:t>所致。</w:t>
      </w:r>
    </w:p>
    <w:p w14:paraId="36DFAAB6" w14:textId="046956C5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A06D42"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月對外投資前五大地區統計表</w:t>
      </w:r>
    </w:p>
    <w:p w14:paraId="3DA4E8B3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766"/>
        <w:gridCol w:w="1416"/>
        <w:gridCol w:w="1416"/>
        <w:gridCol w:w="1416"/>
        <w:gridCol w:w="1291"/>
      </w:tblGrid>
      <w:tr w:rsidR="00B3774D" w14:paraId="639FA437" w14:textId="77777777">
        <w:tc>
          <w:tcPr>
            <w:tcW w:w="2182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FA0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804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116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3FB6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5088F1C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73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004B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1650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21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F3F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5BE35127" w14:textId="77777777">
        <w:tc>
          <w:tcPr>
            <w:tcW w:w="2182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C4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804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3E8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2B0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3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28F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7F5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982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AA7F05" w14:paraId="66F4C241" w14:textId="77777777"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2839" w14:textId="77777777" w:rsidR="00AA7F05" w:rsidRDefault="00AA7F05" w:rsidP="00AA7F05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加勒比海英國屬地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F17E" w14:textId="55C819DA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30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02FA" w14:textId="77777777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>30,808,263</w:t>
            </w:r>
          </w:p>
          <w:p w14:paraId="5FF93FFE" w14:textId="2E83F4E8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/>
                <w:color w:val="000000"/>
              </w:rPr>
              <w:t xml:space="preserve"> </w:t>
            </w:r>
            <w:r w:rsidRPr="00AA7F05">
              <w:rPr>
                <w:rFonts w:ascii="標楷體" w:eastAsia="標楷體" w:hAnsi="標楷體"/>
              </w:rPr>
              <w:t>(86.51)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EF94" w14:textId="1872994A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10,472,656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E7B7" w14:textId="6FA152F8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20,335,606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4780" w14:textId="5A50E9E9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194.18%</w:t>
            </w:r>
          </w:p>
        </w:tc>
      </w:tr>
      <w:tr w:rsidR="00AA7F05" w14:paraId="080DC3F8" w14:textId="77777777"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1FC3" w14:textId="4404EAAF" w:rsidR="00AA7F05" w:rsidRDefault="00AA7F05" w:rsidP="00AA7F05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美國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81D" w14:textId="7BCE6FEF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50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FDD4" w14:textId="77777777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>1,382,465</w:t>
            </w:r>
          </w:p>
          <w:p w14:paraId="72CEE611" w14:textId="3D6023BB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/>
                <w:color w:val="000000"/>
              </w:rPr>
              <w:t xml:space="preserve"> </w:t>
            </w:r>
            <w:r w:rsidRPr="00AA7F05">
              <w:rPr>
                <w:rFonts w:ascii="標楷體" w:eastAsia="標楷體" w:hAnsi="標楷體"/>
              </w:rPr>
              <w:t>(3.88)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999" w14:textId="0EA7B106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1,100,749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E9F4" w14:textId="54683294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281,715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1866" w14:textId="2C4A45D7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25.59%</w:t>
            </w:r>
          </w:p>
        </w:tc>
      </w:tr>
      <w:tr w:rsidR="00AA7F05" w14:paraId="6504F84E" w14:textId="77777777"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BC71" w14:textId="6EF53433" w:rsidR="00AA7F05" w:rsidRDefault="00AA7F05" w:rsidP="00AA7F05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新加坡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E921" w14:textId="26990C28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22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8C08" w14:textId="7610172B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>1,037,895</w:t>
            </w:r>
            <w:r w:rsidRPr="00AA7F05">
              <w:rPr>
                <w:rFonts w:ascii="標楷體" w:eastAsia="標楷體" w:hAnsi="標楷體"/>
              </w:rPr>
              <w:t xml:space="preserve"> </w:t>
            </w:r>
          </w:p>
          <w:p w14:paraId="2194B7BF" w14:textId="256A14D5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/>
              </w:rPr>
              <w:t>(2.91)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CDA3" w14:textId="41DBA9A3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62,185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C958" w14:textId="78A563A7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975,710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1AB9" w14:textId="4A700CD1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1569.04%</w:t>
            </w:r>
          </w:p>
        </w:tc>
      </w:tr>
      <w:tr w:rsidR="00AA7F05" w14:paraId="39F35736" w14:textId="77777777"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C505" w14:textId="4FE06B82" w:rsidR="00AA7F05" w:rsidRDefault="00AA7F05" w:rsidP="00AA7F05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英屬澤西島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0DE3" w14:textId="7B0D2912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725D" w14:textId="7EA52812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 xml:space="preserve">412,008 </w:t>
            </w:r>
          </w:p>
          <w:p w14:paraId="7F263CC3" w14:textId="37DBF21C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>(1.16)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304" w14:textId="2534157C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AC2A" w14:textId="700EFA47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412,008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768A" w14:textId="0435D610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-</w:t>
            </w:r>
          </w:p>
        </w:tc>
      </w:tr>
      <w:tr w:rsidR="00AA7F05" w14:paraId="193C27DA" w14:textId="77777777"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8C9B" w14:textId="77777777" w:rsidR="00AA7F05" w:rsidRDefault="00AA7F05" w:rsidP="00AA7F05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泰國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F5EB" w14:textId="2FE60591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18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0985" w14:textId="635F501C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 xml:space="preserve">370,590 </w:t>
            </w:r>
          </w:p>
          <w:p w14:paraId="57EC024A" w14:textId="46DFACEA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A7F05">
              <w:rPr>
                <w:rFonts w:ascii="標楷體" w:eastAsia="標楷體" w:hAnsi="標楷體" w:cs="Calibri"/>
              </w:rPr>
              <w:t>(1.04)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BBF5" w14:textId="62CF7799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432,896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F22" w14:textId="5311B09E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-62,306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4FFB" w14:textId="7A6C1A03" w:rsidR="00AA7F05" w:rsidRPr="00AA7F05" w:rsidRDefault="00AA7F05" w:rsidP="00AA7F05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A7F05">
              <w:rPr>
                <w:rFonts w:ascii="標楷體" w:eastAsia="標楷體" w:hAnsi="標楷體" w:cs="Calibri"/>
              </w:rPr>
              <w:t>-14.39%</w:t>
            </w:r>
          </w:p>
        </w:tc>
      </w:tr>
      <w:tr w:rsidR="00B3774D" w14:paraId="0B97FAC2" w14:textId="77777777"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9D9A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607BA7D6" w14:textId="493E1D7B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7F5CFE"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月對外投資前五大業別統計表</w:t>
      </w:r>
    </w:p>
    <w:p w14:paraId="02E2A1E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62"/>
        <w:gridCol w:w="1416"/>
        <w:gridCol w:w="1416"/>
        <w:gridCol w:w="1416"/>
        <w:gridCol w:w="1286"/>
      </w:tblGrid>
      <w:tr w:rsidR="00B3774D" w14:paraId="07204816" w14:textId="77777777">
        <w:trPr>
          <w:jc w:val="center"/>
        </w:trPr>
        <w:tc>
          <w:tcPr>
            <w:tcW w:w="2161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B04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99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3E5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FA21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758B2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3C55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37A323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3230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E305121" w14:textId="77777777">
        <w:trPr>
          <w:jc w:val="center"/>
        </w:trPr>
        <w:tc>
          <w:tcPr>
            <w:tcW w:w="2161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36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99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9F2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60E2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885B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E51F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BCD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7F5CFE" w14:paraId="00D35151" w14:textId="77777777"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54B4" w14:textId="77777777" w:rsidR="007F5CFE" w:rsidRDefault="007F5CFE" w:rsidP="007F5CFE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金融及保險業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3EA7" w14:textId="1B367FC1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47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1CEA" w14:textId="77777777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>31,693,473</w:t>
            </w:r>
          </w:p>
          <w:p w14:paraId="29036E87" w14:textId="45FC2F26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 xml:space="preserve"> (89)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ED11" w14:textId="36C68A71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11,594,305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453F" w14:textId="6C5DFF88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20,099,168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51D6" w14:textId="25E03040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173.35%</w:t>
            </w:r>
          </w:p>
        </w:tc>
      </w:tr>
      <w:tr w:rsidR="007F5CFE" w14:paraId="504C9E8B" w14:textId="77777777"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4A58" w14:textId="77777777" w:rsidR="007F5CFE" w:rsidRDefault="007F5CFE" w:rsidP="007F5CFE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批發及零售業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FB78" w14:textId="0431E376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73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C873" w14:textId="77777777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>1,506,888</w:t>
            </w:r>
          </w:p>
          <w:p w14:paraId="3667064F" w14:textId="15CB68ED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 xml:space="preserve"> (4.23)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C4C4" w14:textId="53A1ACFF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297,265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524B" w14:textId="6DE9141B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1,209,623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DED7" w14:textId="42E55F2F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406.92%</w:t>
            </w:r>
          </w:p>
        </w:tc>
      </w:tr>
      <w:tr w:rsidR="007F5CFE" w14:paraId="63D28F4A" w14:textId="77777777"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1C6E" w14:textId="77777777" w:rsidR="007F5CFE" w:rsidRDefault="007F5CFE" w:rsidP="007F5CFE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電子零組件製造業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6AF2" w14:textId="7515AF44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23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3518" w14:textId="77777777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>666,664</w:t>
            </w:r>
          </w:p>
          <w:p w14:paraId="6DC9AE96" w14:textId="47563D26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 xml:space="preserve"> (1.87)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A740" w14:textId="22207D55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1,737,172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3EB5" w14:textId="44B20A82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-1,070,508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745B" w14:textId="177BB12A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-61.62%</w:t>
            </w:r>
          </w:p>
        </w:tc>
      </w:tr>
      <w:tr w:rsidR="007F5CFE" w14:paraId="6B7A9D57" w14:textId="77777777"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E79F" w14:textId="77777777" w:rsidR="007F5CFE" w:rsidRDefault="007F5CFE" w:rsidP="007F5CFE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不動產業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7B28" w14:textId="642F1606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6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3720" w14:textId="77777777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>437,415</w:t>
            </w:r>
          </w:p>
          <w:p w14:paraId="35827071" w14:textId="61B8F5D2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 xml:space="preserve"> (1.23) 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80C1" w14:textId="14A2308E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56,912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6EC" w14:textId="4659697B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380,503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3A68" w14:textId="2DA1D97A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668.59%</w:t>
            </w:r>
          </w:p>
        </w:tc>
      </w:tr>
      <w:tr w:rsidR="007F5CFE" w14:paraId="3126DFA4" w14:textId="77777777"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12A8" w14:textId="77777777" w:rsidR="007F5CFE" w:rsidRDefault="007F5CFE" w:rsidP="007F5CFE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lastRenderedPageBreak/>
              <w:t>電腦、電子產品及光學製品製造業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A134" w14:textId="542684EC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17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307E" w14:textId="01A96DE7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 xml:space="preserve">335,024 </w:t>
            </w:r>
          </w:p>
          <w:p w14:paraId="1AE91B21" w14:textId="2145A118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7F5CFE">
              <w:rPr>
                <w:rFonts w:ascii="標楷體" w:eastAsia="標楷體" w:hAnsi="標楷體" w:cs="Calibri"/>
              </w:rPr>
              <w:t>(0.94)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9428" w14:textId="4AEAC642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456,558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B432" w14:textId="3402F6F6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-121,534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D121" w14:textId="695710EE" w:rsidR="007F5CFE" w:rsidRPr="007F5CFE" w:rsidRDefault="007F5CFE" w:rsidP="007F5CFE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7F5CFE">
              <w:rPr>
                <w:rFonts w:ascii="標楷體" w:eastAsia="標楷體" w:hAnsi="標楷體" w:cs="Calibri"/>
              </w:rPr>
              <w:t>-26.62%</w:t>
            </w:r>
          </w:p>
        </w:tc>
      </w:tr>
      <w:tr w:rsidR="00B3774D" w14:paraId="30595290" w14:textId="77777777">
        <w:trPr>
          <w:cantSplit/>
          <w:jc w:val="center"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6BC6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6DC12AA9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對中國大陸投資</w:t>
      </w:r>
    </w:p>
    <w:p w14:paraId="268E991F" w14:textId="5EBC19E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 w:rsidR="00A27192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月單月我對中國大陸投資件數為</w:t>
      </w:r>
      <w:r>
        <w:rPr>
          <w:rFonts w:ascii="Times New Roman" w:eastAsia="標楷體" w:hAnsi="Times New Roman"/>
          <w:sz w:val="32"/>
          <w:szCs w:val="32"/>
        </w:rPr>
        <w:t>2</w:t>
      </w:r>
      <w:r w:rsidR="00A27192"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 w:rsidR="00A27192"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,</w:t>
      </w:r>
      <w:r w:rsidR="00A27192">
        <w:rPr>
          <w:rFonts w:ascii="Times New Roman" w:eastAsia="標楷體" w:hAnsi="Times New Roman"/>
          <w:sz w:val="32"/>
          <w:szCs w:val="32"/>
        </w:rPr>
        <w:t>731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27192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</w:t>
      </w:r>
      <w:r w:rsidR="00A27192"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月核准對中國大陸投資件數為</w:t>
      </w:r>
      <w:r w:rsidR="00A27192">
        <w:rPr>
          <w:rFonts w:ascii="Times New Roman" w:eastAsia="標楷體" w:hAnsi="Times New Roman"/>
          <w:sz w:val="32"/>
          <w:szCs w:val="32"/>
        </w:rPr>
        <w:t>96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 w:rsidR="00A27192"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億</w:t>
      </w:r>
      <w:r w:rsidR="00A27192"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,</w:t>
      </w:r>
      <w:r w:rsidR="00A27192">
        <w:rPr>
          <w:rFonts w:ascii="Times New Roman" w:eastAsia="標楷體" w:hAnsi="Times New Roman"/>
          <w:sz w:val="32"/>
          <w:szCs w:val="32"/>
        </w:rPr>
        <w:t>029</w:t>
      </w:r>
      <w:r>
        <w:rPr>
          <w:rFonts w:ascii="Times New Roman" w:eastAsia="標楷體" w:hAnsi="Times New Roman"/>
          <w:sz w:val="32"/>
          <w:szCs w:val="32"/>
        </w:rPr>
        <w:t>萬</w:t>
      </w:r>
      <w:r w:rsidR="00A27192">
        <w:rPr>
          <w:rFonts w:ascii="Times New Roman" w:eastAsia="標楷體" w:hAnsi="Times New Roman"/>
          <w:sz w:val="32"/>
          <w:szCs w:val="32"/>
        </w:rPr>
        <w:t>8</w:t>
      </w:r>
      <w:r>
        <w:rPr>
          <w:rFonts w:ascii="Times New Roman" w:eastAsia="標楷體" w:hAnsi="Times New Roman"/>
          <w:sz w:val="32"/>
          <w:szCs w:val="32"/>
        </w:rPr>
        <w:t>,000</w:t>
      </w:r>
      <w:r>
        <w:rPr>
          <w:rFonts w:ascii="Times New Roman" w:eastAsia="標楷體" w:hAnsi="Times New Roman"/>
          <w:sz w:val="32"/>
          <w:szCs w:val="32"/>
        </w:rPr>
        <w:t>元，較上年同期減少</w:t>
      </w:r>
      <w:r>
        <w:rPr>
          <w:rFonts w:ascii="Times New Roman" w:eastAsia="標楷體" w:hAnsi="Times New Roman"/>
          <w:sz w:val="32"/>
          <w:szCs w:val="32"/>
        </w:rPr>
        <w:t>3</w:t>
      </w:r>
      <w:r w:rsidR="00A27192">
        <w:rPr>
          <w:rFonts w:ascii="Times New Roman" w:eastAsia="標楷體" w:hAnsi="Times New Roman" w:hint="eastAsia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.</w:t>
      </w:r>
      <w:r w:rsidR="00A27192"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4794FA53" w14:textId="70BAA32D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</w:t>
      </w:r>
      <w:r w:rsidR="00A27192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月對中國大陸投資前五大業別統計表</w:t>
      </w:r>
    </w:p>
    <w:p w14:paraId="3954279B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700"/>
        <w:gridCol w:w="1399"/>
        <w:gridCol w:w="1397"/>
        <w:gridCol w:w="1398"/>
        <w:gridCol w:w="1196"/>
      </w:tblGrid>
      <w:tr w:rsidR="00B3774D" w14:paraId="311BD1D5" w14:textId="77777777">
        <w:tc>
          <w:tcPr>
            <w:tcW w:w="2206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CE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0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2A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9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C6FE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1764C14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97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E9A8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44E7BF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59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8E5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3DC644C7" w14:textId="77777777">
        <w:tc>
          <w:tcPr>
            <w:tcW w:w="2206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D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C3F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D53D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7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5E53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5D7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6AD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A27192" w14:paraId="1DEFF82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4B60" w14:textId="77777777" w:rsidR="00A27192" w:rsidRDefault="00A27192" w:rsidP="00A27192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批發及零售業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8DD8" w14:textId="1B80074F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32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9ABA" w14:textId="77777777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>100,660</w:t>
            </w:r>
          </w:p>
          <w:p w14:paraId="16978DEF" w14:textId="4E1DDB7D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 xml:space="preserve"> (</w:t>
            </w:r>
            <w:r w:rsidRPr="00A27192">
              <w:rPr>
                <w:rFonts w:ascii="標楷體" w:eastAsia="標楷體" w:hAnsi="標楷體" w:cs="Calibri" w:hint="eastAsia"/>
              </w:rPr>
              <w:t>32.44</w:t>
            </w:r>
            <w:r w:rsidRPr="00A27192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3F8" w14:textId="4BDCD8D9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61,456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D923" w14:textId="7CA3DCEF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39,204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D79A" w14:textId="3522C472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63.79%</w:t>
            </w:r>
          </w:p>
        </w:tc>
      </w:tr>
      <w:tr w:rsidR="00A27192" w14:paraId="5F3EF7F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B568" w14:textId="77777777" w:rsidR="00A27192" w:rsidRDefault="00A27192" w:rsidP="00A27192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金融及保險業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03F6" w14:textId="6C94B7BE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FB4B" w14:textId="77777777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>64,803</w:t>
            </w:r>
          </w:p>
          <w:p w14:paraId="4037E283" w14:textId="4255225A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 xml:space="preserve"> (2</w:t>
            </w:r>
            <w:r w:rsidRPr="00A27192">
              <w:rPr>
                <w:rFonts w:ascii="標楷體" w:eastAsia="標楷體" w:hAnsi="標楷體" w:cs="Calibri" w:hint="eastAsia"/>
              </w:rPr>
              <w:t>0.88</w:t>
            </w:r>
            <w:r w:rsidRPr="00A27192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95E1" w14:textId="0453B318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11,178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ADDC" w14:textId="16FBAFCC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53,625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9196" w14:textId="570D7471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479.75%</w:t>
            </w:r>
          </w:p>
        </w:tc>
      </w:tr>
      <w:tr w:rsidR="00A27192" w14:paraId="609ED577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9BB8" w14:textId="77777777" w:rsidR="00A27192" w:rsidRDefault="00A27192" w:rsidP="00A27192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專業、科學及技術服務業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A547" w14:textId="33888303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19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80EA" w14:textId="3D0EFA54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 xml:space="preserve">45,412 </w:t>
            </w:r>
          </w:p>
          <w:p w14:paraId="4CE46F0B" w14:textId="3AAB380C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>(1</w:t>
            </w:r>
            <w:r w:rsidRPr="00A27192">
              <w:rPr>
                <w:rFonts w:ascii="標楷體" w:eastAsia="標楷體" w:hAnsi="標楷體" w:cs="Calibri" w:hint="eastAsia"/>
              </w:rPr>
              <w:t>4.64</w:t>
            </w:r>
            <w:r w:rsidRPr="00A27192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D142" w14:textId="36E7415A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8,073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D021" w14:textId="30A4105A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37,339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6545" w14:textId="187F7C57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462.52%</w:t>
            </w:r>
          </w:p>
        </w:tc>
      </w:tr>
      <w:tr w:rsidR="00A27192" w14:paraId="160074C4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286C" w14:textId="77777777" w:rsidR="00A27192" w:rsidRDefault="00A27192" w:rsidP="00A27192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金屬製品製造業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8A2F" w14:textId="61D46E6B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379" w14:textId="4BC511F9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 xml:space="preserve">19,466 </w:t>
            </w:r>
          </w:p>
          <w:p w14:paraId="13A36DDB" w14:textId="7F2053AD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>(</w:t>
            </w:r>
            <w:r w:rsidRPr="00A27192">
              <w:rPr>
                <w:rFonts w:ascii="標楷體" w:eastAsia="標楷體" w:hAnsi="標楷體" w:cs="Calibri" w:hint="eastAsia"/>
              </w:rPr>
              <w:t>6.27</w:t>
            </w:r>
            <w:r w:rsidRPr="00A27192">
              <w:rPr>
                <w:rFonts w:ascii="標楷體" w:eastAsia="標楷體" w:hAnsi="標楷體" w:cs="Calibri"/>
              </w:rPr>
              <w:t xml:space="preserve">) 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1650" w14:textId="23ABE159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25,911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FE44" w14:textId="181038FA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-6,446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2C47" w14:textId="153CA84D" w:rsidR="00A27192" w:rsidRPr="00A27192" w:rsidRDefault="00A27192" w:rsidP="00A27192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-24.88%</w:t>
            </w:r>
          </w:p>
        </w:tc>
      </w:tr>
      <w:tr w:rsidR="005155CF" w14:paraId="62B3A5E9" w14:textId="77777777"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35EE" w14:textId="0A5B38B9" w:rsidR="005155CF" w:rsidRPr="00A27192" w:rsidRDefault="005155CF" w:rsidP="005155CF">
            <w:pPr>
              <w:widowControl/>
              <w:suppressAutoHyphens w:val="0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基本金屬製造業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C42D" w14:textId="78F58476" w:rsidR="005155CF" w:rsidRPr="00A27192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A27192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CE96" w14:textId="610DA662" w:rsidR="005155CF" w:rsidRPr="00A27192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 xml:space="preserve">15,000 </w:t>
            </w:r>
          </w:p>
          <w:p w14:paraId="4E111AF8" w14:textId="51574E06" w:rsidR="005155CF" w:rsidRPr="00A27192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 w:cs="Calibri"/>
              </w:rPr>
            </w:pPr>
            <w:r w:rsidRPr="00A27192">
              <w:rPr>
                <w:rFonts w:ascii="標楷體" w:eastAsia="標楷體" w:hAnsi="標楷體" w:cs="Calibri"/>
              </w:rPr>
              <w:t>(4.</w:t>
            </w:r>
            <w:r w:rsidRPr="00A27192">
              <w:rPr>
                <w:rFonts w:ascii="標楷體" w:eastAsia="標楷體" w:hAnsi="標楷體" w:cs="Calibri" w:hint="eastAsia"/>
              </w:rPr>
              <w:t>83</w:t>
            </w:r>
            <w:r w:rsidRPr="00A27192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8B11" w14:textId="134E9A2B" w:rsidR="005155CF" w:rsidRPr="005155CF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5155CF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BF07" w14:textId="612DB1C2" w:rsidR="005155CF" w:rsidRPr="005155CF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5155CF">
              <w:rPr>
                <w:rFonts w:ascii="標楷體" w:eastAsia="標楷體" w:hAnsi="標楷體" w:cs="Calibri"/>
              </w:rPr>
              <w:t>15,000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3DB3" w14:textId="4C302FD8" w:rsidR="005155CF" w:rsidRPr="005155CF" w:rsidRDefault="005155CF" w:rsidP="005155CF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 w:rsidRPr="005155CF">
              <w:rPr>
                <w:rFonts w:ascii="標楷體" w:eastAsia="標楷體" w:hAnsi="標楷體" w:cs="Calibri"/>
              </w:rPr>
              <w:t>-</w:t>
            </w:r>
          </w:p>
        </w:tc>
      </w:tr>
      <w:tr w:rsidR="00B3774D" w14:paraId="5085AF9E" w14:textId="77777777"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CA18" w14:textId="77777777" w:rsidR="00B3774D" w:rsidRDefault="009569B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33AF2361" w14:textId="77777777" w:rsidR="00B3774D" w:rsidRDefault="00B3774D">
      <w:pPr>
        <w:spacing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sectPr w:rsidR="00B377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8A2D" w14:textId="77777777" w:rsidR="008914A0" w:rsidRDefault="008914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1F6576" w14:textId="77777777" w:rsidR="008914A0" w:rsidRDefault="008914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4987" w14:textId="77777777" w:rsidR="008914A0" w:rsidRDefault="008914A0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8D47EE" w14:textId="77777777" w:rsidR="008914A0" w:rsidRDefault="008914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4D"/>
    <w:rsid w:val="000770E1"/>
    <w:rsid w:val="00081F64"/>
    <w:rsid w:val="00106EF9"/>
    <w:rsid w:val="0029641F"/>
    <w:rsid w:val="00316C10"/>
    <w:rsid w:val="003E523C"/>
    <w:rsid w:val="005155CF"/>
    <w:rsid w:val="006E34FF"/>
    <w:rsid w:val="00732C23"/>
    <w:rsid w:val="00733DAC"/>
    <w:rsid w:val="0075605F"/>
    <w:rsid w:val="007A104E"/>
    <w:rsid w:val="007F5CFE"/>
    <w:rsid w:val="008800AE"/>
    <w:rsid w:val="008914A0"/>
    <w:rsid w:val="008939F4"/>
    <w:rsid w:val="009569B3"/>
    <w:rsid w:val="009614DC"/>
    <w:rsid w:val="009E0351"/>
    <w:rsid w:val="00A06D42"/>
    <w:rsid w:val="00A10636"/>
    <w:rsid w:val="00A27192"/>
    <w:rsid w:val="00A91947"/>
    <w:rsid w:val="00A9311F"/>
    <w:rsid w:val="00AA7F05"/>
    <w:rsid w:val="00B077BF"/>
    <w:rsid w:val="00B3774D"/>
    <w:rsid w:val="00BC75D1"/>
    <w:rsid w:val="00BD693C"/>
    <w:rsid w:val="00D1615A"/>
    <w:rsid w:val="00D82D8C"/>
    <w:rsid w:val="00D910E8"/>
    <w:rsid w:val="00F20977"/>
    <w:rsid w:val="00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C054A"/>
  <w15:docId w15:val="{D647BD98-D047-49CA-9C07-F37FA0EB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customStyle="1" w:styleId="Textbody">
    <w:name w:val="Text body"/>
    <w:basedOn w:val="a"/>
    <w:pPr>
      <w:spacing w:after="0" w:line="240" w:lineRule="auto"/>
      <w:textAlignment w:val="baseline"/>
    </w:pPr>
    <w:rPr>
      <w:rFonts w:ascii="標楷體" w:eastAsia="標楷體" w:hAnsi="標楷體" w:cs="標楷體"/>
      <w:sz w:val="28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dc:description/>
  <cp:lastModifiedBy>朱世全</cp:lastModifiedBy>
  <cp:revision>27</cp:revision>
  <cp:lastPrinted>2026-06-11T01:19:00Z</cp:lastPrinted>
  <dcterms:created xsi:type="dcterms:W3CDTF">2026-05-14T08:54:00Z</dcterms:created>
  <dcterms:modified xsi:type="dcterms:W3CDTF">2026-06-11T01:42:00Z</dcterms:modified>
</cp:coreProperties>
</file>