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EA" w:rsidRPr="00EF28DC" w:rsidRDefault="00682B25" w:rsidP="000B6444">
      <w:pPr>
        <w:tabs>
          <w:tab w:val="left" w:pos="1843"/>
        </w:tabs>
        <w:rPr>
          <w:rFonts w:eastAsia="標楷體"/>
          <w:b/>
          <w:sz w:val="36"/>
          <w:szCs w:val="36"/>
        </w:rPr>
      </w:pPr>
      <w:r w:rsidRPr="00682B25">
        <w:rPr>
          <w:rFonts w:eastAsia="標楷體" w:hAnsi="標楷體" w:hint="eastAsia"/>
        </w:rPr>
        <w:t>附表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EF28DC">
        <w:rPr>
          <w:rFonts w:eastAsia="標楷體" w:hAnsi="標楷體" w:hint="eastAsia"/>
          <w:b/>
          <w:sz w:val="36"/>
          <w:szCs w:val="36"/>
        </w:rPr>
        <w:t xml:space="preserve">           </w:t>
      </w:r>
      <w:r w:rsidR="00C934EA" w:rsidRPr="00EF28DC">
        <w:rPr>
          <w:rFonts w:eastAsia="標楷體" w:hAnsi="標楷體"/>
          <w:b/>
          <w:sz w:val="36"/>
          <w:szCs w:val="36"/>
        </w:rPr>
        <w:t>中油公司汽柴油價格調幅比較表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1786"/>
        <w:gridCol w:w="1375"/>
        <w:gridCol w:w="2302"/>
        <w:gridCol w:w="2510"/>
      </w:tblGrid>
      <w:tr w:rsidR="00C934EA" w:rsidRPr="007E377C" w:rsidTr="007F779E">
        <w:trPr>
          <w:trHeight w:val="627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前週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本週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C934EA" w:rsidRPr="007E377C" w:rsidRDefault="00C934EA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考量匯率後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指標油</w:t>
            </w:r>
            <w:r w:rsidRPr="007E377C">
              <w:rPr>
                <w:rFonts w:eastAsia="標楷體"/>
                <w:color w:val="000000"/>
                <w:kern w:val="0"/>
              </w:rPr>
              <w:t>80%</w:t>
            </w:r>
            <w:r w:rsidRPr="007E377C">
              <w:rPr>
                <w:rFonts w:eastAsia="標楷體" w:hAnsi="標楷體"/>
                <w:color w:val="000000"/>
                <w:kern w:val="0"/>
              </w:rPr>
              <w:t>變動幅度</w:t>
            </w:r>
          </w:p>
        </w:tc>
      </w:tr>
      <w:tr w:rsidR="00220E93" w:rsidRPr="007E377C" w:rsidTr="007F779E">
        <w:trPr>
          <w:trHeight w:val="58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指標油價</w:t>
            </w:r>
            <w:r w:rsidRPr="007E377C">
              <w:rPr>
                <w:rFonts w:eastAsia="標楷體" w:hAnsi="標楷體"/>
                <w:bCs/>
                <w:color w:val="000000"/>
                <w:kern w:val="0"/>
              </w:rPr>
              <w:t>日期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6011B8" w:rsidP="00EA167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90</w:t>
            </w:r>
            <w:r w:rsidR="00DE0133">
              <w:rPr>
                <w:rFonts w:hint="eastAsia"/>
                <w:color w:val="000000"/>
                <w:sz w:val="28"/>
              </w:rPr>
              <w:t>81</w:t>
            </w:r>
            <w:r w:rsidR="00C271F7">
              <w:rPr>
                <w:rFonts w:hint="eastAsia"/>
                <w:color w:val="000000"/>
                <w:sz w:val="28"/>
              </w:rPr>
              <w:t>7</w:t>
            </w:r>
            <w:r w:rsidR="00220E93" w:rsidRPr="007E377C">
              <w:rPr>
                <w:color w:val="000000"/>
                <w:sz w:val="28"/>
              </w:rPr>
              <w:t>-</w:t>
            </w:r>
            <w:r w:rsidR="0025057C">
              <w:rPr>
                <w:color w:val="000000"/>
                <w:sz w:val="28"/>
              </w:rPr>
              <w:t>0</w:t>
            </w:r>
            <w:r w:rsidR="00C271F7">
              <w:rPr>
                <w:rFonts w:hint="eastAsia"/>
                <w:color w:val="000000"/>
                <w:sz w:val="28"/>
              </w:rPr>
              <w:t>821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7E377C" w:rsidRDefault="00220E93" w:rsidP="00EA1678">
            <w:pPr>
              <w:jc w:val="center"/>
              <w:rPr>
                <w:color w:val="000000"/>
                <w:sz w:val="28"/>
              </w:rPr>
            </w:pPr>
            <w:r w:rsidRPr="007E377C">
              <w:rPr>
                <w:color w:val="000000"/>
                <w:sz w:val="28"/>
              </w:rPr>
              <w:t>10</w:t>
            </w:r>
            <w:r w:rsidR="0025057C">
              <w:rPr>
                <w:color w:val="000000"/>
                <w:sz w:val="28"/>
              </w:rPr>
              <w:t>90</w:t>
            </w:r>
            <w:r w:rsidR="00C271F7">
              <w:rPr>
                <w:rFonts w:hint="eastAsia"/>
                <w:color w:val="000000"/>
                <w:sz w:val="28"/>
              </w:rPr>
              <w:t>824</w:t>
            </w:r>
            <w:r w:rsidRPr="007E377C">
              <w:rPr>
                <w:color w:val="000000"/>
                <w:sz w:val="28"/>
              </w:rPr>
              <w:t>-</w:t>
            </w:r>
            <w:r w:rsidR="0025057C">
              <w:rPr>
                <w:color w:val="000000"/>
                <w:sz w:val="28"/>
              </w:rPr>
              <w:t>0</w:t>
            </w:r>
            <w:r w:rsidR="00DE0133">
              <w:rPr>
                <w:rFonts w:hint="eastAsia"/>
                <w:color w:val="000000"/>
                <w:sz w:val="28"/>
              </w:rPr>
              <w:t>82</w:t>
            </w:r>
            <w:r w:rsidR="00C271F7">
              <w:rPr>
                <w:rFonts w:hint="eastAsia"/>
                <w:color w:val="000000"/>
                <w:sz w:val="28"/>
              </w:rPr>
              <w:t>8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220E93" w:rsidRPr="007E377C" w:rsidTr="007F779E">
        <w:trPr>
          <w:trHeight w:val="72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70%Dubai+30%Brent   (</w:t>
            </w:r>
            <w:r w:rsidRPr="007E377C">
              <w:rPr>
                <w:rFonts w:eastAsia="標楷體" w:hAnsi="標楷體"/>
                <w:color w:val="000000"/>
                <w:kern w:val="0"/>
              </w:rPr>
              <w:t>美元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桶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D518C7" w:rsidP="007A5A4C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</w:t>
            </w:r>
            <w:r w:rsidR="00DE0133">
              <w:rPr>
                <w:rFonts w:hint="eastAsia"/>
                <w:color w:val="000000"/>
                <w:sz w:val="28"/>
              </w:rPr>
              <w:t>4.1</w:t>
            </w:r>
            <w:r w:rsidR="00C271F7">
              <w:rPr>
                <w:rFonts w:hint="eastAsia"/>
                <w:color w:val="000000"/>
                <w:sz w:val="28"/>
              </w:rPr>
              <w:t>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3D5854" w:rsidRPr="00220E93" w:rsidRDefault="00D518C7" w:rsidP="008F36F7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4</w:t>
            </w:r>
            <w:r w:rsidR="00C271F7">
              <w:rPr>
                <w:rFonts w:hint="eastAsia"/>
                <w:color w:val="FF0000"/>
                <w:sz w:val="28"/>
              </w:rPr>
              <w:t>4.6</w:t>
            </w:r>
            <w:r w:rsidR="007125D1">
              <w:rPr>
                <w:rFonts w:hint="eastAsia"/>
                <w:color w:val="FF0000"/>
                <w:sz w:val="28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0E93" w:rsidRPr="007E377C" w:rsidTr="007F779E">
        <w:trPr>
          <w:trHeight w:val="579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220E93" w:rsidRPr="007E377C" w:rsidRDefault="00220E93" w:rsidP="00220E93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匯率</w:t>
            </w:r>
          </w:p>
        </w:tc>
        <w:tc>
          <w:tcPr>
            <w:tcW w:w="1492" w:type="pct"/>
            <w:gridSpan w:val="2"/>
            <w:shd w:val="clear" w:color="auto" w:fill="auto"/>
            <w:vAlign w:val="center"/>
          </w:tcPr>
          <w:p w:rsidR="00220E93" w:rsidRPr="007E377C" w:rsidRDefault="00EA1678" w:rsidP="009F01F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</w:t>
            </w:r>
            <w:r w:rsidR="00C5308E">
              <w:rPr>
                <w:rFonts w:hint="eastAsia"/>
                <w:color w:val="000000"/>
                <w:sz w:val="28"/>
              </w:rPr>
              <w:t>5</w:t>
            </w:r>
            <w:r w:rsidR="00C271F7">
              <w:rPr>
                <w:rFonts w:hint="eastAsia"/>
                <w:color w:val="000000"/>
                <w:sz w:val="28"/>
              </w:rPr>
              <w:t>17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20E93" w:rsidRPr="00220E93" w:rsidRDefault="00D518C7" w:rsidP="007125D1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29.5</w:t>
            </w:r>
            <w:r w:rsidR="007125D1">
              <w:rPr>
                <w:rFonts w:hint="eastAsia"/>
                <w:color w:val="FF0000"/>
                <w:sz w:val="28"/>
              </w:rPr>
              <w:t>1</w:t>
            </w:r>
            <w:r w:rsidR="00C271F7">
              <w:rPr>
                <w:rFonts w:hint="eastAsia"/>
                <w:color w:val="FF0000"/>
                <w:sz w:val="28"/>
              </w:rPr>
              <w:t>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20E93" w:rsidRPr="00220E93" w:rsidRDefault="00C271F7" w:rsidP="00934A8C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kern w:val="0"/>
                <w:sz w:val="28"/>
                <w:szCs w:val="28"/>
              </w:rPr>
              <w:t>+0.90</w:t>
            </w:r>
            <w:r w:rsidR="00220E93" w:rsidRPr="00220E93"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  <w:t>%</w:t>
            </w:r>
          </w:p>
        </w:tc>
      </w:tr>
      <w:tr w:rsidR="00D82260" w:rsidRPr="007E377C" w:rsidTr="007F779E">
        <w:trPr>
          <w:trHeight w:val="640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還原依機制計算應調整價格之稅前批售價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2F6B1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C5308E">
              <w:rPr>
                <w:rFonts w:eastAsia="標楷體" w:hint="eastAsia"/>
                <w:bCs/>
                <w:color w:val="000000"/>
                <w:sz w:val="28"/>
                <w:szCs w:val="28"/>
              </w:rPr>
              <w:t>2.</w:t>
            </w:r>
            <w:r w:rsidR="00DE0133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="00C5308E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依變動幅度計算</w:t>
            </w:r>
            <w:r w:rsidRPr="007E377C">
              <w:rPr>
                <w:rFonts w:eastAsia="標楷體"/>
                <w:color w:val="000000"/>
                <w:kern w:val="0"/>
              </w:rPr>
              <w:t xml:space="preserve">      </w:t>
            </w:r>
            <w:r w:rsidRPr="007E377C">
              <w:rPr>
                <w:rFonts w:eastAsia="標楷體" w:hAnsi="標楷體"/>
                <w:color w:val="000000"/>
                <w:kern w:val="0"/>
              </w:rPr>
              <w:t>之稅前批售價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120761">
            <w:pPr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12.</w:t>
            </w:r>
            <w:r w:rsidR="00C271F7">
              <w:rPr>
                <w:rFonts w:eastAsia="標楷體" w:hint="eastAsia"/>
                <w:bCs/>
                <w:color w:val="FF0000"/>
                <w:sz w:val="28"/>
                <w:szCs w:val="28"/>
              </w:rPr>
              <w:t>41</w:t>
            </w:r>
          </w:p>
        </w:tc>
      </w:tr>
      <w:tr w:rsidR="00D82260" w:rsidRPr="007E377C" w:rsidTr="007F779E">
        <w:trPr>
          <w:trHeight w:val="555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超柴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vMerge/>
            <w:shd w:val="clear" w:color="auto" w:fill="auto"/>
          </w:tcPr>
          <w:p w:rsidR="00D82260" w:rsidRPr="007E377C" w:rsidRDefault="00D82260" w:rsidP="00D82260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82260" w:rsidRPr="007E377C" w:rsidRDefault="00D518C7" w:rsidP="002F6B18">
            <w:pPr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13</w:t>
            </w:r>
            <w:r w:rsidR="00C5308E">
              <w:rPr>
                <w:rFonts w:eastAsia="標楷體" w:hint="eastAsia"/>
                <w:bCs/>
                <w:color w:val="000000"/>
                <w:sz w:val="28"/>
                <w:szCs w:val="28"/>
              </w:rPr>
              <w:t>.</w:t>
            </w:r>
            <w:r w:rsidR="00DE0133">
              <w:rPr>
                <w:rFonts w:eastAsia="標楷體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7" w:type="pct"/>
            <w:vMerge/>
            <w:shd w:val="clear" w:color="auto" w:fill="auto"/>
            <w:vAlign w:val="center"/>
          </w:tcPr>
          <w:p w:rsidR="00D82260" w:rsidRPr="007E377C" w:rsidRDefault="00D82260" w:rsidP="00D82260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D82260" w:rsidRPr="00220E93" w:rsidRDefault="008F36F7" w:rsidP="00120761">
            <w:pPr>
              <w:jc w:val="center"/>
              <w:rPr>
                <w:rFonts w:eastAsia="標楷體" w:hint="eastAsia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</w:rPr>
              <w:t>13.</w:t>
            </w:r>
            <w:r w:rsidR="00C271F7">
              <w:rPr>
                <w:rFonts w:eastAsia="標楷體" w:hint="eastAsia"/>
                <w:bCs/>
                <w:color w:val="FF0000"/>
                <w:sz w:val="28"/>
                <w:szCs w:val="28"/>
              </w:rPr>
              <w:t>48</w:t>
            </w:r>
          </w:p>
        </w:tc>
      </w:tr>
    </w:tbl>
    <w:p w:rsidR="00C934EA" w:rsidRPr="007E377C" w:rsidRDefault="00C934EA" w:rsidP="00BA4CCC">
      <w:pPr>
        <w:spacing w:line="240" w:lineRule="exact"/>
        <w:ind w:left="808" w:hangingChars="385" w:hanging="808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每週調價時，以當週</w:t>
      </w:r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平均價格乘以匯率均價與前週</w:t>
      </w:r>
      <w:r w:rsidRPr="007E377C">
        <w:rPr>
          <w:rFonts w:eastAsia="標楷體"/>
          <w:color w:val="000000"/>
          <w:kern w:val="0"/>
          <w:sz w:val="21"/>
          <w:szCs w:val="21"/>
        </w:rPr>
        <w:t>70%Dubai+30%Brent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平均價格</w:t>
      </w:r>
    </w:p>
    <w:p w:rsidR="00C934EA" w:rsidRPr="007E377C" w:rsidRDefault="00C934EA" w:rsidP="00BA4CCC">
      <w:pPr>
        <w:spacing w:line="240" w:lineRule="exact"/>
        <w:ind w:leftChars="321" w:left="770"/>
        <w:rPr>
          <w:rFonts w:eastAsia="標楷體"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乘以匯率均價之</w:t>
      </w:r>
      <w:r w:rsidRPr="007E377C">
        <w:rPr>
          <w:rFonts w:eastAsia="標楷體"/>
          <w:color w:val="000000"/>
          <w:kern w:val="0"/>
          <w:sz w:val="21"/>
          <w:szCs w:val="21"/>
        </w:rPr>
        <w:t>80%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變動幅度計算調整價格。</w:t>
      </w:r>
    </w:p>
    <w:p w:rsidR="00C934EA" w:rsidRPr="007E377C" w:rsidRDefault="00C934EA" w:rsidP="00BA4CCC">
      <w:pPr>
        <w:spacing w:line="240" w:lineRule="exact"/>
        <w:ind w:firstLineChars="300" w:firstLine="630"/>
        <w:rPr>
          <w:rFonts w:eastAsia="標楷體"/>
          <w:color w:val="000000"/>
          <w:sz w:val="21"/>
          <w:szCs w:val="21"/>
        </w:rPr>
      </w:pPr>
      <w:r w:rsidRPr="007E377C">
        <w:rPr>
          <w:rFonts w:eastAsia="標楷體"/>
          <w:color w:val="000000"/>
          <w:kern w:val="0"/>
          <w:sz w:val="21"/>
          <w:szCs w:val="21"/>
        </w:rPr>
        <w:t>2.</w:t>
      </w:r>
      <w:r w:rsidRPr="007E377C">
        <w:rPr>
          <w:rFonts w:eastAsia="標楷體" w:hAnsi="標楷體"/>
          <w:color w:val="000000"/>
          <w:kern w:val="0"/>
          <w:sz w:val="21"/>
          <w:szCs w:val="21"/>
        </w:rPr>
        <w:t>還原依機制計算應調整價格係為不考量政府及中油負擔，依機制計算應調整之價格。</w:t>
      </w:r>
    </w:p>
    <w:p w:rsidR="00C934EA" w:rsidRPr="007E377C" w:rsidRDefault="00C934EA" w:rsidP="005D0FEE">
      <w:pPr>
        <w:snapToGrid w:val="0"/>
        <w:spacing w:line="3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E377C">
        <w:rPr>
          <w:rFonts w:eastAsia="標楷體" w:hAnsi="標楷體"/>
          <w:b/>
          <w:color w:val="000000"/>
          <w:sz w:val="36"/>
          <w:szCs w:val="36"/>
        </w:rPr>
        <w:t>中油公司汽柴油各油品調整金額計算表</w:t>
      </w:r>
    </w:p>
    <w:p w:rsidR="00235212" w:rsidRPr="007E377C" w:rsidRDefault="00235212" w:rsidP="005D0FEE">
      <w:pPr>
        <w:snapToGrid w:val="0"/>
        <w:jc w:val="right"/>
        <w:rPr>
          <w:rFonts w:eastAsia="標楷體" w:hint="eastAsia"/>
          <w:color w:val="000000"/>
        </w:rPr>
      </w:pPr>
      <w:r w:rsidRPr="007E377C">
        <w:rPr>
          <w:rFonts w:eastAsia="標楷體" w:hAnsi="標楷體" w:hint="eastAsia"/>
          <w:color w:val="000000"/>
        </w:rPr>
        <w:t>單位：元</w:t>
      </w:r>
      <w:r w:rsidRPr="007E377C">
        <w:rPr>
          <w:rFonts w:eastAsia="標楷體" w:hAnsi="標楷體" w:hint="eastAsia"/>
          <w:color w:val="000000"/>
        </w:rPr>
        <w:t>/</w:t>
      </w:r>
      <w:r w:rsidRPr="007E377C">
        <w:rPr>
          <w:rFonts w:eastAsia="標楷體" w:hAnsi="標楷體" w:hint="eastAsia"/>
          <w:color w:val="000000"/>
        </w:rPr>
        <w:t>公升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278"/>
        <w:gridCol w:w="1133"/>
        <w:gridCol w:w="1072"/>
        <w:gridCol w:w="1275"/>
        <w:gridCol w:w="1136"/>
        <w:gridCol w:w="1053"/>
        <w:gridCol w:w="934"/>
        <w:gridCol w:w="1129"/>
      </w:tblGrid>
      <w:tr w:rsidR="007D2EBC" w:rsidRPr="007E377C" w:rsidTr="007D2EBC">
        <w:trPr>
          <w:trHeight w:val="510"/>
          <w:jc w:val="center"/>
        </w:trPr>
        <w:tc>
          <w:tcPr>
            <w:tcW w:w="747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調價生效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DE0133">
            <w:pPr>
              <w:snapToGrid w:val="0"/>
              <w:spacing w:line="30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  <w:r w:rsidR="00DE0133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C271F7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C5308E">
            <w:pPr>
              <w:snapToGrid w:val="0"/>
              <w:spacing w:line="30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E377C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10</w:t>
            </w:r>
            <w:r w:rsidR="0025057C">
              <w:rPr>
                <w:rFonts w:eastAsia="標楷體"/>
                <w:color w:val="000000"/>
                <w:kern w:val="0"/>
                <w:sz w:val="22"/>
                <w:szCs w:val="22"/>
              </w:rPr>
              <w:t>9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EA1678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  <w:r w:rsidR="00C5308E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  <w:r w:rsidRPr="007E377C">
              <w:rPr>
                <w:rFonts w:eastAsia="標楷體"/>
                <w:color w:val="000000"/>
                <w:kern w:val="0"/>
                <w:sz w:val="22"/>
                <w:szCs w:val="22"/>
              </w:rPr>
              <w:t>.</w:t>
            </w:r>
            <w:r w:rsidR="00C271F7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考量亞鄰競爭國可調零售價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C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本週計算吸收金額基準價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D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吸收金額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E=D*</w:t>
            </w:r>
            <w:r w:rsidRPr="007E377C">
              <w:rPr>
                <w:rFonts w:eastAsia="標楷體" w:hAnsi="標楷體" w:hint="eastAsia"/>
                <w:color w:val="000000"/>
                <w:kern w:val="0"/>
              </w:rPr>
              <w:t>吸收比例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可調零售價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F=C-E</w:t>
            </w:r>
          </w:p>
        </w:tc>
        <w:tc>
          <w:tcPr>
            <w:tcW w:w="441" w:type="pct"/>
            <w:vMerge w:val="restart"/>
            <w:vAlign w:val="center"/>
          </w:tcPr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實調</w:t>
            </w:r>
          </w:p>
          <w:p w:rsidR="007D2EBC" w:rsidRPr="007E377C" w:rsidRDefault="007D2EBC" w:rsidP="0003137E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金額</w:t>
            </w:r>
          </w:p>
          <w:p w:rsidR="007D2EBC" w:rsidRPr="007E377C" w:rsidRDefault="007D2EBC" w:rsidP="00D8226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 w:hAnsi="標楷體"/>
                <w:color w:val="000000"/>
                <w:szCs w:val="36"/>
              </w:rPr>
              <w:t>=</w:t>
            </w:r>
            <w:r w:rsidRPr="007E377C">
              <w:rPr>
                <w:rFonts w:eastAsia="標楷體" w:hAnsi="標楷體" w:hint="eastAsia"/>
                <w:color w:val="000000"/>
                <w:szCs w:val="36"/>
              </w:rPr>
              <w:t>F</w:t>
            </w:r>
            <w:r w:rsidRPr="007E377C">
              <w:rPr>
                <w:rFonts w:eastAsia="標楷體" w:hAnsi="標楷體"/>
                <w:color w:val="000000"/>
                <w:szCs w:val="36"/>
              </w:rPr>
              <w:t>-A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調整後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零售價</w:t>
            </w:r>
          </w:p>
          <w:p w:rsidR="007D2EBC" w:rsidRPr="007E377C" w:rsidRDefault="007D2EBC" w:rsidP="00760D6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int="eastAsia"/>
                <w:color w:val="000000"/>
                <w:szCs w:val="36"/>
              </w:rPr>
              <w:t>G</w:t>
            </w:r>
            <w:r w:rsidRPr="007E377C">
              <w:rPr>
                <w:rFonts w:eastAsia="標楷體"/>
                <w:color w:val="000000"/>
                <w:szCs w:val="36"/>
              </w:rPr>
              <w:t>=A+G</w:t>
            </w:r>
          </w:p>
        </w:tc>
      </w:tr>
      <w:tr w:rsidR="007D2EBC" w:rsidRPr="007E377C" w:rsidTr="007D2EBC">
        <w:trPr>
          <w:trHeight w:val="800"/>
          <w:jc w:val="center"/>
        </w:trPr>
        <w:tc>
          <w:tcPr>
            <w:tcW w:w="747" w:type="pct"/>
            <w:vMerge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公告參考零售價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60D63">
            <w:pPr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換算零售價</w:t>
            </w:r>
          </w:p>
          <w:p w:rsidR="007D2EBC" w:rsidRPr="007E377C" w:rsidRDefault="007D2EBC" w:rsidP="00235212">
            <w:pPr>
              <w:jc w:val="center"/>
              <w:rPr>
                <w:rFonts w:eastAsia="標楷體" w:hint="eastAsia"/>
                <w:color w:val="000000"/>
                <w:szCs w:val="36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B</w:t>
            </w:r>
          </w:p>
        </w:tc>
        <w:tc>
          <w:tcPr>
            <w:tcW w:w="50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441" w:type="pct"/>
            <w:vMerge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7D2EBC" w:rsidRPr="007E377C" w:rsidRDefault="007D2EBC" w:rsidP="00760D63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92</w:t>
            </w:r>
            <w:r w:rsidRPr="007E377C">
              <w:rPr>
                <w:rFonts w:eastAsia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2F6B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22.</w:t>
            </w:r>
            <w:r w:rsidR="005B2891">
              <w:rPr>
                <w:rFonts w:hint="eastAsia"/>
                <w:color w:val="000000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120761">
            <w:pPr>
              <w:widowControl/>
              <w:spacing w:line="480" w:lineRule="exact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</w:t>
            </w:r>
            <w:r w:rsidR="007125D1">
              <w:rPr>
                <w:rFonts w:hint="eastAsia"/>
                <w:color w:val="000000"/>
              </w:rPr>
              <w:t>3.</w:t>
            </w:r>
            <w:r w:rsidR="00C271F7">
              <w:rPr>
                <w:rFonts w:hint="eastAsia"/>
                <w:color w:val="000000"/>
              </w:rPr>
              <w:t>1</w:t>
            </w:r>
            <w:r w:rsidR="007D2EBC" w:rsidRPr="007E377C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E12A75" w:rsidRDefault="008F36F7" w:rsidP="007125D1">
            <w:pPr>
              <w:widowControl/>
              <w:spacing w:line="480" w:lineRule="exact"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22.</w:t>
            </w:r>
            <w:r w:rsidR="007125D1"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spacing w:line="480" w:lineRule="exact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8F36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7125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22.</w:t>
            </w:r>
            <w:r w:rsidR="007125D1">
              <w:rPr>
                <w:rFonts w:hint="eastAsia"/>
                <w:color w:val="000000"/>
              </w:rPr>
              <w:t>5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95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2F6B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5B2891">
              <w:rPr>
                <w:rFonts w:hint="eastAsia"/>
                <w:color w:val="000000"/>
              </w:rPr>
              <w:t>4.0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7125D1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24.</w:t>
            </w:r>
            <w:r w:rsidR="00C271F7">
              <w:rPr>
                <w:rFonts w:eastAsia="標楷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120761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="007125D1">
              <w:rPr>
                <w:rFonts w:eastAsia="標楷體" w:hint="eastAsia"/>
                <w:color w:val="000000"/>
                <w:kern w:val="0"/>
              </w:rPr>
              <w:t>4.0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D341C0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color w:val="000000"/>
                <w:kern w:val="0"/>
              </w:rPr>
              <w:t>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color w:val="000000"/>
              </w:rPr>
              <w:t>0</w:t>
            </w:r>
            <w:r w:rsidR="00630D11" w:rsidRPr="007E377C">
              <w:rPr>
                <w:color w:val="00000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120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7125D1">
              <w:rPr>
                <w:rFonts w:hint="eastAsia"/>
                <w:color w:val="000000"/>
              </w:rPr>
              <w:t>4.0</w:t>
            </w:r>
          </w:p>
        </w:tc>
        <w:tc>
          <w:tcPr>
            <w:tcW w:w="441" w:type="pct"/>
            <w:vAlign w:val="center"/>
          </w:tcPr>
          <w:p w:rsidR="007D2EBC" w:rsidRPr="007E377C" w:rsidRDefault="007125D1" w:rsidP="008F36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120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7125D1">
              <w:rPr>
                <w:rFonts w:hint="eastAsia"/>
                <w:color w:val="000000"/>
              </w:rPr>
              <w:t>4.0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szCs w:val="36"/>
              </w:rPr>
              <w:t>酒精汽油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2F6B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5B2891">
              <w:rPr>
                <w:rFonts w:hint="eastAsia"/>
                <w:color w:val="000000"/>
              </w:rPr>
              <w:t>4.0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8F36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120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7125D1">
              <w:rPr>
                <w:rFonts w:hint="eastAsia"/>
                <w:color w:val="000000"/>
              </w:rPr>
              <w:t>4.0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kern w:val="0"/>
              </w:rPr>
              <w:t>98</w:t>
            </w:r>
            <w:r w:rsidRPr="007E377C">
              <w:rPr>
                <w:rFonts w:eastAsia="標楷體" w:hAnsi="標楷體"/>
                <w:color w:val="000000"/>
                <w:kern w:val="0"/>
              </w:rPr>
              <w:t>無鉛汽油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公升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7A5A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5B2891">
              <w:rPr>
                <w:rFonts w:hint="eastAsia"/>
                <w:color w:val="000000"/>
              </w:rPr>
              <w:t>6.0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7125D1" w:rsidP="008F36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120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7125D1">
              <w:rPr>
                <w:rFonts w:hint="eastAsia"/>
                <w:color w:val="000000"/>
              </w:rPr>
              <w:t>6.0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7E377C">
              <w:rPr>
                <w:rFonts w:eastAsia="標楷體" w:hAnsi="標楷體" w:hint="eastAsia"/>
                <w:color w:val="000000"/>
                <w:kern w:val="0"/>
              </w:rPr>
              <w:t>超</w:t>
            </w:r>
            <w:r w:rsidRPr="007E377C">
              <w:rPr>
                <w:rFonts w:eastAsia="標楷體" w:hAnsi="標楷體"/>
                <w:color w:val="000000"/>
                <w:kern w:val="0"/>
              </w:rPr>
              <w:t>級柴油</w:t>
            </w:r>
          </w:p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/>
                <w:color w:val="000000"/>
                <w:szCs w:val="36"/>
              </w:rPr>
              <w:t>(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元</w:t>
            </w:r>
            <w:r w:rsidRPr="007E377C">
              <w:rPr>
                <w:rFonts w:eastAsia="標楷體"/>
                <w:color w:val="000000"/>
                <w:szCs w:val="36"/>
              </w:rPr>
              <w:t>/</w:t>
            </w:r>
            <w:r w:rsidRPr="007E377C">
              <w:rPr>
                <w:rFonts w:eastAsia="標楷體" w:hAnsi="標楷體"/>
                <w:color w:val="000000"/>
                <w:szCs w:val="36"/>
              </w:rPr>
              <w:t>公升</w:t>
            </w:r>
            <w:r w:rsidRPr="007E377C">
              <w:rPr>
                <w:rFonts w:eastAsia="標楷體"/>
                <w:color w:val="000000"/>
                <w:szCs w:val="3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5B28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</w:t>
            </w:r>
            <w:r w:rsidR="005B2891">
              <w:rPr>
                <w:rFonts w:hint="eastAsia"/>
                <w:color w:val="000000"/>
              </w:rPr>
              <w:t>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8F36F7" w:rsidP="007125D1">
            <w:pPr>
              <w:widowControl/>
              <w:ind w:left="616" w:hanging="628"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20.</w:t>
            </w:r>
            <w:r w:rsidR="00C271F7">
              <w:rPr>
                <w:rFonts w:eastAsia="標楷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8F36F7" w:rsidP="007125D1">
            <w:pPr>
              <w:widowControl/>
              <w:ind w:left="616" w:hanging="628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19.</w:t>
            </w:r>
            <w:r w:rsidR="007125D1">
              <w:rPr>
                <w:rFonts w:eastAsia="標楷體" w:hint="eastAsia"/>
                <w:color w:val="000000"/>
                <w:kern w:val="0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Cs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D341C0" w:rsidP="007D2EBC">
            <w:pPr>
              <w:jc w:val="center"/>
              <w:rPr>
                <w:color w:val="000000"/>
              </w:rPr>
            </w:pPr>
            <w:r w:rsidRPr="007E377C">
              <w:rPr>
                <w:rFonts w:eastAsia="標楷體"/>
                <w:bCs/>
                <w:color w:val="000000"/>
                <w:kern w:val="0"/>
              </w:rPr>
              <w:t>0</w:t>
            </w:r>
            <w:r w:rsidR="00630D11" w:rsidRPr="007E377C">
              <w:rPr>
                <w:rFonts w:eastAsia="標楷體"/>
                <w:bCs/>
                <w:color w:val="000000"/>
                <w:kern w:val="0"/>
              </w:rPr>
              <w:t>.0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8F36F7" w:rsidP="007125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</w:t>
            </w:r>
            <w:r w:rsidR="007125D1">
              <w:rPr>
                <w:rFonts w:hint="eastAsia"/>
                <w:color w:val="000000"/>
              </w:rPr>
              <w:t>8</w:t>
            </w:r>
          </w:p>
        </w:tc>
        <w:tc>
          <w:tcPr>
            <w:tcW w:w="441" w:type="pct"/>
            <w:vAlign w:val="center"/>
          </w:tcPr>
          <w:p w:rsidR="007D2EBC" w:rsidRPr="007E377C" w:rsidRDefault="007125D1" w:rsidP="00887D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8F36F7" w:rsidP="00120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</w:t>
            </w:r>
            <w:r w:rsidR="007125D1">
              <w:rPr>
                <w:rFonts w:hint="eastAsia"/>
                <w:color w:val="000000"/>
              </w:rPr>
              <w:t>8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海運重柴油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9F30C5" w:rsidP="005B2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026">
              <w:rPr>
                <w:rFonts w:hint="eastAsia"/>
                <w:color w:val="000000"/>
              </w:rPr>
              <w:t>9</w:t>
            </w:r>
            <w:r w:rsidR="00EA1678">
              <w:rPr>
                <w:color w:val="000000"/>
              </w:rPr>
              <w:t>,</w:t>
            </w:r>
            <w:r w:rsidR="005B2891">
              <w:rPr>
                <w:rFonts w:hint="eastAsia"/>
                <w:color w:val="000000"/>
              </w:rPr>
              <w:t>3</w:t>
            </w:r>
            <w:r w:rsidR="00EA1678">
              <w:rPr>
                <w:color w:val="000000"/>
              </w:rPr>
              <w:t>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8F36F7" w:rsidP="00887D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934A8C" w:rsidP="008F3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36F7">
              <w:rPr>
                <w:rFonts w:hint="eastAsia"/>
                <w:color w:val="000000"/>
              </w:rPr>
              <w:t>9</w:t>
            </w:r>
            <w:r w:rsidR="00BE5B98">
              <w:rPr>
                <w:color w:val="000000"/>
              </w:rPr>
              <w:t>,</w:t>
            </w:r>
            <w:r w:rsidR="007125D1">
              <w:rPr>
                <w:rFonts w:hint="eastAsia"/>
                <w:color w:val="000000"/>
              </w:rPr>
              <w:t>3</w:t>
            </w:r>
            <w:r w:rsidR="00BE5B98">
              <w:rPr>
                <w:color w:val="000000"/>
              </w:rPr>
              <w:t>00</w:t>
            </w:r>
          </w:p>
        </w:tc>
      </w:tr>
      <w:tr w:rsidR="007D2EBC" w:rsidRPr="007E377C" w:rsidTr="007D2EBC">
        <w:trPr>
          <w:trHeight w:val="284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  <w:r w:rsidRPr="007E377C">
              <w:rPr>
                <w:rFonts w:eastAsia="標楷體" w:hAnsi="標楷體"/>
                <w:color w:val="000000"/>
                <w:kern w:val="0"/>
              </w:rPr>
              <w:t>甲種漁船油</w:t>
            </w:r>
            <w:r w:rsidRPr="007E377C">
              <w:rPr>
                <w:rFonts w:eastAsia="標楷體"/>
                <w:color w:val="000000"/>
                <w:kern w:val="0"/>
              </w:rPr>
              <w:t>(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元</w:t>
            </w:r>
            <w:r w:rsidRPr="007E377C">
              <w:rPr>
                <w:rFonts w:eastAsia="標楷體"/>
                <w:color w:val="000000"/>
                <w:kern w:val="0"/>
              </w:rPr>
              <w:t>/</w:t>
            </w:r>
            <w:r w:rsidRPr="007E377C">
              <w:rPr>
                <w:rFonts w:eastAsia="標楷體" w:hAnsi="標楷體"/>
                <w:color w:val="000000"/>
                <w:kern w:val="0"/>
              </w:rPr>
              <w:t>公秉</w:t>
            </w:r>
            <w:r w:rsidRPr="007E377C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2EBC" w:rsidRPr="007E377C" w:rsidRDefault="00C16026" w:rsidP="005B28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 w:rsidR="00EA1678">
              <w:rPr>
                <w:color w:val="000000"/>
              </w:rPr>
              <w:t>,</w:t>
            </w:r>
            <w:r w:rsidR="005B2891">
              <w:rPr>
                <w:rFonts w:hint="eastAsia"/>
                <w:color w:val="000000"/>
              </w:rPr>
              <w:t>5</w:t>
            </w:r>
            <w:r w:rsidR="00EA1678">
              <w:rPr>
                <w:color w:val="000000"/>
              </w:rPr>
              <w:t>93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rFonts w:eastAsia="標楷體"/>
                <w:color w:val="000000"/>
                <w:szCs w:val="3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ind w:left="616" w:hanging="628"/>
              <w:jc w:val="center"/>
              <w:rPr>
                <w:rFonts w:eastAsia="標楷體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7D2EBC" w:rsidRPr="007E377C" w:rsidRDefault="007D2EBC" w:rsidP="007D2EBC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D2EBC" w:rsidRPr="007E377C" w:rsidRDefault="007D2EBC" w:rsidP="007D2EBC">
            <w:pPr>
              <w:jc w:val="center"/>
              <w:rPr>
                <w:color w:val="000000"/>
              </w:rPr>
            </w:pPr>
          </w:p>
        </w:tc>
        <w:tc>
          <w:tcPr>
            <w:tcW w:w="441" w:type="pct"/>
            <w:vAlign w:val="center"/>
          </w:tcPr>
          <w:p w:rsidR="007D2EBC" w:rsidRPr="007E377C" w:rsidRDefault="008F36F7" w:rsidP="00887D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EBC" w:rsidRPr="007E377C" w:rsidRDefault="00BE5B98" w:rsidP="008F3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36F7">
              <w:rPr>
                <w:rFonts w:hint="eastAsia"/>
                <w:color w:val="000000"/>
              </w:rPr>
              <w:t>2</w:t>
            </w:r>
            <w:r w:rsidR="00934A8C">
              <w:rPr>
                <w:color w:val="000000"/>
              </w:rPr>
              <w:t>,</w:t>
            </w:r>
            <w:r w:rsidR="007125D1">
              <w:rPr>
                <w:rFonts w:hint="eastAsia"/>
                <w:color w:val="000000"/>
              </w:rPr>
              <w:t>5</w:t>
            </w:r>
            <w:r w:rsidR="00934A8C">
              <w:rPr>
                <w:color w:val="000000"/>
              </w:rPr>
              <w:t>93</w:t>
            </w:r>
          </w:p>
        </w:tc>
      </w:tr>
    </w:tbl>
    <w:p w:rsidR="00C934EA" w:rsidRPr="007E377C" w:rsidRDefault="00C934EA" w:rsidP="00BA4CCC">
      <w:pPr>
        <w:spacing w:line="240" w:lineRule="exact"/>
        <w:ind w:left="841" w:hangingChars="400" w:hanging="841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/>
          <w:b/>
          <w:bCs/>
          <w:color w:val="000000"/>
          <w:kern w:val="0"/>
          <w:sz w:val="21"/>
          <w:szCs w:val="21"/>
        </w:rPr>
        <w:t>備註：</w:t>
      </w:r>
      <w:r w:rsidRPr="007E377C">
        <w:rPr>
          <w:rFonts w:eastAsia="標楷體"/>
          <w:bCs/>
          <w:color w:val="000000"/>
          <w:kern w:val="0"/>
          <w:sz w:val="21"/>
          <w:szCs w:val="21"/>
        </w:rPr>
        <w:t>1.</w:t>
      </w:r>
      <w:r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換算零售價係依變動幅度計算之稅前批售價加計稅費。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另石油基金及</w:t>
      </w:r>
      <w:r w:rsidR="000B2D46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空土污費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合併為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環境負擔。</w:t>
      </w:r>
    </w:p>
    <w:p w:rsidR="001D7AFF" w:rsidRPr="007E377C" w:rsidRDefault="0068762B" w:rsidP="00BA4CCC">
      <w:pPr>
        <w:spacing w:line="240" w:lineRule="exact"/>
        <w:ind w:leftChars="145" w:left="348" w:firstLineChars="87" w:firstLine="183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*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2.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本週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92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無鉛汽油換算零售價已扣除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101.4.2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因擴大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與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95</w:t>
      </w:r>
      <w:r w:rsidR="008E2615" w:rsidRPr="007E377C">
        <w:rPr>
          <w:rFonts w:eastAsia="標楷體" w:hint="eastAsia"/>
          <w:bCs/>
          <w:color w:val="000000"/>
          <w:kern w:val="0"/>
          <w:sz w:val="21"/>
          <w:szCs w:val="21"/>
        </w:rPr>
        <w:t>價差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少調之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0.8</w:t>
      </w:r>
      <w:r w:rsidR="001D7AFF" w:rsidRPr="007E377C">
        <w:rPr>
          <w:rFonts w:eastAsia="標楷體" w:hint="eastAsia"/>
          <w:bCs/>
          <w:color w:val="000000"/>
          <w:kern w:val="0"/>
          <w:sz w:val="21"/>
          <w:szCs w:val="21"/>
        </w:rPr>
        <w:t>元。</w:t>
      </w:r>
    </w:p>
    <w:p w:rsidR="00D2590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3.</w:t>
      </w:r>
      <w:r w:rsidR="00DA66AB" w:rsidRPr="007E377C">
        <w:rPr>
          <w:rFonts w:eastAsia="標楷體" w:hint="eastAsia"/>
          <w:bCs/>
          <w:color w:val="000000"/>
          <w:kern w:val="0"/>
          <w:sz w:val="21"/>
          <w:szCs w:val="21"/>
        </w:rPr>
        <w:t>換算零售價</w:t>
      </w:r>
      <w:r w:rsidR="001C4C52" w:rsidRPr="007E377C">
        <w:rPr>
          <w:rFonts w:eastAsia="標楷體" w:hint="eastAsia"/>
          <w:bCs/>
          <w:color w:val="000000"/>
          <w:kern w:val="0"/>
          <w:sz w:val="21"/>
          <w:szCs w:val="21"/>
        </w:rPr>
        <w:t>係不考量中油配合政策吸收或降價回饋，依機制計算應調整金額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。</w:t>
      </w:r>
    </w:p>
    <w:p w:rsidR="00C934EA" w:rsidRPr="007E377C" w:rsidRDefault="001D7AFF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4</w:t>
      </w:r>
      <w:r w:rsidR="00D2590A" w:rsidRPr="007E377C">
        <w:rPr>
          <w:rFonts w:eastAsia="標楷體" w:hint="eastAsia"/>
          <w:bCs/>
          <w:color w:val="000000"/>
          <w:kern w:val="0"/>
          <w:sz w:val="21"/>
          <w:szCs w:val="21"/>
        </w:rPr>
        <w:t>.</w:t>
      </w:r>
      <w:r w:rsidR="004B316A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海運重柴油及甲種漁船油調整金額比照超級柴油之調整金額。</w:t>
      </w:r>
    </w:p>
    <w:p w:rsidR="00AE2FE6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int="eastAsia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5.103.7.11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起本公司供應之超級柴油為不含生質燃料之柴油，原高級柴油取消不再供應。</w:t>
      </w:r>
    </w:p>
    <w:p w:rsidR="00C934EA" w:rsidRPr="007E377C" w:rsidRDefault="00AE2FE6" w:rsidP="00BA4CCC">
      <w:pPr>
        <w:spacing w:line="240" w:lineRule="exact"/>
        <w:ind w:leftChars="264" w:left="844" w:hangingChars="100" w:hanging="210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int="eastAsia"/>
          <w:bCs/>
          <w:color w:val="000000"/>
          <w:kern w:val="0"/>
          <w:sz w:val="21"/>
          <w:szCs w:val="21"/>
        </w:rPr>
        <w:t>6</w:t>
      </w:r>
      <w:r w:rsidR="00C934EA" w:rsidRPr="007E377C">
        <w:rPr>
          <w:rFonts w:eastAsia="標楷體"/>
          <w:bCs/>
          <w:color w:val="000000"/>
          <w:kern w:val="0"/>
          <w:sz w:val="21"/>
          <w:szCs w:val="21"/>
        </w:rPr>
        <w:t>.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本表汽、柴油調整後零售價內含貨物稅、</w:t>
      </w:r>
      <w:r w:rsidR="00FE2471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能源及</w:t>
      </w:r>
      <w:r w:rsidR="000B2D46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環境負擔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及營業稅等稅額，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其中</w:t>
      </w:r>
      <w:r w:rsidR="00C934EA" w:rsidRPr="006C3D76">
        <w:rPr>
          <w:rFonts w:eastAsia="標楷體"/>
          <w:bCs/>
          <w:color w:val="FF0000"/>
          <w:kern w:val="0"/>
          <w:sz w:val="21"/>
          <w:szCs w:val="21"/>
        </w:rPr>
        <w:t>95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無鉛汽油稅額合計每公升</w:t>
      </w:r>
      <w:r w:rsidR="006E156A" w:rsidRPr="006C3D76">
        <w:rPr>
          <w:rFonts w:eastAsia="標楷體"/>
          <w:bCs/>
          <w:color w:val="FF0000"/>
          <w:kern w:val="0"/>
          <w:sz w:val="21"/>
          <w:szCs w:val="21"/>
        </w:rPr>
        <w:t>8.</w:t>
      </w:r>
      <w:r w:rsidR="008F36F7">
        <w:rPr>
          <w:rFonts w:eastAsia="標楷體" w:hint="eastAsia"/>
          <w:bCs/>
          <w:color w:val="FF0000"/>
          <w:kern w:val="0"/>
          <w:sz w:val="21"/>
          <w:szCs w:val="21"/>
        </w:rPr>
        <w:t>4</w:t>
      </w:r>
      <w:r w:rsidR="00AE18B0">
        <w:rPr>
          <w:rFonts w:eastAsia="標楷體" w:hint="eastAsia"/>
          <w:bCs/>
          <w:color w:val="FF0000"/>
          <w:kern w:val="0"/>
          <w:sz w:val="21"/>
          <w:szCs w:val="21"/>
        </w:rPr>
        <w:t>1</w:t>
      </w:r>
      <w:r w:rsidR="006C3D76" w:rsidRPr="006C3D76">
        <w:rPr>
          <w:rFonts w:eastAsia="標楷體" w:hint="eastAsia"/>
          <w:bCs/>
          <w:color w:val="FF0000"/>
          <w:kern w:val="0"/>
          <w:sz w:val="21"/>
          <w:szCs w:val="21"/>
        </w:rPr>
        <w:t>元、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超級柴油稅額合計每公升</w:t>
      </w:r>
      <w:r w:rsidR="00CC55CB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5.</w:t>
      </w:r>
      <w:r w:rsidR="008F36F7">
        <w:rPr>
          <w:rFonts w:eastAsia="標楷體" w:hAnsi="標楷體" w:hint="eastAsia"/>
          <w:bCs/>
          <w:color w:val="FF0000"/>
          <w:kern w:val="0"/>
          <w:sz w:val="21"/>
          <w:szCs w:val="21"/>
        </w:rPr>
        <w:t>4</w:t>
      </w:r>
      <w:r w:rsidR="00AE18B0">
        <w:rPr>
          <w:rFonts w:eastAsia="標楷體" w:hAnsi="標楷體" w:hint="eastAsia"/>
          <w:bCs/>
          <w:color w:val="FF0000"/>
          <w:kern w:val="0"/>
          <w:sz w:val="21"/>
          <w:szCs w:val="21"/>
        </w:rPr>
        <w:t>7</w:t>
      </w:r>
      <w:r w:rsidR="00C934EA" w:rsidRPr="006C3D76">
        <w:rPr>
          <w:rFonts w:eastAsia="標楷體" w:hAnsi="標楷體"/>
          <w:bCs/>
          <w:color w:val="FF0000"/>
          <w:kern w:val="0"/>
          <w:sz w:val="21"/>
          <w:szCs w:val="21"/>
        </w:rPr>
        <w:t>元</w:t>
      </w:r>
      <w:r w:rsidR="00C934EA" w:rsidRPr="007E377C">
        <w:rPr>
          <w:rFonts w:eastAsia="標楷體" w:hAnsi="標楷體"/>
          <w:bCs/>
          <w:color w:val="000000"/>
          <w:kern w:val="0"/>
          <w:sz w:val="21"/>
          <w:szCs w:val="21"/>
        </w:rPr>
        <w:t>。</w:t>
      </w:r>
    </w:p>
    <w:p w:rsidR="00AE2FE6" w:rsidRPr="007E377C" w:rsidRDefault="00B41363" w:rsidP="00BA4CCC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</w:t>
      </w:r>
      <w:r w:rsidR="00E55DB7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經濟部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107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年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月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11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日記者會宣布採行油價平穩措施，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無鉛汽油每公升大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於</w:t>
      </w:r>
      <w:r w:rsidR="00F2670F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等於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32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.5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35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元時，上漲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下跌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時分別少漲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(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少跌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)25%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、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50%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及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75%</w:t>
      </w:r>
      <w:r w:rsidR="009F71C9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。</w:t>
      </w:r>
    </w:p>
    <w:p w:rsidR="003D5854" w:rsidRDefault="005D0FEE" w:rsidP="00462112">
      <w:pPr>
        <w:spacing w:line="240" w:lineRule="exact"/>
        <w:ind w:leftChars="264" w:left="783" w:hangingChars="71" w:hanging="149"/>
        <w:rPr>
          <w:rFonts w:eastAsia="標楷體" w:hAnsi="標楷體"/>
          <w:bCs/>
          <w:color w:val="000000"/>
          <w:kern w:val="0"/>
          <w:sz w:val="21"/>
          <w:szCs w:val="21"/>
        </w:rPr>
      </w:pP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8.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本表本週計算汽油吸收金額之基準為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="0074456C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與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之價差，如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</w:t>
      </w:r>
      <w:r w:rsidR="00DA66AB"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換算零售價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低於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30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以下，則列計為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0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，柴油吸收金額則比照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95</w:t>
      </w:r>
      <w:r w:rsidRPr="007E377C">
        <w:rPr>
          <w:rFonts w:eastAsia="標楷體" w:hAnsi="標楷體" w:hint="eastAsia"/>
          <w:bCs/>
          <w:color w:val="000000"/>
          <w:kern w:val="0"/>
          <w:sz w:val="21"/>
          <w:szCs w:val="21"/>
        </w:rPr>
        <w:t>無鉛汽油。</w:t>
      </w:r>
    </w:p>
    <w:p w:rsidR="00EA1678" w:rsidRDefault="00EA1678" w:rsidP="00462112">
      <w:pPr>
        <w:spacing w:line="240" w:lineRule="exact"/>
        <w:ind w:leftChars="264" w:left="783" w:hangingChars="71" w:hanging="149"/>
        <w:rPr>
          <w:rFonts w:eastAsia="標楷體" w:hAnsi="標楷體" w:hint="eastAsia"/>
          <w:bCs/>
          <w:color w:val="000000"/>
          <w:kern w:val="0"/>
          <w:sz w:val="21"/>
          <w:szCs w:val="21"/>
        </w:rPr>
      </w:pPr>
      <w:r>
        <w:rPr>
          <w:rFonts w:eastAsia="標楷體" w:hAnsi="標楷體" w:hint="eastAsia"/>
          <w:bCs/>
          <w:color w:val="000000"/>
          <w:kern w:val="0"/>
          <w:sz w:val="21"/>
          <w:szCs w:val="21"/>
        </w:rPr>
        <w:t>9.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依據浮動油價調整作業原則本週汽、柴油每公升應各調漲</w:t>
      </w:r>
      <w:r w:rsidR="008C22FA">
        <w:rPr>
          <w:rFonts w:eastAsia="標楷體" w:hAnsi="標楷體" w:hint="eastAsia"/>
          <w:bCs/>
          <w:color w:val="FF0000"/>
          <w:kern w:val="0"/>
          <w:sz w:val="21"/>
          <w:szCs w:val="21"/>
        </w:rPr>
        <w:t>0.</w:t>
      </w:r>
      <w:r w:rsidR="00C271F7">
        <w:rPr>
          <w:rFonts w:eastAsia="標楷體" w:hAnsi="標楷體" w:hint="eastAsia"/>
          <w:bCs/>
          <w:color w:val="FF0000"/>
          <w:kern w:val="0"/>
          <w:sz w:val="21"/>
          <w:szCs w:val="21"/>
        </w:rPr>
        <w:t>6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元與</w:t>
      </w:r>
      <w:r w:rsidR="00BE5B98">
        <w:rPr>
          <w:rFonts w:eastAsia="標楷體" w:hAnsi="標楷體"/>
          <w:bCs/>
          <w:color w:val="FF0000"/>
          <w:kern w:val="0"/>
          <w:sz w:val="21"/>
          <w:szCs w:val="21"/>
        </w:rPr>
        <w:t>0.</w:t>
      </w:r>
      <w:r w:rsidR="00C271F7">
        <w:rPr>
          <w:rFonts w:eastAsia="標楷體" w:hAnsi="標楷體" w:hint="eastAsia"/>
          <w:bCs/>
          <w:color w:val="FF0000"/>
          <w:kern w:val="0"/>
          <w:sz w:val="21"/>
          <w:szCs w:val="21"/>
        </w:rPr>
        <w:t>9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元，惟以亞鄰競爭國最低價為調整上限，本週汽、柴油價格</w:t>
      </w:r>
      <w:r w:rsidR="007125D1">
        <w:rPr>
          <w:rFonts w:eastAsia="標楷體" w:hAnsi="標楷體" w:hint="eastAsia"/>
          <w:bCs/>
          <w:color w:val="FF0000"/>
          <w:kern w:val="0"/>
          <w:sz w:val="21"/>
          <w:szCs w:val="21"/>
        </w:rPr>
        <w:t>不予調整</w:t>
      </w:r>
      <w:r w:rsidRPr="00336729">
        <w:rPr>
          <w:rFonts w:eastAsia="標楷體" w:hAnsi="標楷體" w:hint="eastAsia"/>
          <w:bCs/>
          <w:color w:val="FF0000"/>
          <w:kern w:val="0"/>
          <w:sz w:val="21"/>
          <w:szCs w:val="21"/>
        </w:rPr>
        <w:t>。</w:t>
      </w:r>
    </w:p>
    <w:p w:rsidR="00C17542" w:rsidRPr="007E377C" w:rsidRDefault="00E55DB7" w:rsidP="00BA4CCC">
      <w:pPr>
        <w:spacing w:line="240" w:lineRule="exact"/>
        <w:ind w:leftChars="2" w:left="7" w:hangingChars="1" w:hanging="2"/>
        <w:rPr>
          <w:rFonts w:eastAsia="標楷體" w:hAnsi="標楷體" w:hint="eastAsia"/>
          <w:b/>
          <w:color w:val="000000"/>
          <w:sz w:val="36"/>
          <w:szCs w:val="36"/>
        </w:rPr>
      </w:pPr>
      <w:r w:rsidRPr="007E377C">
        <w:rPr>
          <w:rFonts w:eastAsia="標楷體" w:hAnsi="標楷體"/>
          <w:color w:val="000000"/>
          <w:kern w:val="0"/>
          <w:sz w:val="21"/>
          <w:szCs w:val="21"/>
        </w:rPr>
        <w:t>以上各項資料僅供參考若有誤植，以本公司網頁浮動油價專區「汽柴油浮動油價調整機制」公告之「調幅比較表」及「調整金額試算表」資料為準。</w:t>
      </w:r>
    </w:p>
    <w:sectPr w:rsidR="00C17542" w:rsidRPr="007E377C" w:rsidSect="00CE2324">
      <w:pgSz w:w="11906" w:h="16838" w:code="9"/>
      <w:pgMar w:top="227" w:right="624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81" w:rsidRDefault="000E0C81" w:rsidP="00023199">
      <w:r>
        <w:separator/>
      </w:r>
    </w:p>
  </w:endnote>
  <w:endnote w:type="continuationSeparator" w:id="0">
    <w:p w:rsidR="000E0C81" w:rsidRDefault="000E0C81" w:rsidP="0002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81" w:rsidRDefault="000E0C81" w:rsidP="00023199">
      <w:r>
        <w:separator/>
      </w:r>
    </w:p>
  </w:footnote>
  <w:footnote w:type="continuationSeparator" w:id="0">
    <w:p w:rsidR="000E0C81" w:rsidRDefault="000E0C81" w:rsidP="00023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19"/>
    <w:rsid w:val="0000227A"/>
    <w:rsid w:val="00002FDE"/>
    <w:rsid w:val="00004F6F"/>
    <w:rsid w:val="00005AE2"/>
    <w:rsid w:val="0000712E"/>
    <w:rsid w:val="000078D3"/>
    <w:rsid w:val="00007D54"/>
    <w:rsid w:val="000166DE"/>
    <w:rsid w:val="00017000"/>
    <w:rsid w:val="0002047C"/>
    <w:rsid w:val="00023154"/>
    <w:rsid w:val="00023199"/>
    <w:rsid w:val="00023695"/>
    <w:rsid w:val="0002413B"/>
    <w:rsid w:val="0003055A"/>
    <w:rsid w:val="0003137E"/>
    <w:rsid w:val="00032869"/>
    <w:rsid w:val="00032ECA"/>
    <w:rsid w:val="00032EE4"/>
    <w:rsid w:val="00032F7B"/>
    <w:rsid w:val="0003473E"/>
    <w:rsid w:val="00036EF2"/>
    <w:rsid w:val="00037DBE"/>
    <w:rsid w:val="00040BC3"/>
    <w:rsid w:val="000430E4"/>
    <w:rsid w:val="00045B0D"/>
    <w:rsid w:val="00052BEF"/>
    <w:rsid w:val="00053DC2"/>
    <w:rsid w:val="00054A80"/>
    <w:rsid w:val="00054F25"/>
    <w:rsid w:val="000572F2"/>
    <w:rsid w:val="00057379"/>
    <w:rsid w:val="00064DEA"/>
    <w:rsid w:val="00066BCE"/>
    <w:rsid w:val="0007031E"/>
    <w:rsid w:val="0007479A"/>
    <w:rsid w:val="00075634"/>
    <w:rsid w:val="00075F9C"/>
    <w:rsid w:val="00076530"/>
    <w:rsid w:val="00076993"/>
    <w:rsid w:val="00081C5E"/>
    <w:rsid w:val="0008300C"/>
    <w:rsid w:val="000854EB"/>
    <w:rsid w:val="00085CAB"/>
    <w:rsid w:val="00090C01"/>
    <w:rsid w:val="000961B7"/>
    <w:rsid w:val="0009693E"/>
    <w:rsid w:val="00097308"/>
    <w:rsid w:val="00097B6B"/>
    <w:rsid w:val="000A5989"/>
    <w:rsid w:val="000A6C36"/>
    <w:rsid w:val="000B294D"/>
    <w:rsid w:val="000B2D46"/>
    <w:rsid w:val="000B4D15"/>
    <w:rsid w:val="000B51B3"/>
    <w:rsid w:val="000B6017"/>
    <w:rsid w:val="000B6444"/>
    <w:rsid w:val="000C0251"/>
    <w:rsid w:val="000C453D"/>
    <w:rsid w:val="000C5F08"/>
    <w:rsid w:val="000C7442"/>
    <w:rsid w:val="000C7D74"/>
    <w:rsid w:val="000D195A"/>
    <w:rsid w:val="000D23E8"/>
    <w:rsid w:val="000D4429"/>
    <w:rsid w:val="000D5165"/>
    <w:rsid w:val="000D59DB"/>
    <w:rsid w:val="000D71DC"/>
    <w:rsid w:val="000D7521"/>
    <w:rsid w:val="000E0C81"/>
    <w:rsid w:val="000E4299"/>
    <w:rsid w:val="000E44C8"/>
    <w:rsid w:val="000E4ED7"/>
    <w:rsid w:val="000E5F33"/>
    <w:rsid w:val="000E751A"/>
    <w:rsid w:val="000E7BBB"/>
    <w:rsid w:val="000F30CD"/>
    <w:rsid w:val="000F3ABB"/>
    <w:rsid w:val="000F40FA"/>
    <w:rsid w:val="000F4819"/>
    <w:rsid w:val="000F560C"/>
    <w:rsid w:val="00100E88"/>
    <w:rsid w:val="001036B2"/>
    <w:rsid w:val="00107730"/>
    <w:rsid w:val="00107B20"/>
    <w:rsid w:val="00116355"/>
    <w:rsid w:val="00120761"/>
    <w:rsid w:val="00121FF3"/>
    <w:rsid w:val="001227C0"/>
    <w:rsid w:val="001235EE"/>
    <w:rsid w:val="001239A4"/>
    <w:rsid w:val="00124297"/>
    <w:rsid w:val="00124847"/>
    <w:rsid w:val="00131498"/>
    <w:rsid w:val="00131FCA"/>
    <w:rsid w:val="0013214D"/>
    <w:rsid w:val="001348B5"/>
    <w:rsid w:val="00144812"/>
    <w:rsid w:val="00147957"/>
    <w:rsid w:val="00155D47"/>
    <w:rsid w:val="001577E3"/>
    <w:rsid w:val="00163335"/>
    <w:rsid w:val="00164181"/>
    <w:rsid w:val="0016500C"/>
    <w:rsid w:val="00165C8E"/>
    <w:rsid w:val="001678E2"/>
    <w:rsid w:val="0017041C"/>
    <w:rsid w:val="0017123A"/>
    <w:rsid w:val="00174F64"/>
    <w:rsid w:val="00175A46"/>
    <w:rsid w:val="00180860"/>
    <w:rsid w:val="00183682"/>
    <w:rsid w:val="00183AD3"/>
    <w:rsid w:val="00186385"/>
    <w:rsid w:val="00190455"/>
    <w:rsid w:val="00194B00"/>
    <w:rsid w:val="001957F5"/>
    <w:rsid w:val="001A1542"/>
    <w:rsid w:val="001A1E7D"/>
    <w:rsid w:val="001A61FF"/>
    <w:rsid w:val="001B0189"/>
    <w:rsid w:val="001B2FF5"/>
    <w:rsid w:val="001B3E14"/>
    <w:rsid w:val="001B6174"/>
    <w:rsid w:val="001B6A20"/>
    <w:rsid w:val="001C4C52"/>
    <w:rsid w:val="001C5361"/>
    <w:rsid w:val="001C7278"/>
    <w:rsid w:val="001C7A50"/>
    <w:rsid w:val="001D2A4E"/>
    <w:rsid w:val="001D2B8F"/>
    <w:rsid w:val="001D3ABF"/>
    <w:rsid w:val="001D3D77"/>
    <w:rsid w:val="001D4377"/>
    <w:rsid w:val="001D4D25"/>
    <w:rsid w:val="001D5250"/>
    <w:rsid w:val="001D6D78"/>
    <w:rsid w:val="001D7AFF"/>
    <w:rsid w:val="001E0499"/>
    <w:rsid w:val="001E378B"/>
    <w:rsid w:val="001E38CF"/>
    <w:rsid w:val="001E3978"/>
    <w:rsid w:val="001E3B93"/>
    <w:rsid w:val="001E5A94"/>
    <w:rsid w:val="001F2851"/>
    <w:rsid w:val="001F2ACB"/>
    <w:rsid w:val="001F3AC7"/>
    <w:rsid w:val="001F6A55"/>
    <w:rsid w:val="002028CA"/>
    <w:rsid w:val="002042C2"/>
    <w:rsid w:val="002107AF"/>
    <w:rsid w:val="00212420"/>
    <w:rsid w:val="00212BA2"/>
    <w:rsid w:val="00213A62"/>
    <w:rsid w:val="00215EED"/>
    <w:rsid w:val="00220E93"/>
    <w:rsid w:val="002211C3"/>
    <w:rsid w:val="002253A0"/>
    <w:rsid w:val="00226E46"/>
    <w:rsid w:val="00226EAA"/>
    <w:rsid w:val="00232BC9"/>
    <w:rsid w:val="0023487C"/>
    <w:rsid w:val="002348B2"/>
    <w:rsid w:val="00235212"/>
    <w:rsid w:val="00235276"/>
    <w:rsid w:val="00240042"/>
    <w:rsid w:val="0024180E"/>
    <w:rsid w:val="00241B9F"/>
    <w:rsid w:val="00242CA6"/>
    <w:rsid w:val="0025057C"/>
    <w:rsid w:val="00252288"/>
    <w:rsid w:val="00253186"/>
    <w:rsid w:val="0025377C"/>
    <w:rsid w:val="00254213"/>
    <w:rsid w:val="00254710"/>
    <w:rsid w:val="00254FA2"/>
    <w:rsid w:val="00256C0E"/>
    <w:rsid w:val="00256DC7"/>
    <w:rsid w:val="00257FD0"/>
    <w:rsid w:val="0026116B"/>
    <w:rsid w:val="002630BE"/>
    <w:rsid w:val="002679E3"/>
    <w:rsid w:val="00272205"/>
    <w:rsid w:val="0027376F"/>
    <w:rsid w:val="002758BB"/>
    <w:rsid w:val="00280559"/>
    <w:rsid w:val="00281595"/>
    <w:rsid w:val="0028219C"/>
    <w:rsid w:val="00283E69"/>
    <w:rsid w:val="00283F6B"/>
    <w:rsid w:val="00284A4A"/>
    <w:rsid w:val="00291670"/>
    <w:rsid w:val="002934CC"/>
    <w:rsid w:val="00294260"/>
    <w:rsid w:val="00294948"/>
    <w:rsid w:val="00296F6F"/>
    <w:rsid w:val="002A0B48"/>
    <w:rsid w:val="002A22F1"/>
    <w:rsid w:val="002A4482"/>
    <w:rsid w:val="002A470C"/>
    <w:rsid w:val="002A5C76"/>
    <w:rsid w:val="002A71A7"/>
    <w:rsid w:val="002B01EB"/>
    <w:rsid w:val="002B122D"/>
    <w:rsid w:val="002B1719"/>
    <w:rsid w:val="002B41ED"/>
    <w:rsid w:val="002B478D"/>
    <w:rsid w:val="002B563C"/>
    <w:rsid w:val="002B74EC"/>
    <w:rsid w:val="002C1F3A"/>
    <w:rsid w:val="002C1FD4"/>
    <w:rsid w:val="002C2FCE"/>
    <w:rsid w:val="002C322D"/>
    <w:rsid w:val="002C4698"/>
    <w:rsid w:val="002C519E"/>
    <w:rsid w:val="002C67D1"/>
    <w:rsid w:val="002D025E"/>
    <w:rsid w:val="002D05EE"/>
    <w:rsid w:val="002D591C"/>
    <w:rsid w:val="002E159D"/>
    <w:rsid w:val="002E282D"/>
    <w:rsid w:val="002E5BC2"/>
    <w:rsid w:val="002E69AD"/>
    <w:rsid w:val="002E75DF"/>
    <w:rsid w:val="002F2E15"/>
    <w:rsid w:val="002F53DD"/>
    <w:rsid w:val="002F6B18"/>
    <w:rsid w:val="002F7542"/>
    <w:rsid w:val="003037E6"/>
    <w:rsid w:val="003059AD"/>
    <w:rsid w:val="00306980"/>
    <w:rsid w:val="00306F98"/>
    <w:rsid w:val="0030753C"/>
    <w:rsid w:val="00307FB0"/>
    <w:rsid w:val="003115D0"/>
    <w:rsid w:val="00313D58"/>
    <w:rsid w:val="00317B04"/>
    <w:rsid w:val="003234DC"/>
    <w:rsid w:val="00330B2A"/>
    <w:rsid w:val="00330CAB"/>
    <w:rsid w:val="00333C3C"/>
    <w:rsid w:val="00335060"/>
    <w:rsid w:val="003356CA"/>
    <w:rsid w:val="003359C1"/>
    <w:rsid w:val="00336630"/>
    <w:rsid w:val="00336729"/>
    <w:rsid w:val="00340154"/>
    <w:rsid w:val="003413C5"/>
    <w:rsid w:val="00344912"/>
    <w:rsid w:val="00346A43"/>
    <w:rsid w:val="0034707C"/>
    <w:rsid w:val="003534BD"/>
    <w:rsid w:val="003612F1"/>
    <w:rsid w:val="003613DB"/>
    <w:rsid w:val="00361992"/>
    <w:rsid w:val="0036408B"/>
    <w:rsid w:val="0036583C"/>
    <w:rsid w:val="003667CF"/>
    <w:rsid w:val="00366878"/>
    <w:rsid w:val="00370DE8"/>
    <w:rsid w:val="00371BB0"/>
    <w:rsid w:val="00373AC1"/>
    <w:rsid w:val="00373D9C"/>
    <w:rsid w:val="003740EA"/>
    <w:rsid w:val="00375AC4"/>
    <w:rsid w:val="003800ED"/>
    <w:rsid w:val="0038462B"/>
    <w:rsid w:val="00385AA3"/>
    <w:rsid w:val="00394BD7"/>
    <w:rsid w:val="00397D78"/>
    <w:rsid w:val="003A00A7"/>
    <w:rsid w:val="003A0686"/>
    <w:rsid w:val="003A06F2"/>
    <w:rsid w:val="003A4B1D"/>
    <w:rsid w:val="003A4BB4"/>
    <w:rsid w:val="003A6624"/>
    <w:rsid w:val="003A6A68"/>
    <w:rsid w:val="003A7305"/>
    <w:rsid w:val="003B0129"/>
    <w:rsid w:val="003B3D24"/>
    <w:rsid w:val="003B42CA"/>
    <w:rsid w:val="003B4AD1"/>
    <w:rsid w:val="003B6B3A"/>
    <w:rsid w:val="003C0D13"/>
    <w:rsid w:val="003C22D3"/>
    <w:rsid w:val="003C28D7"/>
    <w:rsid w:val="003C4934"/>
    <w:rsid w:val="003C5B4C"/>
    <w:rsid w:val="003C7A27"/>
    <w:rsid w:val="003D1084"/>
    <w:rsid w:val="003D2AD0"/>
    <w:rsid w:val="003D317C"/>
    <w:rsid w:val="003D5854"/>
    <w:rsid w:val="003D5C49"/>
    <w:rsid w:val="003D618D"/>
    <w:rsid w:val="003E078C"/>
    <w:rsid w:val="003E0E8F"/>
    <w:rsid w:val="003E1D8E"/>
    <w:rsid w:val="003E2484"/>
    <w:rsid w:val="003E27CE"/>
    <w:rsid w:val="003E3BB4"/>
    <w:rsid w:val="003E76A4"/>
    <w:rsid w:val="003F0B54"/>
    <w:rsid w:val="003F27C0"/>
    <w:rsid w:val="003F6B32"/>
    <w:rsid w:val="003F7212"/>
    <w:rsid w:val="003F75BE"/>
    <w:rsid w:val="004053E3"/>
    <w:rsid w:val="00406F86"/>
    <w:rsid w:val="00407AEC"/>
    <w:rsid w:val="00412F4A"/>
    <w:rsid w:val="00414622"/>
    <w:rsid w:val="00417417"/>
    <w:rsid w:val="00420D11"/>
    <w:rsid w:val="00422BA4"/>
    <w:rsid w:val="00425A08"/>
    <w:rsid w:val="00430335"/>
    <w:rsid w:val="00434000"/>
    <w:rsid w:val="00435EE3"/>
    <w:rsid w:val="004364F9"/>
    <w:rsid w:val="00436E51"/>
    <w:rsid w:val="00444D56"/>
    <w:rsid w:val="00444D75"/>
    <w:rsid w:val="0044658E"/>
    <w:rsid w:val="004467EE"/>
    <w:rsid w:val="00446B6F"/>
    <w:rsid w:val="00450EE6"/>
    <w:rsid w:val="00451377"/>
    <w:rsid w:val="0045161E"/>
    <w:rsid w:val="00460730"/>
    <w:rsid w:val="00461B05"/>
    <w:rsid w:val="00462112"/>
    <w:rsid w:val="00465C89"/>
    <w:rsid w:val="00465D22"/>
    <w:rsid w:val="00467670"/>
    <w:rsid w:val="00472CD4"/>
    <w:rsid w:val="00474C0B"/>
    <w:rsid w:val="00475027"/>
    <w:rsid w:val="00480A68"/>
    <w:rsid w:val="0048355A"/>
    <w:rsid w:val="0049452E"/>
    <w:rsid w:val="00495341"/>
    <w:rsid w:val="00496DA5"/>
    <w:rsid w:val="0049734A"/>
    <w:rsid w:val="00497740"/>
    <w:rsid w:val="00497873"/>
    <w:rsid w:val="004A12D5"/>
    <w:rsid w:val="004A20D1"/>
    <w:rsid w:val="004A2509"/>
    <w:rsid w:val="004A58CB"/>
    <w:rsid w:val="004A5B9B"/>
    <w:rsid w:val="004A7B33"/>
    <w:rsid w:val="004B2064"/>
    <w:rsid w:val="004B316A"/>
    <w:rsid w:val="004B37AB"/>
    <w:rsid w:val="004B6E36"/>
    <w:rsid w:val="004B717E"/>
    <w:rsid w:val="004B7321"/>
    <w:rsid w:val="004B769D"/>
    <w:rsid w:val="004C1821"/>
    <w:rsid w:val="004C1C9C"/>
    <w:rsid w:val="004C70F6"/>
    <w:rsid w:val="004C7B5C"/>
    <w:rsid w:val="004D03AA"/>
    <w:rsid w:val="004D2CF5"/>
    <w:rsid w:val="004E0834"/>
    <w:rsid w:val="004E12E2"/>
    <w:rsid w:val="004E397A"/>
    <w:rsid w:val="004E4DE2"/>
    <w:rsid w:val="004F269C"/>
    <w:rsid w:val="005033D1"/>
    <w:rsid w:val="00504032"/>
    <w:rsid w:val="005115C0"/>
    <w:rsid w:val="0051257C"/>
    <w:rsid w:val="00516D15"/>
    <w:rsid w:val="00516FDE"/>
    <w:rsid w:val="00525B07"/>
    <w:rsid w:val="00525F86"/>
    <w:rsid w:val="0053711F"/>
    <w:rsid w:val="00537480"/>
    <w:rsid w:val="005402C7"/>
    <w:rsid w:val="00543E89"/>
    <w:rsid w:val="00546070"/>
    <w:rsid w:val="00546486"/>
    <w:rsid w:val="00552792"/>
    <w:rsid w:val="005543B0"/>
    <w:rsid w:val="00556A64"/>
    <w:rsid w:val="0056131A"/>
    <w:rsid w:val="00563845"/>
    <w:rsid w:val="00566040"/>
    <w:rsid w:val="00571BCE"/>
    <w:rsid w:val="00577173"/>
    <w:rsid w:val="005772C2"/>
    <w:rsid w:val="00577AAC"/>
    <w:rsid w:val="00577E9B"/>
    <w:rsid w:val="00580CFC"/>
    <w:rsid w:val="00581A50"/>
    <w:rsid w:val="00582550"/>
    <w:rsid w:val="00585A43"/>
    <w:rsid w:val="00591F9C"/>
    <w:rsid w:val="00597A19"/>
    <w:rsid w:val="005A7D2D"/>
    <w:rsid w:val="005B2891"/>
    <w:rsid w:val="005B2B41"/>
    <w:rsid w:val="005B2D28"/>
    <w:rsid w:val="005B5F18"/>
    <w:rsid w:val="005C10D4"/>
    <w:rsid w:val="005C3141"/>
    <w:rsid w:val="005C3DF4"/>
    <w:rsid w:val="005D0FEE"/>
    <w:rsid w:val="005D1A75"/>
    <w:rsid w:val="005D1E9C"/>
    <w:rsid w:val="005D2735"/>
    <w:rsid w:val="005D7568"/>
    <w:rsid w:val="005E0403"/>
    <w:rsid w:val="005E05F4"/>
    <w:rsid w:val="005E1BCC"/>
    <w:rsid w:val="005E324C"/>
    <w:rsid w:val="005E3832"/>
    <w:rsid w:val="005F11C8"/>
    <w:rsid w:val="005F1BA3"/>
    <w:rsid w:val="005F2B06"/>
    <w:rsid w:val="005F3D07"/>
    <w:rsid w:val="005F4890"/>
    <w:rsid w:val="005F70C4"/>
    <w:rsid w:val="006011B8"/>
    <w:rsid w:val="006032DB"/>
    <w:rsid w:val="00605765"/>
    <w:rsid w:val="006060D4"/>
    <w:rsid w:val="006101A6"/>
    <w:rsid w:val="00610B47"/>
    <w:rsid w:val="00610D32"/>
    <w:rsid w:val="006153CF"/>
    <w:rsid w:val="00616881"/>
    <w:rsid w:val="006210E1"/>
    <w:rsid w:val="00621EBD"/>
    <w:rsid w:val="0062250C"/>
    <w:rsid w:val="00623E91"/>
    <w:rsid w:val="0062440A"/>
    <w:rsid w:val="00624A33"/>
    <w:rsid w:val="006274D2"/>
    <w:rsid w:val="00630D11"/>
    <w:rsid w:val="006336E9"/>
    <w:rsid w:val="006344BD"/>
    <w:rsid w:val="00634EDF"/>
    <w:rsid w:val="006357E2"/>
    <w:rsid w:val="006358A3"/>
    <w:rsid w:val="00635916"/>
    <w:rsid w:val="00635A77"/>
    <w:rsid w:val="00637D13"/>
    <w:rsid w:val="006455E5"/>
    <w:rsid w:val="006565AB"/>
    <w:rsid w:val="00661D5D"/>
    <w:rsid w:val="006658F3"/>
    <w:rsid w:val="00666263"/>
    <w:rsid w:val="00666D25"/>
    <w:rsid w:val="006729FF"/>
    <w:rsid w:val="00673D35"/>
    <w:rsid w:val="006751F8"/>
    <w:rsid w:val="006807F7"/>
    <w:rsid w:val="006810F2"/>
    <w:rsid w:val="0068279B"/>
    <w:rsid w:val="00682B25"/>
    <w:rsid w:val="00683C69"/>
    <w:rsid w:val="0068762B"/>
    <w:rsid w:val="00691208"/>
    <w:rsid w:val="00692259"/>
    <w:rsid w:val="00694A85"/>
    <w:rsid w:val="00695F2B"/>
    <w:rsid w:val="006969B9"/>
    <w:rsid w:val="00696BD7"/>
    <w:rsid w:val="00697012"/>
    <w:rsid w:val="006A10B1"/>
    <w:rsid w:val="006A15DD"/>
    <w:rsid w:val="006A624F"/>
    <w:rsid w:val="006B079A"/>
    <w:rsid w:val="006B1254"/>
    <w:rsid w:val="006B18E9"/>
    <w:rsid w:val="006B1E71"/>
    <w:rsid w:val="006B732F"/>
    <w:rsid w:val="006B7B38"/>
    <w:rsid w:val="006C20CE"/>
    <w:rsid w:val="006C2C22"/>
    <w:rsid w:val="006C3D76"/>
    <w:rsid w:val="006C4B76"/>
    <w:rsid w:val="006C4F58"/>
    <w:rsid w:val="006C66CF"/>
    <w:rsid w:val="006C6801"/>
    <w:rsid w:val="006C7E74"/>
    <w:rsid w:val="006D13D6"/>
    <w:rsid w:val="006D15C2"/>
    <w:rsid w:val="006D1D00"/>
    <w:rsid w:val="006D25E1"/>
    <w:rsid w:val="006D4AE0"/>
    <w:rsid w:val="006D57F6"/>
    <w:rsid w:val="006D62F1"/>
    <w:rsid w:val="006E14C5"/>
    <w:rsid w:val="006E156A"/>
    <w:rsid w:val="006E2FBD"/>
    <w:rsid w:val="006E3ECD"/>
    <w:rsid w:val="006E60AA"/>
    <w:rsid w:val="006F104F"/>
    <w:rsid w:val="006F31A7"/>
    <w:rsid w:val="006F4C4E"/>
    <w:rsid w:val="00700104"/>
    <w:rsid w:val="00700C62"/>
    <w:rsid w:val="0070223E"/>
    <w:rsid w:val="00702F1D"/>
    <w:rsid w:val="00703F20"/>
    <w:rsid w:val="007041D4"/>
    <w:rsid w:val="0071041B"/>
    <w:rsid w:val="00710BA8"/>
    <w:rsid w:val="00711525"/>
    <w:rsid w:val="007125D1"/>
    <w:rsid w:val="00713EFA"/>
    <w:rsid w:val="007143A9"/>
    <w:rsid w:val="00714BC4"/>
    <w:rsid w:val="00715F4D"/>
    <w:rsid w:val="00716DFB"/>
    <w:rsid w:val="00722668"/>
    <w:rsid w:val="00722E3F"/>
    <w:rsid w:val="00723345"/>
    <w:rsid w:val="00725810"/>
    <w:rsid w:val="00727B0B"/>
    <w:rsid w:val="00730791"/>
    <w:rsid w:val="00730B59"/>
    <w:rsid w:val="00733EDE"/>
    <w:rsid w:val="00733F79"/>
    <w:rsid w:val="00736784"/>
    <w:rsid w:val="00743553"/>
    <w:rsid w:val="00743C4D"/>
    <w:rsid w:val="0074456C"/>
    <w:rsid w:val="00744639"/>
    <w:rsid w:val="007459EF"/>
    <w:rsid w:val="00745F9C"/>
    <w:rsid w:val="00746043"/>
    <w:rsid w:val="007470AA"/>
    <w:rsid w:val="00752741"/>
    <w:rsid w:val="00753A41"/>
    <w:rsid w:val="00760D63"/>
    <w:rsid w:val="007668F6"/>
    <w:rsid w:val="007671F0"/>
    <w:rsid w:val="00772205"/>
    <w:rsid w:val="00774E6E"/>
    <w:rsid w:val="00775C0C"/>
    <w:rsid w:val="00777424"/>
    <w:rsid w:val="007833E8"/>
    <w:rsid w:val="00783B01"/>
    <w:rsid w:val="00785078"/>
    <w:rsid w:val="00785E1A"/>
    <w:rsid w:val="00786384"/>
    <w:rsid w:val="00790306"/>
    <w:rsid w:val="007917E2"/>
    <w:rsid w:val="007922DE"/>
    <w:rsid w:val="007932D4"/>
    <w:rsid w:val="007947A6"/>
    <w:rsid w:val="0079783B"/>
    <w:rsid w:val="007A18CD"/>
    <w:rsid w:val="007A49DD"/>
    <w:rsid w:val="007A54A8"/>
    <w:rsid w:val="007A5A4C"/>
    <w:rsid w:val="007B143D"/>
    <w:rsid w:val="007B3F13"/>
    <w:rsid w:val="007B50F3"/>
    <w:rsid w:val="007B63B5"/>
    <w:rsid w:val="007B7D55"/>
    <w:rsid w:val="007C269B"/>
    <w:rsid w:val="007C2FF8"/>
    <w:rsid w:val="007C619D"/>
    <w:rsid w:val="007C7055"/>
    <w:rsid w:val="007D2EBC"/>
    <w:rsid w:val="007D625B"/>
    <w:rsid w:val="007D6DB1"/>
    <w:rsid w:val="007D7BD5"/>
    <w:rsid w:val="007E350E"/>
    <w:rsid w:val="007E377C"/>
    <w:rsid w:val="007E3AC5"/>
    <w:rsid w:val="007E52CD"/>
    <w:rsid w:val="007F3EAE"/>
    <w:rsid w:val="007F4A3C"/>
    <w:rsid w:val="007F779E"/>
    <w:rsid w:val="00800EA4"/>
    <w:rsid w:val="00801983"/>
    <w:rsid w:val="00802CA9"/>
    <w:rsid w:val="0080441E"/>
    <w:rsid w:val="00807207"/>
    <w:rsid w:val="008103D9"/>
    <w:rsid w:val="00811730"/>
    <w:rsid w:val="008123EC"/>
    <w:rsid w:val="0081320A"/>
    <w:rsid w:val="008147A2"/>
    <w:rsid w:val="00815D76"/>
    <w:rsid w:val="00816D15"/>
    <w:rsid w:val="00821C1D"/>
    <w:rsid w:val="00822218"/>
    <w:rsid w:val="00822A78"/>
    <w:rsid w:val="00822E16"/>
    <w:rsid w:val="008232B4"/>
    <w:rsid w:val="00826FCE"/>
    <w:rsid w:val="0083177C"/>
    <w:rsid w:val="00832504"/>
    <w:rsid w:val="0083386D"/>
    <w:rsid w:val="00834DAC"/>
    <w:rsid w:val="008367A1"/>
    <w:rsid w:val="00837E61"/>
    <w:rsid w:val="008412A4"/>
    <w:rsid w:val="00842445"/>
    <w:rsid w:val="00843DDC"/>
    <w:rsid w:val="00850244"/>
    <w:rsid w:val="00851C3C"/>
    <w:rsid w:val="0085241A"/>
    <w:rsid w:val="00854241"/>
    <w:rsid w:val="0085689A"/>
    <w:rsid w:val="008605E1"/>
    <w:rsid w:val="008700E3"/>
    <w:rsid w:val="0087038F"/>
    <w:rsid w:val="008705D8"/>
    <w:rsid w:val="00870ACE"/>
    <w:rsid w:val="00872E17"/>
    <w:rsid w:val="00872FE1"/>
    <w:rsid w:val="008741A2"/>
    <w:rsid w:val="008746AE"/>
    <w:rsid w:val="00884E34"/>
    <w:rsid w:val="00886B10"/>
    <w:rsid w:val="00887D53"/>
    <w:rsid w:val="00893EA5"/>
    <w:rsid w:val="00894D76"/>
    <w:rsid w:val="00895DE8"/>
    <w:rsid w:val="008A349D"/>
    <w:rsid w:val="008A5D6E"/>
    <w:rsid w:val="008A7F7E"/>
    <w:rsid w:val="008B0731"/>
    <w:rsid w:val="008B528B"/>
    <w:rsid w:val="008B5B8B"/>
    <w:rsid w:val="008C1BF0"/>
    <w:rsid w:val="008C22FA"/>
    <w:rsid w:val="008C634C"/>
    <w:rsid w:val="008C68AC"/>
    <w:rsid w:val="008D124F"/>
    <w:rsid w:val="008D171F"/>
    <w:rsid w:val="008D4331"/>
    <w:rsid w:val="008D6FE9"/>
    <w:rsid w:val="008E12C7"/>
    <w:rsid w:val="008E20CD"/>
    <w:rsid w:val="008E2615"/>
    <w:rsid w:val="008E7D13"/>
    <w:rsid w:val="008F05B8"/>
    <w:rsid w:val="008F1C7A"/>
    <w:rsid w:val="008F2C33"/>
    <w:rsid w:val="008F36F7"/>
    <w:rsid w:val="008F42A9"/>
    <w:rsid w:val="008F595D"/>
    <w:rsid w:val="008F7EF8"/>
    <w:rsid w:val="00901023"/>
    <w:rsid w:val="009011B6"/>
    <w:rsid w:val="0091090D"/>
    <w:rsid w:val="00911537"/>
    <w:rsid w:val="00912444"/>
    <w:rsid w:val="009142F1"/>
    <w:rsid w:val="0091488C"/>
    <w:rsid w:val="00914D42"/>
    <w:rsid w:val="00915DA8"/>
    <w:rsid w:val="00916987"/>
    <w:rsid w:val="00920200"/>
    <w:rsid w:val="009202AE"/>
    <w:rsid w:val="009268D2"/>
    <w:rsid w:val="00934A8C"/>
    <w:rsid w:val="009360A4"/>
    <w:rsid w:val="009373D2"/>
    <w:rsid w:val="009376EB"/>
    <w:rsid w:val="009415FC"/>
    <w:rsid w:val="00942599"/>
    <w:rsid w:val="00943552"/>
    <w:rsid w:val="0094537D"/>
    <w:rsid w:val="00947A6D"/>
    <w:rsid w:val="0095021E"/>
    <w:rsid w:val="00953C60"/>
    <w:rsid w:val="00955413"/>
    <w:rsid w:val="00956511"/>
    <w:rsid w:val="00963157"/>
    <w:rsid w:val="00963B46"/>
    <w:rsid w:val="00965808"/>
    <w:rsid w:val="00974B67"/>
    <w:rsid w:val="009750F6"/>
    <w:rsid w:val="00980630"/>
    <w:rsid w:val="00983290"/>
    <w:rsid w:val="009833AC"/>
    <w:rsid w:val="00990630"/>
    <w:rsid w:val="009935E3"/>
    <w:rsid w:val="009936FA"/>
    <w:rsid w:val="009A2259"/>
    <w:rsid w:val="009A3657"/>
    <w:rsid w:val="009A3737"/>
    <w:rsid w:val="009B0463"/>
    <w:rsid w:val="009C148F"/>
    <w:rsid w:val="009C2C3B"/>
    <w:rsid w:val="009C339F"/>
    <w:rsid w:val="009C3A71"/>
    <w:rsid w:val="009D0BEA"/>
    <w:rsid w:val="009D5094"/>
    <w:rsid w:val="009D6BBD"/>
    <w:rsid w:val="009D6C24"/>
    <w:rsid w:val="009E127F"/>
    <w:rsid w:val="009E3A85"/>
    <w:rsid w:val="009E415A"/>
    <w:rsid w:val="009E4F87"/>
    <w:rsid w:val="009F01F9"/>
    <w:rsid w:val="009F30C5"/>
    <w:rsid w:val="009F4319"/>
    <w:rsid w:val="009F6D5F"/>
    <w:rsid w:val="009F71C9"/>
    <w:rsid w:val="00A041B0"/>
    <w:rsid w:val="00A06F37"/>
    <w:rsid w:val="00A12C71"/>
    <w:rsid w:val="00A22271"/>
    <w:rsid w:val="00A23700"/>
    <w:rsid w:val="00A23A71"/>
    <w:rsid w:val="00A23DEE"/>
    <w:rsid w:val="00A23F62"/>
    <w:rsid w:val="00A24CDD"/>
    <w:rsid w:val="00A327F2"/>
    <w:rsid w:val="00A33286"/>
    <w:rsid w:val="00A369C2"/>
    <w:rsid w:val="00A402D3"/>
    <w:rsid w:val="00A4110F"/>
    <w:rsid w:val="00A4174F"/>
    <w:rsid w:val="00A42DBE"/>
    <w:rsid w:val="00A5085D"/>
    <w:rsid w:val="00A548AC"/>
    <w:rsid w:val="00A6032E"/>
    <w:rsid w:val="00A61D25"/>
    <w:rsid w:val="00A63F6C"/>
    <w:rsid w:val="00A70798"/>
    <w:rsid w:val="00A70943"/>
    <w:rsid w:val="00A70ACE"/>
    <w:rsid w:val="00A718A5"/>
    <w:rsid w:val="00A73610"/>
    <w:rsid w:val="00A74C2F"/>
    <w:rsid w:val="00A8002F"/>
    <w:rsid w:val="00A827BE"/>
    <w:rsid w:val="00A8380D"/>
    <w:rsid w:val="00A83B48"/>
    <w:rsid w:val="00A84C71"/>
    <w:rsid w:val="00A873A5"/>
    <w:rsid w:val="00A9013F"/>
    <w:rsid w:val="00A9553D"/>
    <w:rsid w:val="00A95599"/>
    <w:rsid w:val="00AA06BA"/>
    <w:rsid w:val="00AA24B7"/>
    <w:rsid w:val="00AA32AC"/>
    <w:rsid w:val="00AA3925"/>
    <w:rsid w:val="00AA3E67"/>
    <w:rsid w:val="00AA5365"/>
    <w:rsid w:val="00AA6990"/>
    <w:rsid w:val="00AA6EC3"/>
    <w:rsid w:val="00AB6B00"/>
    <w:rsid w:val="00AC0C0C"/>
    <w:rsid w:val="00AC1917"/>
    <w:rsid w:val="00AD01D9"/>
    <w:rsid w:val="00AD1483"/>
    <w:rsid w:val="00AD6115"/>
    <w:rsid w:val="00AD63ED"/>
    <w:rsid w:val="00AD6489"/>
    <w:rsid w:val="00AD7479"/>
    <w:rsid w:val="00AE009B"/>
    <w:rsid w:val="00AE18B0"/>
    <w:rsid w:val="00AE2FE6"/>
    <w:rsid w:val="00AF07DF"/>
    <w:rsid w:val="00AF315B"/>
    <w:rsid w:val="00AF58E1"/>
    <w:rsid w:val="00AF7A5F"/>
    <w:rsid w:val="00B0010B"/>
    <w:rsid w:val="00B01E7A"/>
    <w:rsid w:val="00B03651"/>
    <w:rsid w:val="00B04B67"/>
    <w:rsid w:val="00B05A19"/>
    <w:rsid w:val="00B0711F"/>
    <w:rsid w:val="00B103F9"/>
    <w:rsid w:val="00B13865"/>
    <w:rsid w:val="00B13B7A"/>
    <w:rsid w:val="00B148E8"/>
    <w:rsid w:val="00B17C23"/>
    <w:rsid w:val="00B21F24"/>
    <w:rsid w:val="00B22EA9"/>
    <w:rsid w:val="00B24B23"/>
    <w:rsid w:val="00B24DB6"/>
    <w:rsid w:val="00B26F3A"/>
    <w:rsid w:val="00B33DC7"/>
    <w:rsid w:val="00B33EAC"/>
    <w:rsid w:val="00B35677"/>
    <w:rsid w:val="00B35729"/>
    <w:rsid w:val="00B41363"/>
    <w:rsid w:val="00B41DDC"/>
    <w:rsid w:val="00B42C9D"/>
    <w:rsid w:val="00B4469D"/>
    <w:rsid w:val="00B4797C"/>
    <w:rsid w:val="00B51327"/>
    <w:rsid w:val="00B52276"/>
    <w:rsid w:val="00B567C0"/>
    <w:rsid w:val="00B5740D"/>
    <w:rsid w:val="00B61296"/>
    <w:rsid w:val="00B61A1E"/>
    <w:rsid w:val="00B61EC5"/>
    <w:rsid w:val="00B64B65"/>
    <w:rsid w:val="00B70531"/>
    <w:rsid w:val="00B709EB"/>
    <w:rsid w:val="00B719DA"/>
    <w:rsid w:val="00B72002"/>
    <w:rsid w:val="00B74752"/>
    <w:rsid w:val="00B74C44"/>
    <w:rsid w:val="00B756E7"/>
    <w:rsid w:val="00B77A11"/>
    <w:rsid w:val="00B859D3"/>
    <w:rsid w:val="00B8630D"/>
    <w:rsid w:val="00B90180"/>
    <w:rsid w:val="00B925BE"/>
    <w:rsid w:val="00B94883"/>
    <w:rsid w:val="00BA1557"/>
    <w:rsid w:val="00BA2C56"/>
    <w:rsid w:val="00BA3453"/>
    <w:rsid w:val="00BA34A6"/>
    <w:rsid w:val="00BA3920"/>
    <w:rsid w:val="00BA49DB"/>
    <w:rsid w:val="00BA4CCC"/>
    <w:rsid w:val="00BA5373"/>
    <w:rsid w:val="00BA6806"/>
    <w:rsid w:val="00BA7378"/>
    <w:rsid w:val="00BA78EE"/>
    <w:rsid w:val="00BB16DA"/>
    <w:rsid w:val="00BB68D6"/>
    <w:rsid w:val="00BC03CC"/>
    <w:rsid w:val="00BC13FE"/>
    <w:rsid w:val="00BC3413"/>
    <w:rsid w:val="00BC4547"/>
    <w:rsid w:val="00BC7E66"/>
    <w:rsid w:val="00BD419D"/>
    <w:rsid w:val="00BE044F"/>
    <w:rsid w:val="00BE0757"/>
    <w:rsid w:val="00BE27D8"/>
    <w:rsid w:val="00BE3A64"/>
    <w:rsid w:val="00BE48F9"/>
    <w:rsid w:val="00BE4EE1"/>
    <w:rsid w:val="00BE5B98"/>
    <w:rsid w:val="00BE629F"/>
    <w:rsid w:val="00BE6B6A"/>
    <w:rsid w:val="00BE7E56"/>
    <w:rsid w:val="00BF121B"/>
    <w:rsid w:val="00BF37ED"/>
    <w:rsid w:val="00BF40B4"/>
    <w:rsid w:val="00BF41BA"/>
    <w:rsid w:val="00BF53D5"/>
    <w:rsid w:val="00BF716E"/>
    <w:rsid w:val="00C007AA"/>
    <w:rsid w:val="00C0282B"/>
    <w:rsid w:val="00C046F4"/>
    <w:rsid w:val="00C05A95"/>
    <w:rsid w:val="00C05D86"/>
    <w:rsid w:val="00C05DDE"/>
    <w:rsid w:val="00C07DA4"/>
    <w:rsid w:val="00C11133"/>
    <w:rsid w:val="00C154F7"/>
    <w:rsid w:val="00C1562A"/>
    <w:rsid w:val="00C16026"/>
    <w:rsid w:val="00C17542"/>
    <w:rsid w:val="00C20640"/>
    <w:rsid w:val="00C211EC"/>
    <w:rsid w:val="00C2162C"/>
    <w:rsid w:val="00C2176C"/>
    <w:rsid w:val="00C21BE0"/>
    <w:rsid w:val="00C239EF"/>
    <w:rsid w:val="00C24043"/>
    <w:rsid w:val="00C244C4"/>
    <w:rsid w:val="00C25428"/>
    <w:rsid w:val="00C271F7"/>
    <w:rsid w:val="00C27D71"/>
    <w:rsid w:val="00C30772"/>
    <w:rsid w:val="00C313B3"/>
    <w:rsid w:val="00C32A63"/>
    <w:rsid w:val="00C3318F"/>
    <w:rsid w:val="00C33442"/>
    <w:rsid w:val="00C34303"/>
    <w:rsid w:val="00C34A93"/>
    <w:rsid w:val="00C423E7"/>
    <w:rsid w:val="00C43F73"/>
    <w:rsid w:val="00C442D0"/>
    <w:rsid w:val="00C45BFF"/>
    <w:rsid w:val="00C46490"/>
    <w:rsid w:val="00C469BA"/>
    <w:rsid w:val="00C46C3A"/>
    <w:rsid w:val="00C50595"/>
    <w:rsid w:val="00C50DE9"/>
    <w:rsid w:val="00C51E44"/>
    <w:rsid w:val="00C5308E"/>
    <w:rsid w:val="00C55B11"/>
    <w:rsid w:val="00C62669"/>
    <w:rsid w:val="00C63094"/>
    <w:rsid w:val="00C6489E"/>
    <w:rsid w:val="00C65AEE"/>
    <w:rsid w:val="00C701C7"/>
    <w:rsid w:val="00C7175E"/>
    <w:rsid w:val="00C71F44"/>
    <w:rsid w:val="00C73094"/>
    <w:rsid w:val="00C7557C"/>
    <w:rsid w:val="00C7634C"/>
    <w:rsid w:val="00C765EB"/>
    <w:rsid w:val="00C819AE"/>
    <w:rsid w:val="00C82A08"/>
    <w:rsid w:val="00C82DEB"/>
    <w:rsid w:val="00C82F51"/>
    <w:rsid w:val="00C928C3"/>
    <w:rsid w:val="00C934EA"/>
    <w:rsid w:val="00C94061"/>
    <w:rsid w:val="00C95F7A"/>
    <w:rsid w:val="00CA1B00"/>
    <w:rsid w:val="00CA1C32"/>
    <w:rsid w:val="00CA64A9"/>
    <w:rsid w:val="00CA7C6D"/>
    <w:rsid w:val="00CB3780"/>
    <w:rsid w:val="00CC55CB"/>
    <w:rsid w:val="00CD24EB"/>
    <w:rsid w:val="00CD478B"/>
    <w:rsid w:val="00CD4FEF"/>
    <w:rsid w:val="00CE0204"/>
    <w:rsid w:val="00CE1485"/>
    <w:rsid w:val="00CE1A7F"/>
    <w:rsid w:val="00CE2324"/>
    <w:rsid w:val="00CE7F48"/>
    <w:rsid w:val="00CF2007"/>
    <w:rsid w:val="00CF3084"/>
    <w:rsid w:val="00CF4265"/>
    <w:rsid w:val="00CF4338"/>
    <w:rsid w:val="00CF7128"/>
    <w:rsid w:val="00CF7969"/>
    <w:rsid w:val="00CF7B1B"/>
    <w:rsid w:val="00CF7D66"/>
    <w:rsid w:val="00CF7E3D"/>
    <w:rsid w:val="00D1206C"/>
    <w:rsid w:val="00D12654"/>
    <w:rsid w:val="00D13484"/>
    <w:rsid w:val="00D1406C"/>
    <w:rsid w:val="00D16B46"/>
    <w:rsid w:val="00D16DA1"/>
    <w:rsid w:val="00D22577"/>
    <w:rsid w:val="00D22AA7"/>
    <w:rsid w:val="00D2388B"/>
    <w:rsid w:val="00D23E7F"/>
    <w:rsid w:val="00D2590A"/>
    <w:rsid w:val="00D25FF8"/>
    <w:rsid w:val="00D300F8"/>
    <w:rsid w:val="00D30DCE"/>
    <w:rsid w:val="00D30E6C"/>
    <w:rsid w:val="00D310F6"/>
    <w:rsid w:val="00D31873"/>
    <w:rsid w:val="00D341C0"/>
    <w:rsid w:val="00D366B9"/>
    <w:rsid w:val="00D36964"/>
    <w:rsid w:val="00D42C48"/>
    <w:rsid w:val="00D462E6"/>
    <w:rsid w:val="00D50504"/>
    <w:rsid w:val="00D50B30"/>
    <w:rsid w:val="00D518C7"/>
    <w:rsid w:val="00D52A75"/>
    <w:rsid w:val="00D52F0C"/>
    <w:rsid w:val="00D57EB2"/>
    <w:rsid w:val="00D61A52"/>
    <w:rsid w:val="00D61BF2"/>
    <w:rsid w:val="00D6445A"/>
    <w:rsid w:val="00D64A67"/>
    <w:rsid w:val="00D64B75"/>
    <w:rsid w:val="00D66CC4"/>
    <w:rsid w:val="00D67B97"/>
    <w:rsid w:val="00D67CB3"/>
    <w:rsid w:val="00D70B39"/>
    <w:rsid w:val="00D71C6D"/>
    <w:rsid w:val="00D735A3"/>
    <w:rsid w:val="00D77E58"/>
    <w:rsid w:val="00D805C5"/>
    <w:rsid w:val="00D82260"/>
    <w:rsid w:val="00D85386"/>
    <w:rsid w:val="00D8715B"/>
    <w:rsid w:val="00D8723B"/>
    <w:rsid w:val="00D94324"/>
    <w:rsid w:val="00D94EEF"/>
    <w:rsid w:val="00D952B2"/>
    <w:rsid w:val="00DA0D09"/>
    <w:rsid w:val="00DA1355"/>
    <w:rsid w:val="00DA23E8"/>
    <w:rsid w:val="00DA5F3A"/>
    <w:rsid w:val="00DA66AB"/>
    <w:rsid w:val="00DB16E7"/>
    <w:rsid w:val="00DC4726"/>
    <w:rsid w:val="00DC6663"/>
    <w:rsid w:val="00DC7B3E"/>
    <w:rsid w:val="00DD5863"/>
    <w:rsid w:val="00DD633B"/>
    <w:rsid w:val="00DD7287"/>
    <w:rsid w:val="00DE0133"/>
    <w:rsid w:val="00DE2003"/>
    <w:rsid w:val="00DE2013"/>
    <w:rsid w:val="00DE2EA5"/>
    <w:rsid w:val="00DE346A"/>
    <w:rsid w:val="00DE3A4C"/>
    <w:rsid w:val="00DE53AD"/>
    <w:rsid w:val="00DE61E4"/>
    <w:rsid w:val="00DE6B82"/>
    <w:rsid w:val="00DF22DA"/>
    <w:rsid w:val="00DF501A"/>
    <w:rsid w:val="00DF6450"/>
    <w:rsid w:val="00DF668F"/>
    <w:rsid w:val="00E0319C"/>
    <w:rsid w:val="00E042EB"/>
    <w:rsid w:val="00E047B2"/>
    <w:rsid w:val="00E057FB"/>
    <w:rsid w:val="00E069BA"/>
    <w:rsid w:val="00E11319"/>
    <w:rsid w:val="00E12A75"/>
    <w:rsid w:val="00E13F0E"/>
    <w:rsid w:val="00E210FA"/>
    <w:rsid w:val="00E21EEE"/>
    <w:rsid w:val="00E2386B"/>
    <w:rsid w:val="00E27E01"/>
    <w:rsid w:val="00E32274"/>
    <w:rsid w:val="00E3246A"/>
    <w:rsid w:val="00E32E34"/>
    <w:rsid w:val="00E34655"/>
    <w:rsid w:val="00E41BF1"/>
    <w:rsid w:val="00E50E38"/>
    <w:rsid w:val="00E548C5"/>
    <w:rsid w:val="00E55271"/>
    <w:rsid w:val="00E55DB7"/>
    <w:rsid w:val="00E6241E"/>
    <w:rsid w:val="00E703AD"/>
    <w:rsid w:val="00E73DE0"/>
    <w:rsid w:val="00E753AA"/>
    <w:rsid w:val="00E75863"/>
    <w:rsid w:val="00E75AAD"/>
    <w:rsid w:val="00E76841"/>
    <w:rsid w:val="00E80963"/>
    <w:rsid w:val="00E80E72"/>
    <w:rsid w:val="00E82CFE"/>
    <w:rsid w:val="00E86444"/>
    <w:rsid w:val="00E94F19"/>
    <w:rsid w:val="00EA00A6"/>
    <w:rsid w:val="00EA1678"/>
    <w:rsid w:val="00EA28D7"/>
    <w:rsid w:val="00EA2D93"/>
    <w:rsid w:val="00EA72F1"/>
    <w:rsid w:val="00EA7E66"/>
    <w:rsid w:val="00EB046F"/>
    <w:rsid w:val="00EB0DA6"/>
    <w:rsid w:val="00EB1841"/>
    <w:rsid w:val="00EB23B6"/>
    <w:rsid w:val="00EB2A38"/>
    <w:rsid w:val="00EB5B98"/>
    <w:rsid w:val="00EB6559"/>
    <w:rsid w:val="00EC26A9"/>
    <w:rsid w:val="00EC6DB6"/>
    <w:rsid w:val="00ED45BE"/>
    <w:rsid w:val="00EE397D"/>
    <w:rsid w:val="00EE676B"/>
    <w:rsid w:val="00EE6A83"/>
    <w:rsid w:val="00EF13EB"/>
    <w:rsid w:val="00EF28DC"/>
    <w:rsid w:val="00EF486A"/>
    <w:rsid w:val="00F00586"/>
    <w:rsid w:val="00F027A7"/>
    <w:rsid w:val="00F03DF3"/>
    <w:rsid w:val="00F06724"/>
    <w:rsid w:val="00F1146D"/>
    <w:rsid w:val="00F11F16"/>
    <w:rsid w:val="00F12DA1"/>
    <w:rsid w:val="00F14100"/>
    <w:rsid w:val="00F16BB2"/>
    <w:rsid w:val="00F211B7"/>
    <w:rsid w:val="00F2215B"/>
    <w:rsid w:val="00F2339D"/>
    <w:rsid w:val="00F2670F"/>
    <w:rsid w:val="00F323FC"/>
    <w:rsid w:val="00F35E78"/>
    <w:rsid w:val="00F36996"/>
    <w:rsid w:val="00F4548B"/>
    <w:rsid w:val="00F460D2"/>
    <w:rsid w:val="00F52444"/>
    <w:rsid w:val="00F5295D"/>
    <w:rsid w:val="00F553A9"/>
    <w:rsid w:val="00F55B00"/>
    <w:rsid w:val="00F55EE0"/>
    <w:rsid w:val="00F66FAB"/>
    <w:rsid w:val="00F67A40"/>
    <w:rsid w:val="00F72E9A"/>
    <w:rsid w:val="00F743EE"/>
    <w:rsid w:val="00F74F12"/>
    <w:rsid w:val="00F750D7"/>
    <w:rsid w:val="00F76743"/>
    <w:rsid w:val="00F76D54"/>
    <w:rsid w:val="00F837EE"/>
    <w:rsid w:val="00F842F2"/>
    <w:rsid w:val="00F8522E"/>
    <w:rsid w:val="00F860E0"/>
    <w:rsid w:val="00FA0667"/>
    <w:rsid w:val="00FA0D17"/>
    <w:rsid w:val="00FA1920"/>
    <w:rsid w:val="00FA668B"/>
    <w:rsid w:val="00FA7EC2"/>
    <w:rsid w:val="00FB03AD"/>
    <w:rsid w:val="00FB20D3"/>
    <w:rsid w:val="00FB2605"/>
    <w:rsid w:val="00FB4432"/>
    <w:rsid w:val="00FB4553"/>
    <w:rsid w:val="00FB5C17"/>
    <w:rsid w:val="00FB61AE"/>
    <w:rsid w:val="00FC26B4"/>
    <w:rsid w:val="00FC2C9E"/>
    <w:rsid w:val="00FC4796"/>
    <w:rsid w:val="00FC4D19"/>
    <w:rsid w:val="00FC754F"/>
    <w:rsid w:val="00FE0DD8"/>
    <w:rsid w:val="00FE2471"/>
    <w:rsid w:val="00FE42B7"/>
    <w:rsid w:val="00FF07D8"/>
    <w:rsid w:val="00FF1ED5"/>
    <w:rsid w:val="00FF4AB7"/>
    <w:rsid w:val="00FF4C4D"/>
    <w:rsid w:val="00FF5478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4D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F7B1B"/>
    <w:pPr>
      <w:spacing w:line="480" w:lineRule="exact"/>
      <w:ind w:leftChars="-5" w:left="615" w:hangingChars="196" w:hanging="627"/>
    </w:pPr>
    <w:rPr>
      <w:rFonts w:eastAsia="標楷體"/>
      <w:sz w:val="32"/>
    </w:rPr>
  </w:style>
  <w:style w:type="paragraph" w:styleId="a5">
    <w:name w:val="Salutation"/>
    <w:basedOn w:val="a"/>
    <w:next w:val="a"/>
    <w:rsid w:val="00CA7C6D"/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6">
    <w:name w:val="Closing"/>
    <w:basedOn w:val="a"/>
    <w:rsid w:val="00CA7C6D"/>
    <w:pPr>
      <w:ind w:leftChars="1800" w:left="100"/>
    </w:pPr>
    <w:rPr>
      <w:rFonts w:ascii="新細明體" w:hAnsi="新細明體" w:cs="新細明體"/>
      <w:bCs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23199"/>
    <w:rPr>
      <w:kern w:val="2"/>
    </w:rPr>
  </w:style>
  <w:style w:type="paragraph" w:styleId="a9">
    <w:name w:val="footer"/>
    <w:basedOn w:val="a"/>
    <w:link w:val="aa"/>
    <w:rsid w:val="00023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23199"/>
    <w:rPr>
      <w:kern w:val="2"/>
    </w:rPr>
  </w:style>
  <w:style w:type="paragraph" w:styleId="ab">
    <w:name w:val="Balloon Text"/>
    <w:basedOn w:val="a"/>
    <w:link w:val="ac"/>
    <w:rsid w:val="009D0BEA"/>
    <w:rPr>
      <w:rFonts w:ascii="Calibri Light" w:hAnsi="Calibri Light"/>
      <w:sz w:val="18"/>
      <w:szCs w:val="18"/>
      <w:lang/>
    </w:rPr>
  </w:style>
  <w:style w:type="character" w:customStyle="1" w:styleId="ac">
    <w:name w:val="註解方塊文字 字元"/>
    <w:link w:val="ab"/>
    <w:rsid w:val="009D0B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中油公司汽柴油價格調幅比較表</dc:title>
  <dc:creator>088242</dc:creator>
  <cp:lastModifiedBy>632449</cp:lastModifiedBy>
  <cp:revision>2</cp:revision>
  <cp:lastPrinted>2020-08-22T01:24:00Z</cp:lastPrinted>
  <dcterms:created xsi:type="dcterms:W3CDTF">2020-08-29T02:54:00Z</dcterms:created>
  <dcterms:modified xsi:type="dcterms:W3CDTF">2020-08-29T02:54:00Z</dcterms:modified>
</cp:coreProperties>
</file>